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jc w:val="both"/>
        <w:rPr>
          <w:rFonts w:hint="eastAsia" w:ascii="宋体" w:hAnsi="宋体" w:eastAsia="宋体" w:cs="宋体"/>
          <w:sz w:val="72"/>
          <w:szCs w:val="72"/>
        </w:rPr>
      </w:pPr>
      <w:r>
        <w:rPr>
          <w:rFonts w:hint="eastAsia" w:ascii="宋体" w:hAnsi="宋体" w:eastAsia="宋体" w:cs="宋体"/>
          <w:color w:val="FF0000"/>
          <w:sz w:val="72"/>
          <w:szCs w:val="72"/>
        </w:rPr>
        <w:t>鹿 寨 县 行 政 审 批 局</w:t>
      </w:r>
      <w:r>
        <w:rPr>
          <w:rFonts w:hint="eastAsia" w:ascii="宋体" w:hAnsi="宋体" w:eastAsia="宋体" w:cs="宋体"/>
          <w:sz w:val="72"/>
          <w:szCs w:val="72"/>
        </w:rPr>
        <mc:AlternateContent>
          <mc:Choice Requires="wps">
            <w:drawing>
              <wp:anchor distT="0" distB="0" distL="114300" distR="114300" simplePos="0" relativeHeight="251659264" behindDoc="0" locked="0" layoutInCell="1" allowOverlap="1">
                <wp:simplePos x="0" y="0"/>
                <wp:positionH relativeFrom="page">
                  <wp:posOffset>918210</wp:posOffset>
                </wp:positionH>
                <wp:positionV relativeFrom="margin">
                  <wp:posOffset>1113790</wp:posOffset>
                </wp:positionV>
                <wp:extent cx="6120130" cy="635"/>
                <wp:effectExtent l="0" t="28575" r="13970" b="46990"/>
                <wp:wrapSquare wrapText="bothSides"/>
                <wp:docPr id="2" name="直接连接符 2"/>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3pt;margin-top:87.7pt;height:0.05pt;width:481.9pt;mso-position-horizontal-relative:page;mso-position-vertical-relative:margin;mso-wrap-distance-bottom:0pt;mso-wrap-distance-left:9pt;mso-wrap-distance-right:9pt;mso-wrap-distance-top:0pt;z-index:251659264;mso-width-relative:page;mso-height-relative:page;" filled="f" stroked="t" coordsize="21600,21600" o:gfxdata="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0l3P1gAAAAwBAAAPAAAAAAAAAAEAIAAAACIAAABkcnMvZG93bnJl&#10;di54bWxQSwECFAAUAAAACACHTuJAnMZbGv8BAAD7AwAADgAAAAAAAAABACAAAAAlAQAAZHJzL2Uy&#10;b0RvYy54bWxQSwUGAAAAAAYABgBZAQAAlgUAAAAA&#10;">
                <v:fill on="f" focussize="0,0"/>
                <v:stroke weight="4.5pt" color="#FF0000" linestyle="thickThin" joinstyle="round"/>
                <v:imagedata o:title=""/>
                <o:lock v:ext="edit" aspectratio="f"/>
                <w10:wrap type="square"/>
              </v:line>
            </w:pict>
          </mc:Fallback>
        </mc:AlternateConten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鹿审</w:t>
      </w:r>
      <w:r>
        <w:rPr>
          <w:rFonts w:hint="eastAsia" w:ascii="仿宋_GB2312" w:hAnsi="仿宋_GB2312" w:eastAsia="仿宋_GB2312" w:cs="仿宋_GB2312"/>
          <w:sz w:val="32"/>
          <w:szCs w:val="32"/>
          <w:lang w:eastAsia="zh-CN"/>
        </w:rPr>
        <w:t>环</w:t>
      </w:r>
      <w:r>
        <w:rPr>
          <w:rFonts w:hint="eastAsia" w:ascii="仿宋_GB2312" w:hAnsi="仿宋_GB2312" w:eastAsia="仿宋_GB2312" w:cs="仿宋_GB2312"/>
          <w:sz w:val="32"/>
          <w:szCs w:val="32"/>
        </w:rPr>
        <w:t>批复〔2021〕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lang w:val="en-US" w:eastAsia="zh-CN"/>
        </w:rPr>
      </w:pPr>
    </w:p>
    <w:p>
      <w:pPr>
        <w:jc w:val="center"/>
        <w:rPr>
          <w:rFonts w:asciiTheme="minorEastAsia" w:hAnsiTheme="minorEastAsia"/>
          <w:sz w:val="44"/>
          <w:szCs w:val="44"/>
        </w:rPr>
      </w:pPr>
      <w:r>
        <w:rPr>
          <w:rFonts w:hint="eastAsia" w:asciiTheme="minorEastAsia" w:hAnsiTheme="minorEastAsia"/>
          <w:sz w:val="44"/>
          <w:szCs w:val="44"/>
        </w:rPr>
        <w:t>关于柳州正邦鹿寨县饲料厂项目环境影响报告表的批复</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宋体" w:eastAsia="仿宋_GB2312"/>
          <w:sz w:val="32"/>
          <w:szCs w:val="32"/>
        </w:rPr>
      </w:pPr>
      <w:bookmarkStart w:id="0" w:name="_Hlk45554853"/>
      <w:r>
        <w:rPr>
          <w:rFonts w:hint="eastAsia" w:ascii="仿宋_GB2312" w:eastAsia="仿宋_GB2312"/>
          <w:bCs/>
          <w:sz w:val="32"/>
          <w:szCs w:val="32"/>
          <w:lang w:val="en-US" w:eastAsia="zh-CN"/>
        </w:rPr>
        <w:t>柳州正邦农业科技有限公司</w:t>
      </w:r>
      <w:bookmarkEnd w:id="0"/>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eastAsia="仿宋_GB2312"/>
          <w:sz w:val="32"/>
          <w:szCs w:val="32"/>
        </w:rPr>
      </w:pPr>
      <w:r>
        <w:rPr>
          <w:rFonts w:hint="eastAsia" w:ascii="仿宋_GB2312" w:eastAsia="仿宋_GB2312"/>
          <w:sz w:val="32"/>
          <w:szCs w:val="32"/>
        </w:rPr>
        <w:t xml:space="preserve">    你公司报来的《柳州正邦鹿寨县饲料厂项目环境影响报告表》（以下简称《报告表》）及技术评估意见的函已收悉，经我局领导研究，批复如下：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150"/>
        <w:jc w:val="left"/>
        <w:textAlignment w:val="auto"/>
        <w:rPr>
          <w:rFonts w:hint="eastAsia" w:ascii="仿宋_GB2312" w:eastAsia="仿宋_GB2312"/>
          <w:color w:val="auto"/>
          <w:sz w:val="32"/>
          <w:szCs w:val="32"/>
        </w:rPr>
      </w:pPr>
      <w:r>
        <w:rPr>
          <w:rFonts w:hint="eastAsia" w:ascii="仿宋_GB2312" w:eastAsia="仿宋_GB2312"/>
          <w:sz w:val="32"/>
          <w:szCs w:val="32"/>
        </w:rPr>
        <w:t xml:space="preserve"> 一、项目总投资</w:t>
      </w:r>
      <w:r>
        <w:rPr>
          <w:rFonts w:hint="eastAsia" w:ascii="仿宋_GB2312" w:eastAsia="仿宋_GB2312"/>
          <w:sz w:val="32"/>
          <w:szCs w:val="32"/>
          <w:lang w:val="en-US" w:eastAsia="zh-CN"/>
        </w:rPr>
        <w:t>10000.00</w:t>
      </w:r>
      <w:r>
        <w:rPr>
          <w:rFonts w:hint="eastAsia" w:ascii="仿宋_GB2312" w:eastAsia="仿宋_GB2312"/>
          <w:sz w:val="32"/>
          <w:szCs w:val="32"/>
        </w:rPr>
        <w:t>万元，属于</w:t>
      </w:r>
      <w:r>
        <w:rPr>
          <w:rFonts w:hint="eastAsia" w:ascii="仿宋_GB2312" w:eastAsia="仿宋_GB2312"/>
          <w:sz w:val="32"/>
          <w:szCs w:val="32"/>
          <w:lang w:eastAsia="zh-CN"/>
        </w:rPr>
        <w:t>新</w:t>
      </w:r>
      <w:r>
        <w:rPr>
          <w:rFonts w:hint="eastAsia" w:ascii="仿宋_GB2312" w:eastAsia="仿宋_GB2312"/>
          <w:sz w:val="32"/>
          <w:szCs w:val="32"/>
        </w:rPr>
        <w:t>建</w:t>
      </w:r>
      <w:r>
        <w:rPr>
          <w:rFonts w:hint="eastAsia" w:ascii="仿宋_GB2312" w:eastAsia="仿宋_GB2312"/>
          <w:sz w:val="32"/>
          <w:szCs w:val="32"/>
          <w:lang w:eastAsia="zh-CN"/>
        </w:rPr>
        <w:t>项目。</w:t>
      </w:r>
      <w:r>
        <w:rPr>
          <w:rFonts w:hint="default" w:ascii="仿宋_GB2312" w:eastAsia="仿宋_GB2312"/>
          <w:sz w:val="32"/>
          <w:szCs w:val="32"/>
        </w:rPr>
        <w:t>项目位于</w:t>
      </w:r>
      <w:r>
        <w:rPr>
          <w:rFonts w:hint="eastAsia" w:ascii="仿宋_GB2312" w:eastAsia="仿宋_GB2312"/>
          <w:sz w:val="32"/>
          <w:szCs w:val="32"/>
        </w:rPr>
        <w:t>柳州市鹿寨县飞鹿大道西南片区局部地块</w:t>
      </w:r>
      <w:r>
        <w:rPr>
          <w:rFonts w:hint="eastAsia" w:ascii="仿宋_GB2312" w:eastAsia="仿宋_GB2312"/>
          <w:sz w:val="32"/>
          <w:szCs w:val="32"/>
          <w:lang w:eastAsia="zh-CN"/>
        </w:rPr>
        <w:t>，</w:t>
      </w:r>
      <w:r>
        <w:rPr>
          <w:rFonts w:hint="eastAsia" w:ascii="仿宋_GB2312" w:eastAsia="仿宋_GB2312"/>
          <w:sz w:val="32"/>
          <w:szCs w:val="32"/>
        </w:rPr>
        <w:t>总占地面</w:t>
      </w:r>
      <w:r>
        <w:rPr>
          <w:rFonts w:hint="eastAsia" w:ascii="仿宋_GB2312" w:eastAsia="仿宋_GB2312"/>
          <w:sz w:val="32"/>
          <w:szCs w:val="32"/>
          <w:lang w:val="en-US" w:eastAsia="zh-CN"/>
        </w:rPr>
        <w:t>积25083.6m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w:t>
      </w:r>
      <w:r>
        <w:rPr>
          <w:rFonts w:hint="eastAsia" w:ascii="仿宋_GB2312" w:eastAsia="仿宋_GB2312"/>
          <w:sz w:val="32"/>
          <w:szCs w:val="32"/>
        </w:rPr>
        <w:t>总建筑面积11079.97m</w:t>
      </w:r>
      <w:r>
        <w:rPr>
          <w:rFonts w:hint="eastAsia" w:ascii="仿宋_GB2312" w:eastAsia="仿宋_GB2312"/>
          <w:sz w:val="32"/>
          <w:szCs w:val="32"/>
          <w:vertAlign w:val="superscript"/>
        </w:rPr>
        <w:t>2</w:t>
      </w:r>
      <w:r>
        <w:rPr>
          <w:rFonts w:hint="eastAsia" w:ascii="仿宋_GB2312" w:eastAsia="仿宋_GB2312"/>
          <w:sz w:val="32"/>
          <w:szCs w:val="32"/>
          <w:vertAlign w:val="baseline"/>
          <w:lang w:eastAsia="zh-CN"/>
        </w:rPr>
        <w:t>，</w:t>
      </w:r>
      <w:r>
        <w:rPr>
          <w:rFonts w:hint="default" w:ascii="仿宋_GB2312" w:eastAsia="仿宋_GB2312"/>
          <w:color w:val="auto"/>
          <w:sz w:val="32"/>
          <w:szCs w:val="32"/>
          <w:lang w:val="en-US" w:eastAsia="zh-CN"/>
        </w:rPr>
        <w:t>主要建设内容包括倒班楼、预混料车间、卸料车间、成品仓库、生产车间、原料仓库、检疫楼等，项目建成后，年产24万吨畜禽饲料</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其中预混料车间只建设厂房，提供二期项目使用，本项目生产过程不使用预混料车间，当二期项目需要使用时，应按《建设项目环境影响评价分类管理名录》相关要求另行编制环评。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150"/>
        <w:jc w:val="left"/>
        <w:textAlignment w:val="auto"/>
        <w:rPr>
          <w:rFonts w:hint="eastAsia" w:ascii="仿宋_GB2312" w:eastAsia="仿宋_GB2312"/>
          <w:color w:val="auto"/>
          <w:sz w:val="32"/>
          <w:szCs w:val="32"/>
        </w:rPr>
      </w:pPr>
      <w:r>
        <w:rPr>
          <w:rFonts w:hint="eastAsia" w:ascii="仿宋_GB2312" w:eastAsia="仿宋_GB2312"/>
          <w:color w:val="auto"/>
          <w:sz w:val="32"/>
          <w:szCs w:val="32"/>
        </w:rPr>
        <w:t>项目已取得广西壮族自治区投资项目备案证明，</w:t>
      </w:r>
      <w:r>
        <w:rPr>
          <w:rFonts w:hint="eastAsia" w:ascii="仿宋_GB2312" w:eastAsia="仿宋_GB2312"/>
          <w:color w:val="auto"/>
          <w:sz w:val="32"/>
          <w:szCs w:val="32"/>
          <w:lang w:eastAsia="zh-CN"/>
        </w:rPr>
        <w:t>且项目已通过鹿寨县项目联审领导小组主持召开的项目联审会联审，同意项目入驻园区</w:t>
      </w:r>
      <w:r>
        <w:rPr>
          <w:rFonts w:hint="eastAsia" w:ascii="仿宋_GB2312" w:eastAsia="仿宋_GB2312"/>
          <w:color w:val="auto"/>
          <w:sz w:val="32"/>
          <w:szCs w:val="32"/>
        </w:rPr>
        <w:t>。从环境影响角度考虑，同意你公司按照报告表所列的建设项目的地点、性质、规模、采取的环境保护对策措施及下述要求进行项目建设。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二、项目须落实报告表提出的各项环保要求，重点抓好以下环保工作：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一）做好施工期噪声防治工作，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3日向我局申报，得到夜间建筑施工证明，并提前2日公告周围居民；对周围环境敏感点设置临时性防治理噪声污染的隔声屏障，以减轻施工噪声对周围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（二）应严格遵守HJ/T393-2007《防治城市扬尘污染技术规范》，做好扬尘防治工作。施工场地应采取围挡、遮盖、洒水降尘等措施，以减轻扬尘污染。材料运输车辆要落实防撒落、防扬尘等措施。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（三）项目施工期废水主要为施工废水和生活污水。项目建设单位</w:t>
      </w:r>
      <w:r>
        <w:rPr>
          <w:rFonts w:hint="eastAsia" w:ascii="仿宋_GB2312" w:eastAsia="仿宋_GB2312"/>
          <w:color w:val="auto"/>
          <w:sz w:val="32"/>
          <w:szCs w:val="32"/>
          <w:lang w:eastAsia="zh-CN"/>
        </w:rPr>
        <w:t>应</w:t>
      </w:r>
      <w:r>
        <w:rPr>
          <w:rFonts w:hint="eastAsia" w:ascii="仿宋_GB2312" w:eastAsia="仿宋_GB2312"/>
          <w:color w:val="auto"/>
          <w:sz w:val="32"/>
          <w:szCs w:val="32"/>
        </w:rPr>
        <w:t>在</w:t>
      </w:r>
      <w:r>
        <w:rPr>
          <w:rFonts w:hint="eastAsia" w:ascii="仿宋_GB2312" w:eastAsia="仿宋_GB2312"/>
          <w:color w:val="auto"/>
          <w:sz w:val="32"/>
          <w:szCs w:val="32"/>
          <w:lang w:eastAsia="zh-CN"/>
        </w:rPr>
        <w:t>施工</w:t>
      </w:r>
      <w:r>
        <w:rPr>
          <w:rFonts w:hint="eastAsia" w:ascii="仿宋_GB2312" w:eastAsia="仿宋_GB2312"/>
          <w:color w:val="auto"/>
          <w:sz w:val="32"/>
          <w:szCs w:val="32"/>
        </w:rPr>
        <w:t>场区修建临时施工废水隔油池和沉淀池，集中收集施工废水，</w:t>
      </w:r>
      <w:r>
        <w:rPr>
          <w:rFonts w:hint="eastAsia" w:ascii="仿宋_GB2312" w:eastAsia="仿宋_GB2312"/>
          <w:color w:val="auto"/>
          <w:sz w:val="32"/>
          <w:szCs w:val="32"/>
          <w:lang w:eastAsia="zh-CN"/>
        </w:rPr>
        <w:t>后</w:t>
      </w:r>
      <w:r>
        <w:rPr>
          <w:rFonts w:hint="eastAsia" w:ascii="仿宋_GB2312" w:eastAsia="仿宋_GB2312"/>
          <w:color w:val="auto"/>
          <w:sz w:val="32"/>
          <w:szCs w:val="32"/>
        </w:rPr>
        <w:t>全部回用于施工中。</w:t>
      </w:r>
      <w:r>
        <w:rPr>
          <w:rFonts w:hint="eastAsia" w:ascii="仿宋_GB2312" w:eastAsia="仿宋_GB2312"/>
          <w:color w:val="auto"/>
          <w:sz w:val="32"/>
          <w:szCs w:val="32"/>
          <w:lang w:eastAsia="zh-CN"/>
        </w:rPr>
        <w:t>项目施工人员生活污水</w:t>
      </w:r>
      <w:r>
        <w:rPr>
          <w:rFonts w:hint="eastAsia" w:ascii="仿宋_GB2312" w:eastAsia="仿宋_GB2312"/>
          <w:color w:val="auto"/>
          <w:sz w:val="32"/>
          <w:szCs w:val="32"/>
        </w:rPr>
        <w:t>，经化粪池处理后</w:t>
      </w:r>
      <w:r>
        <w:rPr>
          <w:rFonts w:hint="eastAsia" w:ascii="仿宋_GB2312" w:eastAsia="仿宋_GB2312"/>
          <w:color w:val="auto"/>
          <w:sz w:val="32"/>
          <w:szCs w:val="32"/>
          <w:lang w:eastAsia="zh-CN"/>
        </w:rPr>
        <w:t>用于周边林地施肥</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四）做好施工区域土石方平衡设计，尽量减少挖方与弃方的产生。采取有效水土流失防治措施，并做好地表开挖后的生态恢复工作。及时清运建筑垃圾和弃土。弃土应运往相关部门指定点堆放。产生的建筑垃圾须按照《柳州市城市建筑垃圾管理办法》的要求及时清运处置，严禁堆放在路旁及居民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）项目运营期大气污染主要为</w:t>
      </w:r>
      <w:r>
        <w:rPr>
          <w:rFonts w:hint="eastAsia" w:ascii="仿宋_GB2312" w:eastAsia="仿宋_GB2312"/>
          <w:color w:val="auto"/>
          <w:sz w:val="32"/>
          <w:szCs w:val="32"/>
          <w:lang w:eastAsia="zh-CN"/>
        </w:rPr>
        <w:t>生产工艺过程产生的粉尘</w:t>
      </w:r>
      <w:r>
        <w:rPr>
          <w:rFonts w:hint="eastAsia" w:ascii="仿宋_GB2312" w:eastAsia="仿宋_GB2312"/>
          <w:color w:val="auto"/>
          <w:sz w:val="32"/>
          <w:szCs w:val="32"/>
          <w:shd w:val="clear" w:color="auto" w:fill="FFFFFF"/>
          <w:lang w:eastAsia="zh-CN"/>
        </w:rPr>
        <w:t>、原料和成品装卸过程产生的粉尘、蒸汽发生器燃烧废气以及食堂油烟废气等。</w:t>
      </w:r>
      <w:r>
        <w:rPr>
          <w:rFonts w:hint="default" w:ascii="仿宋_GB2312" w:eastAsia="仿宋_GB2312"/>
          <w:color w:val="auto"/>
          <w:sz w:val="32"/>
          <w:szCs w:val="32"/>
          <w:shd w:val="clear" w:color="auto" w:fill="FFFFFF"/>
          <w:lang w:val="en-US" w:eastAsia="zh-CN"/>
        </w:rPr>
        <w:t>项目</w:t>
      </w:r>
      <w:r>
        <w:rPr>
          <w:rFonts w:hint="eastAsia" w:ascii="仿宋_GB2312" w:eastAsia="仿宋_GB2312"/>
          <w:color w:val="auto"/>
          <w:sz w:val="32"/>
          <w:szCs w:val="32"/>
          <w:lang w:eastAsia="zh-CN"/>
        </w:rPr>
        <w:t>生产工艺过程产生的有组织粉尘</w:t>
      </w:r>
      <w:r>
        <w:rPr>
          <w:rFonts w:hint="eastAsia" w:ascii="仿宋_GB2312" w:eastAsia="仿宋_GB2312"/>
          <w:color w:val="auto"/>
          <w:sz w:val="32"/>
          <w:szCs w:val="32"/>
          <w:shd w:val="clear" w:color="auto" w:fill="FFFFFF"/>
          <w:lang w:eastAsia="zh-CN"/>
        </w:rPr>
        <w:t>经脉冲</w:t>
      </w:r>
      <w:r>
        <w:rPr>
          <w:rFonts w:hint="default" w:ascii="仿宋_GB2312" w:eastAsia="仿宋_GB2312"/>
          <w:color w:val="auto"/>
          <w:sz w:val="32"/>
          <w:szCs w:val="32"/>
          <w:shd w:val="clear" w:color="auto" w:fill="FFFFFF"/>
          <w:lang w:eastAsia="zh-CN"/>
        </w:rPr>
        <w:t>布袋除尘器</w:t>
      </w:r>
      <w:r>
        <w:rPr>
          <w:rFonts w:hint="eastAsia" w:ascii="仿宋_GB2312" w:eastAsia="仿宋_GB2312"/>
          <w:color w:val="auto"/>
          <w:sz w:val="32"/>
          <w:szCs w:val="32"/>
          <w:shd w:val="clear" w:color="auto" w:fill="FFFFFF"/>
          <w:lang w:eastAsia="zh-CN"/>
        </w:rPr>
        <w:t>除尘</w:t>
      </w:r>
      <w:r>
        <w:rPr>
          <w:rFonts w:hint="default" w:ascii="仿宋_GB2312" w:eastAsia="仿宋_GB2312"/>
          <w:color w:val="auto"/>
          <w:sz w:val="32"/>
          <w:szCs w:val="32"/>
          <w:shd w:val="clear" w:color="auto" w:fill="FFFFFF"/>
          <w:lang w:eastAsia="zh-CN"/>
        </w:rPr>
        <w:t>处理后</w:t>
      </w:r>
      <w:r>
        <w:rPr>
          <w:rFonts w:hint="default" w:ascii="仿宋_GB2312" w:eastAsia="仿宋_GB2312"/>
          <w:color w:val="auto"/>
          <w:sz w:val="32"/>
          <w:szCs w:val="32"/>
          <w:shd w:val="clear" w:color="auto" w:fill="FFFFFF"/>
          <w:lang w:val="en-US" w:eastAsia="zh-CN"/>
        </w:rPr>
        <w:t>，</w:t>
      </w:r>
      <w:r>
        <w:rPr>
          <w:rFonts w:hint="eastAsia" w:ascii="仿宋_GB2312" w:eastAsia="仿宋_GB2312"/>
          <w:color w:val="auto"/>
          <w:sz w:val="32"/>
          <w:szCs w:val="32"/>
          <w:shd w:val="clear" w:color="auto" w:fill="FFFFFF"/>
          <w:lang w:eastAsia="zh-CN"/>
        </w:rPr>
        <w:t>分别通过</w:t>
      </w:r>
      <w:r>
        <w:rPr>
          <w:rFonts w:hint="default" w:ascii="仿宋_GB2312" w:eastAsia="仿宋_GB2312"/>
          <w:color w:val="auto"/>
          <w:sz w:val="32"/>
          <w:szCs w:val="32"/>
          <w:shd w:val="clear" w:color="auto" w:fill="FFFFFF"/>
          <w:lang w:eastAsia="zh-CN"/>
        </w:rPr>
        <w:t>3</w:t>
      </w:r>
      <w:r>
        <w:rPr>
          <w:rFonts w:hint="eastAsia" w:ascii="仿宋_GB2312" w:eastAsia="仿宋_GB2312"/>
          <w:color w:val="auto"/>
          <w:sz w:val="32"/>
          <w:szCs w:val="32"/>
          <w:shd w:val="clear" w:color="auto" w:fill="FFFFFF"/>
          <w:lang w:eastAsia="zh-CN"/>
        </w:rPr>
        <w:t>根</w:t>
      </w:r>
      <w:r>
        <w:rPr>
          <w:rFonts w:hint="default" w:ascii="仿宋_GB2312" w:eastAsia="仿宋_GB2312"/>
          <w:color w:val="auto"/>
          <w:sz w:val="32"/>
          <w:szCs w:val="32"/>
          <w:shd w:val="clear" w:color="auto" w:fill="FFFFFF"/>
          <w:lang w:eastAsia="zh-CN"/>
        </w:rPr>
        <w:t>排气筒引至楼顶排放，</w:t>
      </w:r>
      <w:r>
        <w:rPr>
          <w:rFonts w:hint="eastAsia" w:ascii="仿宋_GB2312" w:eastAsia="仿宋_GB2312"/>
          <w:color w:val="auto"/>
          <w:sz w:val="32"/>
          <w:szCs w:val="32"/>
          <w:shd w:val="clear" w:color="auto" w:fill="FFFFFF"/>
          <w:lang w:eastAsia="zh-CN"/>
        </w:rPr>
        <w:t>排放高度约</w:t>
      </w:r>
      <w:r>
        <w:rPr>
          <w:rFonts w:hint="eastAsia" w:ascii="仿宋_GB2312" w:eastAsia="仿宋_GB2312"/>
          <w:color w:val="auto"/>
          <w:sz w:val="32"/>
          <w:szCs w:val="32"/>
          <w:shd w:val="clear" w:color="auto" w:fill="FFFFFF"/>
          <w:lang w:val="en-US" w:eastAsia="zh-CN"/>
        </w:rPr>
        <w:t>41m，</w:t>
      </w:r>
      <w:r>
        <w:rPr>
          <w:rFonts w:hint="default" w:ascii="仿宋_GB2312" w:eastAsia="仿宋_GB2312"/>
          <w:color w:val="auto"/>
          <w:sz w:val="32"/>
          <w:szCs w:val="32"/>
          <w:shd w:val="clear" w:color="auto" w:fill="FFFFFF"/>
          <w:lang w:eastAsia="zh-CN"/>
        </w:rPr>
        <w:t>排放浓度</w:t>
      </w:r>
      <w:r>
        <w:rPr>
          <w:rFonts w:hint="eastAsia" w:ascii="仿宋_GB2312" w:eastAsia="仿宋_GB2312"/>
          <w:color w:val="auto"/>
          <w:sz w:val="32"/>
          <w:szCs w:val="32"/>
          <w:shd w:val="clear" w:color="auto" w:fill="FFFFFF"/>
          <w:lang w:eastAsia="zh-CN"/>
        </w:rPr>
        <w:t>达到</w:t>
      </w:r>
      <w:r>
        <w:rPr>
          <w:rFonts w:hint="default" w:ascii="仿宋_GB2312" w:eastAsia="仿宋_GB2312"/>
          <w:color w:val="auto"/>
          <w:sz w:val="32"/>
          <w:szCs w:val="32"/>
          <w:shd w:val="clear" w:color="auto" w:fill="FFFFFF"/>
          <w:lang w:eastAsia="zh-CN"/>
        </w:rPr>
        <w:t>《大气污染物综合排放标准》（GB16297-1996）中新污染源二级排放限值要求</w:t>
      </w:r>
      <w:r>
        <w:rPr>
          <w:rFonts w:hint="eastAsia" w:ascii="仿宋_GB2312" w:eastAsia="仿宋_GB2312"/>
          <w:color w:val="auto"/>
          <w:sz w:val="32"/>
          <w:szCs w:val="32"/>
          <w:shd w:val="clear" w:color="auto" w:fill="FFFFFF"/>
          <w:lang w:val="en-US" w:eastAsia="zh-CN"/>
        </w:rPr>
        <w:t>。</w:t>
      </w:r>
      <w:r>
        <w:rPr>
          <w:rFonts w:hint="eastAsia" w:ascii="仿宋_GB2312" w:eastAsia="仿宋_GB2312"/>
          <w:color w:val="auto"/>
          <w:sz w:val="32"/>
          <w:szCs w:val="32"/>
        </w:rPr>
        <w:t>项目</w:t>
      </w:r>
      <w:r>
        <w:rPr>
          <w:rFonts w:hint="eastAsia" w:ascii="仿宋_GB2312" w:eastAsia="仿宋_GB2312"/>
          <w:color w:val="auto"/>
          <w:sz w:val="32"/>
          <w:szCs w:val="32"/>
          <w:lang w:eastAsia="zh-CN"/>
        </w:rPr>
        <w:t>生产车间产生的</w:t>
      </w:r>
      <w:r>
        <w:rPr>
          <w:rFonts w:hint="eastAsia" w:ascii="仿宋_GB2312" w:eastAsia="仿宋_GB2312"/>
          <w:color w:val="auto"/>
          <w:sz w:val="32"/>
          <w:szCs w:val="32"/>
        </w:rPr>
        <w:t>无组织</w:t>
      </w:r>
      <w:r>
        <w:rPr>
          <w:rFonts w:hint="eastAsia" w:ascii="仿宋_GB2312" w:eastAsia="仿宋_GB2312"/>
          <w:color w:val="auto"/>
          <w:sz w:val="32"/>
          <w:szCs w:val="32"/>
          <w:lang w:eastAsia="zh-CN"/>
        </w:rPr>
        <w:t>粉尘</w:t>
      </w:r>
      <w:r>
        <w:rPr>
          <w:rFonts w:hint="eastAsia" w:ascii="仿宋_GB2312" w:eastAsia="仿宋_GB2312"/>
          <w:color w:val="auto"/>
          <w:sz w:val="32"/>
          <w:szCs w:val="32"/>
        </w:rPr>
        <w:t>须采取有效措施，确保厂界无组织排放的颗粒物排放浓度达到GB16297-1996《大气污染物综合排放标准》的无组织排放监控浓度限值要求</w:t>
      </w:r>
      <w:r>
        <w:rPr>
          <w:rFonts w:hint="eastAsia" w:ascii="仿宋_GB2312" w:eastAsia="仿宋_GB2312"/>
          <w:color w:val="auto"/>
          <w:sz w:val="32"/>
          <w:szCs w:val="32"/>
          <w:shd w:val="clear" w:color="auto" w:fill="FFFFFF"/>
          <w:lang w:val="en-US" w:eastAsia="zh-CN"/>
        </w:rPr>
        <w:t>。项目</w:t>
      </w:r>
      <w:r>
        <w:rPr>
          <w:rFonts w:hint="eastAsia" w:ascii="仿宋_GB2312" w:eastAsia="仿宋_GB2312"/>
          <w:color w:val="auto"/>
          <w:sz w:val="32"/>
          <w:szCs w:val="32"/>
          <w:shd w:val="clear" w:color="auto" w:fill="FFFFFF"/>
          <w:lang w:eastAsia="zh-CN"/>
        </w:rPr>
        <w:t>蒸汽发生器以天然气作为燃料，燃烧废气经</w:t>
      </w:r>
      <w:r>
        <w:rPr>
          <w:rFonts w:hint="eastAsia" w:ascii="仿宋_GB2312" w:eastAsia="仿宋_GB2312"/>
          <w:color w:val="auto"/>
          <w:sz w:val="32"/>
          <w:szCs w:val="32"/>
          <w:lang w:eastAsia="zh-CN"/>
        </w:rPr>
        <w:t>排气筒引至楼顶排放，废气中各污染物排放浓度均满足</w:t>
      </w:r>
      <w:r>
        <w:rPr>
          <w:rFonts w:hint="eastAsia" w:ascii="仿宋_GB2312" w:eastAsia="仿宋_GB2312"/>
          <w:color w:val="auto"/>
          <w:sz w:val="32"/>
          <w:szCs w:val="32"/>
        </w:rPr>
        <w:t>GB13271-2014《锅炉大气污染物排放标准》燃气锅炉限值的要求</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食堂产生的油烟经烟油净化器净化处理后，排放浓度</w:t>
      </w:r>
      <w:r>
        <w:rPr>
          <w:rFonts w:hint="eastAsia" w:ascii="仿宋_GB2312" w:eastAsia="仿宋_GB2312"/>
          <w:color w:val="auto"/>
          <w:sz w:val="32"/>
          <w:szCs w:val="32"/>
          <w:lang w:eastAsia="zh-CN"/>
        </w:rPr>
        <w:t>满足</w:t>
      </w:r>
      <w:r>
        <w:rPr>
          <w:rFonts w:hint="eastAsia" w:ascii="仿宋_GB2312" w:eastAsia="仿宋_GB2312"/>
          <w:color w:val="auto"/>
          <w:sz w:val="32"/>
          <w:szCs w:val="32"/>
        </w:rPr>
        <w:t>GB18483-2001《饮食业油烟排放标准》</w:t>
      </w:r>
      <w:r>
        <w:rPr>
          <w:rFonts w:hint="eastAsia" w:ascii="仿宋_GB2312" w:eastAsia="仿宋_GB2312"/>
          <w:color w:val="auto"/>
          <w:sz w:val="32"/>
          <w:szCs w:val="32"/>
          <w:lang w:eastAsia="zh-CN"/>
        </w:rPr>
        <w:t>相关要求，后</w:t>
      </w:r>
      <w:r>
        <w:rPr>
          <w:rFonts w:hint="eastAsia" w:ascii="仿宋_GB2312" w:eastAsia="仿宋_GB2312"/>
          <w:color w:val="auto"/>
          <w:sz w:val="32"/>
          <w:szCs w:val="32"/>
          <w:lang w:val="en-US" w:eastAsia="zh-CN"/>
        </w:rPr>
        <w:t>引至屋顶排放。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w:t>
      </w:r>
      <w:r>
        <w:rPr>
          <w:rFonts w:hint="default" w:ascii="仿宋_GB2312" w:eastAsia="仿宋_GB2312"/>
          <w:color w:val="auto"/>
          <w:sz w:val="32"/>
          <w:szCs w:val="32"/>
          <w:lang w:val="en-US" w:eastAsia="zh-CN"/>
        </w:rPr>
        <w:t>项目</w:t>
      </w:r>
      <w:r>
        <w:rPr>
          <w:rFonts w:hint="eastAsia" w:ascii="仿宋_GB2312" w:eastAsia="仿宋_GB2312"/>
          <w:color w:val="auto"/>
          <w:sz w:val="32"/>
          <w:szCs w:val="32"/>
          <w:lang w:val="en-US" w:eastAsia="zh-CN"/>
        </w:rPr>
        <w:t>营运期无生产废水产生</w:t>
      </w:r>
      <w:r>
        <w:rPr>
          <w:rFonts w:hint="default" w:ascii="仿宋_GB2312" w:eastAsia="仿宋_GB2312"/>
          <w:color w:val="auto"/>
          <w:sz w:val="32"/>
          <w:szCs w:val="32"/>
          <w:lang w:val="en-US" w:eastAsia="zh-CN"/>
        </w:rPr>
        <w:t>。</w:t>
      </w:r>
      <w:r>
        <w:rPr>
          <w:rFonts w:hint="default" w:ascii="仿宋_GB2312" w:eastAsia="仿宋_GB2312"/>
          <w:color w:val="auto"/>
          <w:sz w:val="32"/>
          <w:szCs w:val="32"/>
          <w:lang w:eastAsia="zh-CN"/>
        </w:rPr>
        <w:t>项目</w:t>
      </w:r>
      <w:r>
        <w:rPr>
          <w:rFonts w:hint="eastAsia" w:ascii="仿宋_GB2312" w:eastAsia="仿宋_GB2312"/>
          <w:color w:val="auto"/>
          <w:sz w:val="32"/>
          <w:szCs w:val="32"/>
          <w:lang w:eastAsia="zh-CN"/>
        </w:rPr>
        <w:t>食堂餐饮废水经隔油池隔油处理后，与</w:t>
      </w:r>
      <w:r>
        <w:rPr>
          <w:rFonts w:hint="default" w:ascii="仿宋_GB2312" w:eastAsia="仿宋_GB2312"/>
          <w:color w:val="auto"/>
          <w:sz w:val="32"/>
          <w:szCs w:val="32"/>
          <w:lang w:val="en-US" w:eastAsia="zh-CN"/>
        </w:rPr>
        <w:t>生活污水</w:t>
      </w:r>
      <w:r>
        <w:rPr>
          <w:rFonts w:hint="eastAsia" w:ascii="仿宋_GB2312" w:eastAsia="仿宋_GB2312"/>
          <w:color w:val="auto"/>
          <w:sz w:val="32"/>
          <w:szCs w:val="32"/>
          <w:lang w:val="en-US" w:eastAsia="zh-CN"/>
        </w:rPr>
        <w:t>一同</w:t>
      </w:r>
      <w:r>
        <w:rPr>
          <w:rFonts w:hint="default" w:ascii="仿宋_GB2312" w:eastAsia="仿宋_GB2312"/>
          <w:color w:val="auto"/>
          <w:sz w:val="32"/>
          <w:szCs w:val="32"/>
          <w:lang w:val="en-US" w:eastAsia="zh-CN"/>
        </w:rPr>
        <w:t>经三级化粪池处理达到GB8978-1996《污水综合排放标准》三级标准后，经市政污水管网送至</w:t>
      </w:r>
      <w:r>
        <w:rPr>
          <w:rFonts w:hint="eastAsia" w:ascii="仿宋_GB2312" w:eastAsia="仿宋_GB2312"/>
          <w:color w:val="auto"/>
          <w:sz w:val="32"/>
          <w:szCs w:val="32"/>
          <w:lang w:val="en-US" w:eastAsia="zh-CN"/>
        </w:rPr>
        <w:t>鹿寨县第二</w:t>
      </w:r>
      <w:r>
        <w:rPr>
          <w:rFonts w:hint="default" w:ascii="仿宋_GB2312" w:eastAsia="仿宋_GB2312"/>
          <w:color w:val="auto"/>
          <w:sz w:val="32"/>
          <w:szCs w:val="32"/>
          <w:lang w:val="en-US" w:eastAsia="zh-CN"/>
        </w:rPr>
        <w:t>污水处理厂</w:t>
      </w:r>
      <w:r>
        <w:rPr>
          <w:rFonts w:hint="eastAsia" w:ascii="仿宋_GB2312" w:eastAsia="仿宋_GB2312"/>
          <w:color w:val="auto"/>
          <w:sz w:val="32"/>
          <w:szCs w:val="32"/>
          <w:lang w:val="en-US" w:eastAsia="zh-CN"/>
        </w:rPr>
        <w:t>进行</w:t>
      </w:r>
      <w:r>
        <w:rPr>
          <w:rFonts w:hint="default" w:ascii="仿宋_GB2312" w:eastAsia="仿宋_GB2312"/>
          <w:color w:val="auto"/>
          <w:sz w:val="32"/>
          <w:szCs w:val="32"/>
          <w:lang w:val="en-US" w:eastAsia="zh-CN"/>
        </w:rPr>
        <w:t>达标处理</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七</w:t>
      </w:r>
      <w:r>
        <w:rPr>
          <w:rFonts w:hint="eastAsia" w:ascii="仿宋_GB2312" w:eastAsia="仿宋_GB2312"/>
          <w:color w:val="auto"/>
          <w:sz w:val="32"/>
          <w:szCs w:val="32"/>
        </w:rPr>
        <w:t>）合理布局</w:t>
      </w:r>
      <w:r>
        <w:rPr>
          <w:rFonts w:hint="eastAsia" w:ascii="仿宋_GB2312" w:eastAsia="仿宋_GB2312"/>
          <w:color w:val="auto"/>
          <w:sz w:val="32"/>
          <w:szCs w:val="32"/>
          <w:lang w:eastAsia="zh-CN"/>
        </w:rPr>
        <w:t>各</w:t>
      </w:r>
      <w:r>
        <w:rPr>
          <w:rFonts w:hint="eastAsia" w:ascii="仿宋_GB2312" w:eastAsia="仿宋_GB2312"/>
          <w:color w:val="auto"/>
          <w:sz w:val="32"/>
          <w:szCs w:val="32"/>
        </w:rPr>
        <w:t>高噪音设备，对噪声源强较大的设备采取有效的隔声降噪</w:t>
      </w:r>
      <w:r>
        <w:rPr>
          <w:rFonts w:hint="eastAsia" w:ascii="仿宋_GB2312" w:eastAsia="仿宋_GB2312"/>
          <w:color w:val="auto"/>
          <w:sz w:val="32"/>
          <w:szCs w:val="32"/>
          <w:lang w:eastAsia="zh-CN"/>
        </w:rPr>
        <w:t>减振等</w:t>
      </w:r>
      <w:r>
        <w:rPr>
          <w:rFonts w:hint="eastAsia" w:ascii="仿宋_GB2312" w:eastAsia="仿宋_GB2312"/>
          <w:color w:val="auto"/>
          <w:sz w:val="32"/>
          <w:szCs w:val="32"/>
        </w:rPr>
        <w:t>措施，确保厂界噪声符合GB12348-2008《工业企业厂界环境噪声排放标准》</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类标准。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八</w:t>
      </w:r>
      <w:r>
        <w:rPr>
          <w:rFonts w:hint="eastAsia" w:ascii="仿宋_GB2312" w:eastAsia="仿宋_GB2312"/>
          <w:color w:val="auto"/>
          <w:sz w:val="32"/>
          <w:szCs w:val="32"/>
        </w:rPr>
        <w:t>）项目运营期固体废</w:t>
      </w:r>
      <w:r>
        <w:rPr>
          <w:rFonts w:hint="eastAsia" w:ascii="仿宋_GB2312" w:eastAsia="仿宋_GB2312"/>
          <w:color w:val="auto"/>
          <w:sz w:val="32"/>
          <w:szCs w:val="32"/>
          <w:lang w:val="zh-CN"/>
        </w:rPr>
        <w:t>弃物主要为废包装材料、原料杂质、除尘设施收集的粉尘、餐厨垃圾、隔油池产生的废油脂以及员工生活垃圾等。</w:t>
      </w:r>
      <w:r>
        <w:rPr>
          <w:rFonts w:hint="eastAsia" w:ascii="仿宋_GB2312" w:eastAsia="仿宋_GB2312"/>
          <w:color w:val="auto"/>
          <w:sz w:val="32"/>
          <w:szCs w:val="32"/>
          <w:lang w:val="zh-CN" w:eastAsia="zh-CN"/>
        </w:rPr>
        <w:t>项目</w:t>
      </w:r>
      <w:r>
        <w:rPr>
          <w:rFonts w:hint="eastAsia" w:ascii="仿宋_GB2312" w:eastAsia="仿宋_GB2312"/>
          <w:color w:val="auto"/>
          <w:sz w:val="32"/>
          <w:szCs w:val="32"/>
          <w:lang w:val="zh-CN"/>
        </w:rPr>
        <w:t>废包装袋</w:t>
      </w:r>
      <w:r>
        <w:rPr>
          <w:rFonts w:hint="eastAsia" w:ascii="仿宋_GB2312" w:eastAsia="仿宋_GB2312"/>
          <w:color w:val="auto"/>
          <w:sz w:val="32"/>
          <w:szCs w:val="32"/>
          <w:lang w:val="zh-CN" w:eastAsia="zh-CN"/>
        </w:rPr>
        <w:t>经</w:t>
      </w:r>
      <w:r>
        <w:rPr>
          <w:rFonts w:hint="eastAsia" w:ascii="仿宋_GB2312" w:eastAsia="仿宋_GB2312"/>
          <w:color w:val="auto"/>
          <w:sz w:val="32"/>
          <w:szCs w:val="32"/>
          <w:lang w:val="zh-CN"/>
        </w:rPr>
        <w:t>统一收集后</w:t>
      </w:r>
      <w:r>
        <w:rPr>
          <w:rFonts w:hint="eastAsia" w:ascii="仿宋_GB2312" w:eastAsia="仿宋_GB2312"/>
          <w:color w:val="auto"/>
          <w:sz w:val="32"/>
          <w:szCs w:val="32"/>
          <w:lang w:val="zh-CN" w:eastAsia="zh-CN"/>
        </w:rPr>
        <w:t>定期外卖。</w:t>
      </w:r>
      <w:r>
        <w:rPr>
          <w:rFonts w:hint="eastAsia" w:ascii="仿宋_GB2312" w:eastAsia="仿宋_GB2312"/>
          <w:color w:val="auto"/>
          <w:sz w:val="32"/>
          <w:szCs w:val="32"/>
          <w:lang w:eastAsia="zh-CN"/>
        </w:rPr>
        <w:t>除尘设施收集的粉尘经收集后，当做原料，回用于生产。食堂产生的餐厨垃圾与隔油池产</w:t>
      </w:r>
      <w:r>
        <w:rPr>
          <w:rFonts w:hint="eastAsia" w:ascii="仿宋_GB2312" w:eastAsia="仿宋_GB2312"/>
          <w:color w:val="auto"/>
          <w:sz w:val="32"/>
          <w:szCs w:val="32"/>
          <w:lang w:val="zh-CN" w:eastAsia="zh-CN"/>
        </w:rPr>
        <w:t>生的废油脂</w:t>
      </w:r>
      <w:r>
        <w:rPr>
          <w:rFonts w:hint="eastAsia" w:ascii="仿宋_GB2312" w:eastAsia="仿宋_GB2312"/>
          <w:color w:val="auto"/>
          <w:sz w:val="32"/>
          <w:szCs w:val="32"/>
          <w:lang w:eastAsia="zh-CN"/>
        </w:rPr>
        <w:t>经收集后，交由专门的环卫餐厨垃圾部门回收处理处置。</w:t>
      </w:r>
      <w:r>
        <w:rPr>
          <w:rFonts w:hint="eastAsia" w:ascii="仿宋_GB2312" w:eastAsia="仿宋_GB2312"/>
          <w:color w:val="auto"/>
          <w:sz w:val="32"/>
          <w:szCs w:val="32"/>
          <w:lang w:val="zh-CN" w:eastAsia="zh-CN"/>
        </w:rPr>
        <w:t>原料杂质与生活垃圾一起，经收集后，交由环卫部门</w:t>
      </w:r>
      <w:r>
        <w:rPr>
          <w:rFonts w:hint="eastAsia" w:ascii="仿宋_GB2312" w:eastAsia="仿宋_GB2312"/>
          <w:color w:val="auto"/>
          <w:sz w:val="32"/>
          <w:szCs w:val="32"/>
          <w:lang w:eastAsia="zh-CN"/>
        </w:rPr>
        <w:t>统一处理</w:t>
      </w:r>
      <w:r>
        <w:rPr>
          <w:rFonts w:hint="eastAsia" w:ascii="仿宋_GB2312" w:eastAsia="仿宋_GB2312"/>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九</w:t>
      </w:r>
      <w:r>
        <w:rPr>
          <w:rFonts w:hint="eastAsia" w:ascii="仿宋_GB2312" w:eastAsia="仿宋_GB2312"/>
          <w:color w:val="auto"/>
          <w:sz w:val="32"/>
          <w:szCs w:val="32"/>
        </w:rPr>
        <w:t>）按照《环境保护图形标志—排污口（源）》和《排污口规范化整治要求（试行）》有关规定建设规范化的排污口。须按排污许可相关管理要求定期进行监测。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十</w:t>
      </w:r>
      <w:r>
        <w:rPr>
          <w:rFonts w:hint="eastAsia" w:ascii="仿宋_GB2312" w:eastAsia="仿宋_GB2312"/>
          <w:color w:val="auto"/>
          <w:sz w:val="32"/>
          <w:szCs w:val="32"/>
        </w:rPr>
        <w:t>）按照《关于印发〈企业事业单位突发环境事件应急预案备案管理办法（试行）〉的通知》（环发〔2015〕4 号）等相关要求，制订应急预案，配备相应的应急保障物资，落实环境风险防范措施，定期进行应急演练。建立健全施工、运行期环保管理制度，加强环境管理，制定并落实环境保护规章制度，确保环保措施的有效落实，环保设施的正常运转以及各项污染物稳定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五、建设单位在接到本批复5日内，将批复文件及批准后的《报告表》（报批稿）送达柳州市鹿寨生态环境局,并按规定接受辖区环境保护部门的监管检查。</w:t>
      </w:r>
    </w:p>
    <w:p>
      <w:pPr>
        <w:jc w:val="left"/>
        <w:rPr>
          <w:rFonts w:ascii="仿宋_GB2312" w:eastAsia="仿宋_GB2312"/>
          <w:sz w:val="32"/>
          <w:szCs w:val="32"/>
        </w:rPr>
      </w:pPr>
    </w:p>
    <w:p>
      <w:pPr>
        <w:jc w:val="left"/>
        <w:rPr>
          <w:rFonts w:ascii="仿宋_GB2312" w:eastAsia="仿宋_GB2312"/>
          <w:sz w:val="32"/>
          <w:szCs w:val="32"/>
        </w:rPr>
      </w:pPr>
    </w:p>
    <w:p>
      <w:pPr>
        <w:ind w:left="4480" w:hanging="4480" w:hangingChars="1400"/>
        <w:jc w:val="left"/>
        <w:rPr>
          <w:rFonts w:ascii="仿宋_GB2312" w:eastAsia="仿宋_GB2312"/>
          <w:color w:val="auto"/>
          <w:sz w:val="32"/>
          <w:szCs w:val="32"/>
        </w:rPr>
      </w:pP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color w:val="auto"/>
          <w:sz w:val="32"/>
          <w:szCs w:val="32"/>
          <w:lang w:val="en-US" w:eastAsia="zh-CN"/>
        </w:rPr>
        <w:t>鹿寨县行政审批局</w:t>
      </w:r>
      <w:r>
        <w:rPr>
          <w:rFonts w:hint="eastAsia" w:ascii="仿宋_GB2312" w:eastAsia="仿宋_GB2312"/>
          <w:color w:val="auto"/>
          <w:sz w:val="32"/>
          <w:szCs w:val="32"/>
        </w:rPr>
        <w:t xml:space="preserve">                                </w:t>
      </w:r>
      <w:bookmarkStart w:id="1" w:name="_GoBack"/>
      <w:bookmarkEnd w:id="1"/>
      <w:r>
        <w:rPr>
          <w:rFonts w:ascii="仿宋_GB2312" w:eastAsia="仿宋_GB2312"/>
          <w:color w:val="auto"/>
          <w:sz w:val="32"/>
          <w:szCs w:val="32"/>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p>
    <w:p>
      <w:pPr>
        <w:jc w:val="left"/>
        <w:rPr>
          <w:rFonts w:ascii="仿宋_GB2312" w:eastAsia="仿宋_GB2312"/>
          <w:color w:val="0000FF"/>
          <w:sz w:val="32"/>
          <w:szCs w:val="32"/>
        </w:rPr>
      </w:pPr>
    </w:p>
    <w:p>
      <w:pPr>
        <w:jc w:val="left"/>
        <w:rPr>
          <w:rFonts w:ascii="仿宋_GB2312" w:eastAsia="仿宋_GB2312"/>
          <w:color w:val="auto"/>
          <w:sz w:val="32"/>
          <w:szCs w:val="32"/>
        </w:rPr>
      </w:pPr>
      <w:r>
        <w:rPr>
          <w:rFonts w:hint="eastAsia" w:ascii="仿宋_GB2312" w:eastAsia="仿宋_GB2312"/>
          <w:color w:val="auto"/>
          <w:sz w:val="32"/>
          <w:szCs w:val="32"/>
        </w:rPr>
        <w:t>（信息是否公开：主动公开）</w:t>
      </w:r>
    </w:p>
    <w:p>
      <w:pPr>
        <w:jc w:val="left"/>
        <w:rPr>
          <w:rFonts w:hint="eastAsia" w:ascii="仿宋_GB2312" w:eastAsia="仿宋_GB2312"/>
          <w:color w:val="auto"/>
          <w:sz w:val="32"/>
          <w:szCs w:val="32"/>
        </w:rPr>
      </w:pPr>
      <w:r>
        <w:rPr>
          <w:rFonts w:hint="eastAsia" w:ascii="仿宋_GB2312" w:eastAsia="仿宋_GB2312"/>
          <w:color w:val="auto"/>
          <w:sz w:val="32"/>
          <w:szCs w:val="32"/>
        </w:rPr>
        <w:t>投资项目在线审批监管平台项目代码：2020-450223-13-03-055273</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01"/>
    <w:rsid w:val="00033772"/>
    <w:rsid w:val="001E6F09"/>
    <w:rsid w:val="002659E3"/>
    <w:rsid w:val="002B7F96"/>
    <w:rsid w:val="002E1F05"/>
    <w:rsid w:val="00334162"/>
    <w:rsid w:val="003F2B22"/>
    <w:rsid w:val="00473CD5"/>
    <w:rsid w:val="004D51B6"/>
    <w:rsid w:val="00510173"/>
    <w:rsid w:val="00646B6A"/>
    <w:rsid w:val="006B4FB8"/>
    <w:rsid w:val="007F1A8D"/>
    <w:rsid w:val="00857621"/>
    <w:rsid w:val="00873CE1"/>
    <w:rsid w:val="0087425F"/>
    <w:rsid w:val="008B621F"/>
    <w:rsid w:val="008C3AA7"/>
    <w:rsid w:val="008D2E2B"/>
    <w:rsid w:val="00A91FD1"/>
    <w:rsid w:val="00AC2177"/>
    <w:rsid w:val="00B11769"/>
    <w:rsid w:val="00B94BC3"/>
    <w:rsid w:val="00BA3AF5"/>
    <w:rsid w:val="00C25046"/>
    <w:rsid w:val="00D27901"/>
    <w:rsid w:val="00E519EB"/>
    <w:rsid w:val="00E848C0"/>
    <w:rsid w:val="00EF2C69"/>
    <w:rsid w:val="145A0E92"/>
    <w:rsid w:val="37DC4B0C"/>
    <w:rsid w:val="47BC2292"/>
    <w:rsid w:val="4A414B0A"/>
    <w:rsid w:val="522733F7"/>
    <w:rsid w:val="5BD03031"/>
    <w:rsid w:val="600D698E"/>
    <w:rsid w:val="62FC3E9A"/>
    <w:rsid w:val="648A4073"/>
    <w:rsid w:val="687D1B59"/>
    <w:rsid w:val="7D4D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
    <w:pPr>
      <w:spacing w:before="26"/>
      <w:ind w:left="235" w:right="174"/>
      <w:outlineLvl w:val="4"/>
    </w:pPr>
    <w:rPr>
      <w:rFonts w:ascii="宋体" w:hAnsi="宋体" w:eastAsia="宋体" w:cs="宋体"/>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602"/>
    </w:pPr>
    <w:rPr>
      <w:rFonts w:eastAsia="仿宋_GB2312"/>
      <w:sz w:val="28"/>
      <w:szCs w:val="20"/>
    </w:rPr>
  </w:style>
  <w:style w:type="paragraph" w:styleId="4">
    <w:name w:val="Body Text Indent"/>
    <w:basedOn w:val="1"/>
    <w:next w:val="5"/>
    <w:qFormat/>
    <w:uiPriority w:val="0"/>
    <w:pPr>
      <w:spacing w:after="120"/>
      <w:ind w:left="420" w:leftChars="200"/>
    </w:pPr>
    <w:rPr>
      <w:kern w:val="0"/>
      <w:sz w:val="24"/>
      <w:szCs w:val="20"/>
    </w:rPr>
  </w:style>
  <w:style w:type="paragraph" w:styleId="5">
    <w:name w:val="Body Text Indent 2"/>
    <w:basedOn w:val="1"/>
    <w:qFormat/>
    <w:uiPriority w:val="0"/>
    <w:pPr>
      <w:spacing w:line="460" w:lineRule="exact"/>
      <w:ind w:firstLine="480" w:firstLineChars="200"/>
    </w:pPr>
    <w:rPr>
      <w:color w:val="FF0000"/>
      <w:sz w:val="24"/>
      <w:szCs w:val="24"/>
    </w:rPr>
  </w:style>
  <w:style w:type="paragraph" w:styleId="6">
    <w:name w:val="Date"/>
    <w:basedOn w:val="1"/>
    <w:next w:val="1"/>
    <w:link w:val="15"/>
    <w:semiHidden/>
    <w:unhideWhenUsed/>
    <w:qFormat/>
    <w:uiPriority w:val="99"/>
    <w:pPr>
      <w:ind w:left="100" w:leftChars="2500"/>
    </w:pPr>
  </w:style>
  <w:style w:type="paragraph" w:styleId="7">
    <w:name w:val="footer"/>
    <w:basedOn w:val="1"/>
    <w:link w:val="17"/>
    <w:semiHidden/>
    <w:unhideWhenUsed/>
    <w:uiPriority w:val="99"/>
    <w:pPr>
      <w:tabs>
        <w:tab w:val="center" w:pos="4153"/>
        <w:tab w:val="right" w:pos="8306"/>
      </w:tabs>
      <w:snapToGrid w:val="0"/>
      <w:jc w:val="left"/>
    </w:pPr>
    <w:rPr>
      <w:sz w:val="18"/>
      <w:szCs w:val="18"/>
    </w:rPr>
  </w:style>
  <w:style w:type="paragraph" w:styleId="8">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10"/>
    <w:qFormat/>
    <w:uiPriority w:val="0"/>
    <w:pPr>
      <w:tabs>
        <w:tab w:val="left" w:pos="-213"/>
      </w:tabs>
      <w:ind w:firstLine="420" w:firstLineChars="200"/>
    </w:pPr>
  </w:style>
  <w:style w:type="paragraph" w:customStyle="1" w:styleId="10">
    <w:name w:val="报告正文"/>
    <w:basedOn w:val="1"/>
    <w:qFormat/>
    <w:uiPriority w:val="0"/>
    <w:pPr>
      <w:tabs>
        <w:tab w:val="left" w:pos="0"/>
      </w:tabs>
    </w:pPr>
    <w:rPr>
      <w:color w:val="00000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character" w:customStyle="1" w:styleId="15">
    <w:name w:val="日期 Char"/>
    <w:basedOn w:val="13"/>
    <w:link w:val="6"/>
    <w:semiHidden/>
    <w:qFormat/>
    <w:uiPriority w:val="99"/>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211</Words>
  <Characters>1203</Characters>
  <Lines>10</Lines>
  <Paragraphs>2</Paragraphs>
  <TotalTime>44</TotalTime>
  <ScaleCrop>false</ScaleCrop>
  <LinksUpToDate>false</LinksUpToDate>
  <CharactersWithSpaces>1412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2020-08-10T01:30:00Z</dcterms:created>
  <dc:creator>微软用户</dc:creator>
  <cp:lastModifiedBy>2#人物</cp:lastModifiedBy>
  <cp:lastPrinted>2021-05-19T02:24:38Z</cp:lastPrinted>
  <dcterms:modified xsi:type="dcterms:W3CDTF">2021-05-19T02:29:14Z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C636230698C548B288864E578F0E8037</vt:lpwstr>
  </property>
</Properties>
</file>