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微软雅黑" w:hAnsi="微软雅黑" w:eastAsia="微软雅黑" w:cs="微软雅黑"/>
          <w:color w:val="auto"/>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bidi="ar-SA"/>
        </w:rPr>
        <w:t>鹿寨县2025年二季度</w:t>
      </w:r>
      <w:bookmarkStart w:id="0" w:name="OLE_LINK11"/>
      <w:r>
        <w:rPr>
          <w:rFonts w:hint="eastAsia" w:ascii="方正小标宋简体" w:hAnsi="方正小标宋简体" w:eastAsia="方正小标宋简体" w:cs="方正小标宋简体"/>
          <w:b w:val="0"/>
          <w:bCs w:val="0"/>
          <w:color w:val="auto"/>
          <w:kern w:val="2"/>
          <w:sz w:val="44"/>
          <w:szCs w:val="44"/>
          <w:lang w:val="en-US" w:eastAsia="zh-CN" w:bidi="ar-SA"/>
        </w:rPr>
        <w:t>汽车零售业、商超百货、餐饮业</w:t>
      </w:r>
      <w:bookmarkEnd w:id="0"/>
      <w:r>
        <w:rPr>
          <w:rFonts w:hint="eastAsia" w:ascii="方正小标宋简体" w:hAnsi="方正小标宋简体" w:eastAsia="方正小标宋简体" w:cs="方正小标宋简体"/>
          <w:b w:val="0"/>
          <w:bCs w:val="0"/>
          <w:color w:val="auto"/>
          <w:kern w:val="2"/>
          <w:sz w:val="44"/>
          <w:szCs w:val="44"/>
          <w:lang w:val="en-US" w:eastAsia="zh-CN" w:bidi="ar-SA"/>
        </w:rPr>
        <w:t>促消费补贴活动方案（征求意见稿）</w:t>
      </w:r>
    </w:p>
    <w:p>
      <w:pPr>
        <w:keepNext w:val="0"/>
        <w:keepLines w:val="0"/>
        <w:pageBreakBefore w:val="0"/>
        <w:widowControl/>
        <w:suppressLineNumbers w:val="0"/>
        <w:kinsoku/>
        <w:wordWrap/>
        <w:overflowPunct/>
        <w:topLinePunct w:val="0"/>
        <w:autoSpaceDE/>
        <w:autoSpaceDN/>
        <w:bidi w:val="0"/>
        <w:adjustRightInd/>
        <w:snapToGrid/>
        <w:spacing w:after="0" w:line="48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根据自治区</w:t>
      </w:r>
      <w:bookmarkStart w:id="1" w:name="OLE_LINK10"/>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《促进2025年二季度消费和服务业加快增长的若干措施》</w:t>
      </w:r>
      <w:bookmarkEnd w:id="1"/>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文件精神及2025年柳州市稳外贸和扩消费工作推进会暨商务工作会议要求，</w:t>
      </w:r>
      <w:bookmarkStart w:id="2" w:name="OLE_LINK9"/>
      <w:bookmarkStart w:id="3" w:name="OLE_LINK12"/>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为进一步激活鹿寨县消费市场活力，激发居民</w:t>
      </w:r>
      <w:bookmarkStart w:id="13" w:name="_GoBack"/>
      <w:bookmarkEnd w:id="13"/>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消费热情，提振消费信心，释放消费潜力，促进消费强劲回升。我</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县</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拟组织辖区内汽车零售业、</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餐饮业</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等</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重点企业开展2025年二季度汽车零售业、商超百货、餐饮业促消费系列活动，</w:t>
      </w:r>
      <w:bookmarkEnd w:id="2"/>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特制定本方案。</w:t>
      </w:r>
      <w:bookmarkEnd w:id="3"/>
    </w:p>
    <w:p>
      <w:pPr>
        <w:keepNext w:val="0"/>
        <w:keepLines w:val="0"/>
        <w:pageBreakBefore w:val="0"/>
        <w:widowControl w:val="0"/>
        <w:kinsoku/>
        <w:wordWrap/>
        <w:overflowPunct/>
        <w:topLinePunct w:val="0"/>
        <w:bidi w:val="0"/>
        <w:snapToGrid/>
        <w:spacing w:after="0" w:line="560" w:lineRule="exact"/>
        <w:ind w:firstLine="640" w:firstLineChars="200"/>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eastAsia="仿宋_GB2312" w:cs="Times New Roman"/>
          <w:color w:val="auto"/>
          <w:sz w:val="32"/>
          <w:szCs w:val="32"/>
          <w:lang w:val="en-US" w:eastAsia="zh-CN"/>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2025年</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6</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15</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日（含）至</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7</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月31日（含）</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（具体上线时间按实际情况定）。</w:t>
      </w:r>
    </w:p>
    <w:p>
      <w:pPr>
        <w:keepNext w:val="0"/>
        <w:keepLines w:val="0"/>
        <w:pageBreakBefore w:val="0"/>
        <w:widowControl w:val="0"/>
        <w:kinsoku/>
        <w:wordWrap/>
        <w:overflowPunct/>
        <w:topLinePunct w:val="0"/>
        <w:bidi w:val="0"/>
        <w:snapToGrid/>
        <w:spacing w:after="0" w:line="560" w:lineRule="exact"/>
        <w:ind w:firstLine="640" w:firstLineChars="200"/>
        <w:jc w:val="left"/>
        <w:rPr>
          <w:rFonts w:hint="default" w:ascii="黑体" w:hAnsi="黑体" w:eastAsia="黑体" w:cs="黑体"/>
          <w:bCs/>
          <w:color w:val="auto"/>
          <w:sz w:val="32"/>
          <w:szCs w:val="32"/>
          <w:lang w:val="en-US" w:eastAsia="zh-CN"/>
        </w:rPr>
      </w:pPr>
      <w:r>
        <w:rPr>
          <w:rFonts w:hint="default" w:ascii="黑体" w:hAnsi="黑体" w:eastAsia="黑体" w:cs="黑体"/>
          <w:bCs/>
          <w:color w:val="auto"/>
          <w:sz w:val="32"/>
          <w:szCs w:val="32"/>
          <w:lang w:val="en-US" w:eastAsia="zh-CN"/>
        </w:rPr>
        <w:t>二、补贴对象</w:t>
      </w:r>
    </w:p>
    <w:p>
      <w:pPr>
        <w:pStyle w:val="11"/>
        <w:keepNext w:val="0"/>
        <w:keepLines w:val="0"/>
        <w:pageBreakBefore w:val="0"/>
        <w:widowControl w:val="0"/>
        <w:numPr>
          <w:ilvl w:val="0"/>
          <w:numId w:val="0"/>
        </w:numPr>
        <w:kinsoku/>
        <w:wordWrap/>
        <w:overflowPunct/>
        <w:topLinePunct w:val="0"/>
        <w:bidi w:val="0"/>
        <w:snapToGrid/>
        <w:spacing w:after="0" w:line="560" w:lineRule="exact"/>
        <w:ind w:firstLine="672" w:firstLineChars="200"/>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r>
        <w:rPr>
          <w:rFonts w:hint="eastAsia" w:asci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在活动期间按照活动规则</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到</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参与活动的</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鹿寨县</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汽车销售企业购买乘用车新车，开具机动车销售统一发票并上</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柳州</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牌照的个人消费者。</w:t>
      </w:r>
    </w:p>
    <w:p>
      <w:pPr>
        <w:pStyle w:val="11"/>
        <w:keepNext w:val="0"/>
        <w:keepLines w:val="0"/>
        <w:pageBreakBefore w:val="0"/>
        <w:widowControl w:val="0"/>
        <w:numPr>
          <w:ilvl w:val="0"/>
          <w:numId w:val="0"/>
        </w:numPr>
        <w:kinsoku/>
        <w:wordWrap/>
        <w:overflowPunct/>
        <w:topLinePunct w:val="0"/>
        <w:bidi w:val="0"/>
        <w:snapToGrid/>
        <w:spacing w:after="0" w:line="560" w:lineRule="exact"/>
        <w:ind w:firstLine="672" w:firstLineChars="200"/>
        <w:rPr>
          <w:rFonts w:hint="default"/>
          <w:lang w:val="en-US" w:eastAsia="zh-CN"/>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eastAsia" w:asci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w:t>
      </w:r>
      <w:bookmarkStart w:id="4" w:name="OLE_LINK5"/>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商超百货、餐饮</w:t>
      </w:r>
      <w:bookmarkEnd w:id="4"/>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活动企业消费的个人消费者。</w:t>
      </w:r>
    </w:p>
    <w:p>
      <w:pPr>
        <w:keepNext w:val="0"/>
        <w:keepLines w:val="0"/>
        <w:pageBreakBefore w:val="0"/>
        <w:widowControl w:val="0"/>
        <w:kinsoku/>
        <w:wordWrap/>
        <w:overflowPunct/>
        <w:topLinePunct w:val="0"/>
        <w:bidi w:val="0"/>
        <w:snapToGrid/>
        <w:spacing w:after="0" w:line="560" w:lineRule="exact"/>
        <w:ind w:firstLine="640" w:firstLineChars="200"/>
        <w:jc w:val="left"/>
        <w:rPr>
          <w:rFonts w:hint="default" w:ascii="黑体" w:hAnsi="黑体" w:eastAsia="黑体" w:cs="黑体"/>
          <w:bCs/>
          <w:color w:val="auto"/>
          <w:sz w:val="32"/>
          <w:szCs w:val="32"/>
          <w:lang w:val="en-US" w:eastAsia="zh-CN"/>
        </w:rPr>
      </w:pPr>
      <w:r>
        <w:rPr>
          <w:rFonts w:hint="default" w:ascii="黑体" w:hAnsi="黑体" w:eastAsia="黑体" w:cs="黑体"/>
          <w:bCs/>
          <w:color w:val="auto"/>
          <w:sz w:val="32"/>
          <w:szCs w:val="32"/>
          <w:lang w:val="en-US" w:eastAsia="zh-CN"/>
        </w:rPr>
        <w:t>三、活动企业范围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活动主要面向鹿寨县的汽车销售企业以及商超百货、餐饮企业。</w:t>
      </w:r>
    </w:p>
    <w:p>
      <w:pPr>
        <w:keepNext w:val="0"/>
        <w:keepLines w:val="0"/>
        <w:pageBreakBefore w:val="0"/>
        <w:widowControl w:val="0"/>
        <w:kinsoku/>
        <w:wordWrap/>
        <w:overflowPunct/>
        <w:topLinePunct w:val="0"/>
        <w:bidi w:val="0"/>
        <w:snapToGrid/>
        <w:spacing w:after="0" w:line="560" w:lineRule="exact"/>
        <w:ind w:firstLine="640" w:firstLineChars="200"/>
        <w:jc w:val="left"/>
        <w:rPr>
          <w:rFonts w:hint="default" w:ascii="黑体" w:hAnsi="黑体" w:eastAsia="黑体" w:cs="黑体"/>
          <w:bCs/>
          <w:color w:val="auto"/>
          <w:sz w:val="32"/>
          <w:szCs w:val="32"/>
          <w:lang w:val="en-US" w:eastAsia="zh-CN"/>
        </w:rPr>
      </w:pPr>
      <w:r>
        <w:rPr>
          <w:rFonts w:hint="default" w:ascii="黑体" w:hAnsi="黑体" w:eastAsia="黑体" w:cs="黑体"/>
          <w:bCs/>
          <w:color w:val="auto"/>
          <w:sz w:val="32"/>
          <w:szCs w:val="32"/>
          <w:lang w:val="en-US" w:eastAsia="zh-CN"/>
        </w:rPr>
        <w:t>四、补贴份额及标准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w:t>
      </w:r>
      <w:r>
        <w:rPr>
          <w:rFonts w:hint="eastAsia" w:ascii="Times New Roman" w:hAnsi="Times New Roman" w:eastAsia="仿宋_GB2312" w:cs="Times New Roman"/>
          <w:b/>
          <w:bCs/>
          <w:i w:val="0"/>
          <w:iCs w:val="0"/>
          <w:caps w:val="0"/>
          <w:color w:val="auto"/>
          <w:spacing w:val="8"/>
          <w:kern w:val="2"/>
          <w:sz w:val="32"/>
          <w:szCs w:val="32"/>
          <w:shd w:val="clear" w:color="auto" w:fill="FFFFFF"/>
          <w:lang w:val="en-US" w:eastAsia="zh-CN" w:bidi="ar-SA"/>
        </w:rPr>
        <w:t>汽车补贴券</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：补贴以消费券的形式发放，</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个人消费者按照活动规则在</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云闪付APP领取消费券，到活动车企</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购买乘用车新车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时根据</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机动车销售统一发票金额（价税合计）</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核销对应档次消费券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，机动车销售发票日期</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须</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在2025年月</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6月15</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日（含）至</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7</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月31日（含）期间</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246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4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机动车销售统一发票金额</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（价税合计）</w:t>
            </w:r>
          </w:p>
        </w:tc>
        <w:tc>
          <w:tcPr>
            <w:tcW w:w="24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计划发放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消费券</w:t>
            </w: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名额（份）</w:t>
            </w: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消费券</w:t>
            </w: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金额</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6</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万元（不含）以上</w:t>
            </w:r>
          </w:p>
        </w:tc>
        <w:tc>
          <w:tcPr>
            <w:tcW w:w="24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100</w:t>
            </w:r>
          </w:p>
        </w:tc>
        <w:tc>
          <w:tcPr>
            <w:tcW w:w="1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500</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每种消费券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每名消费者仅限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领取一张</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，且单次限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用于</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1台乘用车新车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本次购车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可以叠加享受国家报废更新补贴或自治区置换更新补贴。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bookmarkStart w:id="5" w:name="OLE_LINK2"/>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2.</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商超百货</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补贴</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：活动期间，每日早上8点起，顾客到指定商超百货商家，使用云闪付支付单笔交易满100元即有机会享受随机优惠，最低优惠5元，最高优惠20元。以上活动消费者可在参与活动商家实体门店消费时进行现场核销。</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仿宋_GB2312" w:hAnsi="仿宋_GB2312" w:eastAsia="仿宋_GB2312" w:cs="仿宋_GB2312"/>
          <w:color w:val="auto"/>
          <w:sz w:val="32"/>
          <w:szCs w:val="32"/>
          <w:highlight w:val="none"/>
        </w:rPr>
      </w:pP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3.</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餐饮补贴券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bookmarkStart w:id="6" w:name="OLE_LINK1"/>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活动期间，每日早上1</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0</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点起，顾客到指定餐饮商家，使用云闪付支付单笔交易满100元立减35元。以上活动消费者可在参与活动商家实体门店消费时进行现场核销。</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lang w:val="en-US" w:eastAsia="zh-CN"/>
        </w:rPr>
        <w:t>补贴领取及核销流程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t>（一）账户注册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个人消费者须在云闪付APP进行账户注册及实名认证（已完成注册及实名认证的，可忽略该步骤）。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t>（二）资格领取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活动期间，个人消费者登录云闪付APP领取消费券，领券后到参与活动的企业消费。根据活动规则获得优惠，汽车补贴券自到账之日起1天内有效（24小时内有效），逾期未使用将自动失效，不予补发，失效的消费券将会在活动期内释放出来，领完即止。</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商超百货、餐饮</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 xml:space="preserve">活动为随机立减优惠，个人消费者在活动企业现场消费即可享受优惠。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t>（四）个人消费者领券核券方式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1.活动期间，个人消费者在云闪付APP领取汽车补贴券，每种补贴券按规则使用。商超百货、餐饮优惠只需顾客出示云闪付付款码现场扫码核销即可。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2.成功领取消费券的个人消费者可在活动车企购车时通过云闪付APP核券消费，单笔消费金额达到消费条件时可核销使用1张消费券，消费券核销仅限消费券领取人使用，且消费券领取人及购车消费者信息需一致，不得转让或赠送他人使用。活动车企负责对消费券的有效性进行核对，不可叠加抵扣，不可降档或提档抵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3.消费者在核销消费券过程中需提供购车人联系方式及身份证信息，在车辆登记入户后提供车辆发票及行驶证等信息给汽车企业留档备存。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4.所有类别消费券仅限于参与本次活动的企业使用。消费券不可用于购买预付卡类商品，不可用于预付卡充值，否则取消消费者和商家参与活动资格。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5.消费券通过银联商务办理的可受理云闪付</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的扫码器或POS机核销。</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六、补贴审核要求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活动企业需与鹿寨县科工贸签订活动参与协议，并了解审核材料收集要求、收集内容、完成时间节点，及材料不达标应承担后果。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pPr>
      <w:r>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（一）核验标准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1.所购车辆必须是乘用车新车，且所购车辆的机动车销售统一发票的开票日期</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须</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在2025年</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6</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15</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日（含）至2025年</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7</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月31日（含）之间。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2.所购车辆的金额依据为机动车销售统一发票价税合计额。</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3.所购车辆须符合公安部《机动车类型术语和定义》(GA802-2019)中机动车规格分类表规定的小型、微型载客汽车。在设计、制造和技术特性上主要用于载运乘客及其随身行李和（或）临时物品，包括驾驶员座位在内最多不超过9个座位的汽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4.消费券核销人必须是领取消费券并购买车辆车主本人，消费券核销人的云闪付APP实名认证身份信息、提交的身份证信息、机动车销售统一发票及行驶证信息须为同一自然人身份信息。每种消费券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每名消费者仅限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领取一张</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，且单次限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用于</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1台乘用车新车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（二）活动车企需</w:t>
      </w:r>
      <w:r>
        <w:rPr>
          <w:rFonts w:hint="default" w:ascii="Times New Roman" w:hAnsi="Times New Roman" w:eastAsia="楷体_GB2312" w:cs="Times New Roman"/>
          <w:b w:val="0"/>
          <w:bCs w:val="0"/>
          <w:i w:val="0"/>
          <w:iCs w:val="0"/>
          <w:caps w:val="0"/>
          <w:color w:val="auto"/>
          <w:spacing w:val="8"/>
          <w:kern w:val="2"/>
          <w:sz w:val="32"/>
          <w:szCs w:val="32"/>
          <w:shd w:val="clear" w:color="auto" w:fill="FFFFFF"/>
          <w:lang w:val="en-US" w:eastAsia="zh-CN" w:bidi="ar-SA"/>
        </w:rPr>
        <w:t>在2025年8月15日之前</w:t>
      </w:r>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将以下核验材料扫描电子版、纸质版一式三份提交至</w:t>
      </w:r>
      <w:r>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鹿寨县科工贸局</w:t>
      </w:r>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进行审核，材料信息须完整、清晰且无修改痕迹。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1.消费券核销人本人有效期内身份证（正、反面），须与云闪付APP中实名认证的身份证信息一致。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2.机动车销售统一发票的盖章发票联原件。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3.机动车行驶证原件主副页，车牌应为柳州市车牌。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4.核销支付小票复印件（核销人本人签名）。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如出现活动车企提供的材料信息不符合以上补贴领取要求，活动车企应自行承担相关补贴款。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w:t>
      </w:r>
      <w:r>
        <w:rPr>
          <w:rFonts w:hint="default" w:ascii="黑体" w:hAnsi="黑体" w:eastAsia="黑体" w:cs="黑体"/>
          <w:bCs/>
          <w:color w:val="auto"/>
          <w:sz w:val="32"/>
          <w:szCs w:val="32"/>
          <w:lang w:val="en-US" w:eastAsia="zh-CN"/>
        </w:rPr>
        <w:t>、清算方式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1.汽车补贴活动：顾客实际付款资金由银联负责清算，在消费券核销后T+1日清算至参与活动企业账户。活动补贴款由鹿寨县科工贸在审核完成后发放至参与活动企业账户。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餐饮消费券活动：由</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鹿寨县科工贸局</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先行拨付活动费用至中国银联对公账户，用于在云闪付APP上发放</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餐饮活动云闪付优惠券，在消费券核销后T+1日清算至参与活动企业账户。活动中的核销消费券补贴金额在活动结束后由云闪付提供核券明细给</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鹿寨县科工贸局</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，剩余补贴资金退还至鹿寨县科工贸对公账户。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八</w:t>
      </w:r>
      <w:r>
        <w:rPr>
          <w:rFonts w:hint="default" w:ascii="黑体" w:hAnsi="黑体" w:eastAsia="黑体" w:cs="黑体"/>
          <w:bCs/>
          <w:color w:val="auto"/>
          <w:sz w:val="32"/>
          <w:szCs w:val="32"/>
          <w:lang w:val="en-US" w:eastAsia="zh-CN"/>
        </w:rPr>
        <w:t>、组织宣传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鹿寨县科工贸局</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负责提供参加活动商户名单，通知商户配合</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办理专用POS机具或扫码器，</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负责在</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鹿寨县</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官方</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媒体平台发布活动信息。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银联商务负责提供</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受理设备及</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此次活动设置</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相关数据监管并报送至</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鹿寨县科工贸局</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参与活动车企名单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参与活动商超百货企业名单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参与活动餐饮企业名单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032" w:firstLineChars="1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鹿寨县科技工贸和信息化局</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 xml:space="preserve">                        202</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5</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年</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6</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11</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w:t>
      </w: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附件1</w:t>
      </w:r>
    </w:p>
    <w:p>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7" w:name="OLE_LINK6"/>
      <w:bookmarkStart w:id="8" w:name="_Hlk50365431"/>
      <w:r>
        <w:rPr>
          <w:rFonts w:hint="eastAsia" w:ascii="黑体" w:hAnsi="黑体" w:eastAsia="黑体" w:cs="黑体"/>
          <w:color w:val="auto"/>
          <w:sz w:val="32"/>
          <w:szCs w:val="32"/>
          <w:lang w:val="en-US" w:eastAsia="zh-CN"/>
        </w:rPr>
        <w:t>参与活动车企名单</w:t>
      </w:r>
      <w:bookmarkEnd w:id="7"/>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5883"/>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bookmarkStart w:id="9" w:name="OLE_LINK3"/>
            <w:r>
              <w:rPr>
                <w:rFonts w:hint="eastAsia" w:eastAsia="仿宋_GB2312" w:cs="Times New Roman"/>
                <w:i w:val="0"/>
                <w:iCs w:val="0"/>
                <w:color w:val="auto"/>
                <w:sz w:val="28"/>
                <w:szCs w:val="28"/>
                <w:u w:val="none"/>
                <w:lang w:val="en-US" w:eastAsia="zh-CN"/>
              </w:rPr>
              <w:t>序号</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汽车品牌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bookmarkEnd w:id="8"/>
      <w:bookmarkEnd w:id="9"/>
    </w:tbl>
    <w:p>
      <w:pPr>
        <w:pStyle w:val="11"/>
        <w:keepNext w:val="0"/>
        <w:keepLines w:val="0"/>
        <w:pageBreakBefore w:val="0"/>
        <w:kinsoku/>
        <w:overflowPunct/>
        <w:topLinePunct w:val="0"/>
        <w:bidi w:val="0"/>
        <w:snapToGrid/>
        <w:spacing w:line="560" w:lineRule="exact"/>
        <w:ind w:firstLine="480" w:firstLineChars="200"/>
        <w:rPr>
          <w:color w:val="auto"/>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bookmarkStart w:id="10" w:name="OLE_LINK4"/>
      <w:r>
        <w:rPr>
          <w:rFonts w:hint="eastAsia" w:ascii="黑体" w:hAnsi="黑体" w:eastAsia="黑体" w:cs="黑体"/>
          <w:color w:val="auto"/>
          <w:sz w:val="32"/>
          <w:szCs w:val="32"/>
          <w:lang w:val="en-US" w:eastAsia="zh-CN"/>
        </w:rPr>
        <w:t>附件2</w:t>
      </w:r>
    </w:p>
    <w:p>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11" w:name="OLE_LINK7"/>
      <w:r>
        <w:rPr>
          <w:rFonts w:hint="eastAsia" w:ascii="黑体" w:hAnsi="黑体" w:eastAsia="黑体" w:cs="黑体"/>
          <w:color w:val="auto"/>
          <w:sz w:val="32"/>
          <w:szCs w:val="32"/>
          <w:lang w:val="en-US" w:eastAsia="zh-CN"/>
        </w:rPr>
        <w:t>参与活动商超百货企业名单</w:t>
      </w:r>
      <w:bookmarkEnd w:id="11"/>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5883"/>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r>
              <w:rPr>
                <w:rFonts w:hint="eastAsia" w:eastAsia="仿宋_GB2312" w:cs="Times New Roman"/>
                <w:i w:val="0"/>
                <w:iCs w:val="0"/>
                <w:color w:val="auto"/>
                <w:sz w:val="28"/>
                <w:szCs w:val="28"/>
                <w:u w:val="none"/>
                <w:lang w:val="en-US" w:eastAsia="zh-CN"/>
              </w:rPr>
              <w:t>序号</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eastAsia" w:eastAsia="仿宋_GB2312" w:cs="Times New Roman"/>
                <w:i w:val="0"/>
                <w:iCs w:val="0"/>
                <w:color w:val="auto"/>
                <w:kern w:val="0"/>
                <w:sz w:val="28"/>
                <w:szCs w:val="28"/>
                <w:u w:val="none"/>
                <w:lang w:val="en-US" w:eastAsia="zh-CN" w:bidi="ar"/>
              </w:rPr>
              <w:t>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bookmarkEnd w:id="10"/>
    </w:tbl>
    <w:p>
      <w:pPr>
        <w:rPr>
          <w:rFonts w:hint="default" w:ascii="Times New Roman" w:hAnsi="Times New Roman" w:cs="Times New Roman"/>
          <w:color w:val="auto"/>
          <w:lang w:val="en-US" w:eastAsia="zh-CN"/>
        </w:rPr>
        <w:sectPr>
          <w:footerReference r:id="rId3" w:type="default"/>
          <w:pgSz w:w="11906" w:h="16838"/>
          <w:pgMar w:top="1984" w:right="1587" w:bottom="1417" w:left="1587" w:header="851" w:footer="992" w:gutter="0"/>
          <w:pgNumType w:fmt="decimal"/>
          <w:cols w:space="720" w:num="1"/>
          <w:docGrid w:type="lines" w:linePitch="312" w:charSpace="0"/>
        </w:sectPr>
      </w:pPr>
    </w:p>
    <w:p>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12" w:name="OLE_LINK8"/>
      <w:r>
        <w:rPr>
          <w:rFonts w:hint="eastAsia" w:ascii="黑体" w:hAnsi="黑体" w:eastAsia="黑体" w:cs="黑体"/>
          <w:color w:val="auto"/>
          <w:sz w:val="32"/>
          <w:szCs w:val="32"/>
          <w:lang w:val="en-US" w:eastAsia="zh-CN"/>
        </w:rPr>
        <w:t>参与活动餐饮企业名单</w:t>
      </w:r>
      <w:bookmarkEnd w:id="12"/>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8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r>
              <w:rPr>
                <w:rFonts w:hint="eastAsia" w:eastAsia="仿宋_GB2312" w:cs="Times New Roman"/>
                <w:i w:val="0"/>
                <w:iCs w:val="0"/>
                <w:color w:val="auto"/>
                <w:sz w:val="28"/>
                <w:szCs w:val="28"/>
                <w:u w:val="none"/>
                <w:lang w:val="en-US" w:eastAsia="zh-CN"/>
              </w:rPr>
              <w:t>序号</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bl>
    <w:p>
      <w:pPr>
        <w:rPr>
          <w:rFonts w:hint="default" w:ascii="Times New Roman" w:hAnsi="Times New Roman" w:cs="Times New Roman"/>
          <w:color w:val="auto"/>
          <w:lang w:val="en-US" w:eastAsia="zh-CN"/>
        </w:rPr>
      </w:pPr>
    </w:p>
    <w:sectPr>
      <w:pgSz w:w="11906" w:h="16838"/>
      <w:pgMar w:top="1984" w:right="1587"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BF9BC"/>
    <w:multiLevelType w:val="singleLevel"/>
    <w:tmpl w:val="BB1BF9BC"/>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697A"/>
    <w:rsid w:val="02EF3F5D"/>
    <w:rsid w:val="03036481"/>
    <w:rsid w:val="04D87301"/>
    <w:rsid w:val="059151BD"/>
    <w:rsid w:val="06D2576C"/>
    <w:rsid w:val="081E4B5F"/>
    <w:rsid w:val="081F25E1"/>
    <w:rsid w:val="09483ECB"/>
    <w:rsid w:val="0BED101D"/>
    <w:rsid w:val="0DFD7002"/>
    <w:rsid w:val="0E263246"/>
    <w:rsid w:val="0E402348"/>
    <w:rsid w:val="0E8222DB"/>
    <w:rsid w:val="0ECA394A"/>
    <w:rsid w:val="0F386586"/>
    <w:rsid w:val="10242168"/>
    <w:rsid w:val="110B7786"/>
    <w:rsid w:val="11D23CCC"/>
    <w:rsid w:val="12A20AFD"/>
    <w:rsid w:val="1305698C"/>
    <w:rsid w:val="152C2A58"/>
    <w:rsid w:val="15B7419E"/>
    <w:rsid w:val="175E51BC"/>
    <w:rsid w:val="17845DA0"/>
    <w:rsid w:val="18CF26A1"/>
    <w:rsid w:val="19635053"/>
    <w:rsid w:val="1AB56FC0"/>
    <w:rsid w:val="1B7360C0"/>
    <w:rsid w:val="1C751939"/>
    <w:rsid w:val="1CDF48C5"/>
    <w:rsid w:val="1D690A4F"/>
    <w:rsid w:val="1E4A0C52"/>
    <w:rsid w:val="1FE9A816"/>
    <w:rsid w:val="202B1C87"/>
    <w:rsid w:val="204001F8"/>
    <w:rsid w:val="20451FC9"/>
    <w:rsid w:val="205D1D27"/>
    <w:rsid w:val="20EE5F77"/>
    <w:rsid w:val="22C769B2"/>
    <w:rsid w:val="22FE6DF7"/>
    <w:rsid w:val="23091D84"/>
    <w:rsid w:val="230D0937"/>
    <w:rsid w:val="23A75A11"/>
    <w:rsid w:val="2413693F"/>
    <w:rsid w:val="261C1827"/>
    <w:rsid w:val="26B32884"/>
    <w:rsid w:val="27C47B2D"/>
    <w:rsid w:val="296C7517"/>
    <w:rsid w:val="29A91F47"/>
    <w:rsid w:val="2A4459F3"/>
    <w:rsid w:val="2B827C79"/>
    <w:rsid w:val="2CF61B50"/>
    <w:rsid w:val="313169C2"/>
    <w:rsid w:val="31DA3FAB"/>
    <w:rsid w:val="34BE5AC2"/>
    <w:rsid w:val="353820E0"/>
    <w:rsid w:val="35CF53F0"/>
    <w:rsid w:val="35E656FC"/>
    <w:rsid w:val="372E3495"/>
    <w:rsid w:val="37F14FDA"/>
    <w:rsid w:val="390523A2"/>
    <w:rsid w:val="3A627E70"/>
    <w:rsid w:val="3A6C7E7F"/>
    <w:rsid w:val="3BB83909"/>
    <w:rsid w:val="3BD3116D"/>
    <w:rsid w:val="3BEC13F9"/>
    <w:rsid w:val="3CCE4A91"/>
    <w:rsid w:val="3CD5085D"/>
    <w:rsid w:val="3D303F69"/>
    <w:rsid w:val="3E7B0B8E"/>
    <w:rsid w:val="40531775"/>
    <w:rsid w:val="408A1AB9"/>
    <w:rsid w:val="41BB5B7E"/>
    <w:rsid w:val="4285249C"/>
    <w:rsid w:val="43731155"/>
    <w:rsid w:val="444F3E99"/>
    <w:rsid w:val="454449EA"/>
    <w:rsid w:val="45B70637"/>
    <w:rsid w:val="46364016"/>
    <w:rsid w:val="4712696A"/>
    <w:rsid w:val="498F443F"/>
    <w:rsid w:val="4A6A741F"/>
    <w:rsid w:val="4AA23871"/>
    <w:rsid w:val="4BC4278E"/>
    <w:rsid w:val="4D000A2C"/>
    <w:rsid w:val="4DF26BF1"/>
    <w:rsid w:val="4E4F32D9"/>
    <w:rsid w:val="4EA03D12"/>
    <w:rsid w:val="51463765"/>
    <w:rsid w:val="51C440B4"/>
    <w:rsid w:val="52093487"/>
    <w:rsid w:val="52C62344"/>
    <w:rsid w:val="52DE723D"/>
    <w:rsid w:val="534F1565"/>
    <w:rsid w:val="53524598"/>
    <w:rsid w:val="54FF3501"/>
    <w:rsid w:val="578319E7"/>
    <w:rsid w:val="583349EC"/>
    <w:rsid w:val="59010894"/>
    <w:rsid w:val="5A0667C2"/>
    <w:rsid w:val="5AC4754B"/>
    <w:rsid w:val="5BAB7F25"/>
    <w:rsid w:val="5D2F4A70"/>
    <w:rsid w:val="5DBA0DD1"/>
    <w:rsid w:val="5DDE1215"/>
    <w:rsid w:val="5E0E68B9"/>
    <w:rsid w:val="60867FEA"/>
    <w:rsid w:val="60BF1449"/>
    <w:rsid w:val="60E8480C"/>
    <w:rsid w:val="61EE4585"/>
    <w:rsid w:val="63174CED"/>
    <w:rsid w:val="64053600"/>
    <w:rsid w:val="653E4948"/>
    <w:rsid w:val="69D55429"/>
    <w:rsid w:val="69DC6DBD"/>
    <w:rsid w:val="6CC83FFB"/>
    <w:rsid w:val="6D60245E"/>
    <w:rsid w:val="6DCF21B6"/>
    <w:rsid w:val="6E5D1A98"/>
    <w:rsid w:val="70217F79"/>
    <w:rsid w:val="70FD48EC"/>
    <w:rsid w:val="72111CAC"/>
    <w:rsid w:val="728124EA"/>
    <w:rsid w:val="76FA6E40"/>
    <w:rsid w:val="77133A6B"/>
    <w:rsid w:val="775D10E3"/>
    <w:rsid w:val="78407211"/>
    <w:rsid w:val="7AA30CDD"/>
    <w:rsid w:val="7B631E06"/>
    <w:rsid w:val="7E5131B9"/>
    <w:rsid w:val="7F63180E"/>
    <w:rsid w:val="7FAE56A1"/>
    <w:rsid w:val="7FD668FE"/>
    <w:rsid w:val="7FF442AE"/>
    <w:rsid w:val="BFFEC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1"/>
    <w:pPr>
      <w:ind w:left="117"/>
    </w:pPr>
    <w:rPr>
      <w:rFonts w:ascii="仿宋_GB2312" w:hAnsi="仿宋_GB2312" w:eastAsia="仿宋_GB2312" w:cs="仿宋_GB2312"/>
      <w:sz w:val="32"/>
      <w:szCs w:val="32"/>
      <w:lang w:val="zh-CN" w:eastAsia="zh-CN" w:bidi="zh-CN"/>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next w:val="1"/>
    <w:qFormat/>
    <w:uiPriority w:val="0"/>
    <w:pPr>
      <w:ind w:firstLine="420"/>
      <w:textAlignment w:val="baseline"/>
    </w:pPr>
    <w:rPr>
      <w:rFonts w:ascii="Times New Roman" w:hAnsi="Times New Roman" w:eastAsia="宋体"/>
      <w:szCs w:val="20"/>
    </w:rPr>
  </w:style>
  <w:style w:type="paragraph" w:customStyle="1" w:styleId="11">
    <w:name w:val="Default"/>
    <w:basedOn w:val="12"/>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纯文本1"/>
    <w:basedOn w:val="1"/>
    <w:qFormat/>
    <w:uiPriority w:val="0"/>
    <w:pPr>
      <w:textAlignment w:val="baseline"/>
    </w:pPr>
    <w:rPr>
      <w:rFonts w:ascii="宋体" w:hAnsi="Courier New" w:eastAsia="宋体" w:cs="Times New Roman"/>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3246</Words>
  <Characters>3497</Characters>
  <Lines>0</Lines>
  <Paragraphs>0</Paragraphs>
  <TotalTime>19</TotalTime>
  <ScaleCrop>false</ScaleCrop>
  <LinksUpToDate>false</LinksUpToDate>
  <CharactersWithSpaces>3536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2024-08-27T09:57:00Z</dcterms:created>
  <dc:creator>admin</dc:creator>
  <cp:lastModifiedBy>WPS_1472637100</cp:lastModifiedBy>
  <cp:lastPrinted>2025-04-14T08:56:00Z</cp:lastPrinted>
  <dcterms:modified xsi:type="dcterms:W3CDTF">2025-06-11T09:55:06Z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EE099B7A64124491A71EAECBA3EFCBC2</vt:lpwstr>
  </property>
  <property fmtid="{D5CDD505-2E9C-101B-9397-08002B2CF9AE}" pid="4" name="KSOTemplateDocerSaveRecord">
    <vt:lpwstr>eyJoZGlkIjoiZGYzN2Y3MjI3ZWZkYTA5YTc0MWYxMTc4ZGEyMWM4OWYiLCJ1c2VySWQiOiI5NzU1MjE1NzMifQ==</vt:lpwstr>
  </property>
</Properties>
</file>