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pacing w:val="-6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6"/>
          <w:kern w:val="0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6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6"/>
          <w:kern w:val="0"/>
          <w:sz w:val="44"/>
          <w:szCs w:val="4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6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鹿寨县招商引资工作实施方案</w:t>
      </w:r>
    </w:p>
    <w:p>
      <w:pPr>
        <w:shd w:val="clear" w:color="auto" w:fill="FFFFFF"/>
        <w:spacing w:line="560" w:lineRule="exact"/>
        <w:jc w:val="center"/>
        <w:rPr>
          <w:rFonts w:ascii="Times New Roman" w:hAnsi="Times New Roman" w:eastAsia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楷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征求意见稿</w:t>
      </w:r>
      <w:r>
        <w:rPr>
          <w:rFonts w:ascii="Times New Roman" w:hAnsi="Times New Roman" w:eastAsia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shd w:val="clear" w:color="auto" w:fill="FFFFFF"/>
        <w:spacing w:line="560" w:lineRule="exact"/>
        <w:ind w:firstLine="640" w:firstLineChars="200"/>
        <w:rPr>
          <w:rFonts w:ascii="Times New Roman" w:hAnsi="Times New Roman" w:eastAsia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进一步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贯彻落实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柳州市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2024年招商引资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工作部署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推进我县招商引资工作高质量发展，充分发挥招商引资对优化产业结构、培育增长动能、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促进经济转型升级的重要作用，推动全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县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实现高水平开放、高质量发展，特制定本工作实施方案。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rPr>
          <w:rFonts w:hint="default" w:ascii="Times New Roman" w:hAnsi="Times New Roman" w:eastAsia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一、总体要求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jc w:val="both"/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指导思想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Times New Roman" w:hAnsi="Times New Roman" w:eastAsia="黑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以习近平新时代中国特色社会主义思想为指导，全面贯彻党的二十大精神，深入贯彻落实习近平总书记对广西重大方略要求，按照自治区党委十二届七次全会和全区经济工作会议、市委十三届九次全会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全市经济工作会议部署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和县委十五届第六次全体会议暨经济工作会议部署要求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，加快开放发展，突出产业为先、项目为王、落地为重、见效为要。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主动融入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柳州招商引资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战略布局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围绕我县“以高端绿色家居产业为主导，绿色化工新材料为重点，机械汽配、传统轻工、建筑材料三大传统优势产业为主体，生产性服务业为支撑的‘1131’绿色产业发展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体系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”，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通过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驻点招商、全员招商、以商招商、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大数据招商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等模式，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全力引进一批带动强、效益好的大项目和好项目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，让项目“引得来”、“落得下”、“产得出”，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以高质量招商推动全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县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高质量发展。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（二）基本原则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注重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创新驱动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型招商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推动招商引资向引资引技引智一体化转变，注重引进科技含量高、盈利能力强、成长性好的产业项目，不断提高招商引资企业科技创新能力和核心竞争力，增强招商项目的引领性，推动招商可持续发展。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注重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质量效益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型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招商。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以扩大有效投资、提升投资质量为目标，进一步优化引资结构，提高招商效益。精算投入与产出关系，以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“亩产论英雄”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，建立招商项目亩均税收综合评价机制。强化招商引资对固定资产投资、工业增加值、税收、新增就业等贡献。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注重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需求导向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型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招商。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以满足人民日益升级的消费需求为导向，加大轻工业、生活消费品制造业招商，把促投资与扩消费、惠民生更加有机地结合起来，通过招商引资向需求释放增长，丰富和细化消费品品种，提升中高端消费品比重。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目标任务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Times New Roman" w:hAnsi="Times New Roman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2024年全县招商引资的任务目标：力争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全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县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新引进项目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60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个，亿元以上工业项目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22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个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引进新进广西投资的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四类 500 强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”企业和“独角兽”、“瞪羚”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、专精特新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“小巨人”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家以上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；力争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招商引资项目完成固定资产投资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亿元，工业招商项目完成固定资产投资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15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亿元。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rPr>
          <w:rFonts w:hint="default" w:ascii="Times New Roman" w:hAnsi="Times New Roman" w:eastAsia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重点任务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（一）以高质量产业招商为抓手，聚力</w:t>
      </w:r>
      <w:r>
        <w:rPr>
          <w:rFonts w:hint="eastAsia" w:ascii="Times New Roman" w:hAnsi="Times New Roman" w:eastAsia="楷体_GB2312" w:cs="Times New Roman"/>
          <w:b/>
          <w:bCs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增强发展后劲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jc w:val="both"/>
        <w:rPr>
          <w:rFonts w:hint="eastAsia" w:ascii="Times New Roman" w:hAnsi="Times New Roman" w:eastAsia="仿宋_GB2312"/>
          <w:b/>
          <w:bCs/>
          <w:color w:val="auto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lang w:val="en-US" w:eastAsia="zh-CN"/>
        </w:rPr>
        <w:t>强化</w:t>
      </w:r>
      <w:r>
        <w:rPr>
          <w:rFonts w:hint="eastAsia" w:ascii="Times New Roman" w:hAnsi="Times New Roman" w:eastAsia="仿宋_GB2312"/>
          <w:b/>
          <w:bCs/>
          <w:color w:val="auto"/>
          <w:sz w:val="32"/>
          <w:szCs w:val="32"/>
          <w:lang w:eastAsia="zh-CN" w:bidi="ar"/>
        </w:rPr>
        <w:t>产业链布局，加快打造优势产业集群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/>
          <w:b w:val="0"/>
          <w:bCs w:val="0"/>
          <w:color w:val="auto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b w:val="0"/>
          <w:bCs w:val="0"/>
          <w:color w:val="auto"/>
          <w:sz w:val="32"/>
          <w:szCs w:val="32"/>
          <w:lang w:eastAsia="zh-CN" w:bidi="ar"/>
        </w:rPr>
        <w:t>）培育新质生产力，抢占产业新赛道。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新质生产力本身就是绿色生产力。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我县</w:t>
      </w:r>
      <w:r>
        <w:rPr>
          <w:rFonts w:hint="eastAsia" w:ascii="Times New Roman" w:hAnsi="Times New Roman" w:eastAsia="仿宋_GB2312"/>
          <w:b w:val="0"/>
          <w:bCs w:val="0"/>
          <w:color w:val="auto"/>
          <w:sz w:val="32"/>
          <w:szCs w:val="32"/>
          <w:lang w:eastAsia="zh-CN" w:bidi="ar"/>
        </w:rPr>
        <w:t>紧扣“工业强县”发展战略，依托“1131”绿色产业发展体系，把握机遇、聚焦前沿，抢抓发展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 w:bidi="ar"/>
        </w:rPr>
        <w:t>新能源、新材料、新技术等新质生产力赛道，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围绕新质生产力全面推进科技创新，畅通创新链、产业链和供应链，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 w:bidi="ar"/>
        </w:rPr>
        <w:t>营造良好创新生态。聚焦创新产业建链目标，深入梳理、对接引进一批新质生产力产业链关键环节项目，大力招引新兴产业和未来产业，稳步推进新型工业化，做强产业发展硬支持，加快培育和发展新质生产力，不断构建完善现代化产业体系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通过加快产业融合与新业态培育，新兴产业壮大与传统产业转型将形成合力，共同强化产业链韧性，丰富新质生产力的内涵和外延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通过推动绿色可持续发展，构建绿色产业链供应链，可增强产业链供应链面对环境变化时的韧性，推动经济社会发展绿色化、低碳化，助力实现碳达峰碳中和目标。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/>
          <w:b w:val="0"/>
          <w:bCs w:val="0"/>
          <w:color w:val="auto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b w:val="0"/>
          <w:bCs w:val="0"/>
          <w:color w:val="auto"/>
          <w:sz w:val="32"/>
          <w:szCs w:val="32"/>
          <w:lang w:eastAsia="zh-CN" w:bidi="ar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 w:bidi="ar"/>
        </w:rPr>
        <w:t>锚准高端绿色家居，聚力推进产业强链。以发展高端绿色家居全产业链为导向，积极引进旗舰型、龙头型终端产业项目，不断完善高端家具、智能家居、全屋定制、五金布艺配套、商贸物流等上下游配套产业链。发挥“政府主导+企业化运营”创新模式新能量，全力加快“国储林+N”项目建设，大力发展低产林改造等项目，引进一批研发设计、商贸物流等企业入驻。发挥广西智能家居行业产教融合共同体作用，加强与林科院木工所合作，深化智能家居行业产教融合、科教融汇，加快形成集“种植储备+初级基材+精深加工+高端制造”于一体的发展模式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锚准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绿色化工新材料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，稳步推进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产业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延链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。抢抓柳州新能源汽车发展机遇，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重点发展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新能源及储能产业，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推动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正负极材料、电解液、隔膜、铜箔、锂电装备等产业链项目近地化配套，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引进储能产业链全链的精细高端化工企业、头部企业或者关键企业，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建设锂电供应商园区，为锂电新能源产业链群延伸提供空间支撑。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依托现有柳化氯碱产业基础，多元化发展市场前景好、产品附加值高的耗氯新材料和氢能利用产业，带动五氯化磷、六氟磷酸锂等配套产业发展，构建新能源配套产业体系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鹿寨县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化工产业循环化综合利用能力。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b w:val="0"/>
          <w:bCs w:val="0"/>
          <w:color w:val="auto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锚准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传统优势产业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，重点推进产业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补链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针对鹿寨县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汽配、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制糖、缫丝、水泥建材、造纸等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传统优势产业存在的短板和瓶颈，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要推动传统产业向“高”而攀。聚焦“高精尖”，促进传统产业向知识密集型、技术技能密集型转变，加快迈向价值链中高端。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继续依托毗邻柳东的区位优势及现有产业基础，抢抓柳州“一二五”战略机遇，加强与柳东三大主车厂产业配套协作，加快汽车零部件生产加工园建设，吸纳更多机械汽配企业入驻，打造优势产业集群。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利用互联网、大数据、人工智能等数字技术，对传统产业进行全方位、全链条、系统化的改造升级。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通过引进龙头企业、技术创新等方式，加强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配套补齐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产业链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加大新科技、新技术、新材料在传统产业上的应用，推动传统产业向高科技、高附加值升级，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提升传统优势产业发展水平。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lang w:val="en-US" w:eastAsia="zh-CN"/>
        </w:rPr>
        <w:t>突出农业农村特色产业，推进乡村振兴现代化建设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color w:val="auto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以建设农业强县为目标，依托特色农业产业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通过招商引资实现促振兴强三农，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采取精准对策，</w:t>
      </w:r>
      <w:r>
        <w:rPr>
          <w:rFonts w:ascii="Times New Roman" w:hAnsi="Times New Roman" w:eastAsia="仿宋_GB2312"/>
          <w:color w:val="auto"/>
          <w:sz w:val="32"/>
          <w:szCs w:val="32"/>
        </w:rPr>
        <w:t>开展农产品深加工招商行动，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大力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引进农业龙头企业，</w:t>
      </w:r>
      <w:r>
        <w:rPr>
          <w:rFonts w:ascii="Times New Roman" w:hAnsi="Times New Roman" w:eastAsia="仿宋_GB2312"/>
          <w:color w:val="auto"/>
          <w:sz w:val="32"/>
          <w:szCs w:val="32"/>
        </w:rPr>
        <w:t>培育新型现代化农业产业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体系</w:t>
      </w:r>
      <w:r>
        <w:rPr>
          <w:rFonts w:ascii="Times New Roman" w:hAnsi="Times New Roman" w:eastAsia="仿宋_GB2312"/>
          <w:color w:val="auto"/>
          <w:sz w:val="32"/>
          <w:szCs w:val="32"/>
        </w:rPr>
        <w:t>。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大力发展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鹿寨蜜橙、寨沙头菜、黄冕桑蚕、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平山糖蔗蜜柚、导江山楂、江口鹰嘴桃、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拉沟中草药等特色产业，做强做优水果、蔬菜、桑蚕、糖料蔗、生猪、家禽</w:t>
      </w:r>
      <w:r>
        <w:rPr>
          <w:rFonts w:ascii="Times New Roman" w:hAnsi="Times New Roman" w:eastAsia="仿宋_GB2312"/>
          <w:color w:val="auto"/>
          <w:sz w:val="32"/>
          <w:szCs w:val="32"/>
        </w:rPr>
        <w:t>等优势特色产业，开展高效规模种养业、农（林）产品精深加工以及农产品仓储保鲜冷链物流项目精准招商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依托中蔬联·鹿寨智慧农商产业园优势，持续推进现代特色农业示范区增点扩面提质升级，培育优势特色农产品加工产业，促进一二三产业融合发展。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加快农业全产业链发展，提高农产品附加值。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/>
          <w:b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b/>
          <w:color w:val="auto"/>
          <w:sz w:val="32"/>
          <w:szCs w:val="32"/>
          <w:lang w:val="en-US" w:eastAsia="zh-CN"/>
        </w:rPr>
        <w:t>3.激活</w:t>
      </w:r>
      <w:r>
        <w:rPr>
          <w:rFonts w:hint="eastAsia" w:ascii="Times New Roman" w:hAnsi="Times New Roman" w:eastAsia="仿宋_GB2312"/>
          <w:b/>
          <w:color w:val="auto"/>
          <w:sz w:val="32"/>
          <w:szCs w:val="32"/>
          <w:lang w:eastAsia="zh-CN"/>
        </w:rPr>
        <w:t>文旅产业</w:t>
      </w:r>
      <w:r>
        <w:rPr>
          <w:rFonts w:hint="eastAsia" w:ascii="Times New Roman" w:hAnsi="Times New Roman" w:eastAsia="仿宋_GB2312"/>
          <w:b/>
          <w:color w:val="auto"/>
          <w:sz w:val="32"/>
          <w:szCs w:val="32"/>
          <w:lang w:val="en-US" w:eastAsia="zh-CN"/>
        </w:rPr>
        <w:t>新</w:t>
      </w:r>
      <w:r>
        <w:rPr>
          <w:rFonts w:hint="eastAsia" w:ascii="Times New Roman" w:hAnsi="Times New Roman" w:eastAsia="仿宋_GB2312"/>
          <w:b/>
          <w:color w:val="auto"/>
          <w:sz w:val="32"/>
          <w:szCs w:val="32"/>
          <w:lang w:eastAsia="zh-CN"/>
        </w:rPr>
        <w:t>业态，推动现代服务业做精做优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整合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鹿寨县丰富的文化和旅游资源，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积极引进新业态文旅产业项目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，开发文化旅游、生态旅游等新产品，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精心谋划一批精品旅游线路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，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大力挖掘和发展具有鹿寨特色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的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“鹿文化”，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打造更多鹿寨文化精品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。</w:t>
      </w:r>
      <w:r>
        <w:rPr>
          <w:rFonts w:ascii="Times New Roman" w:hAnsi="Times New Roman" w:eastAsia="仿宋_GB2312"/>
          <w:color w:val="auto"/>
          <w:sz w:val="32"/>
          <w:szCs w:val="32"/>
        </w:rPr>
        <w:t>积极开发拉沟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药王</w:t>
      </w:r>
      <w:r>
        <w:rPr>
          <w:rFonts w:ascii="Times New Roman" w:hAnsi="Times New Roman" w:eastAsia="仿宋_GB2312"/>
          <w:color w:val="auto"/>
          <w:sz w:val="32"/>
          <w:szCs w:val="32"/>
        </w:rPr>
        <w:t>谷、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中渡全域规划</w:t>
      </w:r>
      <w:r>
        <w:rPr>
          <w:rFonts w:ascii="Times New Roman" w:hAnsi="Times New Roman" w:eastAsia="仿宋_GB2312"/>
          <w:color w:val="auto"/>
          <w:sz w:val="32"/>
          <w:szCs w:val="32"/>
        </w:rPr>
        <w:t>，持续完善大乐岭茶文化研学基地、鹿鸣谷研学教育基地，打造瑶医康养休闲、龙母水库森林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康养胜地</w:t>
      </w:r>
      <w:r>
        <w:rPr>
          <w:rFonts w:ascii="Times New Roman" w:hAnsi="Times New Roman" w:eastAsia="仿宋_GB2312"/>
          <w:color w:val="auto"/>
          <w:sz w:val="32"/>
          <w:szCs w:val="32"/>
        </w:rPr>
        <w:t>，升级打造中渡大兆村观光旅游农业示范区，纵深推进农文旅产业深度融合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，加快县域商业综合体开发建设，拓展城乡消费市场。发展即时零售、定制服务等新业态，拓展消费新场景。促进商业联盟正式运营，继续吸纳各行各业优质商家，不断挖掘消费潜力，促成联动消费，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打造具有竞争力的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现代服务业产业体系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仿宋_GB2312"/>
          <w:b/>
          <w:color w:val="auto"/>
          <w:sz w:val="32"/>
          <w:szCs w:val="32"/>
          <w:lang w:val="en-US" w:eastAsia="zh-CN"/>
        </w:rPr>
        <w:t>推进新型城镇化建设，激发县域经济发展活力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县城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作为城市发展的重要一环，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新型城镇化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建设不仅有助于推动地方经济的持续增长，提升城市的整体品质，还能优化城市空间布局，实现更加合理和高效的城市发展。优化产业发展环境，厚植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鹿寨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兴业沃土，共建共享发展成果，以“一盘棋、一家人、一条心”的思想共识，扎实推进以人为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核心</w:t>
      </w:r>
      <w:bookmarkStart w:id="1" w:name="_GoBack"/>
      <w:bookmarkEnd w:id="1"/>
      <w:r>
        <w:rPr>
          <w:rFonts w:hint="eastAsia" w:ascii="Times New Roman" w:hAnsi="Times New Roman" w:eastAsia="仿宋_GB2312"/>
          <w:color w:val="auto"/>
          <w:sz w:val="32"/>
          <w:szCs w:val="32"/>
        </w:rPr>
        <w:t>的新型城镇化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围绕城镇基础设施建设，大力引进一批市政道路、综合管廊、燃气供热、污水垃圾处理等城镇基础设施项目，不断增强城镇综合承载能力。围绕城镇功能服务设施建设，大力引进一批住房保障、学校医院、停车场、公园广场、公厕、健康养老、文化艺术、休闲娱乐、体育健身等服务功能项目，提高城镇居住品质。围绕城镇经济高质量发展，大力引进一批城市综合体、商业街区、酒店物业、大型商超、特色小镇等商业综合项目，助推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全县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经济社会高质量发展。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（二）以高水平</w:t>
      </w:r>
      <w:r>
        <w:rPr>
          <w:rFonts w:hint="eastAsia" w:ascii="Times New Roman" w:hAnsi="Times New Roman" w:eastAsia="楷体_GB2312" w:cs="Times New Roman"/>
          <w:b/>
          <w:bCs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招大引强</w:t>
      </w:r>
      <w:r>
        <w:rPr>
          <w:rFonts w:hint="default" w:ascii="Times New Roman" w:hAnsi="Times New Roman" w:eastAsia="楷体_GB2312" w:cs="Times New Roman"/>
          <w:b/>
          <w:bCs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为目标，聚力攻坚</w:t>
      </w:r>
      <w:r>
        <w:rPr>
          <w:rFonts w:hint="eastAsia" w:ascii="Times New Roman" w:hAnsi="Times New Roman" w:eastAsia="楷体_GB2312" w:cs="Times New Roman"/>
          <w:b/>
          <w:bCs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产业发展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实施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招大引强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专项行动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着力推进招大商、引强企，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瞄准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四类500强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企业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“独角兽”企业、专精特新“小巨人”企业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等，围绕培育新兴产业、做优特色产业，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实施深入挖掘、精准发力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重点引进一批强优项目落地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Nimbus Roman No9 L" w:hAnsi="Nimbus Roman No9 L" w:eastAsia="仿宋_GB2312" w:cs="Nimbus Roman No9 L"/>
          <w:b w:val="0"/>
          <w:bCs w:val="0"/>
          <w:color w:val="000000" w:themeColor="text1"/>
          <w:spacing w:val="0"/>
          <w:kern w:val="2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努力实现优势更优、强项更强。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Nimbus Roman No9 L" w:hAnsi="Nimbus Roman No9 L" w:eastAsia="仿宋_GB2312" w:cs="Nimbus Roman No9 L"/>
          <w:b w:val="0"/>
          <w:bCs w:val="0"/>
          <w:color w:val="000000" w:themeColor="text1"/>
          <w:spacing w:val="0"/>
          <w:kern w:val="2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实施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驻点招商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专项行动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Nimbus Roman No9 L" w:hAnsi="Nimbus Roman No9 L" w:eastAsia="仿宋_GB2312" w:cs="Nimbus Roman No9 L"/>
          <w:b w:val="0"/>
          <w:bCs w:val="0"/>
          <w:color w:val="000000" w:themeColor="text1"/>
          <w:kern w:val="2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组织研判粤港澳大湾区、长三角、京津冀等重点区域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000000" w:themeColor="text1"/>
          <w:kern w:val="21"/>
          <w:sz w:val="32"/>
          <w:szCs w:val="32"/>
          <w:u w:val="none"/>
          <w14:textFill>
            <w14:solidFill>
              <w14:schemeClr w14:val="tx1"/>
            </w14:solidFill>
          </w14:textFill>
        </w:rPr>
        <w:t>产业</w:t>
      </w:r>
      <w:r>
        <w:rPr>
          <w:rFonts w:hint="eastAsia" w:ascii="Nimbus Roman No9 L" w:hAnsi="Nimbus Roman No9 L" w:eastAsia="仿宋_GB2312" w:cs="Nimbus Roman No9 L"/>
          <w:b w:val="0"/>
          <w:bCs w:val="0"/>
          <w:color w:val="000000" w:themeColor="text1"/>
          <w:kern w:val="2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发展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000000" w:themeColor="text1"/>
          <w:kern w:val="21"/>
          <w:sz w:val="32"/>
          <w:szCs w:val="32"/>
          <w:u w:val="none"/>
          <w14:textFill>
            <w14:solidFill>
              <w14:schemeClr w14:val="tx1"/>
            </w14:solidFill>
          </w14:textFill>
        </w:rPr>
        <w:t>新布局，</w:t>
      </w:r>
      <w:r>
        <w:rPr>
          <w:rFonts w:hint="eastAsia" w:ascii="Nimbus Roman No9 L" w:hAnsi="Nimbus Roman No9 L" w:eastAsia="仿宋_GB2312" w:cs="Nimbus Roman No9 L"/>
          <w:b w:val="0"/>
          <w:bCs w:val="0"/>
          <w:color w:val="000000" w:themeColor="text1"/>
          <w:kern w:val="2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深耕优势领域，选准赛道，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000000" w:themeColor="text1"/>
          <w:kern w:val="2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联合链主企业实施产业链</w:t>
      </w:r>
      <w:r>
        <w:rPr>
          <w:rFonts w:hint="eastAsia" w:ascii="Nimbus Roman No9 L" w:hAnsi="Nimbus Roman No9 L" w:eastAsia="仿宋_GB2312" w:cs="Nimbus Roman No9 L"/>
          <w:b w:val="0"/>
          <w:bCs w:val="0"/>
          <w:color w:val="000000" w:themeColor="text1"/>
          <w:kern w:val="21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驻点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000000" w:themeColor="text1"/>
          <w:kern w:val="2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招商，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瞄准重点区域、重点产业、重点企业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驻点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招商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工作队加强搜集信息、企业拜访、项目对接、活动组织等，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做实基础性工作，确保驻点招商工作有备而“行”。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实施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标准厂房招商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专项行动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按照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“提前谋划、用好已建、盘活闲置”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的思路，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提前谋划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新建标准厂房的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招商工作，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结合目标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企业需求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在面积、层高、承重、荷载等方面进行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“量身定制”，制定“一园一策”同步招商方案，力争实现“建成即投用、投用即产出”的无缝链接。全面梳理当前全县工业标准厂房存量现状，分类登记造册，明确各工业园区承载空间，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开展标准厂房定向招商、专题招商，以投资小、周期短、见效快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“短平快”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项目作为重点招商目标，提高招商入驻成功率，确保企业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“拎包即可入驻、装机便能生产”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积极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盘活园区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闲置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厂房资源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将闲置厂房信息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与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招商部门共享，根据厂房地理位置、生产业态，在招商引资、选商引产过程中，按照闲置资产优先推介原则，优先考虑厂房特点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与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需求相匹配的企业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积极为厂房业主和企业牵线搭桥，鼓励采取收购、租赁等多种形式盘活处置。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（三）以全生命周期建设为核心，聚力</w:t>
      </w:r>
      <w:r>
        <w:rPr>
          <w:rFonts w:hint="eastAsia" w:ascii="Times New Roman" w:hAnsi="Times New Roman" w:eastAsia="楷体_GB2312" w:cs="Times New Roman"/>
          <w:b/>
          <w:bCs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提升招引成效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聚焦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“新手段”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，巧打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pacing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招商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pacing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模式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N+1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pacing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组合拳。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pacing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坚持“一把手带头招商”传统模式，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围绕重点产业，科学规划招商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方向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，精准梳理有效目标企业，提高招商引资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pacing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重点项目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的命中率和成功率。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pacing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充分利用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pacing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本地企业开展以商招商，</w:t>
      </w:r>
      <w:r>
        <w:rPr>
          <w:rFonts w:ascii="Times New Roman" w:hAnsi="Times New Roman" w:eastAsia="仿宋_GB2312"/>
          <w:b w:val="0"/>
          <w:bCs w:val="0"/>
          <w:snapToGrid w:val="0"/>
          <w:color w:val="000000" w:themeColor="text1"/>
          <w:sz w:val="32"/>
          <w:szCs w:val="32"/>
          <w:lang w:val="zh-TW"/>
          <w14:textFill>
            <w14:solidFill>
              <w14:schemeClr w14:val="tx1"/>
            </w14:solidFill>
          </w14:textFill>
        </w:rPr>
        <w:t>发挥</w:t>
      </w:r>
      <w:r>
        <w:rPr>
          <w:rFonts w:ascii="Times New Roman" w:hAnsi="Times New Roman" w:eastAsia="仿宋_GB2312"/>
          <w:b w:val="0"/>
          <w:bCs w:val="0"/>
          <w:snapToGrid w:val="0"/>
          <w:color w:val="000000" w:themeColor="text1"/>
          <w:sz w:val="32"/>
          <w:szCs w:val="32"/>
          <w:lang w:val="zh-TW" w:eastAsia="zh-TW"/>
          <w14:textFill>
            <w14:solidFill>
              <w14:schemeClr w14:val="tx1"/>
            </w14:solidFill>
          </w14:textFill>
        </w:rPr>
        <w:t>牵线搭桥</w:t>
      </w:r>
      <w:r>
        <w:rPr>
          <w:rFonts w:ascii="Times New Roman" w:hAnsi="Times New Roman" w:eastAsia="仿宋_GB2312"/>
          <w:b w:val="0"/>
          <w:bCs w:val="0"/>
          <w:snapToGrid w:val="0"/>
          <w:color w:val="000000" w:themeColor="text1"/>
          <w:sz w:val="32"/>
          <w:szCs w:val="32"/>
          <w:lang w:val="zh-TW"/>
          <w14:textFill>
            <w14:solidFill>
              <w14:schemeClr w14:val="tx1"/>
            </w14:solidFill>
          </w14:textFill>
        </w:rPr>
        <w:t>作用</w:t>
      </w:r>
      <w:r>
        <w:rPr>
          <w:rFonts w:ascii="Times New Roman" w:hAnsi="Times New Roman" w:eastAsia="仿宋_GB2312"/>
          <w:b w:val="0"/>
          <w:bCs w:val="0"/>
          <w:snapToGrid w:val="0"/>
          <w:color w:val="000000" w:themeColor="text1"/>
          <w:sz w:val="32"/>
          <w:szCs w:val="32"/>
          <w:lang w:val="zh-TW" w:eastAsia="zh-TW"/>
          <w14:textFill>
            <w14:solidFill>
              <w14:schemeClr w14:val="tx1"/>
            </w14:solidFill>
          </w14:textFill>
        </w:rPr>
        <w:t>，引进上下游合作</w:t>
      </w:r>
      <w:r>
        <w:rPr>
          <w:rFonts w:ascii="Times New Roman" w:hAnsi="Times New Roman" w:eastAsia="仿宋_GB2312"/>
          <w:b w:val="0"/>
          <w:bCs w:val="0"/>
          <w:snapToGrid w:val="0"/>
          <w:color w:val="000000" w:themeColor="text1"/>
          <w:sz w:val="32"/>
          <w:szCs w:val="32"/>
          <w:lang w:val="zh-TW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="Times New Roman" w:hAnsi="Times New Roman" w:eastAsia="仿宋_GB2312"/>
          <w:b w:val="0"/>
          <w:bCs w:val="0"/>
          <w:snapToGrid w:val="0"/>
          <w:color w:val="000000" w:themeColor="text1"/>
          <w:sz w:val="32"/>
          <w:szCs w:val="32"/>
          <w:lang w:val="zh-TW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仿宋_GB2312"/>
          <w:b w:val="0"/>
          <w:bCs w:val="0"/>
          <w:snapToGrid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实施乡情招商，深挖乡贤人才资源，着力引导广大乡贤回乡投资创业，为家乡发展增添新动力。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统筹资源开展“全面招商、全年招商”。联动链主企业引领，</w:t>
      </w:r>
      <w:r>
        <w:rPr>
          <w:rFonts w:ascii="Times New Roman" w:hAnsi="Times New Roman" w:eastAsia="仿宋_GB2312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构建产业与发展共同体。加强与行业协会、科研院所等优质平台对接合作</w:t>
      </w:r>
      <w:r>
        <w:rPr>
          <w:rFonts w:hint="eastAsia" w:ascii="Times New Roman" w:hAnsi="Times New Roman" w:eastAsia="仿宋_GB2312"/>
          <w:snapToGrid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，工作方式从“单点突破”升级为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多点开花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Times New Roman" w:hAnsi="Times New Roman" w:eastAsia="仿宋_GB2312"/>
          <w:b w:val="0"/>
          <w:bCs w:val="0"/>
          <w:snapToGrid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探索场景招商新模式，聚焦政府治理、社会民生、企业生产等场景，引导和支持行业主管部门、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属国有企业、行业龙头企业开放场景资源，形成一批场景清单，吸引一批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“独角兽”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企业来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鹿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投资合作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形成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“以场景带动招商，以项目丰富场景”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的良性循环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聚焦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“强效能”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，营造优良营商环境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落实好“一个项目、一个落地、一抓到底”的跟踪服务机制，主动引导项目业主完善立项、土地、规划、环评、建设等前期审批手续，督促企业按计划推进工程建设，确保项目快建设、早投产。以推进实施“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四个工作专班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”重点项目管理体系为抓手，紧盯重大项目投资，推动重点工业项目开工建设，推动企业投资稳步增长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，全力打通招商引资快速转化为经济效益的通道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聚焦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“快入库”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，强化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投资效益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加强各部门工作联动，梳理核查全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已开工未入库纳统项目情况，全面掌握项目投资进度，协调解决项目入库存在问题困难，及时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跟进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项目建设进展情况和项目固定资产投资完成情况。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更大力度强化重大项目跟踪服务，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千方百计推动招商项目早入库、早落地、早投产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，有效投资持续扩大，厚植发展动能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（四）以高素质能力建设为根本，聚力实施</w:t>
      </w:r>
      <w:r>
        <w:rPr>
          <w:rFonts w:hint="eastAsia" w:ascii="Times New Roman" w:hAnsi="Times New Roman" w:eastAsia="楷体_GB2312" w:cs="Times New Roman"/>
          <w:b/>
          <w:bCs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强基提能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强化队伍建设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选优配强招商引资干部队伍，将懂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产业、通政策、善谈判、勤服务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的复合型干部充实到招商队伍中来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，把各类重大招商引资活动、重点项目洽谈引进作为干部队伍的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“练兵场”和“主战场”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，以各种实战激励招商干部在项目洽谈引进、项目建设、服务企业中勇挑重担，切实培养锤炼一支高素质的招商队伍。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实施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全员招商。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pacing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充分发挥投资促进委员会统筹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pacing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和带动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pacing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作用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pacing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各行业主管部门要组织业务骨干钻研招商业务，动员干部职工参与招商，积极拓展招商有效信息和渠道，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掌握</w:t>
      </w:r>
      <w:r>
        <w:rPr>
          <w:rFonts w:ascii="Times New Roman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提供触达企业高层的有效招商项目信息，通过齐抓共管、密切配合，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构建全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县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上下一致、部门联动的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“一盘棋”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格局。主动服务行业龙头企业、链主企业，让本地企业为我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县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投资环境、特色优势和发展潜力推广宣传、吸引更多优质企业加速集聚。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pacing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善于借智发力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依托国内知名的决策咨询、专家服务、商协会等机构，在产业规划设计、项目包装谋划、企业分析研判等方面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“把脉问诊”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依托侨商会、中介机构、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内企业驻外分支机构等。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发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挥“投资促进咨询联络处”、“投资促进合作伙伴”、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“招商顾问”等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作用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构建与企业间的桥梁，助力招商工作。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三、保障措施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（一）强化工作合力。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全面压实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全员招商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工作责任，</w:t>
      </w:r>
      <w:r>
        <w:rPr>
          <w:rFonts w:ascii="Times New Roman" w:hAnsi="Times New Roman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充分发挥</w:t>
      </w:r>
      <w:r>
        <w:rPr>
          <w:rFonts w:hint="eastAsia" w:ascii="Times New Roman" w:hAnsi="Times New Roman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</w:t>
      </w:r>
      <w:r>
        <w:rPr>
          <w:rFonts w:ascii="Times New Roman" w:hAnsi="Times New Roman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投资促进委员会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“统筹、协调、督促、服务”</w:t>
      </w:r>
      <w:r>
        <w:rPr>
          <w:rFonts w:ascii="Times New Roman" w:hAnsi="Times New Roman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职能，加强对全</w:t>
      </w:r>
      <w:r>
        <w:rPr>
          <w:rFonts w:hint="eastAsia" w:ascii="Times New Roman" w:hAnsi="Times New Roman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</w:t>
      </w:r>
      <w:r>
        <w:rPr>
          <w:rFonts w:ascii="Times New Roman" w:hAnsi="Times New Roman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招商引资工作指导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、行业部门齐抓共管、保障部门密切协同、园区整体联动的招商协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作运行机制。坚持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县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领导靠前指挥，以上率下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高位推动招商。</w:t>
      </w:r>
      <w:r>
        <w:rPr>
          <w:rFonts w:ascii="Times New Roman" w:hAnsi="Times New Roman" w:eastAsia="仿宋_GB2312"/>
          <w:b w:val="0"/>
          <w:bCs w:val="0"/>
          <w:color w:val="auto"/>
          <w:sz w:val="32"/>
          <w:szCs w:val="32"/>
        </w:rPr>
        <w:t>强化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“一把手”</w:t>
      </w:r>
      <w:r>
        <w:rPr>
          <w:rFonts w:ascii="Times New Roman" w:hAnsi="Times New Roman" w:eastAsia="仿宋_GB2312"/>
          <w:b w:val="0"/>
          <w:bCs w:val="0"/>
          <w:color w:val="auto"/>
          <w:sz w:val="32"/>
          <w:szCs w:val="32"/>
        </w:rPr>
        <w:t>招商责任，党政主要领导作为第一责任人，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靠前指挥，力行招商，率先垂范，加强对招商工作的统筹指导和协调指导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县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直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各部门要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围绕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传统产业焕新、新兴产业壮大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，突出招引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产业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项目，实现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业产业新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突破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聚集全员之智推动招商引资取得更大成效。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（二）强化项目落地服务保障。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乡镇、相关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部门要各司其职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畅通政企联系渠道，主动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靠前服务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，加强招商引资领域诚信建设，严格履行依法作出的政策承诺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全面构筑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高效便捷、全程无忧”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的投资环境。进一步建立健全从项目对接、签约、开工、投产到后期跟踪服务的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“招、落、服”全周期管理工作机制，明确各个环节责任分工、责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任人和落实时间节点，动态掌握重大项目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建设进度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，常态化做好资源维护，以数字化赋能招商，强化招商项目数字化、可视化、全流程管理服务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提升招商项目服务水平。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（三）强化考核实效。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完善招商引资考核机制，科学设立招商引资考核指标，充分发挥考核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“指挥棒”作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用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坚持以招商实绩论英雄、论成败，</w:t>
      </w:r>
      <w:r>
        <w:rPr>
          <w:rFonts w:ascii="Times New Roman" w:hAnsi="Times New Roman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突出评价招商引资项目对经济发展的贡献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。强化绩效结果运用，与评先表优、干部选拔任用相结合，激发各部门和招商人员的积极性。</w:t>
      </w:r>
      <w:r>
        <w:rPr>
          <w:rFonts w:ascii="Times New Roman" w:hAnsi="Times New Roman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落实柳州市招商引资激励办法，依据招商引资落地项目对固定资产和主营业务收入等增量贡献，给予不同层次的支持奖励。</w:t>
      </w:r>
      <w:bookmarkStart w:id="0" w:name="_Hlk126704149"/>
      <w:r>
        <w:rPr>
          <w:rFonts w:ascii="Times New Roman" w:hAnsi="Times New Roman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建立健全招商引资人才</w:t>
      </w:r>
      <w:bookmarkEnd w:id="0"/>
      <w:r>
        <w:rPr>
          <w:rFonts w:ascii="Times New Roman" w:hAnsi="Times New Roman" w:eastAsia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选拔、考核机制，把招商引资、项目建设作为锻炼和发现干部的重要平台，真正让有为者有位、吃苦者吃香、实干者实惠。健全完善正向激励机制，引导广大招商干部敢于作为、能作为、善作为，以抓铁有痕、踏石留印的过硬作风谋发展、抓招商、促项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b/>
          <w:bCs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（四）</w:t>
      </w:r>
      <w:r>
        <w:rPr>
          <w:rFonts w:hint="default" w:ascii="Times New Roman" w:hAnsi="Times New Roman" w:eastAsia="楷体_GB2312" w:cs="Times New Roman"/>
          <w:b/>
          <w:bCs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合理统筹经费保障。</w:t>
      </w:r>
      <w:r>
        <w:rPr>
          <w:rFonts w:hint="eastAsia" w:ascii="Times New Roman" w:hAnsi="Times New Roman" w:eastAsia="仿宋_GB2312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财政部门要采取争取上级专款和预算安排相结合的方式，加大资金统筹力度，全力保障招商引资工作经费。各招商组于每月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月初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将本月预算报县投促委办公室，由县投促委办公室统一向县财政局申请招商引资经费。招商组考察行程表报县人民政府审核同意后报县投促委办公室留存，考察结束后三天内将考察报告、经费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相关票据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报县投促委办公室，由县投促委办公室统一向县财政局报销。</w:t>
      </w:r>
    </w:p>
    <w:p>
      <w:pPr>
        <w:pStyle w:val="4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鹿寨县202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年招商引资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目标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任务分解表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jc w:val="both"/>
        <w:rPr>
          <w:rFonts w:ascii="Times New Roman" w:hAnsi="Times New Roman" w:eastAsia="仿宋_GB2312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984" w:right="1474" w:bottom="1417" w:left="1587" w:header="851" w:footer="1542" w:gutter="0"/>
          <w:pgNumType w:fmt="decimal"/>
          <w:cols w:space="720" w:num="1"/>
          <w:docGrid w:type="lines" w:linePitch="312" w:charSpace="0"/>
        </w:sectPr>
      </w:pPr>
    </w:p>
    <w:p>
      <w:pPr>
        <w:spacing w:line="60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</w:p>
    <w:p>
      <w:pPr>
        <w:spacing w:line="600" w:lineRule="exact"/>
        <w:jc w:val="center"/>
        <w:rPr>
          <w:rFonts w:ascii="宋体" w:hAnsi="宋体" w:cs="宋体"/>
          <w:b/>
          <w:color w:val="000000" w:themeColor="text1"/>
          <w:spacing w:val="2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鹿寨县202</w:t>
      </w:r>
      <w:r>
        <w:rPr>
          <w:rFonts w:hint="eastAsia" w:ascii="宋体" w:hAnsi="宋体" w:cs="宋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年招商引资</w:t>
      </w:r>
      <w:r>
        <w:rPr>
          <w:rFonts w:hint="eastAsia" w:ascii="宋体" w:hAnsi="宋体" w:cs="宋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目标</w:t>
      </w:r>
      <w:r>
        <w:rPr>
          <w:rFonts w:hint="eastAsia" w:ascii="宋体" w:hAnsi="宋体" w:cs="宋体"/>
          <w:color w:val="000000" w:themeColor="text1"/>
          <w:spacing w:val="20"/>
          <w:sz w:val="44"/>
          <w:szCs w:val="44"/>
          <w14:textFill>
            <w14:solidFill>
              <w14:schemeClr w14:val="tx1"/>
            </w14:solidFill>
          </w14:textFill>
        </w:rPr>
        <w:t>任务分解表</w:t>
      </w:r>
    </w:p>
    <w:tbl>
      <w:tblPr>
        <w:tblStyle w:val="9"/>
        <w:tblpPr w:leftFromText="180" w:rightFromText="180" w:vertAnchor="text" w:horzAnchor="page" w:tblpXSpec="center" w:tblpY="705"/>
        <w:tblOverlap w:val="never"/>
        <w:tblW w:w="119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9"/>
        <w:gridCol w:w="2655"/>
        <w:gridCol w:w="2416"/>
        <w:gridCol w:w="1496"/>
        <w:gridCol w:w="1378"/>
        <w:gridCol w:w="1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各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招商组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责任领导</w:t>
            </w: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牵头单位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新引进项目投资额目标</w:t>
            </w:r>
            <w:r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亿元</w:t>
            </w:r>
            <w:r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新引进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项目目标（个）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合  计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26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乡村振兴组</w:t>
            </w:r>
          </w:p>
        </w:tc>
        <w:tc>
          <w:tcPr>
            <w:tcW w:w="26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组  长：王  轶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副组长：韦鸿英、黄国华、黄旭慧、张军、石勇军</w:t>
            </w: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发改</w:t>
            </w: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局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2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县农业农村局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县林业局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2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县投促中心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26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新型城镇化建设</w:t>
            </w: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26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组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长：杨  毅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副组长：张建华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成荣胜、雷翔、周时力      </w:t>
            </w: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住建局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鹿寨经开区管委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县投促中心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26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产业园区提质组</w:t>
            </w:r>
          </w:p>
        </w:tc>
        <w:tc>
          <w:tcPr>
            <w:tcW w:w="26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组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长：陈需勤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副组长：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吴志峰、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廖得戎、饶冬生、覃清培、李伟明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邦登</w:t>
            </w: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县科工贸局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县林业局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2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鹿寨经开区管委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县投促中心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266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文旅融合组</w:t>
            </w:r>
          </w:p>
        </w:tc>
        <w:tc>
          <w:tcPr>
            <w:tcW w:w="265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组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长：朱燕文</w:t>
            </w:r>
          </w:p>
          <w:p>
            <w:pPr>
              <w:spacing w:line="36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副组长：贾红玉、李勐俊、莫兆坚、蒙广远</w:t>
            </w: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县文体广旅局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县住建局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2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县投促中心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32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各乡镇</w:t>
            </w: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黄冕镇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32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平山镇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532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中渡镇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32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江口乡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32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导江乡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32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寨沙镇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32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四排镇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32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拉沟乡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532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鹿寨镇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exact"/>
        <w:ind w:left="585" w:leftChars="50" w:right="-722" w:rightChars="-344" w:hanging="480" w:hangingChars="200"/>
        <w:jc w:val="left"/>
        <w:rPr>
          <w:rFonts w:ascii="Times New Roman" w:hAnsi="Times New Roman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注：1.表格内各</w:t>
      </w:r>
      <w:r>
        <w:rPr>
          <w:rFonts w:hint="eastAsia" w:ascii="Times New Roman" w:hAnsi="Times New Roman" w:eastAsia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牵头</w:t>
      </w:r>
      <w:r>
        <w:rPr>
          <w:rFonts w:ascii="Times New Roman" w:hAnsi="Times New Roman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单位的招商引资数据由县投促中心根据行业范围对各</w:t>
      </w:r>
      <w:r>
        <w:rPr>
          <w:rFonts w:hint="eastAsia" w:ascii="Times New Roman" w:hAnsi="Times New Roman" w:eastAsia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牵头</w:t>
      </w:r>
      <w:r>
        <w:rPr>
          <w:rFonts w:ascii="Times New Roman" w:hAnsi="Times New Roman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单位按项目属地原则统一上报的数据进行统计整理。</w:t>
      </w:r>
    </w:p>
    <w:p>
      <w:pPr>
        <w:spacing w:line="360" w:lineRule="exact"/>
        <w:ind w:left="584" w:leftChars="278" w:right="-722" w:rightChars="-344"/>
        <w:jc w:val="left"/>
        <w:rPr>
          <w:rFonts w:ascii="Times New Roman" w:hAnsi="Times New Roman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2.表格内各</w:t>
      </w:r>
      <w:r>
        <w:rPr>
          <w:rFonts w:hint="eastAsia" w:ascii="Times New Roman" w:hAnsi="Times New Roman" w:eastAsia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牵头</w:t>
      </w:r>
      <w:r>
        <w:rPr>
          <w:rFonts w:ascii="Times New Roman" w:hAnsi="Times New Roman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单位直接引进的项目，应知会县投促中心，以便于县投促中心及时统计。</w:t>
      </w:r>
    </w:p>
    <w:p>
      <w:pPr>
        <w:spacing w:line="360" w:lineRule="exact"/>
        <w:ind w:left="584" w:leftChars="278" w:right="-722" w:rightChars="-344"/>
        <w:jc w:val="left"/>
        <w:rPr>
          <w:rFonts w:hint="eastAsia" w:eastAsia="仿宋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587" w:right="2098" w:bottom="1474" w:left="1984" w:header="851" w:footer="1542" w:gutter="0"/>
          <w:pgNumType w:fmt="decimal"/>
          <w:cols w:space="720" w:num="1"/>
          <w:docGrid w:type="lines" w:linePitch="312" w:charSpace="0"/>
        </w:sectPr>
      </w:pPr>
    </w:p>
    <w:p>
      <w:pPr>
        <w:pStyle w:val="8"/>
        <w:spacing w:after="0" w:line="560" w:lineRule="exact"/>
        <w:ind w:firstLine="0" w:firstLineChars="0"/>
        <w:rPr>
          <w:rFonts w:ascii="Times New Roman" w:hAnsi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984" w:left="1587" w:header="851" w:footer="154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-19685</wp:posOffset>
              </wp:positionV>
              <wp:extent cx="780415" cy="2565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0415" cy="2565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Batang" w:hAnsi="Batang" w:eastAsia="Batang" w:cs="Batang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Batang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Batang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Batang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Batang" w:cs="Times New Roman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default" w:ascii="Times New Roman" w:hAnsi="Times New Roman" w:eastAsia="Batang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.55pt;height:20.2pt;width:61.45pt;mso-position-horizontal:inside;mso-position-horizontal-relative:margin;z-index:251659264;mso-width-relative:page;mso-height-relative:page;" filled="f" stroked="f" coordsize="21600,21600" o:gfxdata="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4A2rLdUAAAAGAQAADwAAAAAAAAABACAAAAAiAAAAZHJzL2Rvd25yZXYu&#10;eG1sUEsBAhQAFAAAAAgAh07iQJW+GrI3AgAAYwQAAA4AAAAAAAAAAQAgAAAAJA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ascii="Batang" w:hAnsi="Batang" w:eastAsia="Batang" w:cs="Batang"/>
                        <w:sz w:val="28"/>
                        <w:szCs w:val="28"/>
                      </w:rPr>
                    </w:pP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Batang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Batang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Batang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Batang" w:cs="Times New Roman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default" w:ascii="Times New Roman" w:hAnsi="Times New Roman" w:eastAsia="Batang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2NWMwOWQ5NjgxMjhhNWM2ODhjYmMzZDljYWY2ZTgifQ=="/>
  </w:docVars>
  <w:rsids>
    <w:rsidRoot w:val="00667B41"/>
    <w:rsid w:val="0004206B"/>
    <w:rsid w:val="000B64E2"/>
    <w:rsid w:val="000E6983"/>
    <w:rsid w:val="00171F83"/>
    <w:rsid w:val="001A0363"/>
    <w:rsid w:val="001A4D4D"/>
    <w:rsid w:val="001B7BD6"/>
    <w:rsid w:val="002272AD"/>
    <w:rsid w:val="0027352E"/>
    <w:rsid w:val="002C16EE"/>
    <w:rsid w:val="00312D1E"/>
    <w:rsid w:val="00313118"/>
    <w:rsid w:val="003524A8"/>
    <w:rsid w:val="00362C8D"/>
    <w:rsid w:val="0038545C"/>
    <w:rsid w:val="003B586F"/>
    <w:rsid w:val="003B7B6B"/>
    <w:rsid w:val="003D6308"/>
    <w:rsid w:val="003E4CC4"/>
    <w:rsid w:val="003F0459"/>
    <w:rsid w:val="003F0D63"/>
    <w:rsid w:val="004037CC"/>
    <w:rsid w:val="00405B95"/>
    <w:rsid w:val="00431659"/>
    <w:rsid w:val="00450337"/>
    <w:rsid w:val="004B3F75"/>
    <w:rsid w:val="004F1806"/>
    <w:rsid w:val="004F63AD"/>
    <w:rsid w:val="00524E7E"/>
    <w:rsid w:val="0054788B"/>
    <w:rsid w:val="005802C8"/>
    <w:rsid w:val="005A40EA"/>
    <w:rsid w:val="005C0FA2"/>
    <w:rsid w:val="00667B41"/>
    <w:rsid w:val="00670DD2"/>
    <w:rsid w:val="00675A0B"/>
    <w:rsid w:val="00682EFC"/>
    <w:rsid w:val="006C4FBA"/>
    <w:rsid w:val="00715BA8"/>
    <w:rsid w:val="0072017C"/>
    <w:rsid w:val="0074616A"/>
    <w:rsid w:val="00747491"/>
    <w:rsid w:val="007544B2"/>
    <w:rsid w:val="007843F7"/>
    <w:rsid w:val="007B3443"/>
    <w:rsid w:val="007D274C"/>
    <w:rsid w:val="007F3CDE"/>
    <w:rsid w:val="00831B90"/>
    <w:rsid w:val="008C0575"/>
    <w:rsid w:val="008C7F79"/>
    <w:rsid w:val="009134EB"/>
    <w:rsid w:val="0092208E"/>
    <w:rsid w:val="009265B9"/>
    <w:rsid w:val="00927BB3"/>
    <w:rsid w:val="0093616E"/>
    <w:rsid w:val="00951CBF"/>
    <w:rsid w:val="009648B6"/>
    <w:rsid w:val="0097068F"/>
    <w:rsid w:val="009B1856"/>
    <w:rsid w:val="009D4DAE"/>
    <w:rsid w:val="009F3155"/>
    <w:rsid w:val="00A15A92"/>
    <w:rsid w:val="00A25669"/>
    <w:rsid w:val="00A713DD"/>
    <w:rsid w:val="00A73CC8"/>
    <w:rsid w:val="00A93BA4"/>
    <w:rsid w:val="00AA0188"/>
    <w:rsid w:val="00AB7514"/>
    <w:rsid w:val="00AC7AA7"/>
    <w:rsid w:val="00AD2573"/>
    <w:rsid w:val="00AE0213"/>
    <w:rsid w:val="00B00565"/>
    <w:rsid w:val="00B007C9"/>
    <w:rsid w:val="00B072E2"/>
    <w:rsid w:val="00B54338"/>
    <w:rsid w:val="00B9192D"/>
    <w:rsid w:val="00BD5644"/>
    <w:rsid w:val="00BE6CD0"/>
    <w:rsid w:val="00BE75B9"/>
    <w:rsid w:val="00C212A0"/>
    <w:rsid w:val="00C517C8"/>
    <w:rsid w:val="00CA5CA1"/>
    <w:rsid w:val="00CD4905"/>
    <w:rsid w:val="00D27935"/>
    <w:rsid w:val="00D81B3D"/>
    <w:rsid w:val="00D977E5"/>
    <w:rsid w:val="00DA1489"/>
    <w:rsid w:val="00DA2103"/>
    <w:rsid w:val="00DB15EE"/>
    <w:rsid w:val="00DC4594"/>
    <w:rsid w:val="00E82463"/>
    <w:rsid w:val="00E86527"/>
    <w:rsid w:val="00E97CCB"/>
    <w:rsid w:val="00EC443C"/>
    <w:rsid w:val="00EE5B83"/>
    <w:rsid w:val="00F60AE7"/>
    <w:rsid w:val="00FC607B"/>
    <w:rsid w:val="01480084"/>
    <w:rsid w:val="01E641BA"/>
    <w:rsid w:val="02031EDD"/>
    <w:rsid w:val="023526F0"/>
    <w:rsid w:val="023A4BFB"/>
    <w:rsid w:val="02472B8C"/>
    <w:rsid w:val="02912B84"/>
    <w:rsid w:val="05394526"/>
    <w:rsid w:val="065F582D"/>
    <w:rsid w:val="07DC228F"/>
    <w:rsid w:val="0815092C"/>
    <w:rsid w:val="08D24AB6"/>
    <w:rsid w:val="097D5DA0"/>
    <w:rsid w:val="09BA060C"/>
    <w:rsid w:val="09E76AB2"/>
    <w:rsid w:val="09F64CC6"/>
    <w:rsid w:val="0A113A0E"/>
    <w:rsid w:val="0A200B7B"/>
    <w:rsid w:val="0A627A61"/>
    <w:rsid w:val="0ADE4204"/>
    <w:rsid w:val="0AEA7EB0"/>
    <w:rsid w:val="0CF130EF"/>
    <w:rsid w:val="0D046532"/>
    <w:rsid w:val="0D8D314F"/>
    <w:rsid w:val="0E267690"/>
    <w:rsid w:val="0E8E2E51"/>
    <w:rsid w:val="0EF22958"/>
    <w:rsid w:val="0F126530"/>
    <w:rsid w:val="0F353C65"/>
    <w:rsid w:val="0F716578"/>
    <w:rsid w:val="0F823060"/>
    <w:rsid w:val="101C0F01"/>
    <w:rsid w:val="10B14BBE"/>
    <w:rsid w:val="11731516"/>
    <w:rsid w:val="11F47704"/>
    <w:rsid w:val="12075E17"/>
    <w:rsid w:val="121354AB"/>
    <w:rsid w:val="12551FFC"/>
    <w:rsid w:val="125735A8"/>
    <w:rsid w:val="12ED4993"/>
    <w:rsid w:val="131A435F"/>
    <w:rsid w:val="136B45C6"/>
    <w:rsid w:val="13914897"/>
    <w:rsid w:val="144346E5"/>
    <w:rsid w:val="144E4DBC"/>
    <w:rsid w:val="145E0704"/>
    <w:rsid w:val="149677BD"/>
    <w:rsid w:val="158F6804"/>
    <w:rsid w:val="15D60C87"/>
    <w:rsid w:val="15E351E6"/>
    <w:rsid w:val="168077B1"/>
    <w:rsid w:val="16946B78"/>
    <w:rsid w:val="16955939"/>
    <w:rsid w:val="1755226F"/>
    <w:rsid w:val="17755406"/>
    <w:rsid w:val="17D5646E"/>
    <w:rsid w:val="17DF2D9C"/>
    <w:rsid w:val="180D500B"/>
    <w:rsid w:val="183F331E"/>
    <w:rsid w:val="18440235"/>
    <w:rsid w:val="186745B5"/>
    <w:rsid w:val="197B29F2"/>
    <w:rsid w:val="19D16C6A"/>
    <w:rsid w:val="1A606C8F"/>
    <w:rsid w:val="1A731E51"/>
    <w:rsid w:val="1B345C41"/>
    <w:rsid w:val="1B5104FC"/>
    <w:rsid w:val="1BB750B7"/>
    <w:rsid w:val="1BEF7DEC"/>
    <w:rsid w:val="1C67036A"/>
    <w:rsid w:val="1C69015F"/>
    <w:rsid w:val="1D026372"/>
    <w:rsid w:val="1D13631D"/>
    <w:rsid w:val="1D2B7229"/>
    <w:rsid w:val="1DA85358"/>
    <w:rsid w:val="1E1124CF"/>
    <w:rsid w:val="1E854FF8"/>
    <w:rsid w:val="1F160F1B"/>
    <w:rsid w:val="1F334A54"/>
    <w:rsid w:val="1FA63478"/>
    <w:rsid w:val="1FC017C8"/>
    <w:rsid w:val="1FE40692"/>
    <w:rsid w:val="20AC630E"/>
    <w:rsid w:val="20EE119D"/>
    <w:rsid w:val="22974309"/>
    <w:rsid w:val="22BB548D"/>
    <w:rsid w:val="22E10D9F"/>
    <w:rsid w:val="23621DAC"/>
    <w:rsid w:val="236D16F9"/>
    <w:rsid w:val="238B4E5F"/>
    <w:rsid w:val="245F050F"/>
    <w:rsid w:val="24646CFD"/>
    <w:rsid w:val="255C003A"/>
    <w:rsid w:val="25DD396C"/>
    <w:rsid w:val="26237E7F"/>
    <w:rsid w:val="26943BAE"/>
    <w:rsid w:val="27DC36D2"/>
    <w:rsid w:val="280A0C2F"/>
    <w:rsid w:val="290E35DD"/>
    <w:rsid w:val="292D468E"/>
    <w:rsid w:val="29471828"/>
    <w:rsid w:val="29CD377E"/>
    <w:rsid w:val="2A4C2D27"/>
    <w:rsid w:val="2AAA6513"/>
    <w:rsid w:val="2AB3069D"/>
    <w:rsid w:val="2ABD240E"/>
    <w:rsid w:val="2AC82E3D"/>
    <w:rsid w:val="2B361B54"/>
    <w:rsid w:val="2C387E60"/>
    <w:rsid w:val="2C7723B4"/>
    <w:rsid w:val="2CB419AA"/>
    <w:rsid w:val="2CED1892"/>
    <w:rsid w:val="2D011267"/>
    <w:rsid w:val="2D6F134E"/>
    <w:rsid w:val="2E0D65CE"/>
    <w:rsid w:val="2E551C16"/>
    <w:rsid w:val="2E8D70D7"/>
    <w:rsid w:val="2EC129B0"/>
    <w:rsid w:val="2ED67562"/>
    <w:rsid w:val="2F60471F"/>
    <w:rsid w:val="2FE72396"/>
    <w:rsid w:val="301974FD"/>
    <w:rsid w:val="30330D58"/>
    <w:rsid w:val="305C0922"/>
    <w:rsid w:val="308646DC"/>
    <w:rsid w:val="30887F89"/>
    <w:rsid w:val="30AC5ED6"/>
    <w:rsid w:val="30AE03DF"/>
    <w:rsid w:val="30E0278C"/>
    <w:rsid w:val="31513455"/>
    <w:rsid w:val="322266C9"/>
    <w:rsid w:val="32433752"/>
    <w:rsid w:val="32E81F36"/>
    <w:rsid w:val="3330332D"/>
    <w:rsid w:val="334F38C6"/>
    <w:rsid w:val="33875224"/>
    <w:rsid w:val="33A855B9"/>
    <w:rsid w:val="342B35DF"/>
    <w:rsid w:val="342D544B"/>
    <w:rsid w:val="3469433C"/>
    <w:rsid w:val="34746B7A"/>
    <w:rsid w:val="34AB0956"/>
    <w:rsid w:val="353EFAA0"/>
    <w:rsid w:val="35416688"/>
    <w:rsid w:val="35AD209F"/>
    <w:rsid w:val="35C52F71"/>
    <w:rsid w:val="35E91875"/>
    <w:rsid w:val="35F24ED4"/>
    <w:rsid w:val="362F1FC2"/>
    <w:rsid w:val="36A93B22"/>
    <w:rsid w:val="36B9188B"/>
    <w:rsid w:val="36D8056E"/>
    <w:rsid w:val="37CB2F5F"/>
    <w:rsid w:val="37D97674"/>
    <w:rsid w:val="38337C53"/>
    <w:rsid w:val="383D3936"/>
    <w:rsid w:val="386C12AB"/>
    <w:rsid w:val="38C742C5"/>
    <w:rsid w:val="38E03C45"/>
    <w:rsid w:val="39DA7195"/>
    <w:rsid w:val="3A0D63F8"/>
    <w:rsid w:val="3A3C70CD"/>
    <w:rsid w:val="3ADB7FEB"/>
    <w:rsid w:val="3B146EEE"/>
    <w:rsid w:val="3BBB488D"/>
    <w:rsid w:val="3D843773"/>
    <w:rsid w:val="3DA23079"/>
    <w:rsid w:val="3DAC2682"/>
    <w:rsid w:val="3DD22848"/>
    <w:rsid w:val="3DFE4084"/>
    <w:rsid w:val="3E3248F3"/>
    <w:rsid w:val="3E3D0B34"/>
    <w:rsid w:val="3E727E18"/>
    <w:rsid w:val="3E756C84"/>
    <w:rsid w:val="3E91403A"/>
    <w:rsid w:val="3F3A6F0F"/>
    <w:rsid w:val="3F400907"/>
    <w:rsid w:val="3F5F3317"/>
    <w:rsid w:val="3FAE21A9"/>
    <w:rsid w:val="40A8309D"/>
    <w:rsid w:val="41270465"/>
    <w:rsid w:val="4133239F"/>
    <w:rsid w:val="418A6673"/>
    <w:rsid w:val="41994793"/>
    <w:rsid w:val="4202338A"/>
    <w:rsid w:val="42251207"/>
    <w:rsid w:val="425D6077"/>
    <w:rsid w:val="42AA79DB"/>
    <w:rsid w:val="42B32FF1"/>
    <w:rsid w:val="43161A6F"/>
    <w:rsid w:val="446C2997"/>
    <w:rsid w:val="461509B8"/>
    <w:rsid w:val="466C06C8"/>
    <w:rsid w:val="46745483"/>
    <w:rsid w:val="46AF1363"/>
    <w:rsid w:val="46C7182E"/>
    <w:rsid w:val="46FD2564"/>
    <w:rsid w:val="477115BC"/>
    <w:rsid w:val="47D26C51"/>
    <w:rsid w:val="488A4E3A"/>
    <w:rsid w:val="48A40C5B"/>
    <w:rsid w:val="495B3711"/>
    <w:rsid w:val="49B66165"/>
    <w:rsid w:val="49C72DC0"/>
    <w:rsid w:val="4A857FAB"/>
    <w:rsid w:val="4ABF0F25"/>
    <w:rsid w:val="4AE9678B"/>
    <w:rsid w:val="4B1E0329"/>
    <w:rsid w:val="4B2161F4"/>
    <w:rsid w:val="4B2D7363"/>
    <w:rsid w:val="4B36633A"/>
    <w:rsid w:val="4B4F0DFB"/>
    <w:rsid w:val="4B8F7407"/>
    <w:rsid w:val="4C98480D"/>
    <w:rsid w:val="4D6236CB"/>
    <w:rsid w:val="4E0F32CE"/>
    <w:rsid w:val="4E70545B"/>
    <w:rsid w:val="4EDF237F"/>
    <w:rsid w:val="4F35712C"/>
    <w:rsid w:val="4FC24D9B"/>
    <w:rsid w:val="4FC252D4"/>
    <w:rsid w:val="5009301F"/>
    <w:rsid w:val="50CC49A5"/>
    <w:rsid w:val="50CE6C33"/>
    <w:rsid w:val="51997C92"/>
    <w:rsid w:val="526A015C"/>
    <w:rsid w:val="535D782A"/>
    <w:rsid w:val="549A4FA4"/>
    <w:rsid w:val="54CF6D6B"/>
    <w:rsid w:val="54DB67C4"/>
    <w:rsid w:val="54DC355A"/>
    <w:rsid w:val="55970C1F"/>
    <w:rsid w:val="56091A90"/>
    <w:rsid w:val="56DA5AE8"/>
    <w:rsid w:val="56E066DB"/>
    <w:rsid w:val="56E85BCB"/>
    <w:rsid w:val="57B105CE"/>
    <w:rsid w:val="58843B37"/>
    <w:rsid w:val="58E118AD"/>
    <w:rsid w:val="59303252"/>
    <w:rsid w:val="5A634C24"/>
    <w:rsid w:val="5AB04D26"/>
    <w:rsid w:val="5AC356AE"/>
    <w:rsid w:val="5B0A0784"/>
    <w:rsid w:val="5C761EA6"/>
    <w:rsid w:val="5C855BE8"/>
    <w:rsid w:val="5D080CF3"/>
    <w:rsid w:val="5D5F3B17"/>
    <w:rsid w:val="5E0B1125"/>
    <w:rsid w:val="5E176D14"/>
    <w:rsid w:val="5E593FAD"/>
    <w:rsid w:val="5E6D5E98"/>
    <w:rsid w:val="5F597331"/>
    <w:rsid w:val="6037369D"/>
    <w:rsid w:val="604F6DCA"/>
    <w:rsid w:val="61036D98"/>
    <w:rsid w:val="638717D8"/>
    <w:rsid w:val="63902345"/>
    <w:rsid w:val="63B01AED"/>
    <w:rsid w:val="63B10533"/>
    <w:rsid w:val="63D53BB9"/>
    <w:rsid w:val="64124205"/>
    <w:rsid w:val="65736F26"/>
    <w:rsid w:val="65E75FDE"/>
    <w:rsid w:val="65EB63FA"/>
    <w:rsid w:val="661E38D6"/>
    <w:rsid w:val="66763229"/>
    <w:rsid w:val="6688197F"/>
    <w:rsid w:val="66C832A1"/>
    <w:rsid w:val="67E9310A"/>
    <w:rsid w:val="68144722"/>
    <w:rsid w:val="689F6284"/>
    <w:rsid w:val="68C2729F"/>
    <w:rsid w:val="696C260A"/>
    <w:rsid w:val="699666ED"/>
    <w:rsid w:val="6A9234DB"/>
    <w:rsid w:val="6B0D5F1D"/>
    <w:rsid w:val="6B300D6F"/>
    <w:rsid w:val="6BDF70C3"/>
    <w:rsid w:val="6E3E4206"/>
    <w:rsid w:val="6E651511"/>
    <w:rsid w:val="6E992EFA"/>
    <w:rsid w:val="6EF23592"/>
    <w:rsid w:val="6F1855CE"/>
    <w:rsid w:val="6F402C27"/>
    <w:rsid w:val="6F822E7F"/>
    <w:rsid w:val="6FAA7FE5"/>
    <w:rsid w:val="6FE06113"/>
    <w:rsid w:val="70137E15"/>
    <w:rsid w:val="706B6199"/>
    <w:rsid w:val="70A47049"/>
    <w:rsid w:val="70B42257"/>
    <w:rsid w:val="7163029C"/>
    <w:rsid w:val="719A65C5"/>
    <w:rsid w:val="72BF6A6B"/>
    <w:rsid w:val="73904414"/>
    <w:rsid w:val="73D019E7"/>
    <w:rsid w:val="744E244F"/>
    <w:rsid w:val="746F13EC"/>
    <w:rsid w:val="74AC7D5E"/>
    <w:rsid w:val="74CE1CB0"/>
    <w:rsid w:val="74E4399C"/>
    <w:rsid w:val="75113A9C"/>
    <w:rsid w:val="75E331A3"/>
    <w:rsid w:val="76396D60"/>
    <w:rsid w:val="76611E5A"/>
    <w:rsid w:val="76CA764B"/>
    <w:rsid w:val="7758442F"/>
    <w:rsid w:val="77777EB2"/>
    <w:rsid w:val="77DE3FFE"/>
    <w:rsid w:val="77EBB98A"/>
    <w:rsid w:val="77F4046D"/>
    <w:rsid w:val="780D18BC"/>
    <w:rsid w:val="78505B50"/>
    <w:rsid w:val="785A5FAD"/>
    <w:rsid w:val="78F13953"/>
    <w:rsid w:val="79E801FE"/>
    <w:rsid w:val="79E90336"/>
    <w:rsid w:val="7A4A69CF"/>
    <w:rsid w:val="7A813A3B"/>
    <w:rsid w:val="7B71191C"/>
    <w:rsid w:val="7BEA71D2"/>
    <w:rsid w:val="7C8B08E1"/>
    <w:rsid w:val="7CA92FF3"/>
    <w:rsid w:val="7D2D69F7"/>
    <w:rsid w:val="7DAF7CD8"/>
    <w:rsid w:val="7E6A5D3D"/>
    <w:rsid w:val="7E7C7EF7"/>
    <w:rsid w:val="7EDE61C0"/>
    <w:rsid w:val="7F4A42E8"/>
    <w:rsid w:val="7F790AA4"/>
    <w:rsid w:val="7FA77AA0"/>
    <w:rsid w:val="7FEB1738"/>
    <w:rsid w:val="7FF17370"/>
    <w:rsid w:val="7FFF0D30"/>
    <w:rsid w:val="AB6EFDB8"/>
    <w:rsid w:val="B7EE4C57"/>
    <w:rsid w:val="BEFE5397"/>
    <w:rsid w:val="DB6885DD"/>
    <w:rsid w:val="E77F0A82"/>
    <w:rsid w:val="EFF7C649"/>
    <w:rsid w:val="F56FCC89"/>
    <w:rsid w:val="FE7FF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仿宋"/>
      <w:b/>
      <w:bCs/>
      <w:szCs w:val="32"/>
    </w:rPr>
  </w:style>
  <w:style w:type="paragraph" w:styleId="3">
    <w:name w:val="Body Text"/>
    <w:basedOn w:val="1"/>
    <w:next w:val="2"/>
    <w:autoRedefine/>
    <w:qFormat/>
    <w:uiPriority w:val="0"/>
    <w:pPr>
      <w:spacing w:after="120"/>
    </w:pPr>
  </w:style>
  <w:style w:type="paragraph" w:styleId="4">
    <w:name w:val="Body Text Indent 2"/>
    <w:basedOn w:val="1"/>
    <w:autoRedefine/>
    <w:qFormat/>
    <w:uiPriority w:val="0"/>
    <w:pPr>
      <w:spacing w:after="120" w:afterAutospacing="0" w:line="480" w:lineRule="auto"/>
      <w:ind w:left="420" w:leftChars="200"/>
    </w:pPr>
  </w:style>
  <w:style w:type="paragraph" w:styleId="5">
    <w:name w:val="footer"/>
    <w:basedOn w:val="1"/>
    <w:next w:val="1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footnote text"/>
    <w:basedOn w:val="1"/>
    <w:autoRedefine/>
    <w:qFormat/>
    <w:uiPriority w:val="0"/>
    <w:pPr>
      <w:snapToGrid w:val="0"/>
      <w:jc w:val="left"/>
    </w:pPr>
    <w:rPr>
      <w:sz w:val="18"/>
    </w:rPr>
  </w:style>
  <w:style w:type="paragraph" w:styleId="8">
    <w:name w:val="Body Text First Indent"/>
    <w:basedOn w:val="3"/>
    <w:next w:val="5"/>
    <w:autoRedefine/>
    <w:qFormat/>
    <w:uiPriority w:val="0"/>
    <w:pPr>
      <w:ind w:firstLine="420" w:firstLineChars="100"/>
    </w:pPr>
  </w:style>
  <w:style w:type="character" w:styleId="11">
    <w:name w:val="Strong"/>
    <w:basedOn w:val="10"/>
    <w:autoRedefine/>
    <w:qFormat/>
    <w:uiPriority w:val="22"/>
    <w:rPr>
      <w:b/>
      <w:bCs/>
    </w:rPr>
  </w:style>
  <w:style w:type="character" w:styleId="12">
    <w:name w:val="footnote reference"/>
    <w:basedOn w:val="10"/>
    <w:autoRedefine/>
    <w:qFormat/>
    <w:uiPriority w:val="0"/>
    <w:rPr>
      <w:vertAlign w:val="superscript"/>
    </w:rPr>
  </w:style>
  <w:style w:type="paragraph" w:customStyle="1" w:styleId="13">
    <w:name w:val="BodyText1I"/>
    <w:basedOn w:val="1"/>
    <w:next w:val="5"/>
    <w:autoRedefine/>
    <w:qFormat/>
    <w:uiPriority w:val="0"/>
    <w:pPr>
      <w:spacing w:line="640" w:lineRule="exact"/>
      <w:ind w:firstLine="420" w:firstLineChars="100"/>
      <w:jc w:val="center"/>
      <w:textAlignment w:val="baseline"/>
    </w:pPr>
    <w:rPr>
      <w:rFonts w:ascii="华文中宋" w:eastAsia="华文中宋"/>
      <w:b/>
      <w:bCs/>
      <w:sz w:val="44"/>
      <w:szCs w:val="44"/>
    </w:rPr>
  </w:style>
  <w:style w:type="paragraph" w:customStyle="1" w:styleId="14">
    <w:name w:val="Body text|1"/>
    <w:basedOn w:val="1"/>
    <w:autoRedefine/>
    <w:qFormat/>
    <w:uiPriority w:val="0"/>
    <w:pPr>
      <w:spacing w:line="413" w:lineRule="auto"/>
      <w:ind w:firstLine="400"/>
      <w:jc w:val="left"/>
    </w:pPr>
    <w:rPr>
      <w:rFonts w:ascii="宋体" w:hAnsi="宋体" w:cs="宋体"/>
      <w:kern w:val="0"/>
      <w:sz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843</Words>
  <Characters>4809</Characters>
  <Lines>40</Lines>
  <Paragraphs>11</Paragraphs>
  <TotalTime>47</TotalTime>
  <ScaleCrop>false</ScaleCrop>
  <LinksUpToDate>false</LinksUpToDate>
  <CharactersWithSpaces>5641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2023-01-24T21:27:00Z</dcterms:created>
  <dc:creator>Administrator</dc:creator>
  <cp:lastModifiedBy>乌龙茶de-su</cp:lastModifiedBy>
  <cp:lastPrinted>2023-04-10T09:47:00Z</cp:lastPrinted>
  <dcterms:modified xsi:type="dcterms:W3CDTF">2024-04-26T09:34:50Z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A0F0975D40FA458E9C269CBB2EDE0F06_13</vt:lpwstr>
  </property>
</Properties>
</file>