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325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w:t>
      </w:r>
      <w:r>
        <w:rPr>
          <w:rFonts w:hint="eastAsia" w:ascii="Times New Roman" w:hAnsi="Times New Roman" w:eastAsia="黑体" w:cs="黑体"/>
          <w:kern w:val="0"/>
          <w:sz w:val="32"/>
          <w:szCs w:val="32"/>
          <w:lang w:val="en-US" w:eastAsia="zh-CN"/>
        </w:rPr>
        <w:t>2</w:t>
      </w:r>
    </w:p>
    <w:p w14:paraId="115837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0"/>
          <w:sz w:val="32"/>
          <w:szCs w:val="32"/>
          <w:lang w:val="en-US" w:eastAsia="zh-CN"/>
        </w:rPr>
      </w:pPr>
    </w:p>
    <w:p w14:paraId="5343DE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44"/>
          <w:szCs w:val="44"/>
        </w:rPr>
      </w:pPr>
      <w:r>
        <w:rPr>
          <w:rFonts w:hint="eastAsia" w:ascii="Times New Roman" w:hAnsi="Times New Roman" w:eastAsia="宋体" w:cs="宋体"/>
          <w:kern w:val="0"/>
          <w:sz w:val="44"/>
          <w:szCs w:val="44"/>
        </w:rPr>
        <w:t>2025</w:t>
      </w:r>
      <w:r>
        <w:rPr>
          <w:rFonts w:hint="eastAsia" w:ascii="宋体" w:hAnsi="宋体" w:eastAsia="宋体" w:cs="宋体"/>
          <w:kern w:val="0"/>
          <w:sz w:val="44"/>
          <w:szCs w:val="44"/>
        </w:rPr>
        <w:t>年</w:t>
      </w:r>
      <w:r>
        <w:rPr>
          <w:rFonts w:hint="eastAsia" w:ascii="宋体" w:hAnsi="宋体" w:eastAsia="宋体" w:cs="宋体"/>
          <w:kern w:val="0"/>
          <w:sz w:val="44"/>
          <w:szCs w:val="44"/>
          <w:lang w:eastAsia="zh-CN"/>
        </w:rPr>
        <w:t>鹿寨县</w:t>
      </w:r>
      <w:r>
        <w:rPr>
          <w:rFonts w:hint="eastAsia" w:ascii="宋体" w:hAnsi="宋体" w:eastAsia="宋体" w:cs="宋体"/>
          <w:kern w:val="0"/>
          <w:sz w:val="44"/>
          <w:szCs w:val="44"/>
        </w:rPr>
        <w:t>种植</w:t>
      </w:r>
      <w:bookmarkStart w:id="0" w:name="_GoBack"/>
      <w:bookmarkEnd w:id="0"/>
      <w:r>
        <w:rPr>
          <w:rFonts w:hint="eastAsia" w:ascii="宋体" w:hAnsi="宋体" w:eastAsia="宋体" w:cs="宋体"/>
          <w:kern w:val="0"/>
          <w:sz w:val="44"/>
          <w:szCs w:val="44"/>
        </w:rPr>
        <w:t>业产品质量安全</w:t>
      </w:r>
    </w:p>
    <w:p w14:paraId="205099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44"/>
          <w:szCs w:val="44"/>
        </w:rPr>
      </w:pPr>
      <w:r>
        <w:rPr>
          <w:rFonts w:hint="eastAsia" w:ascii="宋体" w:hAnsi="宋体" w:eastAsia="宋体" w:cs="宋体"/>
          <w:kern w:val="0"/>
          <w:sz w:val="44"/>
          <w:szCs w:val="44"/>
        </w:rPr>
        <w:t>例行监测（风险监测）实施方案</w:t>
      </w:r>
    </w:p>
    <w:p w14:paraId="1EE20E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kern w:val="0"/>
          <w:sz w:val="44"/>
          <w:szCs w:val="44"/>
        </w:rPr>
      </w:pPr>
    </w:p>
    <w:p w14:paraId="0B99C3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kern w:val="0"/>
          <w:sz w:val="32"/>
          <w:szCs w:val="32"/>
        </w:rPr>
        <w:t>根据《</w:t>
      </w:r>
      <w:r>
        <w:rPr>
          <w:rFonts w:hint="eastAsia" w:ascii="Times New Roman" w:hAnsi="Times New Roman" w:eastAsia="仿宋_GB2312" w:cs="仿宋_GB2312"/>
          <w:bCs/>
          <w:color w:val="auto"/>
          <w:kern w:val="0"/>
          <w:sz w:val="32"/>
          <w:szCs w:val="32"/>
          <w:lang w:val="en-US" w:eastAsia="zh-CN"/>
        </w:rPr>
        <w:t>2025</w:t>
      </w:r>
      <w:r>
        <w:rPr>
          <w:rFonts w:hint="eastAsia" w:ascii="仿宋_GB2312" w:hAnsi="仿宋_GB2312" w:eastAsia="仿宋_GB2312" w:cs="仿宋_GB2312"/>
          <w:bCs/>
          <w:color w:val="auto"/>
          <w:kern w:val="0"/>
          <w:sz w:val="32"/>
          <w:szCs w:val="32"/>
          <w:lang w:val="en-US" w:eastAsia="zh-CN"/>
        </w:rPr>
        <w:t>年柳州市种植业产品质量安全例行监测（风险监测）实施方案</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000000"/>
          <w:kern w:val="0"/>
          <w:sz w:val="32"/>
          <w:szCs w:val="32"/>
          <w:lang w:eastAsia="zh-CN"/>
        </w:rPr>
        <w:t>（柳农政发〔</w:t>
      </w:r>
      <w:r>
        <w:rPr>
          <w:rFonts w:hint="eastAsia" w:ascii="Times New Roman" w:hAnsi="Times New Roman" w:eastAsia="仿宋_GB2312" w:cs="仿宋_GB2312"/>
          <w:bCs/>
          <w:color w:val="000000"/>
          <w:kern w:val="0"/>
          <w:sz w:val="32"/>
          <w:szCs w:val="32"/>
          <w:lang w:eastAsia="zh-CN"/>
        </w:rPr>
        <w:t>202</w:t>
      </w:r>
      <w:r>
        <w:rPr>
          <w:rFonts w:hint="eastAsia" w:ascii="Times New Roman" w:hAnsi="Times New Roman" w:eastAsia="仿宋_GB2312" w:cs="仿宋_GB2312"/>
          <w:bCs/>
          <w:color w:val="000000"/>
          <w:kern w:val="0"/>
          <w:sz w:val="32"/>
          <w:szCs w:val="32"/>
          <w:lang w:val="en-US" w:eastAsia="zh-CN"/>
        </w:rPr>
        <w:t>5</w:t>
      </w:r>
      <w:r>
        <w:rPr>
          <w:rFonts w:hint="eastAsia" w:ascii="仿宋_GB2312" w:hAnsi="仿宋_GB2312" w:eastAsia="仿宋_GB2312" w:cs="仿宋_GB2312"/>
          <w:bCs/>
          <w:color w:val="000000"/>
          <w:kern w:val="0"/>
          <w:sz w:val="32"/>
          <w:szCs w:val="32"/>
          <w:lang w:eastAsia="zh-CN"/>
        </w:rPr>
        <w:t>〕</w:t>
      </w:r>
      <w:r>
        <w:rPr>
          <w:rFonts w:hint="eastAsia" w:ascii="Times New Roman" w:hAnsi="Times New Roman" w:eastAsia="仿宋_GB2312" w:cs="仿宋_GB2312"/>
          <w:bCs/>
          <w:color w:val="000000"/>
          <w:kern w:val="0"/>
          <w:sz w:val="32"/>
          <w:szCs w:val="32"/>
          <w:lang w:val="en-US" w:eastAsia="zh-CN"/>
        </w:rPr>
        <w:t>12</w:t>
      </w:r>
      <w:r>
        <w:rPr>
          <w:rFonts w:hint="eastAsia" w:ascii="仿宋_GB2312" w:hAnsi="仿宋_GB2312" w:eastAsia="仿宋_GB2312" w:cs="仿宋_GB2312"/>
          <w:bCs/>
          <w:color w:val="000000"/>
          <w:kern w:val="0"/>
          <w:sz w:val="32"/>
          <w:szCs w:val="32"/>
          <w:lang w:eastAsia="zh-CN"/>
        </w:rPr>
        <w:t>号）</w:t>
      </w:r>
      <w:r>
        <w:rPr>
          <w:rFonts w:hint="eastAsia" w:ascii="仿宋_GB2312" w:hAnsi="仿宋_GB2312" w:eastAsia="仿宋_GB2312" w:cs="仿宋_GB2312"/>
          <w:bCs/>
          <w:color w:val="auto"/>
          <w:kern w:val="0"/>
          <w:sz w:val="32"/>
          <w:szCs w:val="32"/>
          <w:lang w:eastAsia="zh-CN"/>
        </w:rPr>
        <w:t>的</w:t>
      </w:r>
      <w:r>
        <w:rPr>
          <w:rFonts w:hint="eastAsia" w:ascii="仿宋_GB2312" w:hAnsi="仿宋_GB2312" w:eastAsia="仿宋_GB2312" w:cs="仿宋_GB2312"/>
          <w:bCs/>
          <w:color w:val="auto"/>
          <w:kern w:val="0"/>
          <w:sz w:val="32"/>
          <w:szCs w:val="32"/>
        </w:rPr>
        <w:t>文件精神，</w:t>
      </w:r>
      <w:r>
        <w:rPr>
          <w:rFonts w:hint="eastAsia" w:ascii="仿宋_GB2312" w:hAnsi="仿宋_GB2312" w:eastAsia="仿宋_GB2312" w:cs="仿宋_GB2312"/>
          <w:bCs/>
          <w:color w:val="auto"/>
          <w:kern w:val="0"/>
          <w:sz w:val="32"/>
          <w:szCs w:val="32"/>
          <w:lang w:eastAsia="zh-CN"/>
        </w:rPr>
        <w:t>结合我县实际，</w:t>
      </w:r>
      <w:r>
        <w:rPr>
          <w:rFonts w:hint="eastAsia" w:ascii="仿宋_GB2312" w:hAnsi="仿宋_GB2312" w:eastAsia="仿宋_GB2312" w:cs="仿宋_GB2312"/>
          <w:bCs/>
          <w:color w:val="auto"/>
          <w:kern w:val="0"/>
          <w:sz w:val="32"/>
          <w:szCs w:val="32"/>
        </w:rPr>
        <w:t>制定本方案</w:t>
      </w:r>
      <w:r>
        <w:rPr>
          <w:rFonts w:hint="eastAsia" w:ascii="仿宋_GB2312" w:hAnsi="仿宋_GB2312" w:eastAsia="仿宋_GB2312" w:cs="仿宋_GB2312"/>
          <w:color w:val="auto"/>
          <w:kern w:val="0"/>
          <w:sz w:val="32"/>
          <w:szCs w:val="32"/>
        </w:rPr>
        <w:t>。</w:t>
      </w:r>
    </w:p>
    <w:p w14:paraId="59867E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一、监测任务</w:t>
      </w:r>
    </w:p>
    <w:p w14:paraId="7C97A2A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Cs/>
          <w:color w:val="auto"/>
          <w:kern w:val="0"/>
          <w:sz w:val="32"/>
          <w:szCs w:val="32"/>
        </w:rPr>
      </w:pPr>
      <w:r>
        <w:rPr>
          <w:rFonts w:hint="eastAsia" w:ascii="楷体_GB2312" w:hAnsi="楷体_GB2312" w:eastAsia="楷体_GB2312" w:cs="楷体_GB2312"/>
          <w:b/>
          <w:bCs w:val="0"/>
          <w:color w:val="auto"/>
          <w:kern w:val="0"/>
          <w:sz w:val="32"/>
          <w:szCs w:val="32"/>
        </w:rPr>
        <w:t>（一）例行（风险）监测。</w:t>
      </w:r>
      <w:r>
        <w:rPr>
          <w:rFonts w:hint="eastAsia" w:ascii="Times New Roman" w:hAnsi="Times New Roman" w:eastAsia="仿宋_GB2312"/>
          <w:bCs/>
          <w:color w:val="auto"/>
          <w:kern w:val="0"/>
          <w:sz w:val="32"/>
          <w:szCs w:val="32"/>
        </w:rPr>
        <w:t>202</w:t>
      </w:r>
      <w:r>
        <w:rPr>
          <w:rFonts w:hint="eastAsia" w:ascii="Times New Roman" w:hAnsi="Times New Roman" w:eastAsia="仿宋_GB2312"/>
          <w:bCs/>
          <w:color w:val="auto"/>
          <w:kern w:val="0"/>
          <w:sz w:val="32"/>
          <w:szCs w:val="32"/>
          <w:lang w:val="en-US" w:eastAsia="zh-CN"/>
        </w:rPr>
        <w:t>5</w:t>
      </w:r>
      <w:r>
        <w:rPr>
          <w:rFonts w:hint="eastAsia" w:ascii="仿宋_GB2312" w:eastAsia="仿宋_GB2312"/>
          <w:bCs/>
          <w:color w:val="auto"/>
          <w:kern w:val="0"/>
          <w:sz w:val="32"/>
          <w:szCs w:val="32"/>
        </w:rPr>
        <w:t>年</w:t>
      </w:r>
      <w:r>
        <w:rPr>
          <w:rFonts w:hint="eastAsia" w:ascii="仿宋_GB2312" w:eastAsia="仿宋_GB2312"/>
          <w:bCs/>
          <w:color w:val="auto"/>
          <w:kern w:val="0"/>
          <w:sz w:val="32"/>
          <w:szCs w:val="32"/>
          <w:lang w:eastAsia="zh-CN"/>
        </w:rPr>
        <w:t>全县</w:t>
      </w:r>
      <w:r>
        <w:rPr>
          <w:rFonts w:hint="eastAsia" w:ascii="仿宋_GB2312" w:eastAsia="仿宋_GB2312"/>
          <w:bCs/>
          <w:color w:val="auto"/>
          <w:kern w:val="0"/>
          <w:sz w:val="32"/>
          <w:szCs w:val="32"/>
        </w:rPr>
        <w:t>共</w:t>
      </w:r>
      <w:r>
        <w:rPr>
          <w:rFonts w:hint="eastAsia" w:ascii="仿宋_GB2312" w:eastAsia="仿宋_GB2312"/>
          <w:bCs/>
          <w:color w:val="auto"/>
          <w:kern w:val="0"/>
          <w:sz w:val="32"/>
          <w:szCs w:val="32"/>
          <w:lang w:eastAsia="zh-CN"/>
        </w:rPr>
        <w:t>承担</w:t>
      </w:r>
      <w:r>
        <w:rPr>
          <w:rFonts w:hint="eastAsia" w:ascii="Times New Roman" w:hAnsi="Times New Roman" w:eastAsia="仿宋_GB2312"/>
          <w:bCs/>
          <w:color w:val="000000" w:themeColor="text1"/>
          <w:kern w:val="0"/>
          <w:sz w:val="32"/>
          <w:szCs w:val="32"/>
          <w:lang w:val="en-US" w:eastAsia="zh-CN"/>
          <w14:textFill>
            <w14:solidFill>
              <w14:schemeClr w14:val="tx1"/>
            </w14:solidFill>
          </w14:textFill>
        </w:rPr>
        <w:t>1437</w:t>
      </w:r>
      <w:r>
        <w:rPr>
          <w:rFonts w:hint="eastAsia" w:ascii="仿宋_GB2312" w:eastAsia="仿宋_GB2312"/>
          <w:bCs/>
          <w:color w:val="auto"/>
          <w:kern w:val="0"/>
          <w:sz w:val="32"/>
          <w:szCs w:val="32"/>
        </w:rPr>
        <w:t>个样本的农产品质量安全</w:t>
      </w:r>
      <w:r>
        <w:rPr>
          <w:rFonts w:hint="eastAsia" w:ascii="仿宋_GB2312" w:eastAsia="仿宋_GB2312"/>
          <w:bCs/>
          <w:color w:val="auto"/>
          <w:kern w:val="0"/>
          <w:sz w:val="32"/>
          <w:szCs w:val="32"/>
          <w:lang w:eastAsia="zh-CN"/>
        </w:rPr>
        <w:t>例行（风险）</w:t>
      </w:r>
      <w:r>
        <w:rPr>
          <w:rFonts w:hint="eastAsia" w:ascii="仿宋_GB2312" w:eastAsia="仿宋_GB2312"/>
          <w:bCs/>
          <w:color w:val="auto"/>
          <w:kern w:val="0"/>
          <w:sz w:val="32"/>
          <w:szCs w:val="32"/>
        </w:rPr>
        <w:t>监测任务，其中：</w:t>
      </w:r>
      <w:r>
        <w:rPr>
          <w:rFonts w:hint="eastAsia" w:ascii="仿宋_GB2312" w:eastAsia="仿宋_GB2312"/>
          <w:bCs/>
          <w:color w:val="auto"/>
          <w:kern w:val="0"/>
          <w:sz w:val="32"/>
          <w:szCs w:val="32"/>
          <w:lang w:eastAsia="zh-CN"/>
        </w:rPr>
        <w:t>自治区、市级定量监测</w:t>
      </w:r>
      <w:r>
        <w:rPr>
          <w:rFonts w:hint="eastAsia" w:ascii="Times New Roman" w:hAnsi="Times New Roman" w:eastAsia="仿宋_GB2312" w:cs="Times New Roman"/>
          <w:bCs/>
          <w:color w:val="auto"/>
          <w:kern w:val="0"/>
          <w:sz w:val="32"/>
          <w:szCs w:val="32"/>
          <w:lang w:val="en-US" w:eastAsia="zh-CN"/>
        </w:rPr>
        <w:t>649</w:t>
      </w:r>
      <w:r>
        <w:rPr>
          <w:rFonts w:hint="eastAsia" w:ascii="仿宋_GB2312" w:eastAsia="仿宋_GB2312"/>
          <w:bCs/>
          <w:color w:val="auto"/>
          <w:kern w:val="0"/>
          <w:sz w:val="32"/>
          <w:szCs w:val="32"/>
          <w:lang w:val="en-US" w:eastAsia="zh-CN"/>
        </w:rPr>
        <w:t>份，专项监测</w:t>
      </w:r>
      <w:r>
        <w:rPr>
          <w:rFonts w:hint="eastAsia" w:ascii="Times New Roman" w:hAnsi="Times New Roman" w:eastAsia="仿宋_GB2312"/>
          <w:bCs/>
          <w:color w:val="auto"/>
          <w:kern w:val="0"/>
          <w:sz w:val="32"/>
          <w:szCs w:val="32"/>
          <w:lang w:val="en-US" w:eastAsia="zh-CN"/>
        </w:rPr>
        <w:t>43</w:t>
      </w:r>
      <w:r>
        <w:rPr>
          <w:rFonts w:hint="eastAsia" w:ascii="仿宋_GB2312" w:eastAsia="仿宋_GB2312"/>
          <w:bCs/>
          <w:color w:val="auto"/>
          <w:kern w:val="0"/>
          <w:sz w:val="32"/>
          <w:szCs w:val="32"/>
          <w:lang w:val="en-US" w:eastAsia="zh-CN"/>
        </w:rPr>
        <w:t>份，县级定量监测</w:t>
      </w:r>
      <w:r>
        <w:rPr>
          <w:rFonts w:hint="eastAsia" w:ascii="Times New Roman" w:hAnsi="Times New Roman" w:eastAsia="仿宋_GB2312"/>
          <w:bCs/>
          <w:color w:val="auto"/>
          <w:kern w:val="0"/>
          <w:sz w:val="32"/>
          <w:szCs w:val="32"/>
          <w:lang w:val="en-US" w:eastAsia="zh-CN"/>
        </w:rPr>
        <w:t>145</w:t>
      </w:r>
      <w:r>
        <w:rPr>
          <w:rFonts w:hint="eastAsia" w:ascii="仿宋_GB2312" w:eastAsia="仿宋_GB2312"/>
          <w:bCs/>
          <w:color w:val="auto"/>
          <w:kern w:val="0"/>
          <w:sz w:val="32"/>
          <w:szCs w:val="32"/>
          <w:lang w:val="en-US" w:eastAsia="zh-CN"/>
        </w:rPr>
        <w:t>份，县乡</w:t>
      </w:r>
      <w:r>
        <w:rPr>
          <w:rFonts w:hint="eastAsia" w:ascii="仿宋_GB2312" w:eastAsia="仿宋_GB2312"/>
          <w:bCs/>
          <w:color w:val="auto"/>
          <w:kern w:val="0"/>
          <w:sz w:val="32"/>
          <w:szCs w:val="32"/>
        </w:rPr>
        <w:t>快速检测法监测</w:t>
      </w:r>
      <w:r>
        <w:rPr>
          <w:rFonts w:hint="eastAsia" w:ascii="Times New Roman" w:hAnsi="Times New Roman" w:eastAsia="仿宋_GB2312"/>
          <w:bCs/>
          <w:color w:val="auto"/>
          <w:kern w:val="0"/>
          <w:sz w:val="32"/>
          <w:szCs w:val="32"/>
          <w:lang w:val="en-US" w:eastAsia="zh-CN"/>
        </w:rPr>
        <w:t>600</w:t>
      </w:r>
      <w:r>
        <w:rPr>
          <w:rFonts w:hint="eastAsia" w:ascii="仿宋_GB2312" w:eastAsia="仿宋_GB2312"/>
          <w:bCs/>
          <w:color w:val="auto"/>
          <w:kern w:val="0"/>
          <w:sz w:val="32"/>
          <w:szCs w:val="32"/>
          <w:lang w:eastAsia="zh-CN"/>
        </w:rPr>
        <w:t>份</w:t>
      </w:r>
      <w:r>
        <w:rPr>
          <w:rFonts w:hint="eastAsia" w:ascii="仿宋_GB2312" w:eastAsia="仿宋_GB2312"/>
          <w:bCs/>
          <w:color w:val="auto"/>
          <w:kern w:val="0"/>
          <w:sz w:val="32"/>
          <w:szCs w:val="32"/>
        </w:rPr>
        <w:t>。具体监测任务详见附件。</w:t>
      </w:r>
    </w:p>
    <w:p w14:paraId="42724B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二、实施单位</w:t>
      </w:r>
    </w:p>
    <w:p w14:paraId="7552B1C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lang w:eastAsia="zh-CN"/>
        </w:rPr>
      </w:pPr>
      <w:r>
        <w:rPr>
          <w:rFonts w:hint="eastAsia" w:ascii="楷体_GB2312" w:hAnsi="楷体_GB2312" w:eastAsia="楷体_GB2312" w:cs="楷体_GB2312"/>
          <w:b/>
          <w:bCs/>
          <w:color w:val="auto"/>
          <w:sz w:val="32"/>
          <w:szCs w:val="32"/>
          <w:lang w:eastAsia="zh-CN"/>
        </w:rPr>
        <w:t>（一）定量检测。</w:t>
      </w:r>
      <w:r>
        <w:rPr>
          <w:rFonts w:hint="eastAsia" w:ascii="仿宋_GB2312" w:eastAsia="仿宋_GB2312"/>
          <w:bCs/>
          <w:color w:val="auto"/>
          <w:kern w:val="0"/>
          <w:sz w:val="32"/>
          <w:szCs w:val="32"/>
          <w:lang w:eastAsia="zh-CN"/>
        </w:rPr>
        <w:t>区、市、县级定量检测任务由鹿寨县农产品质量安全监督站及全县各乡镇具体实施</w:t>
      </w:r>
      <w:r>
        <w:rPr>
          <w:rFonts w:hint="eastAsia" w:eastAsia="仿宋_GB2312"/>
          <w:color w:val="auto"/>
          <w:sz w:val="32"/>
          <w:szCs w:val="32"/>
          <w:lang w:eastAsia="zh-CN"/>
        </w:rPr>
        <w:t>，且各级定量检测抽检样品覆盖全县</w:t>
      </w:r>
      <w:r>
        <w:rPr>
          <w:rFonts w:hint="eastAsia" w:ascii="Times New Roman" w:hAnsi="Times New Roman" w:eastAsia="仿宋_GB2312"/>
          <w:color w:val="auto"/>
          <w:sz w:val="32"/>
          <w:szCs w:val="32"/>
          <w:lang w:val="en-US" w:eastAsia="zh-CN"/>
        </w:rPr>
        <w:t>9</w:t>
      </w:r>
      <w:r>
        <w:rPr>
          <w:rFonts w:hint="eastAsia" w:eastAsia="仿宋_GB2312"/>
          <w:color w:val="auto"/>
          <w:sz w:val="32"/>
          <w:szCs w:val="32"/>
          <w:lang w:val="en-US" w:eastAsia="zh-CN"/>
        </w:rPr>
        <w:t>个乡镇</w:t>
      </w:r>
      <w:r>
        <w:rPr>
          <w:rFonts w:hint="eastAsia" w:eastAsia="仿宋_GB2312"/>
          <w:color w:val="auto"/>
          <w:sz w:val="32"/>
          <w:szCs w:val="32"/>
          <w:lang w:eastAsia="zh-CN"/>
        </w:rPr>
        <w:t>（具体详见附件）。</w:t>
      </w:r>
    </w:p>
    <w:p w14:paraId="12DB28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auto"/>
          <w:sz w:val="32"/>
          <w:szCs w:val="32"/>
          <w:lang w:eastAsia="zh-CN"/>
        </w:rPr>
        <w:t>（二）快速检测</w:t>
      </w:r>
      <w:r>
        <w:rPr>
          <w:rFonts w:hint="eastAsia" w:ascii="楷体" w:hAnsi="楷体" w:eastAsia="楷体" w:cs="楷体"/>
          <w:b/>
          <w:bCs/>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快速检测由县</w:t>
      </w:r>
      <w:r>
        <w:rPr>
          <w:rFonts w:hint="eastAsia" w:ascii="仿宋_GB2312" w:eastAsia="仿宋_GB2312"/>
          <w:color w:val="000000" w:themeColor="text1"/>
          <w:sz w:val="32"/>
          <w:szCs w:val="32"/>
          <w:lang w:eastAsia="zh-CN"/>
          <w14:textFill>
            <w14:solidFill>
              <w14:schemeClr w14:val="tx1"/>
            </w14:solidFill>
          </w14:textFill>
        </w:rPr>
        <w:t>农产品质量安全监督站</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各</w:t>
      </w:r>
      <w:r>
        <w:rPr>
          <w:rFonts w:hint="eastAsia" w:ascii="仿宋_GB2312" w:eastAsia="仿宋_GB2312"/>
          <w:color w:val="000000" w:themeColor="text1"/>
          <w:sz w:val="32"/>
          <w:szCs w:val="32"/>
          <w14:textFill>
            <w14:solidFill>
              <w14:schemeClr w14:val="tx1"/>
            </w14:solidFill>
          </w14:textFill>
        </w:rPr>
        <w:t>乡镇实施。</w:t>
      </w:r>
      <w:r>
        <w:rPr>
          <w:rFonts w:hint="eastAsia" w:ascii="仿宋_GB2312" w:eastAsia="仿宋_GB2312"/>
          <w:color w:val="000000" w:themeColor="text1"/>
          <w:sz w:val="32"/>
          <w:szCs w:val="32"/>
          <w:lang w:eastAsia="zh-CN"/>
          <w14:textFill>
            <w14:solidFill>
              <w14:schemeClr w14:val="tx1"/>
            </w14:solidFill>
          </w14:textFill>
        </w:rPr>
        <w:t>其中县农产品质量安全监督站监测上级要求监测品种</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乡镇</w:t>
      </w:r>
      <w:r>
        <w:rPr>
          <w:rFonts w:hint="eastAsia" w:ascii="仿宋_GB2312" w:eastAsia="仿宋_GB2312"/>
          <w:color w:val="000000" w:themeColor="text1"/>
          <w:sz w:val="32"/>
          <w:szCs w:val="32"/>
          <w:lang w:eastAsia="zh-CN"/>
          <w14:textFill>
            <w14:solidFill>
              <w14:schemeClr w14:val="tx1"/>
            </w14:solidFill>
          </w14:textFill>
        </w:rPr>
        <w:t>监测重点品种</w:t>
      </w:r>
      <w:r>
        <w:rPr>
          <w:rFonts w:hint="eastAsia" w:eastAsia="仿宋_GB2312"/>
          <w:color w:val="000000" w:themeColor="text1"/>
          <w:sz w:val="32"/>
          <w:szCs w:val="32"/>
          <w:lang w:eastAsia="zh-CN"/>
          <w14:textFill>
            <w14:solidFill>
              <w14:schemeClr w14:val="tx1"/>
            </w14:solidFill>
          </w14:textFill>
        </w:rPr>
        <w:t>（具体详见附件）</w:t>
      </w:r>
      <w:r>
        <w:rPr>
          <w:rFonts w:hint="eastAsia" w:ascii="仿宋_GB2312" w:eastAsia="仿宋_GB2312"/>
          <w:color w:val="000000" w:themeColor="text1"/>
          <w:sz w:val="32"/>
          <w:szCs w:val="32"/>
          <w14:textFill>
            <w14:solidFill>
              <w14:schemeClr w14:val="tx1"/>
            </w14:solidFill>
          </w14:textFill>
        </w:rPr>
        <w:t>。</w:t>
      </w:r>
    </w:p>
    <w:p w14:paraId="41D17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eastAsia="黑体"/>
          <w:sz w:val="32"/>
          <w:szCs w:val="32"/>
        </w:rPr>
      </w:pPr>
      <w:r>
        <w:rPr>
          <w:rFonts w:eastAsia="黑体"/>
          <w:sz w:val="32"/>
          <w:szCs w:val="32"/>
        </w:rPr>
        <w:t>三、监测地点</w:t>
      </w:r>
    </w:p>
    <w:p w14:paraId="733B48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 w:val="32"/>
          <w:szCs w:val="32"/>
        </w:rPr>
      </w:pPr>
      <w:r>
        <w:rPr>
          <w:rFonts w:hint="eastAsia" w:ascii="仿宋_GB2312" w:eastAsia="仿宋_GB2312"/>
          <w:color w:val="auto"/>
          <w:sz w:val="32"/>
          <w:szCs w:val="32"/>
        </w:rPr>
        <w:t>快速检测地点由县</w:t>
      </w:r>
      <w:r>
        <w:rPr>
          <w:rFonts w:hint="eastAsia" w:ascii="仿宋_GB2312" w:eastAsia="仿宋_GB2312"/>
          <w:color w:val="auto"/>
          <w:sz w:val="32"/>
          <w:szCs w:val="32"/>
          <w:lang w:eastAsia="zh-CN"/>
        </w:rPr>
        <w:t>级和各乡镇监管部门</w:t>
      </w:r>
      <w:r>
        <w:rPr>
          <w:rFonts w:hint="eastAsia" w:ascii="仿宋_GB2312" w:eastAsia="仿宋_GB2312"/>
          <w:color w:val="auto"/>
          <w:sz w:val="32"/>
          <w:szCs w:val="32"/>
        </w:rPr>
        <w:t>在辖区范围内确定，</w:t>
      </w:r>
      <w:r>
        <w:rPr>
          <w:rFonts w:hint="eastAsia" w:eastAsia="仿宋_GB2312"/>
          <w:color w:val="auto"/>
          <w:sz w:val="32"/>
          <w:szCs w:val="32"/>
        </w:rPr>
        <w:t>要突出地域特色，针对当地当季上市农产品重点抽检，要完善随机抽样，扩大抽检覆盖面，避免出现一地多抽而其他主体没抽到的情况</w:t>
      </w:r>
      <w:r>
        <w:rPr>
          <w:rFonts w:hint="eastAsia" w:ascii="仿宋_GB2312" w:eastAsia="仿宋_GB2312"/>
          <w:color w:val="auto"/>
          <w:sz w:val="32"/>
          <w:szCs w:val="32"/>
        </w:rPr>
        <w:t>。</w:t>
      </w:r>
      <w:r>
        <w:rPr>
          <w:rFonts w:hint="eastAsia" w:ascii="仿宋_GB2312" w:eastAsia="仿宋_GB2312"/>
          <w:color w:val="auto"/>
          <w:sz w:val="32"/>
          <w:szCs w:val="32"/>
          <w:lang w:eastAsia="zh-CN"/>
        </w:rPr>
        <w:t>各乡镇</w:t>
      </w:r>
      <w:r>
        <w:rPr>
          <w:rFonts w:hint="eastAsia" w:eastAsia="仿宋_GB2312"/>
          <w:color w:val="auto"/>
          <w:sz w:val="32"/>
          <w:szCs w:val="32"/>
        </w:rPr>
        <w:t>要按照监测方案的规定和要求，</w:t>
      </w:r>
      <w:r>
        <w:rPr>
          <w:rFonts w:hint="eastAsia" w:eastAsia="仿宋_GB2312"/>
          <w:color w:val="auto"/>
          <w:sz w:val="32"/>
          <w:szCs w:val="32"/>
          <w:lang w:eastAsia="zh-CN"/>
        </w:rPr>
        <w:t>结合区、市、县级</w:t>
      </w:r>
      <w:r>
        <w:rPr>
          <w:rFonts w:hint="eastAsia" w:ascii="仿宋_GB2312" w:eastAsia="仿宋_GB2312"/>
          <w:color w:val="auto"/>
          <w:sz w:val="32"/>
          <w:szCs w:val="32"/>
          <w:lang w:eastAsia="zh-CN"/>
        </w:rPr>
        <w:t>每</w:t>
      </w:r>
      <w:r>
        <w:rPr>
          <w:rFonts w:hint="eastAsia" w:eastAsia="仿宋_GB2312"/>
          <w:color w:val="auto"/>
          <w:sz w:val="32"/>
          <w:szCs w:val="32"/>
          <w:lang w:eastAsia="zh-CN"/>
        </w:rPr>
        <w:t>阶段</w:t>
      </w:r>
      <w:r>
        <w:rPr>
          <w:rFonts w:hint="eastAsia" w:ascii="仿宋_GB2312" w:eastAsia="仿宋_GB2312"/>
          <w:color w:val="auto"/>
          <w:sz w:val="32"/>
          <w:szCs w:val="32"/>
          <w:lang w:eastAsia="zh-CN"/>
        </w:rPr>
        <w:t>下达的定量</w:t>
      </w:r>
      <w:r>
        <w:rPr>
          <w:rFonts w:hint="eastAsia" w:ascii="仿宋_GB2312" w:eastAsia="仿宋_GB2312"/>
          <w:color w:val="auto"/>
          <w:sz w:val="32"/>
          <w:szCs w:val="32"/>
        </w:rPr>
        <w:t>检测抽样</w:t>
      </w:r>
      <w:r>
        <w:rPr>
          <w:rFonts w:hint="eastAsia" w:eastAsia="仿宋_GB2312"/>
          <w:color w:val="auto"/>
          <w:sz w:val="32"/>
          <w:szCs w:val="32"/>
          <w:lang w:eastAsia="zh-CN"/>
        </w:rPr>
        <w:t>任务，及时完成抽样送检工作；按时开展快速例行检测工作，</w:t>
      </w:r>
      <w:r>
        <w:rPr>
          <w:rFonts w:hint="eastAsia" w:eastAsia="仿宋_GB2312"/>
          <w:color w:val="auto"/>
          <w:sz w:val="32"/>
          <w:szCs w:val="32"/>
        </w:rPr>
        <w:t>确保监测工作顺利完成。</w:t>
      </w:r>
    </w:p>
    <w:p w14:paraId="7F75B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四、抽样环节</w:t>
      </w:r>
    </w:p>
    <w:p w14:paraId="16C8A9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定量检测</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快速检测</w:t>
      </w:r>
      <w:r>
        <w:rPr>
          <w:rFonts w:hint="eastAsia" w:ascii="仿宋_GB2312" w:hAnsi="仿宋_GB2312" w:eastAsia="仿宋_GB2312" w:cs="仿宋_GB2312"/>
          <w:b w:val="0"/>
          <w:bCs w:val="0"/>
          <w:color w:val="auto"/>
          <w:sz w:val="32"/>
          <w:szCs w:val="32"/>
          <w:lang w:eastAsia="zh-CN"/>
        </w:rPr>
        <w:t>重点</w:t>
      </w:r>
      <w:r>
        <w:rPr>
          <w:rFonts w:hint="eastAsia" w:ascii="仿宋_GB2312" w:hAnsi="仿宋_GB2312" w:eastAsia="仿宋_GB2312" w:cs="仿宋_GB2312"/>
          <w:color w:val="auto"/>
          <w:sz w:val="32"/>
          <w:szCs w:val="32"/>
          <w:lang w:eastAsia="zh-CN"/>
        </w:rPr>
        <w:t>在本辖区</w:t>
      </w:r>
      <w:r>
        <w:rPr>
          <w:rFonts w:hint="eastAsia" w:ascii="仿宋_GB2312" w:hAnsi="仿宋_GB2312" w:eastAsia="仿宋_GB2312" w:cs="仿宋_GB2312"/>
          <w:color w:val="auto"/>
          <w:sz w:val="32"/>
          <w:szCs w:val="32"/>
        </w:rPr>
        <w:t>生产基地（种植基地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农民专业合作社和家庭农场</w:t>
      </w:r>
      <w:r>
        <w:rPr>
          <w:rFonts w:hint="eastAsia" w:ascii="仿宋_GB2312" w:hAnsi="仿宋_GB2312" w:eastAsia="仿宋_GB2312" w:cs="仿宋_GB2312"/>
          <w:color w:val="auto"/>
          <w:sz w:val="32"/>
          <w:szCs w:val="32"/>
          <w:lang w:eastAsia="zh-CN"/>
        </w:rPr>
        <w:t>及散户），对</w:t>
      </w:r>
      <w:r>
        <w:rPr>
          <w:rFonts w:hint="eastAsia" w:ascii="仿宋_GB2312" w:hAnsi="仿宋_GB2312" w:eastAsia="仿宋_GB2312" w:cs="仿宋_GB2312"/>
          <w:color w:val="auto"/>
          <w:sz w:val="32"/>
          <w:szCs w:val="32"/>
        </w:rPr>
        <w:t>上市的大宗蔬菜进行抽检</w:t>
      </w:r>
      <w:r>
        <w:rPr>
          <w:rFonts w:hint="eastAsia" w:ascii="仿宋_GB2312" w:hAnsi="仿宋_GB2312" w:eastAsia="仿宋_GB2312" w:cs="仿宋_GB2312"/>
          <w:color w:val="auto"/>
          <w:sz w:val="32"/>
          <w:szCs w:val="32"/>
          <w:lang w:eastAsia="zh-CN"/>
        </w:rPr>
        <w:t>。抽样时需了解生产基地的性质（散户、家庭农场、合作社或公司），并记录好抽样基地信息，抽样应当以本地生产品种为主，</w:t>
      </w:r>
      <w:r>
        <w:rPr>
          <w:rFonts w:hint="eastAsia" w:ascii="仿宋_GB2312" w:hAnsi="仿宋_GB2312" w:eastAsia="仿宋_GB2312" w:cs="仿宋_GB2312"/>
          <w:color w:val="auto"/>
          <w:sz w:val="32"/>
          <w:szCs w:val="32"/>
        </w:rPr>
        <w:t>各监测点应具有代表性，基本能反映当地生产、上市销售的蔬菜、水果质量安全水平状况。</w:t>
      </w:r>
    </w:p>
    <w:p w14:paraId="3BBB7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五、监测品种与比例</w:t>
      </w:r>
    </w:p>
    <w:p w14:paraId="43B53F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（一）监测品种</w:t>
      </w:r>
    </w:p>
    <w:p w14:paraId="25FE3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仿宋_GB2312" w:hAnsi="仿宋_GB2312" w:eastAsia="仿宋_GB2312" w:cs="仿宋_GB2312"/>
          <w:bCs/>
          <w:color w:val="auto"/>
          <w:kern w:val="0"/>
          <w:sz w:val="32"/>
          <w:szCs w:val="32"/>
        </w:rPr>
        <w:t>既要突出生产消费数量大的农产品，也要兼顾特色小宗作物。当地所有生产的“菜篮子”产品都要纳入例行监测范围，依据季节侧重时令蔬菜、水果品种作为监测对象。蔬菜抽检类别包括芸薹属类蔬菜</w:t>
      </w:r>
      <w:r>
        <w:rPr>
          <w:rFonts w:hint="eastAsia" w:ascii="仿宋_GB2312" w:hAnsi="仿宋_GB2312" w:eastAsia="仿宋_GB2312" w:cs="仿宋_GB2312"/>
          <w:bCs/>
          <w:color w:val="auto"/>
          <w:spacing w:val="0"/>
          <w:kern w:val="0"/>
          <w:sz w:val="32"/>
          <w:szCs w:val="32"/>
        </w:rPr>
        <w:t>（包括甘蓝、芥蓝、菜薹（菜心）茎芥菜）、叶菜类［蕹菜、芹菜、菠菜、叶芥菜、苦麦菜、叶用莴苣（生菜）、白菜类（即包括大白菜及小白菜、上海青、快菜等普通白菜）］、瓜类（包括黄瓜、苦瓜、丝瓜、西葫芦）、茄果类（包括番茄、辣椒、茄子、秋葵）、根茎和薯芋类（萝卜、姜、马铃薯、红薯、芋头）、水生类（包括水芹菜、豆瓣菜（西洋菜）、莲藕、荸荠、慈姑）、豆类［豇豆（即豆角）、食荚豌豆、菜豆］、食用菌（包括香菇、平菇、双孢蘑菇、金针菇、秀珍菇、黑木耳、茶树菇、杏鲍菇、草菇等，均为鲜品）、其它类（韭菜、葱、芫荽等）。水果抽检以当地产出品种为主，监测水果类别包括柑橘类（包括皇帝柑、蜜桔、砂糖橘、橙子、沃柑、柚子、金桔）、浆果类（包括葡萄、猕猴桃、草莓、西番莲）、热带和亚热带水果（包括香蕉、柿子、杨桃、龙眼、荔枝、芒果、黄皮、火龙果）、核果类（包括桃、李、枣）、仁果类（包括梨、山楂、枇杷等）</w:t>
      </w:r>
      <w:r>
        <w:rPr>
          <w:rFonts w:hint="eastAsia" w:ascii="仿宋_GB2312" w:hAnsi="仿宋_GB2312" w:eastAsia="仿宋_GB2312" w:cs="仿宋_GB2312"/>
          <w:bCs/>
          <w:color w:val="auto"/>
          <w:kern w:val="0"/>
          <w:sz w:val="32"/>
          <w:szCs w:val="32"/>
        </w:rPr>
        <w:t>。监测的品种可根据当地实际情况或产销季节作适当调整，既要包括当地所有生产产品，同时还需适当增加豇豆、韭菜、芹菜、柑橘等重点品种的比例。</w:t>
      </w:r>
    </w:p>
    <w:p w14:paraId="6D6C49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（二）抽样比例</w:t>
      </w:r>
    </w:p>
    <w:p w14:paraId="369A1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全年监测数量需在</w:t>
      </w:r>
      <w:r>
        <w:rPr>
          <w:rFonts w:hint="eastAsia" w:ascii="仿宋_GB2312" w:hAnsi="仿宋_GB2312" w:eastAsia="仿宋_GB2312" w:cs="仿宋_GB2312"/>
          <w:bCs/>
          <w:color w:val="auto"/>
          <w:kern w:val="0"/>
          <w:sz w:val="32"/>
          <w:szCs w:val="32"/>
          <w:lang w:eastAsia="zh-CN"/>
        </w:rPr>
        <w:t>各月份</w:t>
      </w:r>
      <w:r>
        <w:rPr>
          <w:rFonts w:hint="eastAsia" w:ascii="仿宋_GB2312" w:hAnsi="仿宋_GB2312" w:eastAsia="仿宋_GB2312" w:cs="仿宋_GB2312"/>
          <w:bCs/>
          <w:color w:val="auto"/>
          <w:kern w:val="0"/>
          <w:sz w:val="32"/>
          <w:szCs w:val="32"/>
        </w:rPr>
        <w:t>相对平均抽样，若某个</w:t>
      </w:r>
      <w:r>
        <w:rPr>
          <w:rFonts w:hint="eastAsia" w:ascii="仿宋_GB2312" w:hAnsi="仿宋_GB2312" w:eastAsia="仿宋_GB2312" w:cs="仿宋_GB2312"/>
          <w:bCs/>
          <w:color w:val="auto"/>
          <w:kern w:val="0"/>
          <w:sz w:val="32"/>
          <w:szCs w:val="32"/>
          <w:lang w:eastAsia="zh-CN"/>
        </w:rPr>
        <w:t>月份</w:t>
      </w:r>
      <w:r>
        <w:rPr>
          <w:rFonts w:hint="eastAsia" w:ascii="仿宋_GB2312" w:hAnsi="仿宋_GB2312" w:eastAsia="仿宋_GB2312" w:cs="仿宋_GB2312"/>
          <w:bCs/>
          <w:color w:val="auto"/>
          <w:kern w:val="0"/>
          <w:sz w:val="32"/>
          <w:szCs w:val="32"/>
        </w:rPr>
        <w:t>上市农产品较多的，可适当调配，调配率不高于</w:t>
      </w:r>
      <w:r>
        <w:rPr>
          <w:rFonts w:hint="eastAsia" w:ascii="Times New Roman" w:hAnsi="Times New Roman" w:eastAsia="仿宋_GB2312" w:cs="仿宋_GB2312"/>
          <w:bCs/>
          <w:color w:val="auto"/>
          <w:kern w:val="0"/>
          <w:sz w:val="32"/>
          <w:szCs w:val="32"/>
        </w:rPr>
        <w:t>20</w:t>
      </w:r>
      <w:r>
        <w:rPr>
          <w:rFonts w:hint="eastAsia" w:ascii="仿宋_GB2312" w:hAnsi="仿宋_GB2312" w:eastAsia="仿宋_GB2312" w:cs="仿宋_GB2312"/>
          <w:bCs/>
          <w:color w:val="auto"/>
          <w:kern w:val="0"/>
          <w:sz w:val="32"/>
          <w:szCs w:val="32"/>
        </w:rPr>
        <w:t>%，避免全部集中在任何某个季度全部完成。蔬菜、水果及其它抽样比例为</w:t>
      </w:r>
      <w:r>
        <w:rPr>
          <w:rFonts w:hint="eastAsia" w:ascii="Times New Roman" w:hAnsi="Times New Roman"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rPr>
        <w:t>，抽样环节在生产基地、运输车和批发市场的抽样比例为</w:t>
      </w:r>
      <w:r>
        <w:rPr>
          <w:rFonts w:hint="eastAsia" w:ascii="Times New Roman" w:hAnsi="Times New Roman" w:eastAsia="仿宋_GB2312" w:cs="仿宋_GB2312"/>
          <w:bCs/>
          <w:color w:val="auto"/>
          <w:kern w:val="0"/>
          <w:sz w:val="32"/>
          <w:szCs w:val="32"/>
        </w:rPr>
        <w:t>6</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2</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2</w:t>
      </w:r>
      <w:r>
        <w:rPr>
          <w:rFonts w:hint="eastAsia" w:ascii="仿宋_GB2312" w:hAnsi="仿宋_GB2312" w:eastAsia="仿宋_GB2312" w:cs="仿宋_GB2312"/>
          <w:bCs/>
          <w:color w:val="auto"/>
          <w:kern w:val="0"/>
          <w:sz w:val="32"/>
          <w:szCs w:val="32"/>
        </w:rPr>
        <w:t>，每个生产基地同期同种蔬菜、水果及其它样品抽样数量不超过</w:t>
      </w:r>
      <w:r>
        <w:rPr>
          <w:rFonts w:hint="eastAsia" w:ascii="Times New Roman" w:hAnsi="Times New Roman"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rPr>
        <w:t>个。</w:t>
      </w:r>
    </w:p>
    <w:p w14:paraId="29ADF9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六、监测方法</w:t>
      </w:r>
    </w:p>
    <w:p w14:paraId="2C15E7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（一）监测时间</w:t>
      </w:r>
    </w:p>
    <w:p w14:paraId="4B8A15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根据区、市、县级抽样任务，</w:t>
      </w:r>
      <w:r>
        <w:rPr>
          <w:rFonts w:hint="eastAsia" w:ascii="仿宋_GB2312" w:hAnsi="仿宋_GB2312" w:eastAsia="仿宋_GB2312" w:cs="仿宋_GB2312"/>
          <w:color w:val="auto"/>
          <w:sz w:val="32"/>
          <w:szCs w:val="32"/>
        </w:rPr>
        <w:t>每个</w:t>
      </w:r>
      <w:r>
        <w:rPr>
          <w:rFonts w:hint="eastAsia" w:ascii="仿宋_GB2312" w:hAnsi="仿宋_GB2312" w:eastAsia="仿宋_GB2312" w:cs="仿宋_GB2312"/>
          <w:color w:val="auto"/>
          <w:sz w:val="32"/>
          <w:szCs w:val="32"/>
          <w:lang w:eastAsia="zh-CN"/>
        </w:rPr>
        <w:t>月在辖区乡镇开展</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抽样，</w:t>
      </w:r>
      <w:r>
        <w:rPr>
          <w:rFonts w:hint="eastAsia" w:ascii="仿宋_GB2312" w:hAnsi="仿宋_GB2312" w:eastAsia="仿宋_GB2312" w:cs="仿宋_GB2312"/>
          <w:color w:val="auto"/>
          <w:sz w:val="32"/>
          <w:szCs w:val="32"/>
          <w:lang w:val="en-US" w:eastAsia="zh-CN"/>
        </w:rPr>
        <w:t>各抽样批次样品不得重复，避免出现同一批次同一个样品重复检测的情况，各乡镇接到通知后积极开展抽样工作，按时将样品送至县农产品质量安全监督站统一上报受检。</w:t>
      </w:r>
    </w:p>
    <w:p w14:paraId="4FF666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（二）监测项目</w:t>
      </w:r>
    </w:p>
    <w:p w14:paraId="740B96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CESI仿宋-GB2312" w:hAnsi="CESI仿宋-GB2312" w:eastAsia="CESI仿宋-GB2312" w:cs="CESI仿宋-GB2312"/>
          <w:sz w:val="32"/>
          <w:szCs w:val="32"/>
        </w:rPr>
        <w:t>根</w:t>
      </w:r>
      <w:r>
        <w:rPr>
          <w:rFonts w:hint="eastAsia" w:ascii="仿宋_GB2312" w:hAnsi="仿宋_GB2312" w:eastAsia="仿宋_GB2312" w:cs="仿宋_GB2312"/>
          <w:bCs/>
          <w:color w:val="auto"/>
          <w:kern w:val="0"/>
          <w:sz w:val="32"/>
          <w:szCs w:val="32"/>
        </w:rPr>
        <w:t>据</w:t>
      </w:r>
      <w:r>
        <w:rPr>
          <w:rFonts w:hint="eastAsia" w:ascii="仿宋_GB2312" w:hAnsi="仿宋_GB2312" w:eastAsia="仿宋_GB2312" w:cs="仿宋_GB2312"/>
          <w:bCs/>
          <w:color w:val="auto"/>
          <w:kern w:val="0"/>
          <w:sz w:val="32"/>
          <w:szCs w:val="32"/>
          <w:lang w:eastAsia="zh-CN"/>
        </w:rPr>
        <w:t>全区</w:t>
      </w:r>
      <w:r>
        <w:rPr>
          <w:rFonts w:hint="eastAsia" w:ascii="仿宋_GB2312" w:hAnsi="仿宋_GB2312" w:eastAsia="仿宋_GB2312" w:cs="仿宋_GB2312"/>
          <w:bCs/>
          <w:color w:val="auto"/>
          <w:kern w:val="0"/>
          <w:sz w:val="32"/>
          <w:szCs w:val="32"/>
        </w:rPr>
        <w:t>近年来检测掌握的情况，定量检测法应检参数</w:t>
      </w:r>
      <w:r>
        <w:rPr>
          <w:rFonts w:hint="eastAsia" w:ascii="仿宋_GB2312" w:hAnsi="仿宋_GB2312" w:eastAsia="仿宋_GB2312" w:cs="仿宋_GB2312"/>
          <w:bCs/>
          <w:color w:val="auto"/>
          <w:kern w:val="0"/>
          <w:sz w:val="32"/>
          <w:szCs w:val="32"/>
          <w:lang w:val="en-US" w:eastAsia="zh-CN"/>
        </w:rPr>
        <w:t>应包括但不限于如下参数。</w:t>
      </w:r>
    </w:p>
    <w:p w14:paraId="4DFD0F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蔬菜</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水果、食用菌样品监测项目为甲胺磷、对硫磷、甲基对硫磷、三氯杀螨醇、甲拌磷、水胺硫磷、乙酰甲胺磷、氧乐果、甲基异柳磷、毒死蜱、特丁硫磷、三唑磷、治螟磷、乐果、硫环磷、杀螟硫磷、氯唑磷、内吸磷、克百威、灭多威、涕灭威、氟虫腈、敌敌畏、丙溴磷、马拉硫磷、亚胺硫磷、倍硫磷、辛硫磷、联苯菊酯、氯氟氰菊酯、氟氯氰菊酯、氯氰菊酯、甲氰菊酯、溴氰菊酯、氯菊酯、三唑酮、百菌清、腐霉利、乙烯菌核利、五氯硝基苯、异菌脲、戊唑醇、醚菌酯、二甲戊灵、氯吡脲、除虫脲、灭幼脲、氟啶脲、吡虫啉、多菌灵、多效唑、啶虫脒、哒螨灵、苯醚甲环唑、阿维菌素、甲氨基阿维菌素苯甲酸盐、虫螨腈、灭蝇胺、噻虫嗪、噻虫胺、甲霜灵、霜霉威、吡唑醚菌酯、嘧霉胺、呋虫胺、虱螨脲、嘧菌酯、抑霉唑、氯虫苯甲酰胺、虫酰肼、烯酰吗啉、咪鲜胺、乙基多杀菌素、丙环唑、多杀霉素、噻苯隆共</w:t>
      </w:r>
      <w:r>
        <w:rPr>
          <w:rFonts w:hint="eastAsia" w:ascii="Times New Roman" w:hAnsi="Times New Roman" w:eastAsia="仿宋_GB2312" w:cs="仿宋_GB2312"/>
          <w:bCs/>
          <w:color w:val="auto"/>
          <w:kern w:val="0"/>
          <w:sz w:val="32"/>
          <w:szCs w:val="32"/>
        </w:rPr>
        <w:t>75</w:t>
      </w:r>
      <w:r>
        <w:rPr>
          <w:rFonts w:hint="eastAsia" w:ascii="仿宋_GB2312" w:hAnsi="仿宋_GB2312" w:eastAsia="仿宋_GB2312" w:cs="仿宋_GB2312"/>
          <w:bCs/>
          <w:color w:val="auto"/>
          <w:kern w:val="0"/>
          <w:sz w:val="32"/>
          <w:szCs w:val="32"/>
        </w:rPr>
        <w:t>种农药。</w:t>
      </w:r>
    </w:p>
    <w:p w14:paraId="2093B4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 xml:space="preserve">茶叶样品监测项目为甲胺磷、三氯杀螨醇、氰戊菊酯、乙酰甲胺磷、灭多威、毒死蜱、三唑磷、联苯菊酯、氯氟氰菊酯、氟氯氰菊酯、氯氰菊酯、甲氰菊酯、溴氰菊酯、氯菊酯、杀螟硫磷、吡虫啉、多菌灵、茚虫威、噻嗪酮、哒螨灵、啶虫脒、苯醚甲环唑。                                    </w:t>
      </w:r>
    </w:p>
    <w:p w14:paraId="20EF6E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（三）抽样要求</w:t>
      </w:r>
    </w:p>
    <w:p w14:paraId="7FF4F9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蔬菜</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水果、食用菌按《农药残留分析样本的采样方法》按</w:t>
      </w:r>
      <w:r>
        <w:rPr>
          <w:rFonts w:hint="eastAsia" w:ascii="Times New Roman" w:hAnsi="Times New Roman" w:eastAsia="仿宋_GB2312" w:cs="仿宋_GB2312"/>
          <w:bCs/>
          <w:color w:val="auto"/>
          <w:kern w:val="0"/>
          <w:sz w:val="32"/>
          <w:szCs w:val="32"/>
        </w:rPr>
        <w:t>NY</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T</w:t>
      </w:r>
      <w:r>
        <w:rPr>
          <w:rFonts w:hint="eastAsia" w:ascii="仿宋_GB2312" w:hAnsi="仿宋_GB2312" w:eastAsia="仿宋_GB2312" w:cs="仿宋_GB2312"/>
          <w:bCs/>
          <w:color w:val="auto"/>
          <w:kern w:val="0"/>
          <w:sz w:val="32"/>
          <w:szCs w:val="32"/>
        </w:rPr>
        <w:t xml:space="preserve"> </w:t>
      </w:r>
      <w:r>
        <w:rPr>
          <w:rFonts w:hint="eastAsia" w:ascii="Times New Roman" w:hAnsi="Times New Roman" w:eastAsia="仿宋_GB2312" w:cs="仿宋_GB2312"/>
          <w:bCs/>
          <w:color w:val="auto"/>
          <w:kern w:val="0"/>
          <w:sz w:val="32"/>
          <w:szCs w:val="32"/>
        </w:rPr>
        <w:t>789</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2004</w:t>
      </w:r>
      <w:r>
        <w:rPr>
          <w:rFonts w:hint="eastAsia" w:ascii="仿宋_GB2312" w:hAnsi="仿宋_GB2312" w:eastAsia="仿宋_GB2312" w:cs="仿宋_GB2312"/>
          <w:bCs/>
          <w:color w:val="auto"/>
          <w:kern w:val="0"/>
          <w:sz w:val="32"/>
          <w:szCs w:val="32"/>
        </w:rPr>
        <w:t>规定执行。茶叶按《茶取样》（</w:t>
      </w:r>
      <w:r>
        <w:rPr>
          <w:rFonts w:hint="eastAsia" w:ascii="Times New Roman" w:hAnsi="Times New Roman" w:eastAsia="仿宋_GB2312" w:cs="仿宋_GB2312"/>
          <w:bCs/>
          <w:color w:val="auto"/>
          <w:kern w:val="0"/>
          <w:sz w:val="32"/>
          <w:szCs w:val="32"/>
        </w:rPr>
        <w:t>GB</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T8302</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2013</w:t>
      </w:r>
      <w:r>
        <w:rPr>
          <w:rFonts w:hint="eastAsia" w:ascii="仿宋_GB2312" w:hAnsi="仿宋_GB2312" w:eastAsia="仿宋_GB2312" w:cs="仿宋_GB2312"/>
          <w:bCs/>
          <w:color w:val="auto"/>
          <w:kern w:val="0"/>
          <w:sz w:val="32"/>
          <w:szCs w:val="32"/>
        </w:rPr>
        <w:t>）规定执行。为考虑覆盖广泛性，在同一基地抽取</w:t>
      </w:r>
      <w:r>
        <w:rPr>
          <w:rFonts w:hint="eastAsia" w:ascii="Times New Roman" w:hAnsi="Times New Roman" w:eastAsia="仿宋_GB2312" w:cs="仿宋_GB2312"/>
          <w:bCs/>
          <w:color w:val="auto"/>
          <w:kern w:val="0"/>
          <w:sz w:val="32"/>
          <w:szCs w:val="32"/>
        </w:rPr>
        <w:t>2</w:t>
      </w:r>
      <w:r>
        <w:rPr>
          <w:rFonts w:hint="eastAsia" w:ascii="仿宋_GB2312" w:hAnsi="仿宋_GB2312" w:eastAsia="仿宋_GB2312" w:cs="仿宋_GB2312"/>
          <w:bCs/>
          <w:color w:val="auto"/>
          <w:kern w:val="0"/>
          <w:sz w:val="32"/>
          <w:szCs w:val="32"/>
        </w:rPr>
        <w:t>个以上样品时，该样品基地面积需达</w:t>
      </w:r>
      <w:r>
        <w:rPr>
          <w:rFonts w:hint="eastAsia" w:ascii="Times New Roman" w:hAnsi="Times New Roman" w:eastAsia="仿宋_GB2312" w:cs="仿宋_GB2312"/>
          <w:bCs/>
          <w:color w:val="auto"/>
          <w:kern w:val="0"/>
          <w:sz w:val="32"/>
          <w:szCs w:val="32"/>
        </w:rPr>
        <w:t>10</w:t>
      </w:r>
      <w:r>
        <w:rPr>
          <w:rFonts w:hint="eastAsia" w:ascii="仿宋_GB2312" w:hAnsi="仿宋_GB2312" w:eastAsia="仿宋_GB2312" w:cs="仿宋_GB2312"/>
          <w:bCs/>
          <w:color w:val="auto"/>
          <w:kern w:val="0"/>
          <w:sz w:val="32"/>
          <w:szCs w:val="32"/>
        </w:rPr>
        <w:t>亩以上，且需在不同方位抽取，并如实记录，避免片面小区域抽样。样品需记好定量监测的月份，可将抽取的样品同时用于快速检测法检测。应如实详细完整填写抽样单（一式两份，一份由抽样单位保存、一份交受检单位）。</w:t>
      </w:r>
    </w:p>
    <w:p w14:paraId="0A167A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抽样中要坚持随机抽样，如实详细记录样品产地来源（产地记录到村级），在收购点和批发市场抽样的尽量溯源产地，确实无法掌握来源信息的，标注“来源不详”。</w:t>
      </w:r>
    </w:p>
    <w:p w14:paraId="5E479B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（四）判定标准</w:t>
      </w:r>
    </w:p>
    <w:p w14:paraId="2C890B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定量检测法监测结果按照《食品安全国家标准 食品中农药最大残留限量》（</w:t>
      </w:r>
      <w:r>
        <w:rPr>
          <w:rFonts w:hint="eastAsia" w:ascii="Times New Roman" w:hAnsi="Times New Roman" w:eastAsia="仿宋_GB2312" w:cs="仿宋_GB2312"/>
          <w:bCs/>
          <w:color w:val="auto"/>
          <w:kern w:val="0"/>
          <w:sz w:val="32"/>
          <w:szCs w:val="32"/>
        </w:rPr>
        <w:t>GB2763</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2021</w:t>
      </w:r>
      <w:r>
        <w:rPr>
          <w:rFonts w:hint="eastAsia" w:ascii="仿宋_GB2312" w:hAnsi="仿宋_GB2312" w:eastAsia="仿宋_GB2312" w:cs="仿宋_GB2312"/>
          <w:bCs/>
          <w:color w:val="auto"/>
          <w:kern w:val="0"/>
          <w:sz w:val="32"/>
          <w:szCs w:val="32"/>
        </w:rPr>
        <w:t>）和《食品安全国家标准 食品中</w:t>
      </w:r>
      <w:r>
        <w:rPr>
          <w:rFonts w:hint="eastAsia" w:ascii="Times New Roman" w:hAnsi="Times New Roman" w:eastAsia="仿宋_GB2312" w:cs="仿宋_GB2312"/>
          <w:bCs/>
          <w:color w:val="auto"/>
          <w:kern w:val="0"/>
          <w:sz w:val="32"/>
          <w:szCs w:val="32"/>
        </w:rPr>
        <w:t>2</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rPr>
        <w:t>-滴丁酸钠盐等</w:t>
      </w:r>
      <w:r>
        <w:rPr>
          <w:rFonts w:hint="eastAsia" w:ascii="Times New Roman" w:hAnsi="Times New Roman" w:eastAsia="仿宋_GB2312" w:cs="仿宋_GB2312"/>
          <w:bCs/>
          <w:color w:val="auto"/>
          <w:kern w:val="0"/>
          <w:sz w:val="32"/>
          <w:szCs w:val="32"/>
        </w:rPr>
        <w:t>112</w:t>
      </w:r>
      <w:r>
        <w:rPr>
          <w:rFonts w:hint="eastAsia" w:ascii="仿宋_GB2312" w:hAnsi="仿宋_GB2312" w:eastAsia="仿宋_GB2312" w:cs="仿宋_GB2312"/>
          <w:bCs/>
          <w:color w:val="auto"/>
          <w:kern w:val="0"/>
          <w:sz w:val="32"/>
          <w:szCs w:val="32"/>
        </w:rPr>
        <w:t>中农药最大残留限量》（</w:t>
      </w:r>
      <w:r>
        <w:rPr>
          <w:rFonts w:hint="eastAsia" w:ascii="Times New Roman" w:hAnsi="Times New Roman" w:eastAsia="仿宋_GB2312" w:cs="仿宋_GB2312"/>
          <w:bCs/>
          <w:color w:val="auto"/>
          <w:kern w:val="0"/>
          <w:sz w:val="32"/>
          <w:szCs w:val="32"/>
        </w:rPr>
        <w:t>GB2763</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2022</w:t>
      </w:r>
      <w:r>
        <w:rPr>
          <w:rFonts w:hint="eastAsia" w:ascii="仿宋_GB2312" w:hAnsi="仿宋_GB2312" w:eastAsia="仿宋_GB2312" w:cs="仿宋_GB2312"/>
          <w:bCs/>
          <w:color w:val="auto"/>
          <w:kern w:val="0"/>
          <w:sz w:val="32"/>
          <w:szCs w:val="32"/>
        </w:rPr>
        <w:t>）进行判定（所检参数的残留限量标准见附件</w:t>
      </w:r>
      <w:r>
        <w:rPr>
          <w:rFonts w:hint="eastAsia" w:ascii="Times New Roman" w:hAnsi="Times New Roman" w:eastAsia="仿宋_GB2312" w:cs="仿宋_GB2312"/>
          <w:bCs/>
          <w:color w:val="auto"/>
          <w:kern w:val="0"/>
          <w:sz w:val="32"/>
          <w:szCs w:val="32"/>
        </w:rPr>
        <w:t>7</w:t>
      </w:r>
      <w:r>
        <w:rPr>
          <w:rFonts w:hint="eastAsia" w:ascii="仿宋_GB2312" w:hAnsi="仿宋_GB2312" w:eastAsia="仿宋_GB2312" w:cs="仿宋_GB2312"/>
          <w:bCs/>
          <w:color w:val="auto"/>
          <w:kern w:val="0"/>
          <w:sz w:val="32"/>
          <w:szCs w:val="32"/>
        </w:rPr>
        <w:t>）。所监测项目全部合格者，判定结论为“该批次样品所检项目符合《食品安全国家标准 食品中农药最大残留限量》（</w:t>
      </w:r>
      <w:r>
        <w:rPr>
          <w:rFonts w:hint="eastAsia" w:ascii="Times New Roman" w:hAnsi="Times New Roman" w:eastAsia="仿宋_GB2312" w:cs="仿宋_GB2312"/>
          <w:bCs/>
          <w:color w:val="auto"/>
          <w:kern w:val="0"/>
          <w:sz w:val="32"/>
          <w:szCs w:val="32"/>
        </w:rPr>
        <w:t>GB2763</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2021</w:t>
      </w:r>
      <w:r>
        <w:rPr>
          <w:rFonts w:hint="eastAsia" w:ascii="仿宋_GB2312" w:hAnsi="仿宋_GB2312" w:eastAsia="仿宋_GB2312" w:cs="仿宋_GB2312"/>
          <w:bCs/>
          <w:color w:val="auto"/>
          <w:kern w:val="0"/>
          <w:sz w:val="32"/>
          <w:szCs w:val="32"/>
        </w:rPr>
        <w:t>）要求”；有一项指标不符合者，即可判为“该产品不合格”。同时，参照</w:t>
      </w:r>
      <w:r>
        <w:rPr>
          <w:rFonts w:hint="eastAsia" w:ascii="Times New Roman" w:hAnsi="Times New Roman" w:eastAsia="仿宋_GB2312" w:cs="仿宋_GB2312"/>
          <w:bCs/>
          <w:color w:val="auto"/>
          <w:kern w:val="0"/>
          <w:sz w:val="32"/>
          <w:szCs w:val="32"/>
        </w:rPr>
        <w:t>CAC</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FAO</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WHO</w:t>
      </w:r>
      <w:r>
        <w:rPr>
          <w:rFonts w:hint="eastAsia" w:ascii="仿宋_GB2312" w:hAnsi="仿宋_GB2312" w:eastAsia="仿宋_GB2312" w:cs="仿宋_GB2312"/>
          <w:bCs/>
          <w:color w:val="auto"/>
          <w:kern w:val="0"/>
          <w:sz w:val="32"/>
          <w:szCs w:val="32"/>
        </w:rPr>
        <w:t>）、欧盟、美国、日本和韩国的标准或指令，对监测结果进行评价分析。</w:t>
      </w:r>
      <w:r>
        <w:rPr>
          <w:rFonts w:hint="eastAsia" w:ascii="Times New Roman" w:hAnsi="Times New Roman" w:eastAsia="仿宋_GB2312" w:cs="仿宋_GB2312"/>
          <w:bCs/>
          <w:color w:val="auto"/>
          <w:kern w:val="0"/>
          <w:sz w:val="32"/>
          <w:szCs w:val="32"/>
        </w:rPr>
        <w:t>GB2763</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2021</w:t>
      </w:r>
      <w:r>
        <w:rPr>
          <w:rFonts w:hint="eastAsia" w:ascii="仿宋_GB2312" w:hAnsi="仿宋_GB2312" w:eastAsia="仿宋_GB2312" w:cs="仿宋_GB2312"/>
          <w:bCs/>
          <w:color w:val="auto"/>
          <w:kern w:val="0"/>
          <w:sz w:val="32"/>
          <w:szCs w:val="32"/>
        </w:rPr>
        <w:t>和</w:t>
      </w:r>
      <w:r>
        <w:rPr>
          <w:rFonts w:hint="eastAsia" w:ascii="Times New Roman" w:hAnsi="Times New Roman" w:eastAsia="仿宋_GB2312" w:cs="仿宋_GB2312"/>
          <w:bCs/>
          <w:color w:val="auto"/>
          <w:kern w:val="0"/>
          <w:sz w:val="32"/>
          <w:szCs w:val="32"/>
        </w:rPr>
        <w:t>GB2763</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rPr>
        <w:t>2022</w:t>
      </w:r>
      <w:r>
        <w:rPr>
          <w:rFonts w:hint="eastAsia" w:ascii="仿宋_GB2312" w:hAnsi="仿宋_GB2312" w:eastAsia="仿宋_GB2312" w:cs="仿宋_GB2312"/>
          <w:bCs/>
          <w:color w:val="auto"/>
          <w:kern w:val="0"/>
          <w:sz w:val="32"/>
          <w:szCs w:val="32"/>
        </w:rPr>
        <w:t>中无判定值时，请另列表列出该产品检出的参数值。</w:t>
      </w:r>
    </w:p>
    <w:p w14:paraId="18D846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黑体" w:hAnsi="黑体" w:eastAsia="黑体"/>
          <w:color w:val="auto"/>
          <w:sz w:val="32"/>
          <w:szCs w:val="32"/>
          <w:lang w:eastAsia="zh-CN"/>
        </w:rPr>
        <w:t>七、监测重点</w:t>
      </w:r>
    </w:p>
    <w:p w14:paraId="71AB8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今年豇豆</w:t>
      </w:r>
      <w:r>
        <w:rPr>
          <w:rFonts w:hint="eastAsia" w:eastAsia="仿宋_GB2312"/>
          <w:sz w:val="32"/>
          <w:szCs w:val="32"/>
          <w:lang w:eastAsia="zh-CN"/>
        </w:rPr>
        <w:t>、沃柑</w:t>
      </w:r>
      <w:r>
        <w:rPr>
          <w:rFonts w:eastAsia="仿宋_GB2312"/>
          <w:sz w:val="32"/>
          <w:szCs w:val="32"/>
        </w:rPr>
        <w:t>是农产品质量安全监管工作的重中之重，合格率纳入年度目标，</w:t>
      </w:r>
      <w:r>
        <w:rPr>
          <w:rFonts w:hint="eastAsia" w:eastAsia="仿宋_GB2312"/>
          <w:sz w:val="32"/>
          <w:szCs w:val="32"/>
          <w:lang w:eastAsia="zh-CN"/>
        </w:rPr>
        <w:t>各乡镇</w:t>
      </w:r>
      <w:r>
        <w:rPr>
          <w:rFonts w:eastAsia="仿宋_GB2312"/>
          <w:sz w:val="32"/>
          <w:szCs w:val="32"/>
        </w:rPr>
        <w:t>在豇豆</w:t>
      </w:r>
      <w:r>
        <w:rPr>
          <w:rFonts w:hint="eastAsia" w:eastAsia="仿宋_GB2312"/>
          <w:sz w:val="32"/>
          <w:szCs w:val="32"/>
          <w:lang w:eastAsia="zh-CN"/>
        </w:rPr>
        <w:t>、沃柑</w:t>
      </w:r>
      <w:r>
        <w:rPr>
          <w:rFonts w:eastAsia="仿宋_GB2312"/>
          <w:sz w:val="32"/>
          <w:szCs w:val="32"/>
        </w:rPr>
        <w:t>上市季节须</w:t>
      </w:r>
      <w:r>
        <w:rPr>
          <w:rFonts w:hint="eastAsia" w:eastAsia="仿宋_GB2312"/>
          <w:sz w:val="32"/>
          <w:szCs w:val="32"/>
          <w:lang w:eastAsia="zh-CN"/>
        </w:rPr>
        <w:t>加大抽检力度</w:t>
      </w:r>
      <w:r>
        <w:rPr>
          <w:rFonts w:eastAsia="仿宋_GB2312"/>
          <w:sz w:val="32"/>
          <w:szCs w:val="32"/>
        </w:rPr>
        <w:t>。</w:t>
      </w:r>
    </w:p>
    <w:p w14:paraId="16CBA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在豇豆上市高峰期，定量监测抽检豇豆实行“月月抽检”</w:t>
      </w:r>
      <w:r>
        <w:rPr>
          <w:rFonts w:hint="eastAsia" w:eastAsia="仿宋_GB2312"/>
          <w:sz w:val="32"/>
          <w:szCs w:val="32"/>
          <w:lang w:eastAsia="zh-CN"/>
        </w:rPr>
        <w:t>。</w:t>
      </w:r>
      <w:r>
        <w:rPr>
          <w:rFonts w:hint="eastAsia" w:eastAsia="仿宋_GB2312"/>
          <w:sz w:val="32"/>
          <w:szCs w:val="32"/>
        </w:rPr>
        <w:t>抽样环节包括当地生产基地</w:t>
      </w:r>
      <w:r>
        <w:rPr>
          <w:rFonts w:hint="eastAsia" w:eastAsia="仿宋_GB2312"/>
          <w:sz w:val="32"/>
          <w:szCs w:val="32"/>
          <w:lang w:eastAsia="zh-CN"/>
        </w:rPr>
        <w:t>和</w:t>
      </w:r>
      <w:r>
        <w:rPr>
          <w:rFonts w:hint="eastAsia" w:eastAsia="仿宋_GB2312"/>
          <w:sz w:val="32"/>
          <w:szCs w:val="32"/>
        </w:rPr>
        <w:t>收购点。其中收购点样品需填写好样品来源生产地。</w:t>
      </w:r>
    </w:p>
    <w:p w14:paraId="01908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县、乡开展的速测结合当地豇豆</w:t>
      </w:r>
      <w:r>
        <w:rPr>
          <w:rFonts w:hint="eastAsia" w:eastAsia="仿宋_GB2312"/>
          <w:sz w:val="32"/>
          <w:szCs w:val="32"/>
          <w:lang w:eastAsia="zh-CN"/>
        </w:rPr>
        <w:t>、沃柑</w:t>
      </w:r>
      <w:r>
        <w:rPr>
          <w:rFonts w:hint="eastAsia" w:eastAsia="仿宋_GB2312"/>
          <w:sz w:val="32"/>
          <w:szCs w:val="32"/>
        </w:rPr>
        <w:t>农残突出问题专项治理，有针对性重点开展速测，速测参数根据各地用药特点自行安排，遵循“用什么要检什么”的原则，禁限用农药重点关注毒死蜱、克百威、三唑磷</w:t>
      </w:r>
      <w:r>
        <w:rPr>
          <w:rFonts w:hint="eastAsia" w:eastAsia="仿宋_GB2312"/>
          <w:sz w:val="32"/>
          <w:szCs w:val="32"/>
          <w:lang w:eastAsia="zh-CN"/>
        </w:rPr>
        <w:t>、水胺硫磷</w:t>
      </w:r>
      <w:r>
        <w:rPr>
          <w:rFonts w:hint="eastAsia" w:eastAsia="仿宋_GB2312"/>
          <w:sz w:val="32"/>
          <w:szCs w:val="32"/>
        </w:rPr>
        <w:t>等视定量监测情况及时筛查。速测不合格的样品马上报送</w:t>
      </w:r>
      <w:r>
        <w:rPr>
          <w:rFonts w:hint="eastAsia" w:eastAsia="仿宋_GB2312"/>
          <w:sz w:val="32"/>
          <w:szCs w:val="32"/>
          <w:lang w:eastAsia="zh-CN"/>
        </w:rPr>
        <w:t>县农业执法管理部门</w:t>
      </w:r>
      <w:r>
        <w:rPr>
          <w:rFonts w:hint="eastAsia" w:eastAsia="仿宋_GB2312"/>
          <w:sz w:val="32"/>
          <w:szCs w:val="32"/>
        </w:rPr>
        <w:t>，不合格样品坚决不采摘不上市。</w:t>
      </w:r>
    </w:p>
    <w:p w14:paraId="050C1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val="en-US" w:eastAsia="zh-CN"/>
        </w:rPr>
      </w:pPr>
      <w:r>
        <w:rPr>
          <w:rFonts w:hint="eastAsia" w:eastAsia="仿宋_GB2312"/>
          <w:sz w:val="32"/>
          <w:szCs w:val="32"/>
        </w:rPr>
        <w:t>监测豇豆参数参考蔬菜监测项目执行。重点关注以下参数：毒死蜱、克百威、</w:t>
      </w:r>
      <w:r>
        <w:rPr>
          <w:rFonts w:hint="eastAsia" w:eastAsia="仿宋_GB2312"/>
          <w:sz w:val="32"/>
          <w:szCs w:val="32"/>
          <w:lang w:eastAsia="zh-CN"/>
        </w:rPr>
        <w:t>水胺硫磷、</w:t>
      </w:r>
      <w:r>
        <w:rPr>
          <w:rFonts w:hint="eastAsia" w:eastAsia="仿宋_GB2312"/>
          <w:sz w:val="32"/>
          <w:szCs w:val="32"/>
        </w:rPr>
        <w:t>杀螟硫磷、三唑磷、倍硫磷、噻虫嗪、噻虫胺、啶虫脒、灭蝇胺、甲氨基阿维菌素苯甲酸盐、苯醚甲环唑。</w:t>
      </w:r>
    </w:p>
    <w:p w14:paraId="7014F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、结果分析</w:t>
      </w:r>
    </w:p>
    <w:p w14:paraId="413C46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楷体_GB2312"/>
          <w:color w:val="000000"/>
          <w:sz w:val="32"/>
          <w:szCs w:val="32"/>
        </w:rPr>
      </w:pPr>
      <w:r>
        <w:rPr>
          <w:rFonts w:hint="eastAsia" w:eastAsia="楷体_GB2312"/>
          <w:b/>
          <w:bCs w:val="0"/>
          <w:color w:val="000000"/>
          <w:sz w:val="32"/>
          <w:szCs w:val="32"/>
        </w:rPr>
        <w:t>（一）</w:t>
      </w:r>
      <w:r>
        <w:rPr>
          <w:rFonts w:hint="eastAsia" w:eastAsia="楷体_GB2312"/>
          <w:b/>
          <w:bCs w:val="0"/>
          <w:color w:val="000000"/>
          <w:sz w:val="32"/>
          <w:szCs w:val="32"/>
          <w:lang w:eastAsia="zh-CN"/>
        </w:rPr>
        <w:t>县级</w:t>
      </w:r>
      <w:r>
        <w:rPr>
          <w:rFonts w:hint="eastAsia" w:eastAsia="楷体_GB2312"/>
          <w:b/>
          <w:bCs w:val="0"/>
          <w:color w:val="000000"/>
          <w:sz w:val="32"/>
          <w:szCs w:val="32"/>
        </w:rPr>
        <w:t>监测。</w:t>
      </w:r>
      <w:r>
        <w:rPr>
          <w:rFonts w:hint="eastAsia" w:eastAsia="仿宋_GB2312"/>
          <w:color w:val="000000"/>
          <w:sz w:val="32"/>
          <w:szCs w:val="32"/>
        </w:rPr>
        <w:t>每</w:t>
      </w:r>
      <w:r>
        <w:rPr>
          <w:rFonts w:hint="eastAsia" w:eastAsia="仿宋_GB2312"/>
          <w:color w:val="000000"/>
          <w:sz w:val="32"/>
          <w:szCs w:val="32"/>
          <w:lang w:eastAsia="zh-CN"/>
        </w:rPr>
        <w:t>月</w:t>
      </w:r>
      <w:r>
        <w:rPr>
          <w:rFonts w:hint="eastAsia" w:eastAsia="仿宋_GB2312"/>
          <w:color w:val="000000"/>
          <w:sz w:val="32"/>
          <w:szCs w:val="32"/>
        </w:rPr>
        <w:t>对农药残留监测结果进行汇总分析，报告主要内容及相关要求如下：</w:t>
      </w:r>
    </w:p>
    <w:p w14:paraId="7DDA6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楷体_GB2312"/>
          <w:color w:val="000000"/>
          <w:sz w:val="32"/>
          <w:szCs w:val="32"/>
        </w:rPr>
      </w:pPr>
      <w:r>
        <w:rPr>
          <w:rFonts w:hint="eastAsia" w:eastAsia="仿宋_GB2312"/>
          <w:color w:val="000000"/>
          <w:sz w:val="32"/>
          <w:szCs w:val="32"/>
        </w:rPr>
        <w:t>一是监测结果总体概况、监测品种、样品数量、监测项目以及生产基地和</w:t>
      </w:r>
      <w:r>
        <w:rPr>
          <w:rFonts w:hint="eastAsia" w:eastAsia="仿宋_GB2312"/>
          <w:color w:val="000000"/>
          <w:sz w:val="32"/>
          <w:szCs w:val="32"/>
          <w:lang w:eastAsia="zh-CN"/>
        </w:rPr>
        <w:t>市</w:t>
      </w:r>
      <w:r>
        <w:rPr>
          <w:rFonts w:hint="eastAsia" w:eastAsia="仿宋_GB2312"/>
          <w:color w:val="000000"/>
          <w:sz w:val="32"/>
          <w:szCs w:val="32"/>
        </w:rPr>
        <w:t>场名称等。二是当地农产品质量安全监管总体情况，包括在监管工作中采取的主要措施和主要特点。</w:t>
      </w:r>
    </w:p>
    <w:p w14:paraId="148B5E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eastAsia="楷体_GB2312"/>
          <w:b/>
          <w:bCs w:val="0"/>
          <w:color w:val="000000"/>
          <w:sz w:val="32"/>
          <w:szCs w:val="32"/>
        </w:rPr>
        <w:t>（二）乡镇快速检测。</w:t>
      </w:r>
      <w:r>
        <w:rPr>
          <w:rFonts w:hint="eastAsia" w:eastAsia="仿宋_GB2312"/>
          <w:color w:val="000000"/>
          <w:sz w:val="32"/>
          <w:szCs w:val="32"/>
        </w:rPr>
        <w:t>一方面，</w:t>
      </w:r>
      <w:r>
        <w:rPr>
          <w:rFonts w:hint="eastAsia" w:eastAsia="仿宋_GB2312"/>
          <w:color w:val="000000"/>
          <w:sz w:val="32"/>
          <w:szCs w:val="32"/>
          <w:lang w:eastAsia="zh-CN"/>
        </w:rPr>
        <w:t>每月对</w:t>
      </w:r>
      <w:r>
        <w:rPr>
          <w:rFonts w:hint="eastAsia" w:eastAsia="仿宋_GB2312"/>
          <w:color w:val="000000"/>
          <w:sz w:val="32"/>
          <w:szCs w:val="32"/>
        </w:rPr>
        <w:t>重点监测品种（集中上</w:t>
      </w:r>
      <w:r>
        <w:rPr>
          <w:rFonts w:hint="eastAsia" w:eastAsia="仿宋_GB2312"/>
          <w:color w:val="000000"/>
          <w:sz w:val="32"/>
          <w:szCs w:val="32"/>
          <w:lang w:eastAsia="zh-CN"/>
        </w:rPr>
        <w:t>市</w:t>
      </w:r>
      <w:r>
        <w:rPr>
          <w:rFonts w:hint="eastAsia" w:eastAsia="仿宋_GB2312"/>
          <w:color w:val="000000"/>
          <w:sz w:val="32"/>
          <w:szCs w:val="32"/>
        </w:rPr>
        <w:t>的大宗食用农产品）的监测结果进行分析（包括总体概况、生产基地或</w:t>
      </w:r>
      <w:r>
        <w:rPr>
          <w:rFonts w:hint="eastAsia" w:eastAsia="仿宋_GB2312"/>
          <w:color w:val="000000"/>
          <w:sz w:val="32"/>
          <w:szCs w:val="32"/>
          <w:lang w:eastAsia="zh-CN"/>
        </w:rPr>
        <w:t>市</w:t>
      </w:r>
      <w:r>
        <w:rPr>
          <w:rFonts w:hint="eastAsia" w:eastAsia="仿宋_GB2312"/>
          <w:color w:val="000000"/>
          <w:sz w:val="32"/>
          <w:szCs w:val="32"/>
        </w:rPr>
        <w:t>场名称、监测品种、样品数量、监测项目以及</w:t>
      </w:r>
      <w:r>
        <w:rPr>
          <w:rFonts w:hint="eastAsia" w:ascii="仿宋_GB2312" w:eastAsia="仿宋_GB2312"/>
          <w:sz w:val="32"/>
          <w:szCs w:val="32"/>
        </w:rPr>
        <w:t>田头流动快速检测与实验室检测数据对比分析</w:t>
      </w:r>
      <w:r>
        <w:rPr>
          <w:rFonts w:hint="eastAsia" w:eastAsia="仿宋_GB2312"/>
          <w:color w:val="000000"/>
          <w:sz w:val="32"/>
          <w:szCs w:val="32"/>
        </w:rPr>
        <w:t>等）</w:t>
      </w:r>
      <w:r>
        <w:rPr>
          <w:rFonts w:hint="eastAsia" w:eastAsia="仿宋_GB2312"/>
          <w:color w:val="000000"/>
          <w:sz w:val="32"/>
          <w:szCs w:val="32"/>
          <w:lang w:eastAsia="zh-CN"/>
        </w:rPr>
        <w:t>；</w:t>
      </w:r>
      <w:r>
        <w:rPr>
          <w:rFonts w:hint="eastAsia" w:eastAsia="仿宋_GB2312"/>
          <w:color w:val="000000"/>
          <w:sz w:val="32"/>
          <w:szCs w:val="32"/>
        </w:rPr>
        <w:t>另一方面，对当地农产品质量安全监管总体情况（包括在监管工作中采取的主要措施和主要特点）进行分析总结</w:t>
      </w:r>
      <w:r>
        <w:rPr>
          <w:rFonts w:hint="eastAsia" w:eastAsia="仿宋_GB2312"/>
          <w:color w:val="000000"/>
          <w:sz w:val="32"/>
          <w:szCs w:val="32"/>
          <w:lang w:eastAsia="zh-CN"/>
        </w:rPr>
        <w:t>、上报</w:t>
      </w:r>
      <w:r>
        <w:rPr>
          <w:rFonts w:hint="eastAsia" w:ascii="仿宋_GB2312" w:hAnsi="仿宋_GB2312" w:eastAsia="仿宋_GB2312" w:cs="仿宋_GB2312"/>
          <w:color w:val="auto"/>
          <w:sz w:val="32"/>
          <w:szCs w:val="32"/>
        </w:rPr>
        <w:t>。</w:t>
      </w:r>
    </w:p>
    <w:p w14:paraId="06695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 xml:space="preserve">、结果报送与发布 </w:t>
      </w:r>
    </w:p>
    <w:p w14:paraId="56FF64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color w:val="000000"/>
          <w:sz w:val="32"/>
          <w:szCs w:val="32"/>
        </w:rPr>
      </w:pPr>
      <w:r>
        <w:rPr>
          <w:rFonts w:hint="eastAsia" w:eastAsia="楷体_GB2312"/>
          <w:b/>
          <w:bCs w:val="0"/>
          <w:color w:val="000000"/>
          <w:sz w:val="32"/>
          <w:szCs w:val="32"/>
        </w:rPr>
        <w:t>（一）结果反馈。</w:t>
      </w:r>
      <w:r>
        <w:rPr>
          <w:rFonts w:hint="eastAsia" w:eastAsia="仿宋_GB2312"/>
          <w:color w:val="000000"/>
          <w:sz w:val="32"/>
          <w:szCs w:val="32"/>
        </w:rPr>
        <w:t>各</w:t>
      </w:r>
      <w:r>
        <w:rPr>
          <w:rFonts w:hint="eastAsia" w:eastAsia="仿宋_GB2312"/>
          <w:color w:val="000000"/>
          <w:sz w:val="32"/>
          <w:szCs w:val="32"/>
          <w:lang w:eastAsia="zh-CN"/>
        </w:rPr>
        <w:t>级</w:t>
      </w:r>
      <w:r>
        <w:rPr>
          <w:rFonts w:hint="eastAsia" w:eastAsia="仿宋_GB2312"/>
          <w:color w:val="000000"/>
          <w:sz w:val="32"/>
          <w:szCs w:val="32"/>
        </w:rPr>
        <w:t>检测机构及时将监测结果反馈给受检单位。发现有违规用药问题的，</w:t>
      </w:r>
      <w:r>
        <w:rPr>
          <w:rFonts w:hint="eastAsia" w:eastAsia="仿宋_GB2312"/>
          <w:color w:val="000000"/>
          <w:sz w:val="32"/>
          <w:szCs w:val="32"/>
          <w:lang w:eastAsia="zh-CN"/>
        </w:rPr>
        <w:t>辖区监管部门及时到生产基地了解违规用药情况和作出警告，进一步对其做好农产品安全生产引导工作，并列为下次抽检重点对象</w:t>
      </w:r>
      <w:r>
        <w:rPr>
          <w:rFonts w:hint="eastAsia" w:ascii="仿宋_GB2312" w:eastAsia="仿宋_GB2312"/>
          <w:color w:val="000000"/>
          <w:sz w:val="32"/>
          <w:szCs w:val="32"/>
        </w:rPr>
        <w:t>。</w:t>
      </w:r>
    </w:p>
    <w:p w14:paraId="0CB1086D">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eastAsia="仿宋_GB2312"/>
          <w:color w:val="000000"/>
          <w:sz w:val="32"/>
          <w:szCs w:val="32"/>
        </w:rPr>
      </w:pPr>
      <w:r>
        <w:rPr>
          <w:rFonts w:hint="eastAsia" w:eastAsia="楷体_GB2312"/>
          <w:b/>
          <w:bCs w:val="0"/>
          <w:color w:val="000000"/>
          <w:sz w:val="32"/>
          <w:szCs w:val="32"/>
        </w:rPr>
        <w:t>（二）结果汇总报送。</w:t>
      </w:r>
      <w:r>
        <w:rPr>
          <w:rFonts w:hint="eastAsia" w:eastAsia="仿宋_GB2312"/>
          <w:color w:val="000000"/>
          <w:sz w:val="32"/>
          <w:szCs w:val="32"/>
        </w:rPr>
        <w:t>县、乡（镇）每月</w:t>
      </w:r>
      <w:r>
        <w:rPr>
          <w:rFonts w:hint="eastAsia" w:ascii="Times New Roman" w:hAnsi="Times New Roman" w:eastAsia="仿宋_GB2312"/>
          <w:color w:val="000000"/>
          <w:sz w:val="32"/>
          <w:szCs w:val="32"/>
        </w:rPr>
        <w:t>20</w:t>
      </w:r>
      <w:r>
        <w:rPr>
          <w:rFonts w:hint="eastAsia" w:eastAsia="仿宋_GB2312"/>
          <w:color w:val="000000"/>
          <w:sz w:val="32"/>
          <w:szCs w:val="32"/>
        </w:rPr>
        <w:t>日前报送检测结果至自治区农产品质量安全监管系统（实验室检测通过联网自动上报，田头流动检测通过制表后再网上输入上报）。</w:t>
      </w:r>
    </w:p>
    <w:p w14:paraId="6BE9E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eastAsia="仿宋_GB2312"/>
          <w:color w:val="auto"/>
          <w:sz w:val="32"/>
          <w:szCs w:val="32"/>
        </w:rPr>
      </w:pPr>
      <w:r>
        <w:rPr>
          <w:rFonts w:hint="eastAsia" w:eastAsia="楷体_GB2312"/>
          <w:b/>
          <w:bCs w:val="0"/>
          <w:color w:val="000000"/>
          <w:sz w:val="32"/>
          <w:szCs w:val="32"/>
        </w:rPr>
        <w:t>（三）结果发布。</w:t>
      </w:r>
      <w:r>
        <w:rPr>
          <w:rFonts w:hint="eastAsia" w:eastAsia="仿宋_GB2312"/>
          <w:color w:val="000000"/>
          <w:sz w:val="32"/>
          <w:szCs w:val="32"/>
          <w:lang w:eastAsia="zh-CN"/>
        </w:rPr>
        <w:t>例行监测</w:t>
      </w:r>
      <w:r>
        <w:rPr>
          <w:rFonts w:hint="eastAsia" w:eastAsia="仿宋_GB2312"/>
          <w:color w:val="000000"/>
          <w:sz w:val="32"/>
          <w:szCs w:val="32"/>
        </w:rPr>
        <w:t>风险评估报告</w:t>
      </w:r>
      <w:r>
        <w:rPr>
          <w:rFonts w:hint="eastAsia" w:eastAsia="仿宋_GB2312"/>
          <w:color w:val="000000"/>
          <w:sz w:val="32"/>
          <w:szCs w:val="32"/>
          <w:lang w:eastAsia="zh-CN"/>
        </w:rPr>
        <w:t>由市农业农村局</w:t>
      </w:r>
      <w:r>
        <w:rPr>
          <w:rFonts w:hint="eastAsia" w:eastAsia="仿宋_GB2312"/>
          <w:color w:val="000000"/>
          <w:sz w:val="32"/>
          <w:szCs w:val="32"/>
        </w:rPr>
        <w:t>进行通报</w:t>
      </w:r>
      <w:r>
        <w:rPr>
          <w:rFonts w:hint="eastAsia" w:eastAsia="仿宋_GB2312"/>
          <w:color w:val="auto"/>
          <w:sz w:val="32"/>
          <w:szCs w:val="32"/>
        </w:rPr>
        <w:t>。</w:t>
      </w:r>
    </w:p>
    <w:p w14:paraId="66624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十、经费安排</w:t>
      </w:r>
    </w:p>
    <w:p w14:paraId="2C499C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农产品质量安全风险监测经费</w:t>
      </w:r>
      <w:r>
        <w:rPr>
          <w:rFonts w:hint="eastAsia" w:ascii="Times New Roman" w:hAnsi="Times New Roman" w:eastAsia="仿宋_GB2312" w:cs="Times New Roman"/>
          <w:color w:val="auto"/>
          <w:sz w:val="32"/>
          <w:szCs w:val="32"/>
          <w:lang w:eastAsia="zh-CN"/>
        </w:rPr>
        <w:t>已划拨</w:t>
      </w:r>
      <w:r>
        <w:rPr>
          <w:rFonts w:hint="default" w:ascii="Times New Roman" w:hAnsi="Times New Roman" w:eastAsia="仿宋_GB2312" w:cs="Times New Roman"/>
          <w:color w:val="auto"/>
          <w:sz w:val="32"/>
          <w:szCs w:val="32"/>
        </w:rPr>
        <w:t>各任务承担单位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请各</w:t>
      </w:r>
      <w:r>
        <w:rPr>
          <w:rFonts w:hint="eastAsia" w:ascii="Times New Roman" w:hAnsi="Times New Roman" w:eastAsia="仿宋_GB2312" w:cs="Times New Roman"/>
          <w:color w:val="auto"/>
          <w:sz w:val="32"/>
          <w:szCs w:val="32"/>
          <w:lang w:eastAsia="zh-CN"/>
        </w:rPr>
        <w:t>乡镇农产品质量安全监管</w:t>
      </w:r>
      <w:r>
        <w:rPr>
          <w:rFonts w:hint="default" w:ascii="Times New Roman" w:hAnsi="Times New Roman" w:eastAsia="仿宋_GB2312" w:cs="Times New Roman"/>
          <w:color w:val="auto"/>
          <w:sz w:val="32"/>
          <w:szCs w:val="32"/>
        </w:rPr>
        <w:t>部门落实专项资金并开展工作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加强项目资金管理，专款专用，严禁挪用项目资金。</w:t>
      </w:r>
    </w:p>
    <w:p w14:paraId="563538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eastAsia="仿宋_GB2312"/>
          <w:color w:val="auto"/>
          <w:sz w:val="32"/>
          <w:szCs w:val="32"/>
        </w:rPr>
        <w:t>有关监测业务和技术问题，请联系</w:t>
      </w:r>
      <w:r>
        <w:rPr>
          <w:rFonts w:hint="eastAsia" w:ascii="Times New Roman" w:eastAsia="仿宋_GB2312"/>
          <w:color w:val="auto"/>
          <w:sz w:val="32"/>
          <w:szCs w:val="32"/>
          <w:lang w:eastAsia="zh-CN"/>
        </w:rPr>
        <w:t>鹿寨县农产品质量安全监</w:t>
      </w:r>
      <w:r>
        <w:rPr>
          <w:rFonts w:hint="eastAsia" w:ascii="Times New Roman" w:hAnsi="Times New Roman" w:eastAsia="仿宋_GB2312" w:cs="Times New Roman"/>
          <w:color w:val="auto"/>
          <w:sz w:val="32"/>
          <w:szCs w:val="32"/>
          <w:lang w:val="en-US" w:eastAsia="zh-CN"/>
        </w:rPr>
        <w:t>督站，联系人：覃鹿峰，联系电话：</w:t>
      </w:r>
      <w:r>
        <w:rPr>
          <w:rFonts w:hint="eastAsia" w:ascii="Times New Roman" w:hAnsi="Times New Roman" w:eastAsia="仿宋_GB2312" w:cs="Times New Roman"/>
          <w:color w:val="auto"/>
          <w:sz w:val="32"/>
          <w:szCs w:val="32"/>
          <w:lang w:val="en-US" w:eastAsia="zh-CN"/>
        </w:rPr>
        <w:t>6812300</w:t>
      </w:r>
      <w:r>
        <w:rPr>
          <w:rFonts w:hint="eastAsia" w:ascii="Times New Roman" w:hAnsi="Times New Roman" w:eastAsia="仿宋_GB2312" w:cs="Times New Roman"/>
          <w:color w:val="auto"/>
          <w:sz w:val="32"/>
          <w:szCs w:val="32"/>
          <w:lang w:val="en-US" w:eastAsia="zh-CN"/>
        </w:rPr>
        <w:t>，电子邮箱：</w:t>
      </w: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"mailto:lzjc0904@163.com。" </w:instrText>
      </w:r>
      <w:r>
        <w:rPr>
          <w:rFonts w:hint="eastAsia" w:ascii="Times New Roman" w:hAnsi="Times New Roman" w:eastAsia="仿宋_GB2312" w:cs="Times New Roman"/>
          <w:color w:val="auto"/>
          <w:sz w:val="32"/>
          <w:szCs w:val="32"/>
          <w:lang w:val="en-US" w:eastAsia="zh-CN"/>
        </w:rPr>
        <w:fldChar w:fldCharType="separate"/>
      </w:r>
      <w:r>
        <w:rPr>
          <w:rFonts w:hint="eastAsia" w:ascii="Times New Roman" w:hAnsi="Times New Roman" w:eastAsia="仿宋_GB2312" w:cs="Times New Roman"/>
          <w:color w:val="auto"/>
          <w:sz w:val="32"/>
          <w:szCs w:val="32"/>
          <w:lang w:val="en-US" w:eastAsia="zh-CN"/>
        </w:rPr>
        <w:t>lzjc0904</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163</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com</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fldChar w:fldCharType="end"/>
      </w:r>
    </w:p>
    <w:p w14:paraId="597BF8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58A93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附件：</w:t>
      </w:r>
      <w:r>
        <w:rPr>
          <w:rFonts w:hint="eastAsia" w:ascii="Times New Roman" w:hAnsi="Times New Roman" w:eastAsia="仿宋_GB2312" w:cs="Times New Roman"/>
          <w:color w:val="auto"/>
          <w:sz w:val="32"/>
          <w:szCs w:val="32"/>
          <w:lang w:val="en-US" w:eastAsia="zh-CN"/>
        </w:rPr>
        <w:t>鹿寨县</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rPr>
        <w:t>年种植业农产品质量安全监测任务表</w:t>
      </w:r>
    </w:p>
    <w:p w14:paraId="1CF2139C">
      <w:pPr>
        <w:pStyle w:val="2"/>
        <w:rPr>
          <w:rFonts w:hint="eastAsia" w:ascii="仿宋_GB2312" w:eastAsia="仿宋_GB2312"/>
          <w:color w:val="auto"/>
          <w:sz w:val="32"/>
          <w:szCs w:val="32"/>
        </w:rPr>
      </w:pPr>
    </w:p>
    <w:p w14:paraId="0BA2E7F5">
      <w:pPr>
        <w:rPr>
          <w:rFonts w:hint="eastAsia" w:ascii="仿宋_GB2312" w:eastAsia="仿宋_GB2312"/>
          <w:color w:val="auto"/>
          <w:sz w:val="32"/>
          <w:szCs w:val="32"/>
        </w:rPr>
      </w:pPr>
    </w:p>
    <w:p w14:paraId="415EF55C">
      <w:pPr>
        <w:pStyle w:val="2"/>
        <w:rPr>
          <w:rFonts w:hint="eastAsia" w:ascii="仿宋_GB2312" w:eastAsia="仿宋_GB2312"/>
          <w:color w:val="auto"/>
          <w:sz w:val="32"/>
          <w:szCs w:val="32"/>
        </w:rPr>
      </w:pPr>
    </w:p>
    <w:p w14:paraId="2189BA6C">
      <w:pPr>
        <w:rPr>
          <w:rFonts w:hint="eastAsia" w:ascii="仿宋_GB2312" w:eastAsia="仿宋_GB2312"/>
          <w:color w:val="auto"/>
          <w:sz w:val="32"/>
          <w:szCs w:val="32"/>
        </w:rPr>
      </w:pPr>
    </w:p>
    <w:p w14:paraId="2D68C796">
      <w:pPr>
        <w:rPr>
          <w:rFonts w:hint="eastAsia" w:ascii="仿宋_GB2312" w:eastAsia="仿宋_GB2312"/>
          <w:color w:val="auto"/>
          <w:sz w:val="32"/>
          <w:szCs w:val="32"/>
        </w:rPr>
      </w:pPr>
    </w:p>
    <w:p w14:paraId="4EBAB86F">
      <w:pPr>
        <w:rPr>
          <w:rFonts w:hint="eastAsia" w:ascii="仿宋_GB2312" w:eastAsia="仿宋_GB2312"/>
          <w:color w:val="auto"/>
          <w:sz w:val="32"/>
          <w:szCs w:val="32"/>
        </w:rPr>
      </w:pPr>
    </w:p>
    <w:p w14:paraId="38918447">
      <w:pPr>
        <w:rPr>
          <w:rFonts w:hint="eastAsia"/>
        </w:rPr>
      </w:pPr>
    </w:p>
    <w:p w14:paraId="2CC6CAD9">
      <w:pPr>
        <w:spacing w:line="600" w:lineRule="exact"/>
        <w:rPr>
          <w:rFonts w:hint="default" w:ascii="黑体" w:hAnsi="黑体" w:eastAsia="黑体"/>
          <w:color w:val="auto"/>
          <w:sz w:val="32"/>
          <w:szCs w:val="32"/>
          <w:lang w:val="en-US" w:eastAsia="zh-CN"/>
        </w:rPr>
      </w:pPr>
      <w:r>
        <w:rPr>
          <w:rFonts w:hint="eastAsia" w:ascii="黑体" w:hAnsi="黑体" w:eastAsia="黑体"/>
          <w:color w:val="auto"/>
          <w:sz w:val="32"/>
          <w:szCs w:val="32"/>
        </w:rPr>
        <w:t>附件</w:t>
      </w:r>
    </w:p>
    <w:p w14:paraId="5E1BA7F2">
      <w:pPr>
        <w:spacing w:line="56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lang w:eastAsia="zh-CN"/>
        </w:rPr>
        <w:t>鹿寨县</w:t>
      </w:r>
      <w:r>
        <w:rPr>
          <w:rFonts w:hint="eastAsia" w:ascii="Times New Roman" w:hAnsi="Times New Roman" w:eastAsia="宋体" w:cs="宋体"/>
          <w:color w:val="auto"/>
          <w:sz w:val="44"/>
          <w:szCs w:val="44"/>
        </w:rPr>
        <w:t>20</w:t>
      </w:r>
      <w:r>
        <w:rPr>
          <w:rFonts w:hint="eastAsia" w:ascii="Times New Roman" w:hAnsi="Times New Roman" w:eastAsia="宋体" w:cs="宋体"/>
          <w:color w:val="auto"/>
          <w:sz w:val="44"/>
          <w:szCs w:val="44"/>
          <w:lang w:val="en-US" w:eastAsia="zh-CN"/>
        </w:rPr>
        <w:t>25</w:t>
      </w:r>
      <w:r>
        <w:rPr>
          <w:rFonts w:hint="eastAsia" w:ascii="宋体" w:hAnsi="宋体" w:eastAsia="宋体" w:cs="宋体"/>
          <w:color w:val="auto"/>
          <w:sz w:val="44"/>
          <w:szCs w:val="44"/>
        </w:rPr>
        <w:t>年种植业农产品质量安全</w:t>
      </w:r>
    </w:p>
    <w:p w14:paraId="201AA140">
      <w:pPr>
        <w:spacing w:line="560" w:lineRule="exact"/>
        <w:jc w:val="center"/>
        <w:rPr>
          <w:rFonts w:hint="eastAsia" w:ascii="宋体" w:hAnsi="宋体" w:eastAsia="宋体" w:cs="宋体"/>
          <w:sz w:val="44"/>
          <w:szCs w:val="44"/>
          <w:lang w:val="en-US" w:eastAsia="zh-CN"/>
        </w:rPr>
      </w:pPr>
      <w:r>
        <w:rPr>
          <w:rFonts w:hint="eastAsia" w:ascii="宋体" w:hAnsi="宋体" w:eastAsia="宋体" w:cs="宋体"/>
          <w:color w:val="auto"/>
          <w:sz w:val="44"/>
          <w:szCs w:val="44"/>
        </w:rPr>
        <w:t>监测任务表</w:t>
      </w:r>
    </w:p>
    <w:p w14:paraId="6DFB4DEE">
      <w:pPr>
        <w:tabs>
          <w:tab w:val="left" w:pos="3133"/>
        </w:tabs>
        <w:bidi w:val="0"/>
        <w:jc w:val="left"/>
        <w:rPr>
          <w:rFonts w:hint="eastAsia"/>
          <w:lang w:val="en-US" w:eastAsia="zh-CN"/>
        </w:rPr>
      </w:pPr>
    </w:p>
    <w:tbl>
      <w:tblPr>
        <w:tblStyle w:val="6"/>
        <w:tblpPr w:leftFromText="180" w:rightFromText="180" w:vertAnchor="text" w:horzAnchor="page" w:tblpXSpec="center" w:tblpY="301"/>
        <w:tblOverlap w:val="never"/>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980"/>
        <w:gridCol w:w="2025"/>
        <w:gridCol w:w="2160"/>
        <w:gridCol w:w="1545"/>
        <w:gridCol w:w="1128"/>
      </w:tblGrid>
      <w:tr w14:paraId="528C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510" w:type="dxa"/>
            <w:tcBorders>
              <w:tl2br w:val="single" w:color="auto" w:sz="4" w:space="0"/>
            </w:tcBorders>
            <w:noWrap w:val="0"/>
            <w:vAlign w:val="center"/>
          </w:tcPr>
          <w:p w14:paraId="6271C9E8">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监测</w:t>
            </w:r>
          </w:p>
          <w:p w14:paraId="79254BFA">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任务</w:t>
            </w:r>
          </w:p>
          <w:p w14:paraId="6C3F1A9A">
            <w:pPr>
              <w:keepNext w:val="0"/>
              <w:keepLines w:val="0"/>
              <w:widowControl w:val="0"/>
              <w:suppressLineNumbers w:val="0"/>
              <w:spacing w:before="0" w:beforeAutospacing="0" w:after="0" w:afterAutospacing="0"/>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监督</w:t>
            </w:r>
          </w:p>
          <w:p w14:paraId="18EDC3B0">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
              </w:rPr>
              <w:t>单位</w:t>
            </w:r>
          </w:p>
        </w:tc>
        <w:tc>
          <w:tcPr>
            <w:tcW w:w="1980" w:type="dxa"/>
            <w:noWrap w:val="0"/>
            <w:vAlign w:val="center"/>
          </w:tcPr>
          <w:p w14:paraId="32E875AA">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县</w:t>
            </w:r>
            <w:r>
              <w:rPr>
                <w:rFonts w:hint="eastAsia" w:ascii="宋体" w:hAnsi="宋体" w:cs="宋体"/>
                <w:b/>
                <w:bCs/>
                <w:kern w:val="2"/>
                <w:sz w:val="24"/>
                <w:szCs w:val="24"/>
                <w:lang w:val="en-US" w:eastAsia="zh-CN" w:bidi="ar"/>
              </w:rPr>
              <w:t>、乡</w:t>
            </w:r>
            <w:r>
              <w:rPr>
                <w:rFonts w:hint="eastAsia" w:ascii="宋体" w:hAnsi="宋体" w:eastAsia="宋体" w:cs="宋体"/>
                <w:b/>
                <w:bCs/>
                <w:kern w:val="2"/>
                <w:sz w:val="24"/>
                <w:szCs w:val="24"/>
                <w:lang w:val="en-US" w:eastAsia="zh-CN" w:bidi="ar"/>
              </w:rPr>
              <w:t>快速检测</w:t>
            </w:r>
          </w:p>
          <w:p w14:paraId="6E6D4F56">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（份）</w:t>
            </w:r>
          </w:p>
        </w:tc>
        <w:tc>
          <w:tcPr>
            <w:tcW w:w="2025" w:type="dxa"/>
            <w:noWrap w:val="0"/>
            <w:vAlign w:val="center"/>
          </w:tcPr>
          <w:p w14:paraId="14BB7B1D">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p>
          <w:p w14:paraId="61919768">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乡镇快速检测（</w:t>
            </w:r>
            <w:r>
              <w:rPr>
                <w:rFonts w:hint="eastAsia" w:ascii="宋体" w:hAnsi="宋体" w:cs="宋体"/>
                <w:b/>
                <w:bCs/>
                <w:kern w:val="2"/>
                <w:sz w:val="24"/>
                <w:szCs w:val="24"/>
                <w:lang w:val="en-US" w:eastAsia="zh-CN" w:bidi="ar"/>
              </w:rPr>
              <w:t>品种</w:t>
            </w:r>
            <w:r>
              <w:rPr>
                <w:rFonts w:hint="eastAsia" w:ascii="宋体" w:hAnsi="宋体" w:eastAsia="宋体" w:cs="宋体"/>
                <w:b/>
                <w:bCs/>
                <w:kern w:val="2"/>
                <w:sz w:val="24"/>
                <w:szCs w:val="24"/>
                <w:lang w:val="en-US" w:eastAsia="zh-CN" w:bidi="ar"/>
              </w:rPr>
              <w:t>）</w:t>
            </w:r>
          </w:p>
          <w:p w14:paraId="45FB77E1">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p>
        </w:tc>
        <w:tc>
          <w:tcPr>
            <w:tcW w:w="2160" w:type="dxa"/>
            <w:noWrap w:val="0"/>
            <w:vAlign w:val="center"/>
          </w:tcPr>
          <w:p w14:paraId="7F4B85C0">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
              </w:rPr>
              <w:t>区市县级定量检测抽样任务（份）</w:t>
            </w:r>
          </w:p>
        </w:tc>
        <w:tc>
          <w:tcPr>
            <w:tcW w:w="1545" w:type="dxa"/>
            <w:noWrap w:val="0"/>
            <w:vAlign w:val="center"/>
          </w:tcPr>
          <w:p w14:paraId="7B6AADBA">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专项</w:t>
            </w:r>
            <w:r>
              <w:rPr>
                <w:rFonts w:hint="eastAsia" w:ascii="宋体" w:hAnsi="宋体" w:cs="宋体"/>
                <w:b/>
                <w:bCs/>
                <w:kern w:val="2"/>
                <w:sz w:val="24"/>
                <w:szCs w:val="24"/>
                <w:lang w:val="en-US" w:eastAsia="zh-CN" w:bidi="ar"/>
              </w:rPr>
              <w:t>抽样</w:t>
            </w:r>
            <w:r>
              <w:rPr>
                <w:rFonts w:hint="eastAsia" w:ascii="宋体" w:hAnsi="宋体" w:eastAsia="宋体" w:cs="宋体"/>
                <w:b/>
                <w:bCs/>
                <w:kern w:val="2"/>
                <w:sz w:val="24"/>
                <w:szCs w:val="24"/>
                <w:lang w:val="en-US" w:eastAsia="zh-CN" w:bidi="ar"/>
              </w:rPr>
              <w:t>（份）</w:t>
            </w:r>
          </w:p>
        </w:tc>
        <w:tc>
          <w:tcPr>
            <w:tcW w:w="1128" w:type="dxa"/>
            <w:noWrap w:val="0"/>
            <w:vAlign w:val="center"/>
          </w:tcPr>
          <w:p w14:paraId="1E2288B1">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
              </w:rPr>
              <w:t>小计</w:t>
            </w:r>
          </w:p>
        </w:tc>
      </w:tr>
      <w:tr w14:paraId="59FF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14:paraId="1465D569">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鹿寨县</w:t>
            </w:r>
          </w:p>
          <w:p w14:paraId="2F8F45C8">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
              </w:rPr>
              <w:t>监督站</w:t>
            </w:r>
          </w:p>
        </w:tc>
        <w:tc>
          <w:tcPr>
            <w:tcW w:w="1980" w:type="dxa"/>
            <w:vMerge w:val="restart"/>
            <w:noWrap w:val="0"/>
            <w:vAlign w:val="center"/>
          </w:tcPr>
          <w:p w14:paraId="27AFD8AA">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600</w:t>
            </w:r>
          </w:p>
          <w:p w14:paraId="78D76EBC">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025" w:type="dxa"/>
            <w:noWrap w:val="0"/>
            <w:vAlign w:val="center"/>
          </w:tcPr>
          <w:p w14:paraId="13BC444C">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w:t>
            </w:r>
          </w:p>
        </w:tc>
        <w:tc>
          <w:tcPr>
            <w:tcW w:w="2160" w:type="dxa"/>
            <w:noWrap w:val="0"/>
            <w:vAlign w:val="center"/>
          </w:tcPr>
          <w:p w14:paraId="1EC53E45">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794</w:t>
            </w:r>
          </w:p>
        </w:tc>
        <w:tc>
          <w:tcPr>
            <w:tcW w:w="1545" w:type="dxa"/>
            <w:noWrap w:val="0"/>
            <w:vAlign w:val="center"/>
          </w:tcPr>
          <w:p w14:paraId="089E5094">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43</w:t>
            </w:r>
          </w:p>
        </w:tc>
        <w:tc>
          <w:tcPr>
            <w:tcW w:w="1128" w:type="dxa"/>
            <w:noWrap w:val="0"/>
            <w:vAlign w:val="center"/>
          </w:tcPr>
          <w:p w14:paraId="2ACB5B07">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837</w:t>
            </w:r>
          </w:p>
        </w:tc>
      </w:tr>
      <w:tr w14:paraId="215C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10" w:type="dxa"/>
            <w:noWrap w:val="0"/>
            <w:vAlign w:val="center"/>
          </w:tcPr>
          <w:p w14:paraId="7D675589">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鹿寨镇</w:t>
            </w:r>
          </w:p>
        </w:tc>
        <w:tc>
          <w:tcPr>
            <w:tcW w:w="1980" w:type="dxa"/>
            <w:vMerge w:val="continue"/>
            <w:noWrap w:val="0"/>
            <w:vAlign w:val="center"/>
          </w:tcPr>
          <w:p w14:paraId="59B0AE13">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lang w:val="en-US" w:eastAsia="zh-CN" w:bidi="ar"/>
              </w:rPr>
            </w:pPr>
          </w:p>
        </w:tc>
        <w:tc>
          <w:tcPr>
            <w:tcW w:w="2025" w:type="dxa"/>
            <w:vMerge w:val="restart"/>
            <w:noWrap w:val="0"/>
            <w:vAlign w:val="center"/>
          </w:tcPr>
          <w:p w14:paraId="7240E5DE">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豇豆、沃柑</w:t>
            </w:r>
          </w:p>
        </w:tc>
        <w:tc>
          <w:tcPr>
            <w:tcW w:w="2160" w:type="dxa"/>
            <w:vMerge w:val="restart"/>
            <w:noWrap w:val="0"/>
            <w:vAlign w:val="center"/>
          </w:tcPr>
          <w:p w14:paraId="51DBC0DA">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协助抽样</w:t>
            </w:r>
          </w:p>
        </w:tc>
        <w:tc>
          <w:tcPr>
            <w:tcW w:w="1545" w:type="dxa"/>
            <w:vMerge w:val="restart"/>
            <w:noWrap w:val="0"/>
            <w:vAlign w:val="center"/>
          </w:tcPr>
          <w:p w14:paraId="71C417F6">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协助抽样</w:t>
            </w:r>
          </w:p>
        </w:tc>
        <w:tc>
          <w:tcPr>
            <w:tcW w:w="1128" w:type="dxa"/>
            <w:vMerge w:val="restart"/>
            <w:noWrap w:val="0"/>
            <w:vAlign w:val="center"/>
          </w:tcPr>
          <w:p w14:paraId="13254138">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600</w:t>
            </w:r>
          </w:p>
        </w:tc>
      </w:tr>
      <w:tr w14:paraId="3935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14:paraId="37803D20">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
              </w:rPr>
              <w:t>寨沙镇</w:t>
            </w:r>
          </w:p>
        </w:tc>
        <w:tc>
          <w:tcPr>
            <w:tcW w:w="1980" w:type="dxa"/>
            <w:vMerge w:val="continue"/>
            <w:noWrap w:val="0"/>
            <w:vAlign w:val="center"/>
          </w:tcPr>
          <w:p w14:paraId="2D3F0847">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025" w:type="dxa"/>
            <w:vMerge w:val="continue"/>
            <w:noWrap w:val="0"/>
            <w:vAlign w:val="center"/>
          </w:tcPr>
          <w:p w14:paraId="05CBFD7A">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160" w:type="dxa"/>
            <w:vMerge w:val="continue"/>
            <w:noWrap w:val="0"/>
            <w:vAlign w:val="center"/>
          </w:tcPr>
          <w:p w14:paraId="37B62363">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545" w:type="dxa"/>
            <w:vMerge w:val="continue"/>
            <w:noWrap w:val="0"/>
            <w:vAlign w:val="center"/>
          </w:tcPr>
          <w:p w14:paraId="519ADB44">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128" w:type="dxa"/>
            <w:vMerge w:val="continue"/>
            <w:noWrap w:val="0"/>
            <w:vAlign w:val="center"/>
          </w:tcPr>
          <w:p w14:paraId="58F46BA5">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r>
      <w:tr w14:paraId="6DD2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14:paraId="2F756DBD">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
              </w:rPr>
              <w:t>拉沟乡</w:t>
            </w:r>
          </w:p>
        </w:tc>
        <w:tc>
          <w:tcPr>
            <w:tcW w:w="1980" w:type="dxa"/>
            <w:vMerge w:val="continue"/>
            <w:noWrap w:val="0"/>
            <w:vAlign w:val="center"/>
          </w:tcPr>
          <w:p w14:paraId="56DC82C4">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025" w:type="dxa"/>
            <w:vMerge w:val="continue"/>
            <w:noWrap w:val="0"/>
            <w:vAlign w:val="center"/>
          </w:tcPr>
          <w:p w14:paraId="076DCE20">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160" w:type="dxa"/>
            <w:vMerge w:val="continue"/>
            <w:noWrap w:val="0"/>
            <w:vAlign w:val="center"/>
          </w:tcPr>
          <w:p w14:paraId="2BB885ED">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545" w:type="dxa"/>
            <w:vMerge w:val="continue"/>
            <w:noWrap w:val="0"/>
            <w:vAlign w:val="center"/>
          </w:tcPr>
          <w:p w14:paraId="6038773B">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128" w:type="dxa"/>
            <w:vMerge w:val="continue"/>
            <w:noWrap w:val="0"/>
            <w:vAlign w:val="center"/>
          </w:tcPr>
          <w:p w14:paraId="0923F3BD">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r>
      <w:tr w14:paraId="647D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14:paraId="2E16D93B">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
              </w:rPr>
              <w:t>四排镇</w:t>
            </w:r>
          </w:p>
        </w:tc>
        <w:tc>
          <w:tcPr>
            <w:tcW w:w="1980" w:type="dxa"/>
            <w:vMerge w:val="continue"/>
            <w:noWrap w:val="0"/>
            <w:vAlign w:val="center"/>
          </w:tcPr>
          <w:p w14:paraId="4FCEFE86">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025" w:type="dxa"/>
            <w:vMerge w:val="continue"/>
            <w:noWrap w:val="0"/>
            <w:vAlign w:val="center"/>
          </w:tcPr>
          <w:p w14:paraId="342B5393">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160" w:type="dxa"/>
            <w:vMerge w:val="continue"/>
            <w:noWrap w:val="0"/>
            <w:vAlign w:val="center"/>
          </w:tcPr>
          <w:p w14:paraId="069E75F1">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545" w:type="dxa"/>
            <w:vMerge w:val="continue"/>
            <w:noWrap w:val="0"/>
            <w:vAlign w:val="center"/>
          </w:tcPr>
          <w:p w14:paraId="5385B0A3">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128" w:type="dxa"/>
            <w:vMerge w:val="continue"/>
            <w:noWrap w:val="0"/>
            <w:vAlign w:val="center"/>
          </w:tcPr>
          <w:p w14:paraId="71AF0218">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r>
      <w:tr w14:paraId="1925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14:paraId="762FF346">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
              </w:rPr>
              <w:t>黄冕镇</w:t>
            </w:r>
          </w:p>
        </w:tc>
        <w:tc>
          <w:tcPr>
            <w:tcW w:w="1980" w:type="dxa"/>
            <w:vMerge w:val="continue"/>
            <w:noWrap w:val="0"/>
            <w:vAlign w:val="center"/>
          </w:tcPr>
          <w:p w14:paraId="5354A866">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025" w:type="dxa"/>
            <w:vMerge w:val="continue"/>
            <w:noWrap w:val="0"/>
            <w:vAlign w:val="center"/>
          </w:tcPr>
          <w:p w14:paraId="1DF8D81D">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160" w:type="dxa"/>
            <w:vMerge w:val="continue"/>
            <w:noWrap w:val="0"/>
            <w:vAlign w:val="center"/>
          </w:tcPr>
          <w:p w14:paraId="6EEBA8D2">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545" w:type="dxa"/>
            <w:vMerge w:val="continue"/>
            <w:noWrap w:val="0"/>
            <w:vAlign w:val="center"/>
          </w:tcPr>
          <w:p w14:paraId="075B22BF">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128" w:type="dxa"/>
            <w:vMerge w:val="continue"/>
            <w:noWrap w:val="0"/>
            <w:vAlign w:val="center"/>
          </w:tcPr>
          <w:p w14:paraId="2ABE3425">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r>
      <w:tr w14:paraId="60C4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14:paraId="661BCE82">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
              </w:rPr>
              <w:t>导江乡</w:t>
            </w:r>
          </w:p>
        </w:tc>
        <w:tc>
          <w:tcPr>
            <w:tcW w:w="1980" w:type="dxa"/>
            <w:vMerge w:val="continue"/>
            <w:noWrap w:val="0"/>
            <w:vAlign w:val="center"/>
          </w:tcPr>
          <w:p w14:paraId="517E1048">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025" w:type="dxa"/>
            <w:vMerge w:val="continue"/>
            <w:noWrap w:val="0"/>
            <w:vAlign w:val="center"/>
          </w:tcPr>
          <w:p w14:paraId="17382311">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160" w:type="dxa"/>
            <w:vMerge w:val="continue"/>
            <w:noWrap w:val="0"/>
            <w:vAlign w:val="center"/>
          </w:tcPr>
          <w:p w14:paraId="70350ADB">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545" w:type="dxa"/>
            <w:vMerge w:val="continue"/>
            <w:noWrap w:val="0"/>
            <w:vAlign w:val="center"/>
          </w:tcPr>
          <w:p w14:paraId="5BEC4612">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128" w:type="dxa"/>
            <w:vMerge w:val="continue"/>
            <w:noWrap w:val="0"/>
            <w:vAlign w:val="center"/>
          </w:tcPr>
          <w:p w14:paraId="09F25E92">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r>
      <w:tr w14:paraId="0083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14:paraId="0EE9D78E">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
              </w:rPr>
              <w:t>江口镇</w:t>
            </w:r>
          </w:p>
        </w:tc>
        <w:tc>
          <w:tcPr>
            <w:tcW w:w="1980" w:type="dxa"/>
            <w:vMerge w:val="continue"/>
            <w:noWrap w:val="0"/>
            <w:vAlign w:val="center"/>
          </w:tcPr>
          <w:p w14:paraId="2D6AFD2D">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025" w:type="dxa"/>
            <w:vMerge w:val="continue"/>
            <w:noWrap w:val="0"/>
            <w:vAlign w:val="center"/>
          </w:tcPr>
          <w:p w14:paraId="4A526B82">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160" w:type="dxa"/>
            <w:vMerge w:val="continue"/>
            <w:noWrap w:val="0"/>
            <w:vAlign w:val="center"/>
          </w:tcPr>
          <w:p w14:paraId="3F1EEB46">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545" w:type="dxa"/>
            <w:vMerge w:val="continue"/>
            <w:noWrap w:val="0"/>
            <w:vAlign w:val="center"/>
          </w:tcPr>
          <w:p w14:paraId="7FC0EDDB">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128" w:type="dxa"/>
            <w:vMerge w:val="continue"/>
            <w:noWrap w:val="0"/>
            <w:vAlign w:val="center"/>
          </w:tcPr>
          <w:p w14:paraId="408CE8DC">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r>
      <w:tr w14:paraId="101C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14:paraId="34336AC6">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
              </w:rPr>
              <w:t>中渡镇</w:t>
            </w:r>
          </w:p>
        </w:tc>
        <w:tc>
          <w:tcPr>
            <w:tcW w:w="1980" w:type="dxa"/>
            <w:vMerge w:val="continue"/>
            <w:noWrap w:val="0"/>
            <w:vAlign w:val="center"/>
          </w:tcPr>
          <w:p w14:paraId="2C0B17F5">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025" w:type="dxa"/>
            <w:vMerge w:val="continue"/>
            <w:noWrap w:val="0"/>
            <w:vAlign w:val="center"/>
          </w:tcPr>
          <w:p w14:paraId="61F4A983">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160" w:type="dxa"/>
            <w:vMerge w:val="continue"/>
            <w:noWrap w:val="0"/>
            <w:vAlign w:val="center"/>
          </w:tcPr>
          <w:p w14:paraId="41DBFC7E">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545" w:type="dxa"/>
            <w:vMerge w:val="continue"/>
            <w:noWrap w:val="0"/>
            <w:vAlign w:val="center"/>
          </w:tcPr>
          <w:p w14:paraId="5DEDBEFC">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128" w:type="dxa"/>
            <w:vMerge w:val="continue"/>
            <w:noWrap w:val="0"/>
            <w:vAlign w:val="center"/>
          </w:tcPr>
          <w:p w14:paraId="4639264F">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r>
      <w:tr w14:paraId="48B2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14:paraId="72F6B789">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
              </w:rPr>
              <w:t>平山镇</w:t>
            </w:r>
          </w:p>
        </w:tc>
        <w:tc>
          <w:tcPr>
            <w:tcW w:w="1980" w:type="dxa"/>
            <w:vMerge w:val="continue"/>
            <w:noWrap w:val="0"/>
            <w:vAlign w:val="center"/>
          </w:tcPr>
          <w:p w14:paraId="320B2BE7">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025" w:type="dxa"/>
            <w:vMerge w:val="continue"/>
            <w:noWrap w:val="0"/>
            <w:vAlign w:val="center"/>
          </w:tcPr>
          <w:p w14:paraId="71BAB193">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160" w:type="dxa"/>
            <w:vMerge w:val="continue"/>
            <w:noWrap w:val="0"/>
            <w:vAlign w:val="center"/>
          </w:tcPr>
          <w:p w14:paraId="55E08C8A">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545" w:type="dxa"/>
            <w:vMerge w:val="continue"/>
            <w:noWrap w:val="0"/>
            <w:vAlign w:val="center"/>
          </w:tcPr>
          <w:p w14:paraId="76139EC8">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1128" w:type="dxa"/>
            <w:vMerge w:val="continue"/>
            <w:noWrap w:val="0"/>
            <w:vAlign w:val="center"/>
          </w:tcPr>
          <w:p w14:paraId="3F8A3D23">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r>
      <w:tr w14:paraId="6035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510" w:type="dxa"/>
            <w:noWrap w:val="0"/>
            <w:vAlign w:val="center"/>
          </w:tcPr>
          <w:p w14:paraId="4748DB82">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
              </w:rPr>
              <w:t>小计</w:t>
            </w:r>
          </w:p>
        </w:tc>
        <w:tc>
          <w:tcPr>
            <w:tcW w:w="1980" w:type="dxa"/>
            <w:noWrap w:val="0"/>
            <w:vAlign w:val="center"/>
          </w:tcPr>
          <w:p w14:paraId="04A5B956">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600</w:t>
            </w:r>
          </w:p>
        </w:tc>
        <w:tc>
          <w:tcPr>
            <w:tcW w:w="2025" w:type="dxa"/>
            <w:noWrap w:val="0"/>
            <w:vAlign w:val="center"/>
          </w:tcPr>
          <w:p w14:paraId="4B1DDA72">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p>
        </w:tc>
        <w:tc>
          <w:tcPr>
            <w:tcW w:w="2160" w:type="dxa"/>
            <w:noWrap w:val="0"/>
            <w:vAlign w:val="center"/>
          </w:tcPr>
          <w:p w14:paraId="76E0070A">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794</w:t>
            </w:r>
          </w:p>
        </w:tc>
        <w:tc>
          <w:tcPr>
            <w:tcW w:w="1545" w:type="dxa"/>
            <w:noWrap w:val="0"/>
            <w:vAlign w:val="center"/>
          </w:tcPr>
          <w:p w14:paraId="7BD6839D">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43</w:t>
            </w:r>
          </w:p>
        </w:tc>
        <w:tc>
          <w:tcPr>
            <w:tcW w:w="1128" w:type="dxa"/>
            <w:noWrap w:val="0"/>
            <w:vAlign w:val="center"/>
          </w:tcPr>
          <w:p w14:paraId="48CEA36E">
            <w:pPr>
              <w:keepNext w:val="0"/>
              <w:keepLines w:val="0"/>
              <w:widowControl w:val="0"/>
              <w:suppressLineNumbers w:val="0"/>
              <w:spacing w:before="0" w:beforeAutospacing="0" w:after="0" w:afterAutospacing="0" w:line="320" w:lineRule="exact"/>
              <w:ind w:left="0" w:leftChars="0" w:right="0" w:rightChars="0"/>
              <w:jc w:val="center"/>
              <w:rPr>
                <w:rFonts w:hint="eastAsia" w:ascii="仿宋_GB2312" w:hAnsi="仿宋_GB2312"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1437</w:t>
            </w:r>
          </w:p>
        </w:tc>
      </w:tr>
      <w:tr w14:paraId="415C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10" w:type="dxa"/>
            <w:noWrap w:val="0"/>
            <w:vAlign w:val="center"/>
          </w:tcPr>
          <w:p w14:paraId="6326EEEC">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合计</w:t>
            </w:r>
          </w:p>
        </w:tc>
        <w:tc>
          <w:tcPr>
            <w:tcW w:w="8838" w:type="dxa"/>
            <w:gridSpan w:val="5"/>
            <w:noWrap w:val="0"/>
            <w:vAlign w:val="center"/>
          </w:tcPr>
          <w:p w14:paraId="529197B4">
            <w:pPr>
              <w:tabs>
                <w:tab w:val="left" w:pos="2659"/>
                <w:tab w:val="center" w:pos="4377"/>
                <w:tab w:val="right" w:pos="8634"/>
              </w:tabs>
              <w:jc w:val="left"/>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ab/>
            </w:r>
            <w:r>
              <w:rPr>
                <w:rFonts w:hint="eastAsia" w:ascii="仿宋_GB2312" w:hAnsi="仿宋_GB2312" w:eastAsia="仿宋_GB2312" w:cs="仿宋_GB2312"/>
                <w:b/>
                <w:bCs/>
                <w:sz w:val="28"/>
                <w:szCs w:val="28"/>
                <w:vertAlign w:val="baseline"/>
                <w:lang w:val="en-US" w:eastAsia="zh-CN"/>
              </w:rPr>
              <w:tab/>
            </w:r>
            <w:r>
              <w:rPr>
                <w:rFonts w:hint="eastAsia" w:ascii="Times New Roman" w:hAnsi="Times New Roman" w:eastAsia="仿宋_GB2312" w:cs="仿宋_GB2312"/>
                <w:b/>
                <w:bCs/>
                <w:sz w:val="28"/>
                <w:szCs w:val="28"/>
                <w:vertAlign w:val="baseline"/>
                <w:lang w:val="en-US" w:eastAsia="zh-CN"/>
              </w:rPr>
              <w:t>1437</w:t>
            </w:r>
          </w:p>
        </w:tc>
      </w:tr>
    </w:tbl>
    <w:p w14:paraId="34DD0D5B"/>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3B5BA">
    <w:pPr>
      <w:wordWrap w:val="0"/>
      <w:snapToGrid w:val="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46C230">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46C230">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NDQ2ZWRiYWY1ZmY0YmMzZmI5NjM5YjMwNjJlOWUifQ=="/>
  </w:docVars>
  <w:rsids>
    <w:rsidRoot w:val="1CE86A2F"/>
    <w:rsid w:val="12992410"/>
    <w:rsid w:val="1CE86A2F"/>
    <w:rsid w:val="35B76A8F"/>
    <w:rsid w:val="3C065573"/>
    <w:rsid w:val="423D2625"/>
    <w:rsid w:val="53C162FE"/>
    <w:rsid w:val="58704048"/>
    <w:rsid w:val="5BA168FF"/>
    <w:rsid w:val="5CD85BCD"/>
    <w:rsid w:val="681A7B2C"/>
    <w:rsid w:val="6CA200F0"/>
    <w:rsid w:val="6D1A7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rFonts w:hint="default"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3658</Words>
  <Characters>3835</Characters>
  <Lines>0</Lines>
  <Paragraphs>0</Paragraphs>
  <TotalTime>153</TotalTime>
  <ScaleCrop>false</ScaleCrop>
  <LinksUpToDate>false</LinksUpToDate>
  <CharactersWithSpaces>3890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2025-06-16T07:15:00Z</dcterms:created>
  <dc:creator>怀想蓝天的鱼</dc:creator>
  <cp:lastModifiedBy>学习使我快乐</cp:lastModifiedBy>
  <cp:lastPrinted>2025-07-16T02:51:07Z</cp:lastPrinted>
  <dcterms:modified xsi:type="dcterms:W3CDTF">2025-07-16T02:51:09Z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2DE6360126544AD4B720AE994E8CBECB_13</vt:lpwstr>
  </property>
  <property fmtid="{D5CDD505-2E9C-101B-9397-08002B2CF9AE}" pid="4" name="KSOTemplateDocerSaveRecord">
    <vt:lpwstr>eyJoZGlkIjoiM2M0YmQ0NGYwYWU5OGMxMDgxMjg2NzRjNGM3ODUwMzgiLCJ1c2VySWQiOiIzMjY4OTk4OTQifQ==</vt:lpwstr>
  </property>
</Properties>
</file>