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z w:val="44"/>
          <w:szCs w:val="44"/>
          <w:u w:val="none" w:color="auto"/>
          <w:shd w:val="clear" w:color="auto" w:fill="auto"/>
          <w:lang w:val="en-US" w:eastAsia="zh-CN"/>
        </w:rPr>
      </w:pPr>
      <w:r>
        <w:rPr>
          <w:rFonts w:hint="eastAsia" w:ascii="方正小标宋简体" w:hAnsi="方正小标宋简体" w:eastAsia="方正小标宋简体" w:cs="方正小标宋简体"/>
          <w:b w:val="0"/>
          <w:color w:val="333333"/>
          <w:sz w:val="44"/>
          <w:szCs w:val="44"/>
          <w:shd w:val="clear" w:fill="FFFFFF"/>
        </w:rPr>
        <w:t>关于</w:t>
      </w:r>
      <w:r>
        <w:rPr>
          <w:rFonts w:hint="eastAsia" w:ascii="方正小标宋简体" w:hAnsi="方正小标宋简体" w:eastAsia="方正小标宋简体" w:cs="方正小标宋简体"/>
          <w:b w:val="0"/>
          <w:color w:val="333333"/>
          <w:sz w:val="44"/>
          <w:szCs w:val="44"/>
          <w:shd w:val="clear" w:fill="FFFFFF"/>
          <w:lang w:eastAsia="zh-CN"/>
        </w:rPr>
        <w:t>印发《</w:t>
      </w:r>
      <w:r>
        <w:rPr>
          <w:rFonts w:hint="default" w:ascii="方正小标宋简体" w:hAnsi="方正小标宋简体" w:eastAsia="方正小标宋简体" w:cs="方正小标宋简体"/>
          <w:b w:val="0"/>
          <w:color w:val="333333"/>
          <w:sz w:val="44"/>
          <w:szCs w:val="44"/>
          <w:shd w:val="clear" w:fill="FFFFFF"/>
          <w:lang w:eastAsia="zh-CN"/>
        </w:rPr>
        <w:t>鹿寨县住宅物业服务</w:t>
      </w:r>
      <w:r>
        <w:rPr>
          <w:rFonts w:hint="eastAsia" w:ascii="方正小标宋简体" w:hAnsi="方正小标宋简体" w:eastAsia="方正小标宋简体" w:cs="方正小标宋简体"/>
          <w:b w:val="0"/>
          <w:color w:val="333333"/>
          <w:sz w:val="44"/>
          <w:szCs w:val="44"/>
          <w:shd w:val="clear" w:fill="FFFFFF"/>
          <w:lang w:eastAsia="zh-CN"/>
        </w:rPr>
        <w:t>等级收费</w:t>
      </w:r>
      <w:r>
        <w:rPr>
          <w:rFonts w:hint="eastAsia" w:ascii="方正小标宋简体" w:hAnsi="方正小标宋简体" w:eastAsia="方正小标宋简体" w:cs="方正小标宋简体"/>
          <w:b w:val="0"/>
          <w:color w:val="333333"/>
          <w:sz w:val="44"/>
          <w:szCs w:val="44"/>
          <w:shd w:val="clear" w:fill="FFFFFF"/>
          <w:lang w:val="en-US" w:eastAsia="zh-CN"/>
        </w:rPr>
        <w:t xml:space="preserve">    </w:t>
      </w:r>
      <w:r>
        <w:rPr>
          <w:rFonts w:hint="eastAsia" w:ascii="方正小标宋简体" w:hAnsi="方正小标宋简体" w:eastAsia="方正小标宋简体" w:cs="方正小标宋简体"/>
          <w:b w:val="0"/>
          <w:color w:val="333333"/>
          <w:sz w:val="44"/>
          <w:szCs w:val="44"/>
          <w:shd w:val="clear" w:fill="FFFFFF"/>
          <w:lang w:eastAsia="zh-CN"/>
        </w:rPr>
        <w:t>及住宅停车收费政府指导标准》</w:t>
      </w:r>
      <w:r>
        <w:rPr>
          <w:rFonts w:hint="eastAsia" w:ascii="方正小标宋简体" w:hAnsi="方正小标宋简体" w:eastAsia="方正小标宋简体" w:cs="方正小标宋简体"/>
          <w:b w:val="0"/>
          <w:color w:val="333333"/>
          <w:sz w:val="44"/>
          <w:szCs w:val="44"/>
          <w:shd w:val="clear" w:fill="FFFFFF"/>
        </w:rPr>
        <w:t>的通知</w:t>
      </w:r>
      <w:r>
        <w:rPr>
          <w:rFonts w:hint="eastAsia" w:ascii="方正小标宋简体" w:hAnsi="方正小标宋简体" w:eastAsia="方正小标宋简体" w:cs="方正小标宋简体"/>
          <w:b w:val="0"/>
          <w:color w:val="333333"/>
          <w:sz w:val="44"/>
          <w:szCs w:val="44"/>
          <w:shd w:val="clear" w:fill="FFFFFF"/>
          <w:lang w:val="en-US" w:eastAsia="zh-CN"/>
        </w:rPr>
        <w:t xml:space="preserve">     （征求意见稿）    </w:t>
      </w:r>
    </w:p>
    <w:p>
      <w:pPr>
        <w:spacing w:line="560" w:lineRule="exact"/>
        <w:jc w:val="both"/>
        <w:rPr>
          <w:rFonts w:hint="eastAsia" w:ascii="仿宋" w:hAnsi="仿宋" w:eastAsia="仿宋" w:cs="仿宋"/>
          <w:color w:val="auto"/>
          <w:sz w:val="44"/>
          <w:szCs w:val="44"/>
          <w:u w:val="none" w:color="auto"/>
          <w:shd w:val="clear" w:color="auto" w:fill="auto"/>
          <w:lang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2312" w:cs="Times New Roman"/>
          <w:color w:val="auto"/>
          <w:sz w:val="32"/>
          <w:szCs w:val="32"/>
          <w:u w:val="none" w:color="auto"/>
          <w:shd w:val="clear" w:color="auto" w:fill="auto"/>
          <w:lang w:eastAsia="zh-CN"/>
        </w:rPr>
      </w:pPr>
      <w:r>
        <w:rPr>
          <w:rFonts w:hint="default" w:ascii="Times New Roman" w:hAnsi="Times New Roman" w:eastAsia="方正仿宋_GB2312" w:cs="Times New Roman"/>
          <w:color w:val="auto"/>
          <w:sz w:val="32"/>
          <w:szCs w:val="32"/>
          <w:u w:val="none" w:color="auto"/>
          <w:shd w:val="clear" w:color="auto" w:fill="auto"/>
          <w:lang w:eastAsia="zh-CN"/>
        </w:rPr>
        <w:t>各有关单位：</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pPr>
      <w:r>
        <w:rPr>
          <w:rFonts w:hint="default" w:ascii="Times New Roman" w:hAnsi="Times New Roman" w:eastAsia="方正仿宋_GB2312" w:cs="Times New Roman"/>
          <w:color w:val="auto"/>
          <w:sz w:val="32"/>
          <w:szCs w:val="32"/>
          <w:u w:val="none" w:color="auto"/>
          <w:shd w:val="clear" w:color="auto" w:fill="auto"/>
          <w:lang w:val="en-US" w:eastAsia="zh-CN"/>
        </w:rPr>
        <w:t xml:space="preserve">    为加强我县住宅物业服务收费管理，规范物业服务收费行为，营造和谐的居住环境，促进物业服务行业健康持续发展，</w:t>
      </w:r>
      <w:r>
        <w:rPr>
          <w:rFonts w:hint="default" w:ascii="Times New Roman" w:hAnsi="Times New Roman" w:eastAsia="方正仿宋_GB2312" w:cs="Times New Roman"/>
          <w:b w:val="0"/>
          <w:bCs w:val="0"/>
          <w:color w:val="auto"/>
          <w:kern w:val="0"/>
          <w:sz w:val="32"/>
          <w:szCs w:val="32"/>
          <w:u w:val="none" w:color="auto"/>
          <w:shd w:val="clear" w:color="auto" w:fill="auto"/>
          <w:lang w:eastAsia="zh-CN"/>
        </w:rPr>
        <w:t>结合我县实际情况，</w:t>
      </w:r>
      <w:r>
        <w:rPr>
          <w:rFonts w:hint="eastAsia" w:ascii="Times New Roman" w:hAnsi="Times New Roman" w:eastAsia="方正仿宋_GB2312" w:cs="Times New Roman"/>
          <w:b w:val="0"/>
          <w:bCs w:val="0"/>
          <w:color w:val="auto"/>
          <w:kern w:val="0"/>
          <w:sz w:val="32"/>
          <w:szCs w:val="32"/>
          <w:u w:val="none" w:color="auto"/>
          <w:shd w:val="clear" w:color="auto" w:fill="auto"/>
          <w:lang w:eastAsia="zh-CN"/>
        </w:rPr>
        <w:t>根据</w:t>
      </w:r>
      <w:r>
        <w:rPr>
          <w:rFonts w:hint="default" w:ascii="Times New Roman" w:hAnsi="Times New Roman" w:eastAsia="方正仿宋_GB2312" w:cs="Times New Roman"/>
          <w:b w:val="0"/>
          <w:bCs w:val="0"/>
          <w:color w:val="auto"/>
          <w:kern w:val="0"/>
          <w:sz w:val="32"/>
          <w:szCs w:val="32"/>
          <w:u w:val="none" w:color="auto"/>
          <w:shd w:val="clear" w:color="auto" w:fill="auto"/>
        </w:rPr>
        <w:t>《广西壮族自治区住宅物业服务收费管理工作指导意见》</w:t>
      </w:r>
      <w:r>
        <w:rPr>
          <w:rFonts w:hint="default" w:ascii="Times New Roman" w:hAnsi="Times New Roman" w:eastAsia="方正仿宋_GB2312" w:cs="Times New Roman"/>
          <w:b w:val="0"/>
          <w:bCs w:val="0"/>
          <w:color w:val="auto"/>
          <w:kern w:val="0"/>
          <w:sz w:val="32"/>
          <w:szCs w:val="32"/>
          <w:u w:val="none" w:color="auto"/>
          <w:shd w:val="clear" w:color="auto" w:fill="auto"/>
          <w:lang w:eastAsia="zh-CN"/>
        </w:rPr>
        <w:t>（桂价格〔</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2018〕108号</w:t>
      </w:r>
      <w:r>
        <w:rPr>
          <w:rFonts w:hint="default" w:ascii="Times New Roman" w:hAnsi="Times New Roman" w:eastAsia="方正仿宋_GB2312" w:cs="Times New Roman"/>
          <w:b w:val="0"/>
          <w:bCs w:val="0"/>
          <w:color w:val="auto"/>
          <w:kern w:val="0"/>
          <w:sz w:val="32"/>
          <w:szCs w:val="32"/>
          <w:u w:val="none" w:color="auto"/>
          <w:shd w:val="clear" w:color="auto" w:fill="auto"/>
          <w:lang w:eastAsia="zh-CN"/>
        </w:rPr>
        <w:t>）</w:t>
      </w:r>
      <w:r>
        <w:rPr>
          <w:rFonts w:hint="default" w:ascii="Times New Roman" w:hAnsi="Times New Roman" w:eastAsia="方正仿宋_GB2312" w:cs="Times New Roman"/>
          <w:color w:val="auto"/>
          <w:sz w:val="32"/>
          <w:szCs w:val="32"/>
          <w:u w:val="none" w:color="auto"/>
          <w:shd w:val="clear" w:color="auto" w:fill="auto"/>
          <w:lang w:val="en-US" w:eastAsia="zh-CN"/>
        </w:rPr>
        <w:t>、</w:t>
      </w:r>
      <w:r>
        <w:rPr>
          <w:rFonts w:hint="default" w:ascii="Times New Roman" w:hAnsi="Times New Roman" w:eastAsia="方正仿宋_GB2312" w:cs="Times New Roman"/>
          <w:b w:val="0"/>
          <w:bCs w:val="0"/>
          <w:color w:val="auto"/>
          <w:kern w:val="0"/>
          <w:sz w:val="32"/>
          <w:szCs w:val="32"/>
          <w:u w:val="none" w:color="auto"/>
          <w:shd w:val="clear" w:color="auto" w:fill="auto"/>
          <w:lang w:eastAsia="zh-CN"/>
        </w:rPr>
        <w:t>《广西壮族自治区发展和改革委员会</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 xml:space="preserve"> 广西壮族自治区住房和城乡建设厅关于明确住宅物业服务收费有关问题的通知》（桂发改价格〔2020〕192号）、</w:t>
      </w:r>
      <w:r>
        <w:rPr>
          <w:rFonts w:hint="eastAsia" w:ascii="Times New Roman" w:hAnsi="Times New Roman" w:eastAsia="方正仿宋_GB2312" w:cs="Times New Roman"/>
          <w:b w:val="0"/>
          <w:bCs w:val="0"/>
          <w:color w:val="auto"/>
          <w:kern w:val="0"/>
          <w:sz w:val="32"/>
          <w:szCs w:val="32"/>
          <w:u w:val="none" w:color="auto"/>
          <w:shd w:val="clear" w:color="auto" w:fill="auto"/>
          <w:lang w:val="en-US" w:eastAsia="zh-CN"/>
        </w:rPr>
        <w:t>《</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广西壮族自治区物价局关于印发广西壮族自治区服务价格管理办法的通知</w:t>
      </w:r>
      <w:r>
        <w:rPr>
          <w:rFonts w:hint="eastAsia" w:ascii="Times New Roman" w:hAnsi="Times New Roman" w:eastAsia="方正仿宋_GB2312" w:cs="Times New Roman"/>
          <w:b w:val="0"/>
          <w:bCs w:val="0"/>
          <w:color w:val="auto"/>
          <w:kern w:val="0"/>
          <w:sz w:val="32"/>
          <w:szCs w:val="32"/>
          <w:u w:val="none" w:color="auto"/>
          <w:shd w:val="clear" w:color="auto" w:fill="auto"/>
          <w:lang w:val="en-US" w:eastAsia="zh-CN"/>
        </w:rPr>
        <w:t>》</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（桂价费〔2012〕66号）</w:t>
      </w:r>
      <w:r>
        <w:rPr>
          <w:rFonts w:hint="eastAsia" w:ascii="Times New Roman" w:hAnsi="Times New Roman" w:eastAsia="方正仿宋_GB2312" w:cs="Times New Roman"/>
          <w:b w:val="0"/>
          <w:bCs w:val="0"/>
          <w:color w:val="auto"/>
          <w:kern w:val="0"/>
          <w:sz w:val="32"/>
          <w:szCs w:val="32"/>
          <w:u w:val="none" w:color="auto"/>
          <w:shd w:val="clear" w:color="auto" w:fill="auto"/>
          <w:lang w:val="en-US" w:eastAsia="zh-CN"/>
        </w:rPr>
        <w:t>，参照《柳州市住宅小区物业服务等级政府指导价收费标准》（柳价格</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〔20</w:t>
      </w:r>
      <w:r>
        <w:rPr>
          <w:rFonts w:hint="eastAsia" w:ascii="Times New Roman" w:hAnsi="Times New Roman" w:eastAsia="方正仿宋_GB2312" w:cs="Times New Roman"/>
          <w:b w:val="0"/>
          <w:bCs w:val="0"/>
          <w:color w:val="auto"/>
          <w:kern w:val="0"/>
          <w:sz w:val="32"/>
          <w:szCs w:val="32"/>
          <w:u w:val="none" w:color="auto"/>
          <w:shd w:val="clear" w:color="auto" w:fill="auto"/>
          <w:lang w:val="en-US" w:eastAsia="zh-CN"/>
        </w:rPr>
        <w:t>14</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w:t>
      </w:r>
      <w:r>
        <w:rPr>
          <w:rFonts w:hint="eastAsia" w:ascii="Times New Roman" w:hAnsi="Times New Roman" w:eastAsia="方正仿宋_GB2312" w:cs="Times New Roman"/>
          <w:b w:val="0"/>
          <w:bCs w:val="0"/>
          <w:color w:val="auto"/>
          <w:kern w:val="0"/>
          <w:sz w:val="32"/>
          <w:szCs w:val="32"/>
          <w:u w:val="none" w:color="auto"/>
          <w:shd w:val="clear" w:color="auto" w:fill="auto"/>
          <w:lang w:val="en-US" w:eastAsia="zh-CN"/>
        </w:rPr>
        <w:t>100</w:t>
      </w:r>
      <w:bookmarkStart w:id="0" w:name="_GoBack"/>
      <w:bookmarkEnd w:id="0"/>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号</w:t>
      </w:r>
      <w:r>
        <w:rPr>
          <w:rFonts w:hint="eastAsia" w:ascii="Times New Roman" w:hAnsi="Times New Roman" w:eastAsia="方正仿宋_GB2312" w:cs="Times New Roman"/>
          <w:b w:val="0"/>
          <w:bCs w:val="0"/>
          <w:color w:val="auto"/>
          <w:kern w:val="0"/>
          <w:sz w:val="32"/>
          <w:szCs w:val="32"/>
          <w:u w:val="none" w:color="auto"/>
          <w:shd w:val="clear" w:color="auto" w:fill="auto"/>
          <w:lang w:val="en-US" w:eastAsia="zh-CN"/>
        </w:rPr>
        <w:t>），我们</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拟定</w:t>
      </w:r>
      <w:r>
        <w:rPr>
          <w:rFonts w:hint="eastAsia" w:ascii="Times New Roman" w:hAnsi="Times New Roman" w:eastAsia="方正仿宋_GB2312" w:cs="Times New Roman"/>
          <w:b w:val="0"/>
          <w:bCs w:val="0"/>
          <w:color w:val="auto"/>
          <w:kern w:val="0"/>
          <w:sz w:val="32"/>
          <w:szCs w:val="32"/>
          <w:u w:val="none" w:color="auto"/>
          <w:shd w:val="clear" w:color="auto" w:fill="auto"/>
          <w:lang w:val="en-US" w:eastAsia="zh-CN"/>
        </w:rPr>
        <w:t>了《</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鹿寨县住宅物业服务</w:t>
      </w:r>
      <w:r>
        <w:rPr>
          <w:rFonts w:hint="eastAsia" w:ascii="Times New Roman" w:hAnsi="Times New Roman" w:eastAsia="方正仿宋_GB2312" w:cs="Times New Roman"/>
          <w:b w:val="0"/>
          <w:bCs w:val="0"/>
          <w:color w:val="auto"/>
          <w:kern w:val="0"/>
          <w:sz w:val="32"/>
          <w:szCs w:val="32"/>
          <w:u w:val="none" w:color="auto"/>
          <w:shd w:val="clear" w:color="auto" w:fill="auto"/>
          <w:lang w:val="en-US" w:eastAsia="zh-CN"/>
        </w:rPr>
        <w:t>等级收费及住宅停车收费政府指导</w:t>
      </w:r>
      <w:r>
        <w:rPr>
          <w:rFonts w:hint="eastAsia" w:ascii="仿宋_GB2312" w:hAnsi="仿宋_GB2312" w:eastAsia="仿宋_GB2312" w:cs="仿宋_GB2312"/>
          <w:b w:val="0"/>
          <w:bCs w:val="0"/>
          <w:color w:val="auto"/>
          <w:kern w:val="0"/>
          <w:sz w:val="32"/>
          <w:szCs w:val="32"/>
          <w:u w:val="none" w:color="auto"/>
          <w:shd w:val="clear" w:color="auto" w:fill="auto"/>
          <w:lang w:val="en-US" w:eastAsia="zh-CN"/>
        </w:rPr>
        <w:t>标准(征求意见稿）》，现</w:t>
      </w:r>
      <w:r>
        <w:rPr>
          <w:rFonts w:hint="eastAsia" w:ascii="Times New Roman" w:hAnsi="Times New Roman" w:eastAsia="方正仿宋_GB2312" w:cs="Times New Roman"/>
          <w:b w:val="0"/>
          <w:bCs w:val="0"/>
          <w:color w:val="auto"/>
          <w:kern w:val="0"/>
          <w:sz w:val="32"/>
          <w:szCs w:val="32"/>
          <w:u w:val="none" w:color="auto"/>
          <w:shd w:val="clear" w:color="auto" w:fill="auto"/>
          <w:lang w:val="en-US" w:eastAsia="zh-CN"/>
        </w:rPr>
        <w:t>就</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有关问题通知如下：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pP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我县住宅前期物业服务收费管理采取分服务等级定价，具体按</w:t>
      </w:r>
      <w:r>
        <w:rPr>
          <w:rFonts w:hint="eastAsia" w:ascii="Times New Roman" w:hAnsi="Times New Roman" w:eastAsia="方正仿宋_GB2312" w:cs="Times New Roman"/>
          <w:b w:val="0"/>
          <w:bCs w:val="0"/>
          <w:color w:val="auto"/>
          <w:kern w:val="0"/>
          <w:sz w:val="32"/>
          <w:szCs w:val="32"/>
          <w:u w:val="none" w:color="auto"/>
          <w:shd w:val="clear" w:color="auto" w:fill="auto"/>
          <w:lang w:val="en-US" w:eastAsia="zh-CN"/>
        </w:rPr>
        <w:t>鹿建规</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w:t>
      </w:r>
      <w:r>
        <w:rPr>
          <w:rFonts w:hint="eastAsia" w:ascii="Times New Roman" w:hAnsi="Times New Roman" w:eastAsia="方正仿宋_GB2312" w:cs="Times New Roman"/>
          <w:b w:val="0"/>
          <w:bCs w:val="0"/>
          <w:color w:val="auto"/>
          <w:kern w:val="0"/>
          <w:sz w:val="32"/>
          <w:szCs w:val="32"/>
          <w:u w:val="none" w:color="auto"/>
          <w:shd w:val="clear" w:color="auto" w:fill="auto"/>
          <w:lang w:val="en-US" w:eastAsia="zh-CN"/>
        </w:rPr>
        <w:t>2020</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w:t>
      </w:r>
      <w:r>
        <w:rPr>
          <w:rFonts w:hint="eastAsia" w:ascii="Times New Roman" w:hAnsi="Times New Roman" w:eastAsia="方正仿宋_GB2312" w:cs="Times New Roman"/>
          <w:b w:val="0"/>
          <w:bCs w:val="0"/>
          <w:color w:val="auto"/>
          <w:kern w:val="0"/>
          <w:sz w:val="32"/>
          <w:szCs w:val="32"/>
          <w:u w:val="none" w:color="auto"/>
          <w:shd w:val="clear" w:color="auto" w:fill="auto"/>
          <w:lang w:val="en-US" w:eastAsia="zh-CN"/>
        </w:rPr>
        <w:t>2</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号规定执行。</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2312" w:cs="Times New Roman"/>
          <w:color w:val="auto"/>
          <w:sz w:val="32"/>
          <w:szCs w:val="32"/>
          <w:u w:val="none" w:color="auto"/>
          <w:shd w:val="clear" w:color="auto" w:fill="auto"/>
          <w:lang w:val="en-US" w:eastAsia="zh-CN"/>
        </w:rPr>
      </w:pPr>
      <w:r>
        <w:rPr>
          <w:rFonts w:hint="default" w:ascii="Times New Roman" w:hAnsi="Times New Roman" w:eastAsia="方正仿宋_GB2312" w:cs="Times New Roman"/>
          <w:color w:val="auto"/>
          <w:sz w:val="32"/>
          <w:szCs w:val="32"/>
          <w:u w:val="none" w:color="auto"/>
          <w:shd w:val="clear" w:color="auto" w:fill="auto"/>
          <w:lang w:val="en-US" w:eastAsia="zh-CN"/>
        </w:rPr>
        <w:t>住宅前期物业服务费政府指导标准分一至五等级，分别与住宅前期物业服务等级一至五级相对应。</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 w:val="0"/>
          <w:bCs w:val="0"/>
          <w:color w:val="auto"/>
          <w:kern w:val="0"/>
          <w:sz w:val="32"/>
          <w:szCs w:val="32"/>
          <w:u w:val="none" w:color="auto"/>
          <w:shd w:val="clear" w:color="auto" w:fill="auto"/>
          <w:lang w:eastAsia="zh-CN"/>
        </w:rPr>
      </w:pPr>
      <w:r>
        <w:rPr>
          <w:rFonts w:hint="eastAsia" w:ascii="Times New Roman" w:hAnsi="Times New Roman" w:eastAsia="方正仿宋_GB2312" w:cs="Times New Roman"/>
          <w:color w:val="auto"/>
          <w:sz w:val="32"/>
          <w:szCs w:val="32"/>
          <w:u w:val="none" w:color="auto"/>
          <w:shd w:val="clear" w:color="auto" w:fill="auto"/>
          <w:lang w:val="en-US" w:eastAsia="zh-CN"/>
        </w:rPr>
        <w:t>二</w:t>
      </w:r>
      <w:r>
        <w:rPr>
          <w:rFonts w:hint="default" w:ascii="Times New Roman" w:hAnsi="Times New Roman" w:eastAsia="方正仿宋_GB2312" w:cs="Times New Roman"/>
          <w:color w:val="auto"/>
          <w:sz w:val="32"/>
          <w:szCs w:val="32"/>
          <w:u w:val="none" w:color="auto"/>
          <w:shd w:val="clear" w:color="auto" w:fill="auto"/>
          <w:lang w:val="en-US" w:eastAsia="zh-CN"/>
        </w:rPr>
        <w:t>、</w:t>
      </w:r>
      <w:r>
        <w:rPr>
          <w:rFonts w:hint="default" w:ascii="Times New Roman" w:hAnsi="Times New Roman" w:eastAsia="方正仿宋_GB2312" w:cs="Times New Roman"/>
          <w:color w:val="auto"/>
          <w:sz w:val="32"/>
          <w:szCs w:val="32"/>
          <w:u w:val="none" w:color="auto"/>
          <w:shd w:val="clear" w:color="auto" w:fill="auto"/>
        </w:rPr>
        <w:t>住宅停车收费</w:t>
      </w:r>
      <w:r>
        <w:rPr>
          <w:rFonts w:hint="default" w:ascii="Times New Roman" w:hAnsi="Times New Roman" w:eastAsia="方正仿宋_GB2312" w:cs="Times New Roman"/>
          <w:color w:val="auto"/>
          <w:sz w:val="32"/>
          <w:szCs w:val="32"/>
          <w:u w:val="none" w:color="auto"/>
          <w:shd w:val="clear" w:color="auto" w:fill="auto"/>
          <w:lang w:eastAsia="zh-CN"/>
        </w:rPr>
        <w:t>政府</w:t>
      </w:r>
      <w:r>
        <w:rPr>
          <w:rFonts w:hint="default" w:ascii="Times New Roman" w:hAnsi="Times New Roman" w:eastAsia="方正仿宋_GB2312" w:cs="Times New Roman"/>
          <w:color w:val="auto"/>
          <w:sz w:val="32"/>
          <w:szCs w:val="32"/>
          <w:u w:val="none" w:color="auto"/>
          <w:shd w:val="clear" w:color="auto" w:fill="auto"/>
        </w:rPr>
        <w:t>指导标准为最高</w:t>
      </w:r>
      <w:r>
        <w:rPr>
          <w:rFonts w:hint="default" w:ascii="Times New Roman" w:hAnsi="Times New Roman" w:eastAsia="方正仿宋_GB2312" w:cs="Times New Roman"/>
          <w:color w:val="auto"/>
          <w:sz w:val="32"/>
          <w:szCs w:val="32"/>
          <w:u w:val="none" w:color="auto"/>
          <w:shd w:val="clear" w:color="auto" w:fill="auto"/>
          <w:lang w:eastAsia="zh-CN"/>
        </w:rPr>
        <w:t>限价</w:t>
      </w:r>
      <w:r>
        <w:rPr>
          <w:rFonts w:hint="default" w:ascii="Times New Roman" w:hAnsi="Times New Roman" w:eastAsia="方正仿宋_GB2312" w:cs="Times New Roman"/>
          <w:color w:val="auto"/>
          <w:sz w:val="32"/>
          <w:szCs w:val="32"/>
          <w:u w:val="none" w:color="auto"/>
          <w:shd w:val="clear" w:color="auto" w:fill="auto"/>
          <w:lang w:val="en-US" w:eastAsia="zh-CN"/>
        </w:rPr>
        <w:t>（详见</w:t>
      </w:r>
      <w:r>
        <w:rPr>
          <w:rFonts w:hint="eastAsia" w:ascii="Times New Roman" w:hAnsi="Times New Roman" w:eastAsia="方正仿宋_GB2312" w:cs="Times New Roman"/>
          <w:color w:val="auto"/>
          <w:sz w:val="32"/>
          <w:szCs w:val="32"/>
          <w:u w:val="none" w:color="auto"/>
          <w:shd w:val="clear" w:color="auto" w:fill="auto"/>
          <w:lang w:eastAsia="zh-CN"/>
        </w:rPr>
        <w:t>《鹿寨县住宅停车收费政府指导标准》</w:t>
      </w:r>
      <w:r>
        <w:rPr>
          <w:rFonts w:hint="default" w:ascii="Times New Roman" w:hAnsi="Times New Roman" w:eastAsia="方正仿宋_GB2312" w:cs="Times New Roman"/>
          <w:color w:val="auto"/>
          <w:sz w:val="32"/>
          <w:szCs w:val="32"/>
          <w:u w:val="none" w:color="auto"/>
          <w:shd w:val="clear" w:color="auto" w:fill="auto"/>
          <w:lang w:val="en-US" w:eastAsia="zh-CN"/>
        </w:rPr>
        <w:t>），已包含</w:t>
      </w:r>
      <w:r>
        <w:rPr>
          <w:rFonts w:hint="default" w:ascii="Times New Roman" w:hAnsi="Times New Roman" w:eastAsia="方正仿宋_GB2312" w:cs="Times New Roman"/>
          <w:b w:val="0"/>
          <w:bCs w:val="0"/>
          <w:color w:val="auto"/>
          <w:kern w:val="0"/>
          <w:sz w:val="32"/>
          <w:szCs w:val="32"/>
          <w:u w:val="none" w:color="auto"/>
          <w:shd w:val="clear" w:color="auto" w:fill="auto"/>
          <w:lang w:eastAsia="zh-CN"/>
        </w:rPr>
        <w:t>桂价格〔</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2018〕108号第五条第（七）、（八）、（九）点所列的</w:t>
      </w:r>
      <w:r>
        <w:rPr>
          <w:rFonts w:hint="default" w:ascii="Times New Roman" w:hAnsi="Times New Roman" w:eastAsia="方正仿宋_GB2312" w:cs="Times New Roman"/>
          <w:color w:val="auto"/>
          <w:sz w:val="32"/>
          <w:szCs w:val="32"/>
          <w:u w:val="none" w:color="auto"/>
          <w:shd w:val="clear" w:color="auto" w:fill="auto"/>
          <w:lang w:val="en-US" w:eastAsia="zh-CN"/>
        </w:rPr>
        <w:t>车辆停放服务费、车位（库）租赁费、</w:t>
      </w:r>
      <w:r>
        <w:rPr>
          <w:rFonts w:hint="default" w:ascii="Times New Roman" w:hAnsi="Times New Roman" w:eastAsia="方正仿宋_GB2312" w:cs="Times New Roman"/>
          <w:color w:val="auto"/>
          <w:sz w:val="32"/>
          <w:szCs w:val="32"/>
          <w:u w:val="none" w:color="auto"/>
          <w:shd w:val="clear" w:color="auto" w:fill="auto"/>
        </w:rPr>
        <w:t>车位</w:t>
      </w:r>
      <w:r>
        <w:rPr>
          <w:rFonts w:hint="default" w:ascii="Times New Roman" w:hAnsi="Times New Roman" w:eastAsia="方正仿宋_GB2312" w:cs="Times New Roman"/>
          <w:color w:val="auto"/>
          <w:sz w:val="32"/>
          <w:szCs w:val="32"/>
          <w:u w:val="none" w:color="auto"/>
          <w:shd w:val="clear" w:color="auto" w:fill="auto"/>
          <w:lang w:eastAsia="zh-CN"/>
        </w:rPr>
        <w:t>（库）</w:t>
      </w:r>
      <w:r>
        <w:rPr>
          <w:rFonts w:hint="default" w:ascii="Times New Roman" w:hAnsi="Times New Roman" w:eastAsia="方正仿宋_GB2312" w:cs="Times New Roman"/>
          <w:color w:val="auto"/>
          <w:sz w:val="32"/>
          <w:szCs w:val="32"/>
          <w:u w:val="none" w:color="auto"/>
          <w:shd w:val="clear" w:color="auto" w:fill="auto"/>
        </w:rPr>
        <w:t>物业</w:t>
      </w:r>
      <w:r>
        <w:rPr>
          <w:rFonts w:hint="default" w:ascii="Times New Roman" w:hAnsi="Times New Roman" w:eastAsia="方正仿宋_GB2312" w:cs="Times New Roman"/>
          <w:color w:val="auto"/>
          <w:sz w:val="32"/>
          <w:szCs w:val="32"/>
          <w:u w:val="none" w:color="auto"/>
          <w:shd w:val="clear" w:color="auto" w:fill="auto"/>
          <w:lang w:eastAsia="zh-CN"/>
        </w:rPr>
        <w:t>服务</w:t>
      </w:r>
      <w:r>
        <w:rPr>
          <w:rFonts w:hint="default" w:ascii="Times New Roman" w:hAnsi="Times New Roman" w:eastAsia="方正仿宋_GB2312" w:cs="Times New Roman"/>
          <w:color w:val="auto"/>
          <w:sz w:val="32"/>
          <w:szCs w:val="32"/>
          <w:u w:val="none" w:color="auto"/>
          <w:shd w:val="clear" w:color="auto" w:fill="auto"/>
        </w:rPr>
        <w:t>费</w:t>
      </w:r>
      <w:r>
        <w:rPr>
          <w:rFonts w:hint="default" w:ascii="Times New Roman" w:hAnsi="Times New Roman" w:eastAsia="方正仿宋_GB2312" w:cs="Times New Roman"/>
          <w:color w:val="auto"/>
          <w:kern w:val="0"/>
          <w:sz w:val="32"/>
          <w:szCs w:val="32"/>
          <w:u w:val="none" w:color="auto"/>
          <w:shd w:val="clear" w:color="auto" w:fill="auto"/>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auto"/>
          <w:sz w:val="32"/>
          <w:szCs w:val="32"/>
          <w:u w:val="none" w:color="auto"/>
          <w:shd w:val="clear" w:color="auto" w:fill="auto"/>
          <w:lang w:val="en-US" w:eastAsia="zh-CN"/>
        </w:rPr>
      </w:pPr>
      <w:r>
        <w:rPr>
          <w:rFonts w:hint="eastAsia" w:ascii="Times New Roman" w:hAnsi="Times New Roman" w:eastAsia="方正仿宋_GB2312" w:cs="Times New Roman"/>
          <w:color w:val="auto"/>
          <w:sz w:val="32"/>
          <w:szCs w:val="32"/>
          <w:u w:val="none" w:color="auto"/>
          <w:shd w:val="clear" w:color="auto" w:fill="auto"/>
          <w:lang w:val="en-US" w:eastAsia="zh-CN"/>
        </w:rPr>
        <w:t>三</w:t>
      </w:r>
      <w:r>
        <w:rPr>
          <w:rFonts w:hint="default" w:ascii="Times New Roman" w:hAnsi="Times New Roman" w:eastAsia="方正仿宋_GB2312" w:cs="Times New Roman"/>
          <w:color w:val="auto"/>
          <w:sz w:val="32"/>
          <w:szCs w:val="32"/>
          <w:u w:val="none" w:color="auto"/>
          <w:shd w:val="clear" w:color="auto" w:fill="auto"/>
          <w:lang w:val="en-US" w:eastAsia="zh-CN"/>
        </w:rPr>
        <w:t>、本通知适用于鹿寨县城区范围内规划为住宅性质的物业服务收费管理，原有规定与本通知不符的，以本通知为准。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auto"/>
          <w:sz w:val="32"/>
          <w:szCs w:val="32"/>
          <w:u w:val="none" w:color="auto"/>
          <w:shd w:val="clear" w:color="auto" w:fill="auto"/>
          <w:lang w:val="en-US" w:eastAsia="zh-CN"/>
        </w:rPr>
      </w:pPr>
      <w:r>
        <w:rPr>
          <w:rFonts w:hint="eastAsia" w:ascii="Times New Roman" w:hAnsi="Times New Roman" w:eastAsia="方正仿宋_GB2312" w:cs="Times New Roman"/>
          <w:color w:val="auto"/>
          <w:sz w:val="32"/>
          <w:szCs w:val="32"/>
          <w:u w:val="none" w:color="auto"/>
          <w:shd w:val="clear" w:color="auto" w:fill="auto"/>
          <w:lang w:val="en-US" w:eastAsia="zh-CN"/>
        </w:rPr>
        <w:t>四</w:t>
      </w:r>
      <w:r>
        <w:rPr>
          <w:rFonts w:hint="default" w:ascii="Times New Roman" w:hAnsi="Times New Roman" w:eastAsia="方正仿宋_GB2312" w:cs="Times New Roman"/>
          <w:color w:val="auto"/>
          <w:sz w:val="32"/>
          <w:szCs w:val="32"/>
          <w:u w:val="none" w:color="auto"/>
          <w:shd w:val="clear" w:color="auto" w:fill="auto"/>
          <w:lang w:val="en-US" w:eastAsia="zh-CN"/>
        </w:rPr>
        <w:t>、本通知自 年 月 日起执行。发文之前已签订住宅前期物业服务合同的，前期物业服务等级和收费标准按原合同约定执行。如需调整按桂价格</w:t>
      </w:r>
      <w:r>
        <w:rPr>
          <w:rFonts w:hint="default" w:ascii="Times New Roman" w:hAnsi="Times New Roman" w:eastAsia="方正仿宋_GB2312" w:cs="Times New Roman"/>
          <w:b w:val="0"/>
          <w:bCs w:val="0"/>
          <w:color w:val="auto"/>
          <w:kern w:val="0"/>
          <w:sz w:val="32"/>
          <w:szCs w:val="32"/>
          <w:u w:val="none" w:color="auto"/>
          <w:shd w:val="clear" w:color="auto" w:fill="auto"/>
          <w:lang w:eastAsia="zh-CN"/>
        </w:rPr>
        <w:t>〔</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2018〕</w:t>
      </w:r>
      <w:r>
        <w:rPr>
          <w:rFonts w:hint="default" w:ascii="Times New Roman" w:hAnsi="Times New Roman" w:eastAsia="方正仿宋_GB2312" w:cs="Times New Roman"/>
          <w:color w:val="auto"/>
          <w:sz w:val="32"/>
          <w:szCs w:val="32"/>
          <w:u w:val="none" w:color="auto"/>
          <w:shd w:val="clear" w:color="auto" w:fill="auto"/>
          <w:lang w:val="en-US" w:eastAsia="zh-CN"/>
        </w:rPr>
        <w:t>108号有关规定执行。</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2312" w:cs="Times New Roman"/>
          <w:color w:val="auto"/>
          <w:sz w:val="32"/>
          <w:szCs w:val="32"/>
          <w:u w:val="none" w:color="auto"/>
          <w:shd w:val="clear" w:color="auto" w:fill="auto"/>
          <w:lang w:val="en-US" w:eastAsia="zh-CN"/>
        </w:rPr>
      </w:pPr>
      <w:r>
        <w:rPr>
          <w:rFonts w:hint="eastAsia" w:ascii="Times New Roman" w:hAnsi="Times New Roman" w:eastAsia="方正仿宋_GB2312" w:cs="Times New Roman"/>
          <w:color w:val="auto"/>
          <w:sz w:val="32"/>
          <w:szCs w:val="32"/>
          <w:u w:val="none" w:color="auto"/>
          <w:shd w:val="clear" w:color="auto" w:fill="auto"/>
          <w:lang w:val="en-US" w:eastAsia="zh-CN"/>
        </w:rPr>
        <w:t>五</w:t>
      </w:r>
      <w:r>
        <w:rPr>
          <w:rFonts w:hint="default" w:ascii="Times New Roman" w:hAnsi="Times New Roman" w:eastAsia="方正仿宋_GB2312" w:cs="Times New Roman"/>
          <w:color w:val="auto"/>
          <w:sz w:val="32"/>
          <w:szCs w:val="32"/>
          <w:u w:val="none" w:color="auto"/>
          <w:shd w:val="clear" w:color="auto" w:fill="auto"/>
          <w:lang w:val="en-US" w:eastAsia="zh-CN"/>
        </w:rPr>
        <w:t>、住宅物业服务收费管理</w:t>
      </w:r>
      <w:r>
        <w:rPr>
          <w:rFonts w:hint="default" w:ascii="Times New Roman" w:hAnsi="Times New Roman" w:eastAsia="方正仿宋_GB2312" w:cs="Times New Roman"/>
          <w:b w:val="0"/>
          <w:bCs w:val="0"/>
          <w:color w:val="auto"/>
          <w:sz w:val="32"/>
          <w:szCs w:val="32"/>
          <w:u w:val="none" w:color="auto"/>
          <w:shd w:val="clear" w:color="auto" w:fill="auto"/>
          <w:lang w:val="en-US" w:eastAsia="zh-CN"/>
        </w:rPr>
        <w:t>其他事项按</w:t>
      </w:r>
      <w:r>
        <w:rPr>
          <w:rFonts w:hint="default" w:ascii="Times New Roman" w:hAnsi="Times New Roman" w:eastAsia="方正仿宋_GB2312" w:cs="Times New Roman"/>
          <w:b w:val="0"/>
          <w:bCs w:val="0"/>
          <w:color w:val="auto"/>
          <w:kern w:val="0"/>
          <w:sz w:val="32"/>
          <w:szCs w:val="32"/>
          <w:u w:val="none" w:color="auto"/>
          <w:shd w:val="clear" w:color="auto" w:fill="auto"/>
          <w:lang w:eastAsia="zh-CN"/>
        </w:rPr>
        <w:t>桂价格〔</w:t>
      </w:r>
      <w:r>
        <w:rPr>
          <w:rFonts w:hint="default" w:ascii="Times New Roman" w:hAnsi="Times New Roman" w:eastAsia="方正仿宋_GB2312" w:cs="Times New Roman"/>
          <w:b w:val="0"/>
          <w:bCs w:val="0"/>
          <w:color w:val="auto"/>
          <w:kern w:val="0"/>
          <w:sz w:val="32"/>
          <w:szCs w:val="32"/>
          <w:u w:val="none" w:color="auto"/>
          <w:shd w:val="clear" w:color="auto" w:fill="auto"/>
          <w:lang w:val="en-US" w:eastAsia="zh-CN"/>
        </w:rPr>
        <w:t>2018〕108号</w:t>
      </w:r>
      <w:r>
        <w:rPr>
          <w:rFonts w:hint="default" w:ascii="Times New Roman" w:hAnsi="Times New Roman" w:eastAsia="方正仿宋_GB2312" w:cs="Times New Roman"/>
          <w:b w:val="0"/>
          <w:bCs w:val="0"/>
          <w:color w:val="auto"/>
          <w:kern w:val="0"/>
          <w:sz w:val="32"/>
          <w:szCs w:val="32"/>
          <w:u w:val="none" w:color="auto"/>
          <w:shd w:val="clear" w:color="auto" w:fill="auto"/>
        </w:rPr>
        <w:t>有关规定</w:t>
      </w:r>
      <w:r>
        <w:rPr>
          <w:rFonts w:hint="default" w:ascii="Times New Roman" w:hAnsi="Times New Roman" w:eastAsia="方正仿宋_GB2312" w:cs="Times New Roman"/>
          <w:b w:val="0"/>
          <w:bCs w:val="0"/>
          <w:color w:val="auto"/>
          <w:kern w:val="0"/>
          <w:sz w:val="32"/>
          <w:szCs w:val="32"/>
          <w:u w:val="none" w:color="auto"/>
          <w:shd w:val="clear" w:color="auto" w:fill="auto"/>
          <w:lang w:eastAsia="zh-CN"/>
        </w:rPr>
        <w:t>执行。</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2312" w:cs="Times New Roman"/>
          <w:color w:val="auto"/>
          <w:sz w:val="32"/>
          <w:szCs w:val="32"/>
          <w:u w:val="none" w:color="auto"/>
          <w:shd w:val="clear" w:color="auto" w:fill="auto"/>
          <w:lang w:val="en-US" w:eastAsia="zh-CN"/>
        </w:rPr>
      </w:pPr>
    </w:p>
    <w:p>
      <w:pPr>
        <w:keepNext w:val="0"/>
        <w:keepLines w:val="0"/>
        <w:pageBreakBefore w:val="0"/>
        <w:kinsoku/>
        <w:wordWrap/>
        <w:overflowPunct/>
        <w:topLinePunct w:val="0"/>
        <w:autoSpaceDE/>
        <w:autoSpaceDN/>
        <w:bidi w:val="0"/>
        <w:adjustRightInd/>
        <w:snapToGrid/>
        <w:spacing w:line="600" w:lineRule="exact"/>
        <w:ind w:firstLine="320" w:firstLineChars="100"/>
        <w:jc w:val="both"/>
        <w:textAlignment w:val="auto"/>
        <w:rPr>
          <w:rFonts w:hint="default" w:ascii="Times New Roman" w:hAnsi="Times New Roman" w:eastAsia="方正仿宋_GB2312" w:cs="Times New Roman"/>
          <w:color w:val="auto"/>
          <w:sz w:val="32"/>
          <w:szCs w:val="32"/>
          <w:u w:val="none" w:color="auto"/>
          <w:shd w:val="clear" w:color="auto" w:fill="auto"/>
          <w:lang w:val="en-US" w:eastAsia="zh-CN"/>
        </w:rPr>
      </w:pPr>
    </w:p>
    <w:p>
      <w:pPr>
        <w:keepNext w:val="0"/>
        <w:keepLines w:val="0"/>
        <w:pageBreakBefore w:val="0"/>
        <w:kinsoku/>
        <w:wordWrap/>
        <w:overflowPunct/>
        <w:topLinePunct w:val="0"/>
        <w:autoSpaceDE/>
        <w:autoSpaceDN/>
        <w:bidi w:val="0"/>
        <w:adjustRightInd/>
        <w:snapToGrid/>
        <w:spacing w:line="600" w:lineRule="exact"/>
        <w:ind w:firstLine="320" w:firstLineChars="100"/>
        <w:jc w:val="both"/>
        <w:textAlignment w:val="auto"/>
        <w:rPr>
          <w:rFonts w:hint="default" w:ascii="Times New Roman" w:hAnsi="Times New Roman" w:eastAsia="方正仿宋_GB2312" w:cs="Times New Roman"/>
          <w:color w:val="auto"/>
          <w:sz w:val="32"/>
          <w:szCs w:val="32"/>
          <w:u w:val="none" w:color="auto"/>
          <w:shd w:val="clear" w:color="auto" w:fill="auto"/>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2312" w:cs="Times New Roman"/>
          <w:color w:val="auto"/>
          <w:sz w:val="32"/>
          <w:szCs w:val="32"/>
          <w:u w:val="none" w:color="auto"/>
          <w:shd w:val="clear" w:color="auto" w:fill="auto"/>
          <w:lang w:val="en-US" w:eastAsia="zh-CN"/>
        </w:rPr>
      </w:pPr>
      <w:r>
        <w:rPr>
          <w:rFonts w:hint="default" w:ascii="Times New Roman" w:hAnsi="Times New Roman" w:eastAsia="方正仿宋_GB2312" w:cs="Times New Roman"/>
          <w:color w:val="auto"/>
          <w:sz w:val="32"/>
          <w:szCs w:val="32"/>
          <w:u w:val="none" w:color="auto"/>
          <w:shd w:val="clear" w:color="auto" w:fill="auto"/>
          <w:lang w:val="en-US" w:eastAsia="zh-CN"/>
        </w:rPr>
        <w:t xml:space="preserve">鹿寨县发展和改革局 </w:t>
      </w:r>
      <w:r>
        <w:rPr>
          <w:rFonts w:hint="eastAsia" w:ascii="Times New Roman" w:hAnsi="Times New Roman" w:eastAsia="方正仿宋_GB2312" w:cs="Times New Roman"/>
          <w:color w:val="auto"/>
          <w:sz w:val="32"/>
          <w:szCs w:val="32"/>
          <w:u w:val="none" w:color="auto"/>
          <w:shd w:val="clear" w:color="auto" w:fill="auto"/>
          <w:lang w:val="en-US" w:eastAsia="zh-CN"/>
        </w:rPr>
        <w:t xml:space="preserve">             鹿寨县住房和城乡建设局</w:t>
      </w:r>
      <w:r>
        <w:rPr>
          <w:rFonts w:hint="default" w:ascii="Times New Roman" w:hAnsi="Times New Roman" w:eastAsia="方正仿宋_GB2312" w:cs="Times New Roman"/>
          <w:color w:val="auto"/>
          <w:sz w:val="32"/>
          <w:szCs w:val="32"/>
          <w:u w:val="none" w:color="auto"/>
          <w:shd w:val="clear" w:color="auto" w:fill="auto"/>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auto"/>
          <w:sz w:val="32"/>
          <w:szCs w:val="32"/>
          <w:u w:val="none" w:color="auto"/>
          <w:shd w:val="clear" w:color="auto" w:fill="auto"/>
          <w:lang w:eastAsia="zh-CN"/>
        </w:rPr>
      </w:pPr>
      <w:r>
        <w:rPr>
          <w:rFonts w:hint="default" w:ascii="Times New Roman" w:hAnsi="Times New Roman" w:eastAsia="方正仿宋_GB2312" w:cs="Times New Roman"/>
          <w:color w:val="auto"/>
          <w:sz w:val="32"/>
          <w:szCs w:val="32"/>
          <w:u w:val="none" w:color="auto"/>
          <w:shd w:val="clear" w:color="auto" w:fill="auto"/>
          <w:lang w:val="en-US" w:eastAsia="zh-CN"/>
        </w:rPr>
        <w:t xml:space="preserve">                            </w:t>
      </w:r>
      <w:r>
        <w:rPr>
          <w:rFonts w:hint="eastAsia" w:ascii="Times New Roman" w:hAnsi="Times New Roman" w:eastAsia="方正仿宋_GB2312" w:cs="Times New Roman"/>
          <w:color w:val="auto"/>
          <w:sz w:val="32"/>
          <w:szCs w:val="32"/>
          <w:u w:val="none" w:color="auto"/>
          <w:shd w:val="clear" w:color="auto" w:fill="auto"/>
          <w:lang w:val="en-US" w:eastAsia="zh-CN"/>
        </w:rPr>
        <w:t xml:space="preserve">     </w:t>
      </w:r>
      <w:r>
        <w:rPr>
          <w:rFonts w:hint="default" w:ascii="Times New Roman" w:hAnsi="Times New Roman" w:eastAsia="方正仿宋_GB2312" w:cs="Times New Roman"/>
          <w:color w:val="auto"/>
          <w:sz w:val="32"/>
          <w:szCs w:val="32"/>
          <w:u w:val="none" w:color="auto"/>
          <w:shd w:val="clear" w:color="auto" w:fill="auto"/>
          <w:lang w:val="en-US" w:eastAsia="zh-CN"/>
        </w:rPr>
        <w:t xml:space="preserve"> 年  月  日</w:t>
      </w:r>
    </w:p>
    <w:p>
      <w:pPr>
        <w:spacing w:line="560" w:lineRule="exact"/>
        <w:jc w:val="both"/>
        <w:rPr>
          <w:rFonts w:hint="default" w:ascii="Times New Roman" w:hAnsi="Times New Roman" w:eastAsia="方正仿宋_GB2312" w:cs="Times New Roman"/>
          <w:color w:val="auto"/>
          <w:sz w:val="32"/>
          <w:szCs w:val="32"/>
          <w:u w:val="none" w:color="auto"/>
          <w:shd w:val="clear" w:color="auto" w:fill="auto"/>
          <w:lang w:eastAsia="zh-CN"/>
        </w:rPr>
      </w:pPr>
    </w:p>
    <w:p>
      <w:pPr>
        <w:spacing w:line="560" w:lineRule="exact"/>
        <w:jc w:val="both"/>
        <w:rPr>
          <w:rFonts w:hint="default" w:ascii="Times New Roman" w:hAnsi="Times New Roman" w:eastAsia="方正仿宋_GB2312" w:cs="Times New Roman"/>
          <w:color w:val="auto"/>
          <w:sz w:val="32"/>
          <w:szCs w:val="32"/>
          <w:u w:val="none" w:color="auto"/>
          <w:shd w:val="clear" w:color="auto" w:fill="auto"/>
          <w:lang w:eastAsia="zh-CN"/>
        </w:rPr>
      </w:pPr>
    </w:p>
    <w:p>
      <w:pPr>
        <w:spacing w:line="560" w:lineRule="exact"/>
        <w:jc w:val="both"/>
        <w:rPr>
          <w:rFonts w:hint="default" w:ascii="Times New Roman" w:hAnsi="Times New Roman" w:eastAsia="方正仿宋_GB2312" w:cs="Times New Roman"/>
          <w:color w:val="auto"/>
          <w:sz w:val="32"/>
          <w:szCs w:val="32"/>
          <w:u w:val="none" w:color="auto"/>
          <w:shd w:val="clear" w:color="auto" w:fill="auto"/>
          <w:lang w:eastAsia="zh-CN"/>
        </w:rPr>
      </w:pPr>
    </w:p>
    <w:p>
      <w:pPr>
        <w:spacing w:line="560" w:lineRule="exact"/>
        <w:jc w:val="both"/>
        <w:rPr>
          <w:rFonts w:hint="default" w:ascii="Times New Roman" w:hAnsi="Times New Roman" w:eastAsia="方正仿宋_GB2312" w:cs="Times New Roman"/>
          <w:color w:val="auto"/>
          <w:sz w:val="32"/>
          <w:szCs w:val="32"/>
          <w:u w:val="none" w:color="auto"/>
          <w:shd w:val="clear" w:color="auto" w:fill="auto"/>
          <w:lang w:eastAsia="zh-CN"/>
        </w:rPr>
      </w:pPr>
    </w:p>
    <w:p>
      <w:pPr>
        <w:spacing w:line="560" w:lineRule="exact"/>
        <w:jc w:val="both"/>
        <w:rPr>
          <w:rFonts w:hint="default" w:ascii="Times New Roman" w:hAnsi="Times New Roman" w:eastAsia="方正仿宋_GB2312" w:cs="Times New Roman"/>
          <w:color w:val="auto"/>
          <w:sz w:val="32"/>
          <w:szCs w:val="32"/>
          <w:u w:val="none" w:color="auto"/>
          <w:shd w:val="clear" w:color="auto" w:fill="auto"/>
          <w:lang w:eastAsia="zh-CN"/>
        </w:rPr>
      </w:pPr>
    </w:p>
    <w:p>
      <w:pPr>
        <w:spacing w:line="560" w:lineRule="exact"/>
        <w:jc w:val="both"/>
        <w:rPr>
          <w:rFonts w:hint="default" w:ascii="Times New Roman" w:hAnsi="Times New Roman" w:eastAsia="方正仿宋_GB2312" w:cs="Times New Roman"/>
          <w:color w:val="auto"/>
          <w:sz w:val="32"/>
          <w:szCs w:val="32"/>
          <w:u w:val="none" w:color="auto"/>
          <w:shd w:val="clear" w:color="auto" w:fill="auto"/>
          <w:lang w:eastAsia="zh-CN"/>
        </w:rPr>
      </w:pPr>
    </w:p>
    <w:p>
      <w:pPr>
        <w:spacing w:line="560" w:lineRule="exact"/>
        <w:jc w:val="both"/>
        <w:rPr>
          <w:rFonts w:hint="default" w:ascii="Times New Roman" w:hAnsi="Times New Roman" w:eastAsia="方正仿宋_GB2312" w:cs="Times New Roman"/>
          <w:color w:val="auto"/>
          <w:sz w:val="32"/>
          <w:szCs w:val="32"/>
          <w:u w:val="none" w:color="auto"/>
          <w:shd w:val="clear" w:color="auto" w:fill="auto"/>
          <w:lang w:eastAsia="zh-CN"/>
        </w:rPr>
      </w:pPr>
    </w:p>
    <w:p>
      <w:pPr>
        <w:spacing w:line="560" w:lineRule="exact"/>
        <w:jc w:val="both"/>
        <w:rPr>
          <w:rFonts w:hint="default" w:ascii="Times New Roman" w:hAnsi="Times New Roman" w:eastAsia="方正仿宋_GB2312" w:cs="Times New Roman"/>
          <w:color w:val="auto"/>
          <w:sz w:val="32"/>
          <w:szCs w:val="32"/>
          <w:u w:val="none" w:color="auto"/>
          <w:shd w:val="clear" w:color="auto" w:fill="auto"/>
          <w:lang w:eastAsia="zh-CN"/>
        </w:rPr>
      </w:pPr>
    </w:p>
    <w:p>
      <w:pPr>
        <w:spacing w:line="560" w:lineRule="exact"/>
        <w:jc w:val="both"/>
        <w:rPr>
          <w:rFonts w:hint="default" w:ascii="Times New Roman" w:hAnsi="Times New Roman" w:eastAsia="方正仿宋_GB2312" w:cs="Times New Roman"/>
          <w:color w:val="auto"/>
          <w:sz w:val="32"/>
          <w:szCs w:val="32"/>
          <w:u w:val="none" w:color="auto"/>
          <w:shd w:val="clear" w:color="auto" w:fill="auto"/>
          <w:lang w:eastAsia="zh-CN"/>
        </w:rPr>
      </w:pPr>
    </w:p>
    <w:p>
      <w:pPr>
        <w:spacing w:line="560" w:lineRule="exact"/>
        <w:jc w:val="both"/>
        <w:rPr>
          <w:rFonts w:hint="default" w:ascii="Times New Roman" w:hAnsi="Times New Roman" w:eastAsia="方正仿宋_GB2312" w:cs="Times New Roman"/>
          <w:color w:val="auto"/>
          <w:sz w:val="32"/>
          <w:szCs w:val="32"/>
          <w:u w:val="none" w:color="auto"/>
          <w:shd w:val="clear" w:color="auto" w:fill="auto"/>
          <w:lang w:eastAsia="zh-CN"/>
        </w:rPr>
      </w:pPr>
    </w:p>
    <w:p>
      <w:pPr>
        <w:spacing w:before="36"/>
        <w:ind w:right="1239"/>
        <w:jc w:val="both"/>
        <w:rPr>
          <w:rFonts w:hint="default" w:asciiTheme="majorEastAsia" w:hAnsiTheme="majorEastAsia" w:eastAsiaTheme="majorEastAsia" w:cstheme="majorEastAsia"/>
          <w:b/>
          <w:bCs/>
          <w:color w:val="auto"/>
          <w:sz w:val="44"/>
          <w:szCs w:val="44"/>
          <w:u w:val="none" w:color="auto"/>
          <w:shd w:val="clear" w:color="auto" w:fill="auto"/>
          <w:lang w:eastAsia="zh-CN"/>
        </w:rPr>
      </w:pPr>
    </w:p>
    <w:p>
      <w:pPr>
        <w:spacing w:before="36"/>
        <w:ind w:left="1250" w:right="1239" w:firstLine="0"/>
        <w:jc w:val="center"/>
        <w:rPr>
          <w:rFonts w:hint="default" w:asciiTheme="majorEastAsia" w:hAnsiTheme="majorEastAsia" w:eastAsiaTheme="majorEastAsia" w:cstheme="majorEastAsia"/>
          <w:b/>
          <w:bCs/>
          <w:color w:val="auto"/>
          <w:sz w:val="44"/>
          <w:szCs w:val="44"/>
          <w:u w:val="none" w:color="auto"/>
          <w:shd w:val="clear" w:color="auto" w:fill="auto"/>
          <w:lang w:eastAsia="zh-CN"/>
        </w:rPr>
      </w:pPr>
    </w:p>
    <w:p>
      <w:pPr>
        <w:spacing w:before="36"/>
        <w:ind w:left="1250" w:right="1239" w:firstLine="0"/>
        <w:jc w:val="center"/>
        <w:rPr>
          <w:rFonts w:hint="default" w:asciiTheme="majorEastAsia" w:hAnsiTheme="majorEastAsia" w:eastAsiaTheme="majorEastAsia" w:cstheme="majorEastAsia"/>
          <w:b/>
          <w:bCs/>
          <w:color w:val="auto"/>
          <w:sz w:val="44"/>
          <w:szCs w:val="44"/>
          <w:u w:val="none" w:color="auto"/>
          <w:shd w:val="clear" w:color="auto" w:fill="auto"/>
          <w:lang w:val="en-US" w:eastAsia="zh-CN"/>
        </w:rPr>
      </w:pPr>
    </w:p>
    <w:p>
      <w:pPr>
        <w:spacing w:before="36"/>
        <w:ind w:left="1250" w:right="1239" w:firstLine="0"/>
        <w:jc w:val="center"/>
        <w:rPr>
          <w:rFonts w:hint="eastAsia" w:asciiTheme="majorEastAsia" w:hAnsiTheme="majorEastAsia" w:eastAsiaTheme="majorEastAsia" w:cstheme="majorEastAsia"/>
          <w:b/>
          <w:bCs/>
          <w:color w:val="auto"/>
          <w:sz w:val="44"/>
          <w:szCs w:val="44"/>
          <w:u w:val="none" w:color="auto"/>
          <w:shd w:val="clear" w:color="auto" w:fill="auto"/>
          <w:lang w:val="en-US" w:eastAsia="zh-CN"/>
        </w:rPr>
      </w:pPr>
      <w:r>
        <w:rPr>
          <w:rFonts w:hint="default" w:asciiTheme="majorEastAsia" w:hAnsiTheme="majorEastAsia" w:eastAsiaTheme="majorEastAsia" w:cstheme="majorEastAsia"/>
          <w:b/>
          <w:bCs/>
          <w:color w:val="auto"/>
          <w:sz w:val="44"/>
          <w:szCs w:val="44"/>
          <w:u w:val="none" w:color="auto"/>
          <w:shd w:val="clear" w:color="auto" w:fill="auto"/>
          <w:lang w:val="en-US" w:eastAsia="zh-CN"/>
        </w:rPr>
        <w:t>鹿寨县住宅小区物业服务等级收费标准明细表</w:t>
      </w:r>
    </w:p>
    <w:p>
      <w:pPr>
        <w:pStyle w:val="2"/>
        <w:spacing w:before="254"/>
        <w:ind w:right="152" w:firstLine="5120" w:firstLineChars="1600"/>
        <w:jc w:val="both"/>
        <w:rPr>
          <w:rFonts w:hint="eastAsia" w:ascii="仿宋" w:hAnsi="仿宋" w:eastAsia="仿宋" w:cs="仿宋"/>
          <w:color w:val="auto"/>
          <w:kern w:val="2"/>
          <w:sz w:val="32"/>
          <w:szCs w:val="32"/>
          <w:u w:val="none" w:color="auto"/>
          <w:shd w:val="clear" w:color="auto" w:fill="auto"/>
          <w:lang w:val="en-US" w:eastAsia="zh-CN" w:bidi="ar-SA"/>
        </w:rPr>
      </w:pPr>
      <w:r>
        <w:rPr>
          <w:rFonts w:hint="eastAsia" w:ascii="仿宋" w:hAnsi="仿宋" w:eastAsia="仿宋" w:cs="仿宋"/>
          <w:color w:val="auto"/>
          <w:kern w:val="2"/>
          <w:sz w:val="32"/>
          <w:szCs w:val="32"/>
          <w:u w:val="none" w:color="auto"/>
          <w:shd w:val="clear" w:color="auto" w:fill="auto"/>
          <w:lang w:val="en-US" w:eastAsia="zh-CN" w:bidi="ar-SA"/>
        </w:rPr>
        <w:t>计费单位：元/平方米、月</w:t>
      </w:r>
    </w:p>
    <w:tbl>
      <w:tblPr>
        <w:tblStyle w:val="5"/>
        <w:tblW w:w="8010" w:type="dxa"/>
        <w:tblInd w:w="2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0"/>
        <w:gridCol w:w="2730"/>
        <w:gridCol w:w="2055"/>
        <w:gridCol w:w="19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1320"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序号</w:t>
            </w:r>
          </w:p>
        </w:tc>
        <w:tc>
          <w:tcPr>
            <w:tcW w:w="2730"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项目</w:t>
            </w: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服务等级</w:t>
            </w:r>
          </w:p>
        </w:tc>
        <w:tc>
          <w:tcPr>
            <w:tcW w:w="190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额定价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一</w:t>
            </w:r>
          </w:p>
        </w:tc>
        <w:tc>
          <w:tcPr>
            <w:tcW w:w="273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综合服务费</w:t>
            </w: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一级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二级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三级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四级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五级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二</w:t>
            </w:r>
          </w:p>
        </w:tc>
        <w:tc>
          <w:tcPr>
            <w:tcW w:w="273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公共区域秩序维护服务</w:t>
            </w: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一级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二级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三级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四级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五级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三</w:t>
            </w:r>
          </w:p>
        </w:tc>
        <w:tc>
          <w:tcPr>
            <w:tcW w:w="273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公共区域清洁卫生服务</w:t>
            </w: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一级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二级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三级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四级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0"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五级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Align w:val="top"/>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序号</w:t>
            </w:r>
          </w:p>
        </w:tc>
        <w:tc>
          <w:tcPr>
            <w:tcW w:w="2730" w:type="dxa"/>
            <w:vAlign w:val="top"/>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项目</w:t>
            </w:r>
          </w:p>
        </w:tc>
        <w:tc>
          <w:tcPr>
            <w:tcW w:w="2055" w:type="dxa"/>
            <w:vAlign w:val="top"/>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服务等级</w:t>
            </w:r>
          </w:p>
        </w:tc>
        <w:tc>
          <w:tcPr>
            <w:tcW w:w="1905" w:type="dxa"/>
            <w:vAlign w:val="top"/>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额定价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四</w:t>
            </w:r>
          </w:p>
        </w:tc>
        <w:tc>
          <w:tcPr>
            <w:tcW w:w="273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公共区域绿化日常养护服务</w:t>
            </w: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一级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二级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三级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四级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五级</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5" w:hRule="atLeast"/>
        </w:trPr>
        <w:tc>
          <w:tcPr>
            <w:tcW w:w="1320"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五</w:t>
            </w:r>
          </w:p>
        </w:tc>
        <w:tc>
          <w:tcPr>
            <w:tcW w:w="6690" w:type="dxa"/>
            <w:gridSpan w:val="3"/>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公共部位、公共设施设备日常运行、保养、维修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（一）</w:t>
            </w:r>
          </w:p>
        </w:tc>
        <w:tc>
          <w:tcPr>
            <w:tcW w:w="273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公共部位</w:t>
            </w: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一类</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二类</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三类</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1320"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（二）</w:t>
            </w:r>
          </w:p>
        </w:tc>
        <w:tc>
          <w:tcPr>
            <w:tcW w:w="2730"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排水系统</w:t>
            </w: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（三）</w:t>
            </w:r>
          </w:p>
        </w:tc>
        <w:tc>
          <w:tcPr>
            <w:tcW w:w="273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供水系统</w:t>
            </w: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一类</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二类</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三类</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32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（四）</w:t>
            </w:r>
          </w:p>
        </w:tc>
        <w:tc>
          <w:tcPr>
            <w:tcW w:w="273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公共照明系统</w:t>
            </w: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一类</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二类</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三类</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132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（五）</w:t>
            </w:r>
          </w:p>
        </w:tc>
        <w:tc>
          <w:tcPr>
            <w:tcW w:w="2730" w:type="dxa"/>
            <w:vMerge w:val="restart"/>
          </w:tcPr>
          <w:p>
            <w:pPr>
              <w:spacing w:line="560" w:lineRule="exact"/>
              <w:jc w:val="center"/>
              <w:rPr>
                <w:rFonts w:hint="eastAsia" w:ascii="仿宋" w:hAnsi="仿宋" w:eastAsia="仿宋" w:cs="仿宋"/>
                <w:color w:val="auto"/>
                <w:sz w:val="32"/>
                <w:szCs w:val="32"/>
                <w:u w:val="none" w:color="auto"/>
                <w:shd w:val="clear" w:color="auto" w:fill="auto"/>
                <w:lang w:eastAsia="zh-CN"/>
              </w:rPr>
            </w:pPr>
          </w:p>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智能化系统</w:t>
            </w:r>
          </w:p>
        </w:tc>
        <w:tc>
          <w:tcPr>
            <w:tcW w:w="2055" w:type="dxa"/>
          </w:tcPr>
          <w:p>
            <w:pPr>
              <w:spacing w:line="560" w:lineRule="exact"/>
              <w:jc w:val="center"/>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一类</w:t>
            </w:r>
          </w:p>
        </w:tc>
        <w:tc>
          <w:tcPr>
            <w:tcW w:w="1905" w:type="dxa"/>
          </w:tcPr>
          <w:p>
            <w:pPr>
              <w:spacing w:line="560" w:lineRule="exact"/>
              <w:jc w:val="center"/>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0" w:hRule="atLeast"/>
        </w:trPr>
        <w:tc>
          <w:tcPr>
            <w:tcW w:w="132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730" w:type="dxa"/>
            <w:vMerge w:val="continue"/>
            <w:tcBorders>
              <w:top w:val="nil"/>
            </w:tcBorders>
          </w:tcPr>
          <w:p>
            <w:pPr>
              <w:spacing w:line="560" w:lineRule="exact"/>
              <w:jc w:val="center"/>
              <w:rPr>
                <w:rFonts w:hint="eastAsia" w:ascii="仿宋" w:hAnsi="仿宋" w:eastAsia="仿宋" w:cs="仿宋"/>
                <w:color w:val="auto"/>
                <w:sz w:val="32"/>
                <w:szCs w:val="32"/>
                <w:u w:val="none" w:color="auto"/>
                <w:shd w:val="clear" w:color="auto" w:fill="auto"/>
                <w:lang w:eastAsia="zh-CN"/>
              </w:rPr>
            </w:pPr>
          </w:p>
        </w:tc>
        <w:tc>
          <w:tcPr>
            <w:tcW w:w="205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2"/>
                <w:szCs w:val="32"/>
                <w:u w:val="none" w:color="auto"/>
                <w:shd w:val="clear" w:color="auto" w:fill="auto"/>
                <w:lang w:eastAsia="zh-CN"/>
              </w:rPr>
            </w:pPr>
            <w:r>
              <w:rPr>
                <w:rFonts w:hint="eastAsia" w:ascii="仿宋" w:hAnsi="仿宋" w:eastAsia="仿宋" w:cs="仿宋"/>
                <w:color w:val="auto"/>
                <w:sz w:val="32"/>
                <w:szCs w:val="32"/>
                <w:u w:val="none" w:color="auto"/>
                <w:shd w:val="clear" w:color="auto" w:fill="auto"/>
                <w:lang w:eastAsia="zh-CN"/>
              </w:rPr>
              <w:t>二类</w:t>
            </w:r>
          </w:p>
        </w:tc>
        <w:tc>
          <w:tcPr>
            <w:tcW w:w="19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32"/>
                <w:szCs w:val="32"/>
                <w:u w:val="none" w:color="auto"/>
                <w:shd w:val="clear" w:color="auto" w:fill="auto"/>
                <w:lang w:val="en-US" w:eastAsia="zh-CN"/>
              </w:rPr>
            </w:pPr>
            <w:r>
              <w:rPr>
                <w:rFonts w:hint="eastAsia" w:ascii="仿宋" w:hAnsi="仿宋" w:eastAsia="仿宋" w:cs="仿宋"/>
                <w:color w:val="auto"/>
                <w:sz w:val="32"/>
                <w:szCs w:val="32"/>
                <w:u w:val="none" w:color="auto"/>
                <w:shd w:val="clear" w:color="auto" w:fill="auto"/>
                <w:lang w:val="en-US" w:eastAsia="zh-CN"/>
              </w:rPr>
              <w:t>0.11</w:t>
            </w:r>
            <w:r>
              <w:rPr>
                <w:rFonts w:hint="eastAsia" w:ascii="仿宋" w:hAnsi="仿宋" w:eastAsia="仿宋" w:cs="仿宋"/>
                <w:color w:val="auto"/>
                <w:sz w:val="32"/>
                <w:szCs w:val="32"/>
                <w:u w:val="none" w:color="auto"/>
                <w:shd w:val="clear" w:color="auto" w:fill="auto"/>
                <w:lang w:eastAsia="zh-CN"/>
              </w:rPr>
              <w:t>（二类每减少一项，扣除0.02元）</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u w:val="none" w:color="auto"/>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color="auto"/>
          <w:shd w:val="clear" w:color="auto" w:fill="auto"/>
          <w:lang w:eastAsia="zh-CN"/>
        </w:rPr>
        <w:sectPr>
          <w:footerReference r:id="rId3" w:type="default"/>
          <w:pgSz w:w="11906" w:h="16838"/>
          <w:pgMar w:top="1134" w:right="1587" w:bottom="1134" w:left="1440" w:header="851" w:footer="992" w:gutter="0"/>
          <w:cols w:space="425" w:num="1"/>
          <w:docGrid w:type="lines" w:linePitch="312" w:charSpace="0"/>
        </w:sectPr>
      </w:pPr>
    </w:p>
    <w:p>
      <w:pPr>
        <w:spacing w:line="380" w:lineRule="exact"/>
        <w:rPr>
          <w:rFonts w:hint="eastAsia" w:ascii="宋体" w:hAnsi="宋体"/>
          <w:b/>
          <w:sz w:val="44"/>
          <w:szCs w:val="44"/>
        </w:rPr>
      </w:pPr>
      <w:r>
        <w:rPr>
          <w:rFonts w:hint="eastAsia" w:ascii="宋体" w:hAnsi="宋体"/>
          <w:b/>
          <w:sz w:val="44"/>
          <w:szCs w:val="44"/>
        </w:rPr>
        <w:t xml:space="preserve">         </w:t>
      </w:r>
    </w:p>
    <w:p>
      <w:pPr>
        <w:spacing w:line="500" w:lineRule="exact"/>
        <w:rPr>
          <w:rFonts w:hint="eastAsia" w:ascii="宋体" w:hAnsi="宋体"/>
          <w:b/>
          <w:sz w:val="44"/>
          <w:szCs w:val="44"/>
        </w:rPr>
      </w:pPr>
      <w:r>
        <w:rPr>
          <w:rFonts w:hint="eastAsia" w:ascii="宋体" w:hAnsi="宋体"/>
          <w:b/>
          <w:sz w:val="44"/>
          <w:szCs w:val="44"/>
        </w:rPr>
        <w:t xml:space="preserve">                 </w:t>
      </w:r>
      <w:r>
        <w:rPr>
          <w:rFonts w:hint="eastAsia" w:ascii="宋体" w:hAnsi="宋体"/>
          <w:b/>
          <w:sz w:val="44"/>
          <w:szCs w:val="44"/>
          <w:lang w:eastAsia="zh-CN"/>
        </w:rPr>
        <w:t>鹿寨县</w:t>
      </w:r>
      <w:r>
        <w:rPr>
          <w:rFonts w:hint="eastAsia" w:ascii="宋体" w:hAnsi="宋体"/>
          <w:b/>
          <w:sz w:val="44"/>
          <w:szCs w:val="44"/>
        </w:rPr>
        <w:t>住宅停车收费政府指导标准</w:t>
      </w:r>
    </w:p>
    <w:p>
      <w:pPr>
        <w:spacing w:line="520" w:lineRule="exact"/>
        <w:rPr>
          <w:rFonts w:hint="eastAsia" w:ascii="仿宋" w:hAnsi="仿宋" w:eastAsia="仿宋"/>
          <w:sz w:val="32"/>
          <w:szCs w:val="32"/>
        </w:rPr>
      </w:pP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一、月票</w:t>
      </w:r>
    </w:p>
    <w:tbl>
      <w:tblPr>
        <w:tblStyle w:val="5"/>
        <w:tblpPr w:leftFromText="180" w:rightFromText="180" w:vertAnchor="text" w:horzAnchor="page" w:tblpX="2198" w:tblpY="7"/>
        <w:tblOverlap w:val="never"/>
        <w:tblW w:w="0" w:type="auto"/>
        <w:tblInd w:w="0" w:type="dxa"/>
        <w:tblLayout w:type="fixed"/>
        <w:tblCellMar>
          <w:top w:w="0" w:type="dxa"/>
          <w:left w:w="108" w:type="dxa"/>
          <w:bottom w:w="0" w:type="dxa"/>
          <w:right w:w="108" w:type="dxa"/>
        </w:tblCellMar>
      </w:tblPr>
      <w:tblGrid>
        <w:gridCol w:w="2805"/>
        <w:gridCol w:w="1980"/>
        <w:gridCol w:w="1233"/>
        <w:gridCol w:w="1022"/>
        <w:gridCol w:w="240"/>
        <w:gridCol w:w="1889"/>
        <w:gridCol w:w="280"/>
        <w:gridCol w:w="3496"/>
      </w:tblGrid>
      <w:tr>
        <w:tblPrEx>
          <w:tblCellMar>
            <w:top w:w="0" w:type="dxa"/>
            <w:left w:w="108" w:type="dxa"/>
            <w:bottom w:w="0" w:type="dxa"/>
            <w:right w:w="108" w:type="dxa"/>
          </w:tblCellMar>
        </w:tblPrEx>
        <w:tc>
          <w:tcPr>
            <w:tcW w:w="2805" w:type="dxa"/>
            <w:tcBorders>
              <w:top w:val="nil"/>
              <w:left w:val="nil"/>
              <w:bottom w:val="nil"/>
              <w:right w:val="nil"/>
            </w:tcBorders>
            <w:noWrap w:val="0"/>
            <w:vAlign w:val="center"/>
          </w:tcPr>
          <w:p>
            <w:pPr>
              <w:widowControl/>
              <w:spacing w:line="380" w:lineRule="exact"/>
              <w:jc w:val="center"/>
              <w:rPr>
                <w:rFonts w:ascii="仿宋" w:hAnsi="仿宋" w:eastAsia="仿宋" w:cs="宋体"/>
                <w:kern w:val="0"/>
                <w:sz w:val="32"/>
                <w:szCs w:val="32"/>
              </w:rPr>
            </w:pPr>
          </w:p>
        </w:tc>
        <w:tc>
          <w:tcPr>
            <w:tcW w:w="1980" w:type="dxa"/>
            <w:tcBorders>
              <w:top w:val="nil"/>
              <w:left w:val="nil"/>
              <w:bottom w:val="nil"/>
              <w:right w:val="nil"/>
            </w:tcBorders>
            <w:noWrap w:val="0"/>
            <w:vAlign w:val="center"/>
          </w:tcPr>
          <w:p>
            <w:pPr>
              <w:widowControl/>
              <w:spacing w:line="380" w:lineRule="exact"/>
              <w:jc w:val="center"/>
              <w:rPr>
                <w:rFonts w:ascii="仿宋" w:hAnsi="仿宋" w:eastAsia="仿宋" w:cs="宋体"/>
                <w:kern w:val="0"/>
                <w:sz w:val="32"/>
                <w:szCs w:val="32"/>
              </w:rPr>
            </w:pPr>
          </w:p>
        </w:tc>
        <w:tc>
          <w:tcPr>
            <w:tcW w:w="2255" w:type="dxa"/>
            <w:gridSpan w:val="2"/>
            <w:tcBorders>
              <w:top w:val="nil"/>
              <w:left w:val="nil"/>
              <w:bottom w:val="nil"/>
              <w:right w:val="nil"/>
            </w:tcBorders>
            <w:noWrap w:val="0"/>
            <w:vAlign w:val="center"/>
          </w:tcPr>
          <w:p>
            <w:pPr>
              <w:widowControl/>
              <w:spacing w:line="380" w:lineRule="exact"/>
              <w:jc w:val="center"/>
              <w:rPr>
                <w:rFonts w:ascii="仿宋" w:hAnsi="仿宋" w:eastAsia="仿宋" w:cs="宋体"/>
                <w:kern w:val="0"/>
                <w:sz w:val="32"/>
                <w:szCs w:val="32"/>
              </w:rPr>
            </w:pPr>
          </w:p>
        </w:tc>
        <w:tc>
          <w:tcPr>
            <w:tcW w:w="240" w:type="dxa"/>
            <w:tcBorders>
              <w:top w:val="nil"/>
              <w:left w:val="nil"/>
              <w:bottom w:val="nil"/>
              <w:right w:val="nil"/>
            </w:tcBorders>
            <w:noWrap w:val="0"/>
            <w:vAlign w:val="center"/>
          </w:tcPr>
          <w:p>
            <w:pPr>
              <w:widowControl/>
              <w:spacing w:line="380" w:lineRule="exact"/>
              <w:jc w:val="center"/>
              <w:rPr>
                <w:rFonts w:ascii="仿宋" w:hAnsi="仿宋" w:eastAsia="仿宋" w:cs="宋体"/>
                <w:kern w:val="0"/>
                <w:sz w:val="32"/>
                <w:szCs w:val="32"/>
              </w:rPr>
            </w:pPr>
          </w:p>
        </w:tc>
        <w:tc>
          <w:tcPr>
            <w:tcW w:w="1889" w:type="dxa"/>
            <w:tcBorders>
              <w:top w:val="nil"/>
              <w:left w:val="nil"/>
              <w:bottom w:val="nil"/>
              <w:right w:val="nil"/>
            </w:tcBorders>
            <w:noWrap w:val="0"/>
            <w:vAlign w:val="center"/>
          </w:tcPr>
          <w:p>
            <w:pPr>
              <w:widowControl/>
              <w:spacing w:line="380" w:lineRule="exact"/>
              <w:jc w:val="center"/>
              <w:rPr>
                <w:rFonts w:ascii="仿宋" w:hAnsi="仿宋" w:eastAsia="仿宋" w:cs="宋体"/>
                <w:kern w:val="0"/>
                <w:sz w:val="32"/>
                <w:szCs w:val="32"/>
              </w:rPr>
            </w:pPr>
          </w:p>
        </w:tc>
        <w:tc>
          <w:tcPr>
            <w:tcW w:w="3776" w:type="dxa"/>
            <w:gridSpan w:val="2"/>
            <w:tcBorders>
              <w:top w:val="nil"/>
              <w:left w:val="nil"/>
              <w:bottom w:val="nil"/>
              <w:right w:val="nil"/>
            </w:tcBorders>
            <w:noWrap w:val="0"/>
            <w:vAlign w:val="center"/>
          </w:tcPr>
          <w:p>
            <w:pPr>
              <w:widowControl/>
              <w:spacing w:line="38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计费单位：元/辆、月</w:t>
            </w:r>
          </w:p>
        </w:tc>
      </w:tr>
      <w:tr>
        <w:tblPrEx>
          <w:tblCellMar>
            <w:top w:w="0" w:type="dxa"/>
            <w:left w:w="108" w:type="dxa"/>
            <w:bottom w:w="0" w:type="dxa"/>
            <w:right w:w="108" w:type="dxa"/>
          </w:tblCellMar>
        </w:tblPrEx>
        <w:trPr>
          <w:trHeight w:val="121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仿宋" w:hAnsi="仿宋" w:eastAsia="仿宋" w:cs="宋体"/>
                <w:spacing w:val="-20"/>
                <w:kern w:val="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5080</wp:posOffset>
                      </wp:positionV>
                      <wp:extent cx="1771650" cy="762000"/>
                      <wp:effectExtent l="1905" t="4445" r="17145" b="14605"/>
                      <wp:wrapNone/>
                      <wp:docPr id="2" name="直接连接符 2"/>
                      <wp:cNvGraphicFramePr/>
                      <a:graphic xmlns:a="http://schemas.openxmlformats.org/drawingml/2006/main">
                        <a:graphicData uri="http://schemas.microsoft.com/office/word/2010/wordprocessingShape">
                          <wps:wsp>
                            <wps:cNvCnPr/>
                            <wps:spPr>
                              <a:xfrm>
                                <a:off x="1331595" y="2204085"/>
                                <a:ext cx="1771650" cy="7620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pt;margin-top:0.4pt;height:60pt;width:139.5pt;z-index:251658240;mso-width-relative:page;mso-height-relative:page;" filled="f" stroked="t" coordsize="21600,21600" o:gfxdata="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di/uTUAAAACAEAAA8AAAAAAAAAAQAgAAAAIgAAAGRycy9kb3ducmV2LnhtbFBLAQIUABQA&#10;AAAIAIdO4kAzJliS9AEAAMIDAAAOAAAAAAAAAAEAIAAAACMBAABkcnMvZTJvRG9jLnhtbFBLBQYA&#10;AAAABgAGAFkBAACJBQAAAAA=&#10;">
                      <v:fill on="f" focussize="0,0"/>
                      <v:stroke weight="0.5pt" color="#000000 [3213]" miterlimit="8" joinstyle="miter"/>
                      <v:imagedata o:title=""/>
                      <o:lock v:ext="edit" aspectratio="f"/>
                    </v:line>
                  </w:pict>
                </mc:Fallback>
              </mc:AlternateContent>
            </w:r>
            <w:r>
              <w:rPr>
                <w:rFonts w:hint="eastAsia" w:ascii="仿宋" w:hAnsi="仿宋" w:eastAsia="仿宋" w:cs="宋体"/>
                <w:spacing w:val="-20"/>
                <w:kern w:val="0"/>
                <w:sz w:val="32"/>
                <w:szCs w:val="32"/>
              </w:rPr>
              <w:t>车型</w:t>
            </w:r>
            <w:r>
              <w:rPr>
                <w:rFonts w:hint="eastAsia" w:ascii="仿宋" w:hAnsi="仿宋" w:eastAsia="仿宋" w:cs="宋体"/>
                <w:spacing w:val="-20"/>
                <w:kern w:val="0"/>
                <w:sz w:val="32"/>
                <w:szCs w:val="32"/>
              </w:rPr>
              <w:br w:type="textWrapping"/>
            </w:r>
            <w:r>
              <w:rPr>
                <w:rFonts w:hint="eastAsia" w:ascii="仿宋" w:hAnsi="仿宋" w:eastAsia="仿宋" w:cs="宋体"/>
                <w:spacing w:val="-20"/>
                <w:kern w:val="0"/>
                <w:sz w:val="32"/>
                <w:szCs w:val="32"/>
              </w:rPr>
              <w:br w:type="textWrapping"/>
            </w:r>
            <w:r>
              <w:rPr>
                <w:rFonts w:hint="eastAsia" w:ascii="仿宋" w:hAnsi="仿宋" w:eastAsia="仿宋" w:cs="宋体"/>
                <w:spacing w:val="-20"/>
                <w:kern w:val="0"/>
                <w:sz w:val="32"/>
                <w:szCs w:val="32"/>
              </w:rPr>
              <w:t>类型</w:t>
            </w:r>
          </w:p>
        </w:tc>
        <w:tc>
          <w:tcPr>
            <w:tcW w:w="3213" w:type="dxa"/>
            <w:gridSpan w:val="2"/>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pacing w:val="-20"/>
                <w:kern w:val="0"/>
                <w:sz w:val="32"/>
                <w:szCs w:val="32"/>
              </w:rPr>
            </w:pPr>
            <w:r>
              <w:rPr>
                <w:rFonts w:hint="eastAsia" w:ascii="仿宋" w:hAnsi="仿宋" w:eastAsia="仿宋" w:cs="宋体"/>
                <w:spacing w:val="-20"/>
                <w:kern w:val="0"/>
                <w:sz w:val="32"/>
                <w:szCs w:val="32"/>
              </w:rPr>
              <w:t>汽车</w:t>
            </w:r>
          </w:p>
        </w:tc>
        <w:tc>
          <w:tcPr>
            <w:tcW w:w="3431" w:type="dxa"/>
            <w:gridSpan w:val="4"/>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pacing w:val="-20"/>
                <w:kern w:val="0"/>
                <w:sz w:val="32"/>
                <w:szCs w:val="32"/>
              </w:rPr>
            </w:pPr>
            <w:r>
              <w:rPr>
                <w:rFonts w:hint="eastAsia" w:ascii="仿宋" w:hAnsi="仿宋" w:eastAsia="仿宋" w:cs="宋体"/>
                <w:spacing w:val="-20"/>
                <w:kern w:val="0"/>
                <w:sz w:val="32"/>
                <w:szCs w:val="32"/>
              </w:rPr>
              <w:t>摩托车、电动车</w:t>
            </w:r>
          </w:p>
        </w:tc>
        <w:tc>
          <w:tcPr>
            <w:tcW w:w="3496"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仿宋" w:hAnsi="仿宋" w:eastAsia="仿宋" w:cs="宋体"/>
                <w:spacing w:val="-20"/>
                <w:kern w:val="0"/>
                <w:sz w:val="32"/>
                <w:szCs w:val="32"/>
              </w:rPr>
            </w:pPr>
            <w:r>
              <w:rPr>
                <w:rFonts w:hint="eastAsia" w:ascii="仿宋" w:hAnsi="仿宋" w:eastAsia="仿宋" w:cs="宋体"/>
                <w:spacing w:val="-20"/>
                <w:kern w:val="0"/>
                <w:sz w:val="32"/>
                <w:szCs w:val="32"/>
              </w:rPr>
              <w:t>自行车</w:t>
            </w:r>
          </w:p>
        </w:tc>
      </w:tr>
      <w:tr>
        <w:tblPrEx>
          <w:tblCellMar>
            <w:top w:w="0" w:type="dxa"/>
            <w:left w:w="108" w:type="dxa"/>
            <w:bottom w:w="0" w:type="dxa"/>
            <w:right w:w="108" w:type="dxa"/>
          </w:tblCellMar>
        </w:tblPrEx>
        <w:trPr>
          <w:trHeight w:val="755" w:hRule="atLeast"/>
        </w:trPr>
        <w:tc>
          <w:tcPr>
            <w:tcW w:w="2805" w:type="dxa"/>
            <w:tcBorders>
              <w:top w:val="nil"/>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宋体"/>
                <w:kern w:val="0"/>
                <w:sz w:val="32"/>
                <w:szCs w:val="32"/>
                <w:lang w:eastAsia="zh-CN"/>
              </w:rPr>
            </w:pPr>
            <w:r>
              <w:rPr>
                <w:rFonts w:hint="eastAsia" w:ascii="仿宋" w:hAnsi="仿宋" w:eastAsia="仿宋" w:cs="宋体"/>
                <w:kern w:val="0"/>
                <w:sz w:val="32"/>
                <w:szCs w:val="32"/>
              </w:rPr>
              <w:t>室内(一类)</w:t>
            </w:r>
          </w:p>
        </w:tc>
        <w:tc>
          <w:tcPr>
            <w:tcW w:w="32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180</w:t>
            </w:r>
          </w:p>
        </w:tc>
        <w:tc>
          <w:tcPr>
            <w:tcW w:w="3431" w:type="dxa"/>
            <w:gridSpan w:val="4"/>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20</w:t>
            </w:r>
          </w:p>
        </w:tc>
        <w:tc>
          <w:tcPr>
            <w:tcW w:w="3496" w:type="dxa"/>
            <w:tcBorders>
              <w:top w:val="nil"/>
              <w:left w:val="nil"/>
              <w:bottom w:val="single" w:color="auto" w:sz="4" w:space="0"/>
              <w:right w:val="single" w:color="auto" w:sz="4" w:space="0"/>
            </w:tcBorders>
            <w:noWrap w:val="0"/>
            <w:vAlign w:val="center"/>
          </w:tcPr>
          <w:p>
            <w:pPr>
              <w:widowControl/>
              <w:spacing w:line="380" w:lineRule="exact"/>
              <w:jc w:val="center"/>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5</w:t>
            </w:r>
          </w:p>
        </w:tc>
      </w:tr>
      <w:tr>
        <w:tblPrEx>
          <w:tblCellMar>
            <w:top w:w="0" w:type="dxa"/>
            <w:left w:w="108" w:type="dxa"/>
            <w:bottom w:w="0" w:type="dxa"/>
            <w:right w:w="108" w:type="dxa"/>
          </w:tblCellMar>
        </w:tblPrEx>
        <w:trPr>
          <w:trHeight w:val="725" w:hRule="atLeast"/>
        </w:trPr>
        <w:tc>
          <w:tcPr>
            <w:tcW w:w="2805" w:type="dxa"/>
            <w:tcBorders>
              <w:top w:val="nil"/>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宋体"/>
                <w:kern w:val="0"/>
                <w:sz w:val="32"/>
                <w:szCs w:val="32"/>
                <w:lang w:eastAsia="zh-CN"/>
              </w:rPr>
            </w:pPr>
            <w:r>
              <w:rPr>
                <w:rFonts w:hint="eastAsia" w:ascii="仿宋" w:hAnsi="仿宋" w:eastAsia="仿宋" w:cs="宋体"/>
                <w:kern w:val="0"/>
                <w:sz w:val="32"/>
                <w:szCs w:val="32"/>
              </w:rPr>
              <w:t>室内(二类)</w:t>
            </w:r>
          </w:p>
        </w:tc>
        <w:tc>
          <w:tcPr>
            <w:tcW w:w="32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150</w:t>
            </w:r>
          </w:p>
        </w:tc>
        <w:tc>
          <w:tcPr>
            <w:tcW w:w="3431" w:type="dxa"/>
            <w:gridSpan w:val="4"/>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20</w:t>
            </w:r>
          </w:p>
        </w:tc>
        <w:tc>
          <w:tcPr>
            <w:tcW w:w="3496" w:type="dxa"/>
            <w:tcBorders>
              <w:top w:val="nil"/>
              <w:left w:val="nil"/>
              <w:bottom w:val="single" w:color="auto" w:sz="4" w:space="0"/>
              <w:right w:val="single" w:color="auto" w:sz="4" w:space="0"/>
            </w:tcBorders>
            <w:noWrap w:val="0"/>
            <w:vAlign w:val="center"/>
          </w:tcPr>
          <w:p>
            <w:pPr>
              <w:widowControl/>
              <w:spacing w:line="380" w:lineRule="exact"/>
              <w:jc w:val="center"/>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5</w:t>
            </w:r>
          </w:p>
        </w:tc>
      </w:tr>
      <w:tr>
        <w:tblPrEx>
          <w:tblCellMar>
            <w:top w:w="0" w:type="dxa"/>
            <w:left w:w="108" w:type="dxa"/>
            <w:bottom w:w="0" w:type="dxa"/>
            <w:right w:w="108" w:type="dxa"/>
          </w:tblCellMar>
        </w:tblPrEx>
        <w:trPr>
          <w:trHeight w:val="705" w:hRule="atLeast"/>
        </w:trPr>
        <w:tc>
          <w:tcPr>
            <w:tcW w:w="2805" w:type="dxa"/>
            <w:tcBorders>
              <w:top w:val="nil"/>
              <w:left w:val="single" w:color="auto" w:sz="4" w:space="0"/>
              <w:bottom w:val="single" w:color="auto" w:sz="4" w:space="0"/>
              <w:right w:val="single" w:color="auto" w:sz="4" w:space="0"/>
            </w:tcBorders>
            <w:noWrap w:val="0"/>
            <w:vAlign w:val="center"/>
          </w:tcPr>
          <w:p>
            <w:pPr>
              <w:widowControl/>
              <w:spacing w:line="380" w:lineRule="exact"/>
              <w:jc w:val="center"/>
              <w:rPr>
                <w:rFonts w:ascii="仿宋" w:hAnsi="仿宋" w:eastAsia="仿宋" w:cs="宋体"/>
                <w:kern w:val="0"/>
                <w:sz w:val="32"/>
                <w:szCs w:val="32"/>
              </w:rPr>
            </w:pPr>
            <w:r>
              <w:rPr>
                <w:rFonts w:hint="eastAsia" w:ascii="仿宋" w:hAnsi="仿宋" w:eastAsia="仿宋" w:cs="宋体"/>
                <w:kern w:val="0"/>
                <w:sz w:val="32"/>
                <w:szCs w:val="32"/>
              </w:rPr>
              <w:t>露天</w:t>
            </w:r>
          </w:p>
        </w:tc>
        <w:tc>
          <w:tcPr>
            <w:tcW w:w="3213" w:type="dxa"/>
            <w:gridSpan w:val="2"/>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70</w:t>
            </w:r>
          </w:p>
        </w:tc>
        <w:tc>
          <w:tcPr>
            <w:tcW w:w="3431" w:type="dxa"/>
            <w:gridSpan w:val="4"/>
            <w:tcBorders>
              <w:top w:val="nil"/>
              <w:left w:val="nil"/>
              <w:bottom w:val="nil"/>
              <w:right w:val="single" w:color="auto" w:sz="4" w:space="0"/>
            </w:tcBorders>
            <w:noWrap w:val="0"/>
            <w:vAlign w:val="center"/>
          </w:tcPr>
          <w:p>
            <w:pPr>
              <w:widowControl/>
              <w:spacing w:line="380" w:lineRule="exact"/>
              <w:jc w:val="center"/>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20</w:t>
            </w:r>
          </w:p>
        </w:tc>
        <w:tc>
          <w:tcPr>
            <w:tcW w:w="3496" w:type="dxa"/>
            <w:tcBorders>
              <w:top w:val="nil"/>
              <w:left w:val="nil"/>
              <w:bottom w:val="nil"/>
              <w:right w:val="single" w:color="auto" w:sz="4" w:space="0"/>
            </w:tcBorders>
            <w:noWrap w:val="0"/>
            <w:vAlign w:val="center"/>
          </w:tcPr>
          <w:p>
            <w:pPr>
              <w:widowControl/>
              <w:spacing w:line="380" w:lineRule="exact"/>
              <w:jc w:val="center"/>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5</w:t>
            </w:r>
          </w:p>
        </w:tc>
      </w:tr>
      <w:tr>
        <w:tblPrEx>
          <w:tblCellMar>
            <w:top w:w="0" w:type="dxa"/>
            <w:left w:w="108" w:type="dxa"/>
            <w:bottom w:w="0" w:type="dxa"/>
            <w:right w:w="108" w:type="dxa"/>
          </w:tblCellMar>
        </w:tblPrEx>
        <w:trPr>
          <w:trHeight w:val="1180"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备注</w:t>
            </w:r>
          </w:p>
        </w:tc>
        <w:tc>
          <w:tcPr>
            <w:tcW w:w="10140" w:type="dxa"/>
            <w:gridSpan w:val="7"/>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eastAsia" w:ascii="仿宋" w:hAnsi="仿宋" w:eastAsia="仿宋"/>
                <w:sz w:val="32"/>
                <w:szCs w:val="32"/>
              </w:rPr>
            </w:pPr>
            <w:r>
              <w:rPr>
                <w:rFonts w:hint="eastAsia" w:ascii="仿宋" w:hAnsi="仿宋" w:eastAsia="仿宋"/>
                <w:sz w:val="32"/>
                <w:szCs w:val="32"/>
              </w:rPr>
              <w:t>新能源汽车停车月票(含室内和露天)收费标准按不超过本住宅小区现行</w:t>
            </w:r>
          </w:p>
          <w:p>
            <w:pPr>
              <w:widowControl/>
              <w:spacing w:line="380" w:lineRule="exact"/>
              <w:rPr>
                <w:rFonts w:hint="eastAsia" w:ascii="仿宋" w:hAnsi="仿宋" w:eastAsia="仿宋" w:cs="宋体"/>
                <w:kern w:val="0"/>
                <w:sz w:val="32"/>
                <w:szCs w:val="32"/>
              </w:rPr>
            </w:pPr>
            <w:r>
              <w:rPr>
                <w:rFonts w:hint="eastAsia" w:ascii="仿宋" w:hAnsi="仿宋" w:eastAsia="仿宋"/>
                <w:sz w:val="32"/>
                <w:szCs w:val="32"/>
              </w:rPr>
              <w:t>实际收费标准的90%执行。</w:t>
            </w:r>
          </w:p>
        </w:tc>
      </w:tr>
    </w:tbl>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二、临时停放</w:t>
      </w:r>
    </w:p>
    <w:p>
      <w:pPr>
        <w:numPr>
          <w:ilvl w:val="0"/>
          <w:numId w:val="0"/>
        </w:numPr>
        <w:spacing w:line="52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 xml:space="preserve">摩托车、电动车、自行车                 计费单位：元/辆、次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7"/>
        <w:gridCol w:w="3605"/>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7" w:type="dxa"/>
            <w:noWrap w:val="0"/>
            <w:vAlign w:val="top"/>
          </w:tcPr>
          <w:p>
            <w:pPr>
              <w:spacing w:line="520" w:lineRule="exact"/>
              <w:rPr>
                <w:rFonts w:ascii="仿宋" w:hAnsi="仿宋" w:eastAsia="仿宋"/>
                <w:sz w:val="28"/>
                <w:szCs w:val="28"/>
              </w:rPr>
            </w:pPr>
          </w:p>
        </w:tc>
        <w:tc>
          <w:tcPr>
            <w:tcW w:w="3605" w:type="dxa"/>
            <w:noWrap w:val="0"/>
            <w:vAlign w:val="top"/>
          </w:tcPr>
          <w:p>
            <w:pPr>
              <w:spacing w:line="520" w:lineRule="exact"/>
              <w:jc w:val="center"/>
              <w:rPr>
                <w:rFonts w:ascii="仿宋" w:hAnsi="仿宋" w:eastAsia="仿宋"/>
                <w:sz w:val="28"/>
                <w:szCs w:val="28"/>
              </w:rPr>
            </w:pPr>
            <w:r>
              <w:rPr>
                <w:rFonts w:hint="eastAsia" w:ascii="仿宋" w:hAnsi="仿宋" w:eastAsia="仿宋" w:cs="宋体"/>
                <w:spacing w:val="-20"/>
                <w:kern w:val="0"/>
                <w:sz w:val="28"/>
                <w:szCs w:val="28"/>
              </w:rPr>
              <w:t>摩托车、电动车</w:t>
            </w:r>
          </w:p>
        </w:tc>
        <w:tc>
          <w:tcPr>
            <w:tcW w:w="3611" w:type="dxa"/>
            <w:noWrap w:val="0"/>
            <w:vAlign w:val="top"/>
          </w:tcPr>
          <w:p>
            <w:pPr>
              <w:spacing w:line="520" w:lineRule="exact"/>
              <w:jc w:val="center"/>
              <w:rPr>
                <w:rFonts w:ascii="仿宋" w:hAnsi="仿宋" w:eastAsia="仿宋"/>
                <w:sz w:val="28"/>
                <w:szCs w:val="28"/>
              </w:rPr>
            </w:pPr>
            <w:r>
              <w:rPr>
                <w:rFonts w:hint="eastAsia" w:ascii="仿宋" w:hAnsi="仿宋" w:eastAsia="仿宋" w:cs="宋体"/>
                <w:spacing w:val="-20"/>
                <w:kern w:val="0"/>
                <w:sz w:val="28"/>
                <w:szCs w:val="28"/>
              </w:rPr>
              <w:t>自行车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7" w:type="dxa"/>
            <w:noWrap w:val="0"/>
            <w:vAlign w:val="top"/>
          </w:tcPr>
          <w:p>
            <w:pPr>
              <w:spacing w:line="520" w:lineRule="exact"/>
              <w:rPr>
                <w:rFonts w:ascii="仿宋" w:hAnsi="仿宋" w:eastAsia="仿宋"/>
                <w:sz w:val="28"/>
                <w:szCs w:val="28"/>
              </w:rPr>
            </w:pPr>
            <w:r>
              <w:rPr>
                <w:rFonts w:hint="eastAsia" w:ascii="仿宋" w:hAnsi="仿宋" w:eastAsia="仿宋"/>
                <w:sz w:val="28"/>
                <w:szCs w:val="28"/>
              </w:rPr>
              <w:t>12小时内</w:t>
            </w:r>
          </w:p>
        </w:tc>
        <w:tc>
          <w:tcPr>
            <w:tcW w:w="3605" w:type="dxa"/>
            <w:noWrap w:val="0"/>
            <w:vAlign w:val="top"/>
          </w:tcPr>
          <w:p>
            <w:pPr>
              <w:spacing w:line="520" w:lineRule="exact"/>
              <w:jc w:val="center"/>
              <w:rPr>
                <w:rFonts w:ascii="仿宋" w:hAnsi="仿宋" w:eastAsia="仿宋"/>
                <w:sz w:val="28"/>
                <w:szCs w:val="28"/>
              </w:rPr>
            </w:pPr>
            <w:r>
              <w:rPr>
                <w:rFonts w:hint="eastAsia" w:ascii="仿宋" w:hAnsi="仿宋" w:eastAsia="仿宋"/>
                <w:sz w:val="28"/>
                <w:szCs w:val="28"/>
              </w:rPr>
              <w:t>1</w:t>
            </w:r>
          </w:p>
        </w:tc>
        <w:tc>
          <w:tcPr>
            <w:tcW w:w="3611" w:type="dxa"/>
            <w:noWrap w:val="0"/>
            <w:vAlign w:val="top"/>
          </w:tcPr>
          <w:p>
            <w:pPr>
              <w:spacing w:line="520" w:lineRule="exact"/>
              <w:jc w:val="center"/>
              <w:rPr>
                <w:rFonts w:ascii="仿宋" w:hAnsi="仿宋" w:eastAsia="仿宋"/>
                <w:sz w:val="28"/>
                <w:szCs w:val="28"/>
              </w:rPr>
            </w:pPr>
            <w:r>
              <w:rPr>
                <w:rFonts w:hint="eastAsia" w:ascii="仿宋" w:hAnsi="仿宋" w:eastAsia="仿宋"/>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7" w:type="dxa"/>
            <w:noWrap w:val="0"/>
            <w:vAlign w:val="top"/>
          </w:tcPr>
          <w:p>
            <w:pPr>
              <w:spacing w:line="520" w:lineRule="exact"/>
              <w:rPr>
                <w:rFonts w:ascii="仿宋" w:hAnsi="仿宋" w:eastAsia="仿宋"/>
                <w:sz w:val="28"/>
                <w:szCs w:val="28"/>
              </w:rPr>
            </w:pPr>
            <w:r>
              <w:rPr>
                <w:rFonts w:hint="eastAsia" w:ascii="仿宋" w:hAnsi="仿宋" w:eastAsia="仿宋"/>
                <w:sz w:val="28"/>
                <w:szCs w:val="28"/>
              </w:rPr>
              <w:t>连续停放超过12小时的，以12小时为计费单位加收</w:t>
            </w:r>
          </w:p>
        </w:tc>
        <w:tc>
          <w:tcPr>
            <w:tcW w:w="3605" w:type="dxa"/>
            <w:noWrap w:val="0"/>
            <w:vAlign w:val="top"/>
          </w:tcPr>
          <w:p>
            <w:pPr>
              <w:spacing w:line="520" w:lineRule="exact"/>
              <w:jc w:val="center"/>
              <w:rPr>
                <w:rFonts w:ascii="仿宋" w:hAnsi="仿宋" w:eastAsia="仿宋"/>
                <w:sz w:val="28"/>
                <w:szCs w:val="28"/>
              </w:rPr>
            </w:pPr>
            <w:r>
              <w:rPr>
                <w:rFonts w:hint="eastAsia" w:ascii="仿宋" w:hAnsi="仿宋" w:eastAsia="仿宋"/>
                <w:sz w:val="28"/>
                <w:szCs w:val="28"/>
              </w:rPr>
              <w:t>1</w:t>
            </w:r>
          </w:p>
        </w:tc>
        <w:tc>
          <w:tcPr>
            <w:tcW w:w="3611" w:type="dxa"/>
            <w:noWrap w:val="0"/>
            <w:vAlign w:val="top"/>
          </w:tcPr>
          <w:p>
            <w:pPr>
              <w:spacing w:line="520" w:lineRule="exact"/>
              <w:jc w:val="center"/>
              <w:rPr>
                <w:rFonts w:ascii="仿宋" w:hAnsi="仿宋" w:eastAsia="仿宋"/>
                <w:sz w:val="28"/>
                <w:szCs w:val="28"/>
              </w:rPr>
            </w:pPr>
            <w:r>
              <w:rPr>
                <w:rFonts w:hint="eastAsia" w:ascii="仿宋" w:hAnsi="仿宋" w:eastAsia="仿宋"/>
                <w:sz w:val="28"/>
                <w:szCs w:val="28"/>
              </w:rPr>
              <w:t>0.5</w:t>
            </w:r>
          </w:p>
        </w:tc>
      </w:tr>
    </w:tbl>
    <w:p>
      <w:pPr>
        <w:spacing w:line="520" w:lineRule="exact"/>
        <w:ind w:firstLine="640" w:firstLineChars="200"/>
        <w:rPr>
          <w:rFonts w:ascii="仿宋" w:hAnsi="仿宋" w:eastAsia="仿宋"/>
          <w:sz w:val="44"/>
          <w:szCs w:val="32"/>
        </w:rPr>
      </w:pPr>
      <w:r>
        <w:rPr>
          <w:rFonts w:hint="eastAsia" w:ascii="仿宋" w:hAnsi="仿宋" w:eastAsia="仿宋"/>
          <w:sz w:val="32"/>
          <w:szCs w:val="32"/>
          <w:lang w:eastAsia="zh-CN"/>
        </w:rPr>
        <w:t>（二）</w:t>
      </w:r>
      <w:r>
        <w:rPr>
          <w:rFonts w:hint="eastAsia" w:ascii="仿宋" w:hAnsi="仿宋" w:eastAsia="仿宋"/>
          <w:sz w:val="32"/>
          <w:szCs w:val="32"/>
        </w:rPr>
        <w:t>汽车                                   计费单位：元/辆</w:t>
      </w:r>
    </w:p>
    <w:tbl>
      <w:tblPr>
        <w:tblStyle w:val="5"/>
        <w:tblpPr w:leftFromText="180" w:rightFromText="180" w:vertAnchor="text" w:horzAnchor="page" w:tblpX="1441" w:tblpY="56"/>
        <w:tblOverlap w:val="never"/>
        <w:tblW w:w="14022" w:type="dxa"/>
        <w:tblInd w:w="0" w:type="dxa"/>
        <w:tblLayout w:type="fixed"/>
        <w:tblCellMar>
          <w:top w:w="0" w:type="dxa"/>
          <w:left w:w="108" w:type="dxa"/>
          <w:bottom w:w="0" w:type="dxa"/>
          <w:right w:w="108" w:type="dxa"/>
        </w:tblCellMar>
      </w:tblPr>
      <w:tblGrid>
        <w:gridCol w:w="512"/>
        <w:gridCol w:w="2750"/>
        <w:gridCol w:w="1425"/>
        <w:gridCol w:w="1500"/>
        <w:gridCol w:w="1375"/>
        <w:gridCol w:w="1238"/>
        <w:gridCol w:w="1337"/>
        <w:gridCol w:w="1313"/>
        <w:gridCol w:w="2572"/>
      </w:tblGrid>
      <w:tr>
        <w:tblPrEx>
          <w:tblCellMar>
            <w:top w:w="0" w:type="dxa"/>
            <w:left w:w="108" w:type="dxa"/>
            <w:bottom w:w="0" w:type="dxa"/>
            <w:right w:w="108" w:type="dxa"/>
          </w:tblCellMar>
        </w:tblPrEx>
        <w:trPr>
          <w:trHeight w:val="487" w:hRule="atLeast"/>
        </w:trPr>
        <w:tc>
          <w:tcPr>
            <w:tcW w:w="512" w:type="dxa"/>
            <w:vMerge w:val="restart"/>
            <w:tcBorders>
              <w:top w:val="single" w:color="auto" w:sz="4" w:space="0"/>
              <w:left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32"/>
              </w:rPr>
            </w:pPr>
          </w:p>
          <w:p>
            <w:pPr>
              <w:pStyle w:val="9"/>
              <w:autoSpaceDN w:val="0"/>
              <w:spacing w:line="380" w:lineRule="exact"/>
              <w:jc w:val="center"/>
              <w:textAlignment w:val="center"/>
              <w:rPr>
                <w:rFonts w:hint="eastAsia" w:ascii="仿宋" w:hAnsi="仿宋" w:eastAsia="仿宋"/>
                <w:color w:val="000000"/>
                <w:sz w:val="32"/>
              </w:rPr>
            </w:pPr>
          </w:p>
          <w:p>
            <w:pPr>
              <w:pStyle w:val="9"/>
              <w:autoSpaceDN w:val="0"/>
              <w:spacing w:line="380" w:lineRule="exact"/>
              <w:jc w:val="center"/>
              <w:textAlignment w:val="center"/>
              <w:rPr>
                <w:rFonts w:hint="eastAsia" w:ascii="仿宋" w:hAnsi="仿宋" w:eastAsia="仿宋"/>
                <w:color w:val="000000"/>
                <w:sz w:val="32"/>
              </w:rPr>
            </w:pPr>
            <w:r>
              <w:rPr>
                <w:rFonts w:hint="eastAsia" w:ascii="仿宋" w:hAnsi="仿宋" w:eastAsia="仿宋"/>
                <w:color w:val="000000"/>
                <w:sz w:val="32"/>
              </w:rPr>
              <w:t>室</w:t>
            </w:r>
          </w:p>
          <w:p>
            <w:pPr>
              <w:pStyle w:val="9"/>
              <w:autoSpaceDN w:val="0"/>
              <w:spacing w:line="380" w:lineRule="exact"/>
              <w:jc w:val="center"/>
              <w:textAlignment w:val="center"/>
              <w:rPr>
                <w:rFonts w:hint="eastAsia" w:ascii="仿宋" w:hAnsi="仿宋" w:eastAsia="仿宋"/>
                <w:color w:val="000000"/>
                <w:sz w:val="32"/>
              </w:rPr>
            </w:pPr>
            <w:r>
              <w:rPr>
                <w:rFonts w:hint="eastAsia" w:ascii="仿宋" w:hAnsi="仿宋" w:eastAsia="仿宋"/>
                <w:color w:val="000000"/>
                <w:sz w:val="32"/>
              </w:rPr>
              <w:t>内</w:t>
            </w:r>
          </w:p>
          <w:p>
            <w:pPr>
              <w:pStyle w:val="9"/>
              <w:autoSpaceDN w:val="0"/>
              <w:spacing w:line="380" w:lineRule="exact"/>
              <w:jc w:val="center"/>
              <w:textAlignment w:val="center"/>
              <w:rPr>
                <w:rFonts w:hint="eastAsia" w:ascii="仿宋" w:hAnsi="仿宋" w:eastAsia="仿宋"/>
                <w:color w:val="000000"/>
                <w:sz w:val="32"/>
              </w:rPr>
            </w:pPr>
          </w:p>
        </w:tc>
        <w:tc>
          <w:tcPr>
            <w:tcW w:w="2750"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连续停放时间(小时)</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s="宋体"/>
                <w:kern w:val="0"/>
                <w:sz w:val="28"/>
                <w:szCs w:val="28"/>
              </w:rPr>
            </w:pPr>
            <w:r>
              <w:rPr>
                <w:rFonts w:hint="eastAsia" w:ascii="仿宋" w:hAnsi="仿宋" w:eastAsia="仿宋"/>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s="宋体"/>
                <w:kern w:val="0"/>
                <w:sz w:val="28"/>
                <w:szCs w:val="28"/>
              </w:rPr>
            </w:pPr>
            <w:r>
              <w:rPr>
                <w:rFonts w:hint="eastAsia" w:ascii="仿宋" w:hAnsi="仿宋" w:eastAsia="仿宋"/>
                <w:color w:val="000000"/>
                <w:sz w:val="28"/>
                <w:szCs w:val="28"/>
              </w:rPr>
              <w:t>2</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s="宋体"/>
                <w:kern w:val="0"/>
                <w:sz w:val="28"/>
                <w:szCs w:val="28"/>
              </w:rPr>
            </w:pPr>
            <w:r>
              <w:rPr>
                <w:rFonts w:hint="eastAsia" w:ascii="仿宋" w:hAnsi="仿宋" w:eastAsia="仿宋"/>
                <w:color w:val="000000"/>
                <w:sz w:val="28"/>
                <w:szCs w:val="28"/>
              </w:rPr>
              <w:t>3</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sz w:val="28"/>
                <w:szCs w:val="28"/>
              </w:rPr>
            </w:pPr>
            <w:r>
              <w:rPr>
                <w:rFonts w:hint="eastAsia" w:ascii="仿宋" w:hAnsi="仿宋" w:eastAsia="仿宋"/>
                <w:color w:val="000000"/>
                <w:sz w:val="28"/>
                <w:szCs w:val="28"/>
              </w:rPr>
              <w:t>4</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sz w:val="28"/>
                <w:szCs w:val="28"/>
              </w:rPr>
            </w:pPr>
            <w:r>
              <w:rPr>
                <w:rFonts w:hint="eastAsia" w:ascii="仿宋" w:hAnsi="仿宋" w:eastAsia="仿宋"/>
                <w:color w:val="000000"/>
                <w:sz w:val="28"/>
                <w:szCs w:val="28"/>
              </w:rPr>
              <w:t>5</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sz w:val="28"/>
                <w:szCs w:val="28"/>
              </w:rPr>
            </w:pPr>
            <w:r>
              <w:rPr>
                <w:rFonts w:hint="eastAsia" w:ascii="仿宋" w:hAnsi="仿宋" w:eastAsia="仿宋"/>
                <w:color w:val="000000"/>
                <w:sz w:val="28"/>
                <w:szCs w:val="28"/>
              </w:rPr>
              <w:t>6</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sz w:val="28"/>
                <w:szCs w:val="28"/>
              </w:rPr>
            </w:pPr>
            <w:r>
              <w:rPr>
                <w:rFonts w:hint="eastAsia" w:ascii="仿宋" w:hAnsi="仿宋" w:eastAsia="仿宋"/>
                <w:color w:val="000000"/>
                <w:sz w:val="28"/>
                <w:szCs w:val="28"/>
              </w:rPr>
              <w:t>7-12</w:t>
            </w:r>
          </w:p>
        </w:tc>
      </w:tr>
      <w:tr>
        <w:tblPrEx>
          <w:tblCellMar>
            <w:top w:w="0" w:type="dxa"/>
            <w:left w:w="108" w:type="dxa"/>
            <w:bottom w:w="0" w:type="dxa"/>
            <w:right w:w="108" w:type="dxa"/>
          </w:tblCellMar>
        </w:tblPrEx>
        <w:trPr>
          <w:trHeight w:val="472" w:hRule="atLeast"/>
        </w:trPr>
        <w:tc>
          <w:tcPr>
            <w:tcW w:w="512" w:type="dxa"/>
            <w:vMerge w:val="continue"/>
            <w:tcBorders>
              <w:left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32"/>
              </w:rPr>
            </w:pPr>
          </w:p>
        </w:tc>
        <w:tc>
          <w:tcPr>
            <w:tcW w:w="2750"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收费金额(元)</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s="宋体"/>
                <w:kern w:val="0"/>
                <w:sz w:val="28"/>
                <w:szCs w:val="28"/>
              </w:rPr>
            </w:pPr>
            <w:r>
              <w:rPr>
                <w:rFonts w:hint="eastAsia" w:ascii="仿宋" w:hAnsi="仿宋" w:eastAsia="仿宋"/>
                <w:color w:val="000000"/>
                <w:sz w:val="28"/>
                <w:szCs w:val="28"/>
              </w:rPr>
              <w:t>免</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s="宋体"/>
                <w:kern w:val="0"/>
                <w:sz w:val="28"/>
                <w:szCs w:val="28"/>
                <w:lang w:eastAsia="zh-CN"/>
              </w:rPr>
            </w:pPr>
            <w:r>
              <w:rPr>
                <w:rFonts w:hint="eastAsia" w:ascii="仿宋" w:hAnsi="仿宋" w:eastAsia="仿宋"/>
                <w:color w:val="000000"/>
                <w:sz w:val="28"/>
                <w:szCs w:val="28"/>
                <w:lang w:val="en-US" w:eastAsia="zh-CN"/>
              </w:rPr>
              <w:t>2</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s="宋体"/>
                <w:kern w:val="0"/>
                <w:sz w:val="28"/>
                <w:szCs w:val="28"/>
                <w:lang w:eastAsia="zh-CN"/>
              </w:rPr>
            </w:pPr>
            <w:r>
              <w:rPr>
                <w:rFonts w:hint="eastAsia" w:ascii="仿宋" w:hAnsi="仿宋" w:eastAsia="仿宋"/>
                <w:color w:val="000000"/>
                <w:sz w:val="28"/>
                <w:szCs w:val="28"/>
                <w:lang w:val="en-US" w:eastAsia="zh-CN"/>
              </w:rPr>
              <w:t>3</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sz w:val="28"/>
                <w:szCs w:val="28"/>
                <w:lang w:eastAsia="zh-CN"/>
              </w:rPr>
            </w:pPr>
            <w:r>
              <w:rPr>
                <w:rFonts w:hint="eastAsia" w:ascii="仿宋" w:hAnsi="仿宋" w:eastAsia="仿宋"/>
                <w:color w:val="000000"/>
                <w:sz w:val="28"/>
                <w:szCs w:val="28"/>
                <w:lang w:val="en-US" w:eastAsia="zh-CN"/>
              </w:rPr>
              <w:t>4</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sz w:val="28"/>
                <w:szCs w:val="28"/>
                <w:lang w:eastAsia="zh-CN"/>
              </w:rPr>
            </w:pPr>
            <w:r>
              <w:rPr>
                <w:rFonts w:hint="eastAsia" w:ascii="仿宋" w:hAnsi="仿宋" w:eastAsia="仿宋"/>
                <w:color w:val="000000"/>
                <w:sz w:val="28"/>
                <w:szCs w:val="28"/>
                <w:lang w:val="en-US" w:eastAsia="zh-CN"/>
              </w:rPr>
              <w:t>5</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sz w:val="28"/>
                <w:szCs w:val="28"/>
                <w:lang w:eastAsia="zh-CN"/>
              </w:rPr>
            </w:pPr>
            <w:r>
              <w:rPr>
                <w:rFonts w:hint="eastAsia" w:ascii="仿宋" w:hAnsi="仿宋" w:eastAsia="仿宋"/>
                <w:color w:val="000000"/>
                <w:sz w:val="28"/>
                <w:szCs w:val="28"/>
                <w:lang w:val="en-US" w:eastAsia="zh-CN"/>
              </w:rPr>
              <w:t>6</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sz w:val="28"/>
                <w:szCs w:val="28"/>
                <w:lang w:eastAsia="zh-CN"/>
              </w:rPr>
            </w:pPr>
            <w:r>
              <w:rPr>
                <w:rFonts w:hint="eastAsia" w:ascii="仿宋" w:hAnsi="仿宋" w:eastAsia="仿宋"/>
                <w:color w:val="000000"/>
                <w:sz w:val="28"/>
                <w:szCs w:val="28"/>
                <w:lang w:val="en-US" w:eastAsia="zh-CN"/>
              </w:rPr>
              <w:t>7</w:t>
            </w:r>
          </w:p>
        </w:tc>
      </w:tr>
      <w:tr>
        <w:tblPrEx>
          <w:tblCellMar>
            <w:top w:w="0" w:type="dxa"/>
            <w:left w:w="108" w:type="dxa"/>
            <w:bottom w:w="0" w:type="dxa"/>
            <w:right w:w="108" w:type="dxa"/>
          </w:tblCellMar>
        </w:tblPrEx>
        <w:trPr>
          <w:trHeight w:val="496" w:hRule="atLeast"/>
        </w:trPr>
        <w:tc>
          <w:tcPr>
            <w:tcW w:w="512" w:type="dxa"/>
            <w:vMerge w:val="continue"/>
            <w:tcBorders>
              <w:left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32"/>
              </w:rPr>
            </w:pPr>
          </w:p>
        </w:tc>
        <w:tc>
          <w:tcPr>
            <w:tcW w:w="2750"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连续停放时间(小时)</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13</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14</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15</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16</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17</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18</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19-24</w:t>
            </w:r>
          </w:p>
        </w:tc>
      </w:tr>
      <w:tr>
        <w:tblPrEx>
          <w:tblCellMar>
            <w:top w:w="0" w:type="dxa"/>
            <w:left w:w="108" w:type="dxa"/>
            <w:bottom w:w="0" w:type="dxa"/>
            <w:right w:w="108" w:type="dxa"/>
          </w:tblCellMar>
        </w:tblPrEx>
        <w:trPr>
          <w:trHeight w:val="484" w:hRule="atLeast"/>
        </w:trPr>
        <w:tc>
          <w:tcPr>
            <w:tcW w:w="512" w:type="dxa"/>
            <w:vMerge w:val="continue"/>
            <w:tcBorders>
              <w:left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32"/>
              </w:rPr>
            </w:pPr>
          </w:p>
        </w:tc>
        <w:tc>
          <w:tcPr>
            <w:tcW w:w="2750"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收费金额(元)</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8</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9</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11</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12</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13</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14</w:t>
            </w:r>
          </w:p>
        </w:tc>
      </w:tr>
      <w:tr>
        <w:tblPrEx>
          <w:tblCellMar>
            <w:top w:w="0" w:type="dxa"/>
            <w:left w:w="108" w:type="dxa"/>
            <w:bottom w:w="0" w:type="dxa"/>
            <w:right w:w="108" w:type="dxa"/>
          </w:tblCellMar>
        </w:tblPrEx>
        <w:trPr>
          <w:trHeight w:val="624" w:hRule="atLeast"/>
        </w:trPr>
        <w:tc>
          <w:tcPr>
            <w:tcW w:w="512" w:type="dxa"/>
            <w:tcBorders>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32"/>
              </w:rPr>
            </w:pPr>
          </w:p>
        </w:tc>
        <w:tc>
          <w:tcPr>
            <w:tcW w:w="2750" w:type="dxa"/>
            <w:tcBorders>
              <w:top w:val="single" w:color="auto" w:sz="4" w:space="0"/>
              <w:left w:val="single" w:color="auto" w:sz="4" w:space="0"/>
              <w:bottom w:val="single" w:color="auto" w:sz="4" w:space="0"/>
              <w:right w:val="single" w:color="auto" w:sz="4" w:space="0"/>
            </w:tcBorders>
            <w:noWrap w:val="0"/>
            <w:vAlign w:val="center"/>
          </w:tcPr>
          <w:p>
            <w:pPr>
              <w:pStyle w:val="9"/>
              <w:autoSpaceDN w:val="0"/>
              <w:spacing w:line="380" w:lineRule="exact"/>
              <w:jc w:val="center"/>
              <w:textAlignment w:val="center"/>
              <w:rPr>
                <w:rFonts w:hint="eastAsia" w:ascii="仿宋" w:hAnsi="仿宋" w:eastAsia="仿宋"/>
                <w:color w:val="000000"/>
                <w:sz w:val="24"/>
              </w:rPr>
            </w:pPr>
            <w:r>
              <w:rPr>
                <w:rFonts w:hint="eastAsia" w:ascii="仿宋" w:hAnsi="仿宋" w:eastAsia="仿宋"/>
                <w:color w:val="000000"/>
                <w:sz w:val="28"/>
                <w:szCs w:val="28"/>
              </w:rPr>
              <w:t>备注</w:t>
            </w:r>
          </w:p>
        </w:tc>
        <w:tc>
          <w:tcPr>
            <w:tcW w:w="10760" w:type="dxa"/>
            <w:gridSpan w:val="7"/>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2"/>
              </w:numPr>
              <w:autoSpaceDN w:val="0"/>
              <w:spacing w:line="380" w:lineRule="exact"/>
              <w:textAlignment w:val="center"/>
              <w:rPr>
                <w:rFonts w:hint="eastAsia" w:ascii="仿宋" w:hAnsi="仿宋" w:eastAsia="仿宋"/>
                <w:color w:val="000000"/>
                <w:sz w:val="24"/>
              </w:rPr>
            </w:pPr>
            <w:r>
              <w:rPr>
                <w:rFonts w:hint="eastAsia" w:ascii="仿宋" w:hAnsi="仿宋" w:eastAsia="仿宋"/>
                <w:sz w:val="24"/>
              </w:rPr>
              <w:t>临时停放时间以每小时为计时单位，不足1小时（含）按1小时计；</w:t>
            </w:r>
          </w:p>
          <w:p>
            <w:pPr>
              <w:pStyle w:val="9"/>
              <w:numPr>
                <w:ilvl w:val="0"/>
                <w:numId w:val="2"/>
              </w:numPr>
              <w:autoSpaceDN w:val="0"/>
              <w:spacing w:line="380" w:lineRule="exact"/>
              <w:textAlignment w:val="center"/>
              <w:rPr>
                <w:rFonts w:hint="eastAsia" w:ascii="仿宋" w:hAnsi="仿宋" w:eastAsia="仿宋"/>
                <w:color w:val="000000"/>
                <w:sz w:val="24"/>
              </w:rPr>
            </w:pPr>
            <w:r>
              <w:rPr>
                <w:rFonts w:hint="eastAsia" w:ascii="仿宋" w:hAnsi="仿宋" w:eastAsia="仿宋"/>
                <w:sz w:val="24"/>
              </w:rPr>
              <w:t>连续停放时间超24小时的，在前24小时的收费基础上，每增加1小时加收1元，12小时限价为</w:t>
            </w:r>
            <w:r>
              <w:rPr>
                <w:rFonts w:hint="eastAsia" w:ascii="仿宋" w:hAnsi="仿宋" w:eastAsia="仿宋"/>
                <w:sz w:val="24"/>
                <w:lang w:val="en-US" w:eastAsia="zh-CN"/>
              </w:rPr>
              <w:t>14</w:t>
            </w:r>
            <w:r>
              <w:rPr>
                <w:rFonts w:hint="eastAsia" w:ascii="仿宋" w:hAnsi="仿宋" w:eastAsia="仿宋"/>
                <w:sz w:val="24"/>
              </w:rPr>
              <w:t>元。</w:t>
            </w:r>
          </w:p>
        </w:tc>
      </w:tr>
    </w:tbl>
    <w:p>
      <w:pPr>
        <w:spacing w:line="520" w:lineRule="exact"/>
        <w:rPr>
          <w:rFonts w:hint="eastAsia" w:ascii="仿宋" w:hAnsi="仿宋" w:eastAsia="仿宋"/>
          <w:sz w:val="32"/>
          <w:szCs w:val="32"/>
        </w:rPr>
      </w:pPr>
    </w:p>
    <w:tbl>
      <w:tblPr>
        <w:tblStyle w:val="5"/>
        <w:tblW w:w="14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2763"/>
        <w:gridCol w:w="2895"/>
        <w:gridCol w:w="2611"/>
        <w:gridCol w:w="2630"/>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12" w:type="dxa"/>
            <w:vMerge w:val="restart"/>
            <w:noWrap w:val="0"/>
            <w:vAlign w:val="center"/>
          </w:tcPr>
          <w:p>
            <w:pPr>
              <w:pStyle w:val="9"/>
              <w:autoSpaceDN w:val="0"/>
              <w:spacing w:line="380" w:lineRule="exact"/>
              <w:jc w:val="center"/>
              <w:textAlignment w:val="center"/>
              <w:rPr>
                <w:rFonts w:hint="eastAsia" w:ascii="仿宋" w:hAnsi="仿宋" w:eastAsia="仿宋"/>
                <w:color w:val="000000"/>
                <w:sz w:val="32"/>
              </w:rPr>
            </w:pPr>
            <w:r>
              <w:rPr>
                <w:rFonts w:hint="eastAsia" w:ascii="仿宋" w:hAnsi="仿宋" w:eastAsia="仿宋"/>
                <w:color w:val="000000"/>
                <w:sz w:val="32"/>
              </w:rPr>
              <w:t>露</w:t>
            </w:r>
          </w:p>
          <w:p>
            <w:pPr>
              <w:pStyle w:val="9"/>
              <w:autoSpaceDN w:val="0"/>
              <w:spacing w:line="380" w:lineRule="exact"/>
              <w:jc w:val="center"/>
              <w:textAlignment w:val="center"/>
              <w:rPr>
                <w:rFonts w:hint="eastAsia" w:ascii="仿宋" w:hAnsi="仿宋" w:eastAsia="仿宋"/>
                <w:color w:val="000000"/>
                <w:sz w:val="32"/>
              </w:rPr>
            </w:pPr>
            <w:r>
              <w:rPr>
                <w:rFonts w:hint="eastAsia" w:ascii="仿宋" w:hAnsi="仿宋" w:eastAsia="仿宋"/>
                <w:color w:val="000000"/>
                <w:sz w:val="32"/>
              </w:rPr>
              <w:t>天</w:t>
            </w:r>
          </w:p>
        </w:tc>
        <w:tc>
          <w:tcPr>
            <w:tcW w:w="2763" w:type="dxa"/>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连续停放时间(小时）</w:t>
            </w:r>
          </w:p>
        </w:tc>
        <w:tc>
          <w:tcPr>
            <w:tcW w:w="2895" w:type="dxa"/>
            <w:noWrap w:val="0"/>
            <w:vAlign w:val="top"/>
          </w:tcPr>
          <w:p>
            <w:pPr>
              <w:spacing w:line="520" w:lineRule="exact"/>
              <w:jc w:val="center"/>
              <w:rPr>
                <w:rFonts w:hint="eastAsia" w:ascii="仿宋" w:hAnsi="仿宋" w:eastAsia="仿宋"/>
                <w:sz w:val="28"/>
                <w:szCs w:val="28"/>
              </w:rPr>
            </w:pPr>
            <w:r>
              <w:rPr>
                <w:rFonts w:hint="eastAsia" w:ascii="仿宋" w:hAnsi="仿宋" w:eastAsia="仿宋"/>
                <w:sz w:val="28"/>
                <w:szCs w:val="28"/>
              </w:rPr>
              <w:t>1</w:t>
            </w:r>
          </w:p>
        </w:tc>
        <w:tc>
          <w:tcPr>
            <w:tcW w:w="2611" w:type="dxa"/>
            <w:noWrap w:val="0"/>
            <w:vAlign w:val="top"/>
          </w:tcPr>
          <w:p>
            <w:pPr>
              <w:spacing w:line="520" w:lineRule="exact"/>
              <w:jc w:val="center"/>
              <w:rPr>
                <w:rFonts w:hint="eastAsia" w:ascii="仿宋" w:hAnsi="仿宋" w:eastAsia="仿宋"/>
                <w:sz w:val="28"/>
                <w:szCs w:val="28"/>
              </w:rPr>
            </w:pPr>
            <w:r>
              <w:rPr>
                <w:rFonts w:hint="eastAsia" w:ascii="仿宋" w:hAnsi="仿宋" w:eastAsia="仿宋"/>
                <w:sz w:val="28"/>
                <w:szCs w:val="28"/>
              </w:rPr>
              <w:t>2</w:t>
            </w:r>
          </w:p>
        </w:tc>
        <w:tc>
          <w:tcPr>
            <w:tcW w:w="2630" w:type="dxa"/>
            <w:noWrap w:val="0"/>
            <w:vAlign w:val="top"/>
          </w:tcPr>
          <w:p>
            <w:pPr>
              <w:spacing w:line="520" w:lineRule="exact"/>
              <w:jc w:val="center"/>
              <w:rPr>
                <w:rFonts w:hint="eastAsia" w:ascii="仿宋" w:hAnsi="仿宋" w:eastAsia="仿宋"/>
                <w:sz w:val="28"/>
                <w:szCs w:val="28"/>
              </w:rPr>
            </w:pPr>
            <w:r>
              <w:rPr>
                <w:rFonts w:hint="eastAsia" w:ascii="仿宋" w:hAnsi="仿宋" w:eastAsia="仿宋"/>
                <w:sz w:val="28"/>
                <w:szCs w:val="28"/>
              </w:rPr>
              <w:t>3</w:t>
            </w:r>
          </w:p>
        </w:tc>
        <w:tc>
          <w:tcPr>
            <w:tcW w:w="2611" w:type="dxa"/>
            <w:noWrap w:val="0"/>
            <w:vAlign w:val="top"/>
          </w:tcPr>
          <w:p>
            <w:pPr>
              <w:spacing w:line="520" w:lineRule="exact"/>
              <w:jc w:val="center"/>
              <w:rPr>
                <w:rFonts w:hint="eastAsia" w:ascii="仿宋" w:hAnsi="仿宋" w:eastAsia="仿宋"/>
                <w:sz w:val="28"/>
                <w:szCs w:val="28"/>
              </w:rPr>
            </w:pPr>
            <w:r>
              <w:rPr>
                <w:rFonts w:hint="eastAsia" w:ascii="仿宋" w:hAnsi="仿宋" w:eastAsia="仿宋"/>
                <w:sz w:val="28"/>
                <w:szCs w:val="28"/>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2" w:type="dxa"/>
            <w:vMerge w:val="continue"/>
            <w:noWrap w:val="0"/>
            <w:vAlign w:val="center"/>
          </w:tcPr>
          <w:p>
            <w:pPr>
              <w:pStyle w:val="9"/>
              <w:autoSpaceDN w:val="0"/>
              <w:spacing w:line="380" w:lineRule="exact"/>
              <w:jc w:val="center"/>
              <w:textAlignment w:val="center"/>
              <w:rPr>
                <w:rFonts w:hint="eastAsia" w:ascii="仿宋" w:hAnsi="仿宋" w:eastAsia="仿宋"/>
                <w:color w:val="000000"/>
                <w:sz w:val="32"/>
              </w:rPr>
            </w:pPr>
          </w:p>
        </w:tc>
        <w:tc>
          <w:tcPr>
            <w:tcW w:w="2763" w:type="dxa"/>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收费金额(元)</w:t>
            </w:r>
          </w:p>
        </w:tc>
        <w:tc>
          <w:tcPr>
            <w:tcW w:w="2895" w:type="dxa"/>
            <w:noWrap w:val="0"/>
            <w:vAlign w:val="top"/>
          </w:tcPr>
          <w:p>
            <w:pPr>
              <w:spacing w:line="520" w:lineRule="exact"/>
              <w:jc w:val="center"/>
              <w:rPr>
                <w:rFonts w:hint="eastAsia" w:ascii="仿宋" w:hAnsi="仿宋" w:eastAsia="仿宋"/>
                <w:sz w:val="28"/>
                <w:szCs w:val="28"/>
              </w:rPr>
            </w:pPr>
            <w:r>
              <w:rPr>
                <w:rFonts w:hint="eastAsia" w:ascii="仿宋" w:hAnsi="仿宋" w:eastAsia="仿宋"/>
                <w:sz w:val="28"/>
                <w:szCs w:val="28"/>
              </w:rPr>
              <w:t>免</w:t>
            </w:r>
          </w:p>
        </w:tc>
        <w:tc>
          <w:tcPr>
            <w:tcW w:w="2611" w:type="dxa"/>
            <w:noWrap w:val="0"/>
            <w:vAlign w:val="top"/>
          </w:tcPr>
          <w:p>
            <w:pPr>
              <w:spacing w:line="52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2</w:t>
            </w:r>
          </w:p>
        </w:tc>
        <w:tc>
          <w:tcPr>
            <w:tcW w:w="2630" w:type="dxa"/>
            <w:noWrap w:val="0"/>
            <w:vAlign w:val="top"/>
          </w:tcPr>
          <w:p>
            <w:pPr>
              <w:spacing w:line="52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3</w:t>
            </w:r>
          </w:p>
        </w:tc>
        <w:tc>
          <w:tcPr>
            <w:tcW w:w="2611" w:type="dxa"/>
            <w:noWrap w:val="0"/>
            <w:vAlign w:val="top"/>
          </w:tcPr>
          <w:p>
            <w:pPr>
              <w:spacing w:line="52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2" w:type="dxa"/>
            <w:vMerge w:val="continue"/>
            <w:noWrap w:val="0"/>
            <w:vAlign w:val="center"/>
          </w:tcPr>
          <w:p>
            <w:pPr>
              <w:pStyle w:val="9"/>
              <w:autoSpaceDN w:val="0"/>
              <w:spacing w:line="380" w:lineRule="exact"/>
              <w:jc w:val="center"/>
              <w:textAlignment w:val="center"/>
              <w:rPr>
                <w:rFonts w:hint="eastAsia" w:ascii="仿宋" w:hAnsi="仿宋" w:eastAsia="仿宋"/>
                <w:color w:val="000000"/>
                <w:sz w:val="32"/>
              </w:rPr>
            </w:pPr>
          </w:p>
        </w:tc>
        <w:tc>
          <w:tcPr>
            <w:tcW w:w="2763" w:type="dxa"/>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连续停放时间(小时)</w:t>
            </w:r>
          </w:p>
        </w:tc>
        <w:tc>
          <w:tcPr>
            <w:tcW w:w="2895" w:type="dxa"/>
            <w:noWrap w:val="0"/>
            <w:vAlign w:val="top"/>
          </w:tcPr>
          <w:p>
            <w:pPr>
              <w:spacing w:line="520" w:lineRule="exact"/>
              <w:jc w:val="center"/>
              <w:rPr>
                <w:rFonts w:ascii="仿宋" w:hAnsi="仿宋" w:eastAsia="仿宋"/>
                <w:sz w:val="28"/>
                <w:szCs w:val="28"/>
              </w:rPr>
            </w:pPr>
            <w:r>
              <w:rPr>
                <w:rFonts w:hint="eastAsia" w:ascii="仿宋" w:hAnsi="仿宋" w:eastAsia="仿宋"/>
                <w:sz w:val="28"/>
                <w:szCs w:val="28"/>
              </w:rPr>
              <w:t>13</w:t>
            </w:r>
          </w:p>
        </w:tc>
        <w:tc>
          <w:tcPr>
            <w:tcW w:w="2611" w:type="dxa"/>
            <w:noWrap w:val="0"/>
            <w:vAlign w:val="top"/>
          </w:tcPr>
          <w:p>
            <w:pPr>
              <w:spacing w:line="520" w:lineRule="exact"/>
              <w:jc w:val="center"/>
              <w:rPr>
                <w:rFonts w:ascii="仿宋" w:hAnsi="仿宋" w:eastAsia="仿宋"/>
                <w:sz w:val="28"/>
                <w:szCs w:val="28"/>
              </w:rPr>
            </w:pPr>
            <w:r>
              <w:rPr>
                <w:rFonts w:hint="eastAsia" w:ascii="仿宋" w:hAnsi="仿宋" w:eastAsia="仿宋"/>
                <w:sz w:val="28"/>
                <w:szCs w:val="28"/>
              </w:rPr>
              <w:t>14</w:t>
            </w:r>
          </w:p>
        </w:tc>
        <w:tc>
          <w:tcPr>
            <w:tcW w:w="2630" w:type="dxa"/>
            <w:noWrap w:val="0"/>
            <w:vAlign w:val="top"/>
          </w:tcPr>
          <w:p>
            <w:pPr>
              <w:spacing w:line="520" w:lineRule="exact"/>
              <w:jc w:val="center"/>
              <w:rPr>
                <w:rFonts w:ascii="仿宋" w:hAnsi="仿宋" w:eastAsia="仿宋"/>
                <w:sz w:val="28"/>
                <w:szCs w:val="28"/>
              </w:rPr>
            </w:pPr>
            <w:r>
              <w:rPr>
                <w:rFonts w:hint="eastAsia" w:ascii="仿宋" w:hAnsi="仿宋" w:eastAsia="仿宋"/>
                <w:sz w:val="28"/>
                <w:szCs w:val="28"/>
              </w:rPr>
              <w:t>15</w:t>
            </w:r>
          </w:p>
        </w:tc>
        <w:tc>
          <w:tcPr>
            <w:tcW w:w="2611" w:type="dxa"/>
            <w:noWrap w:val="0"/>
            <w:vAlign w:val="top"/>
          </w:tcPr>
          <w:p>
            <w:pPr>
              <w:spacing w:line="520" w:lineRule="exact"/>
              <w:jc w:val="center"/>
              <w:rPr>
                <w:rFonts w:ascii="仿宋" w:hAnsi="仿宋" w:eastAsia="仿宋"/>
                <w:sz w:val="28"/>
                <w:szCs w:val="28"/>
              </w:rPr>
            </w:pPr>
            <w:r>
              <w:rPr>
                <w:rFonts w:hint="eastAsia" w:ascii="仿宋" w:hAnsi="仿宋" w:eastAsia="仿宋"/>
                <w:sz w:val="28"/>
                <w:szCs w:val="28"/>
              </w:rPr>
              <w:t>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12" w:type="dxa"/>
            <w:vMerge w:val="continue"/>
            <w:noWrap w:val="0"/>
            <w:vAlign w:val="center"/>
          </w:tcPr>
          <w:p>
            <w:pPr>
              <w:pStyle w:val="9"/>
              <w:autoSpaceDN w:val="0"/>
              <w:spacing w:line="380" w:lineRule="exact"/>
              <w:jc w:val="center"/>
              <w:textAlignment w:val="center"/>
              <w:rPr>
                <w:rFonts w:hint="eastAsia" w:ascii="仿宋" w:hAnsi="仿宋" w:eastAsia="仿宋"/>
                <w:color w:val="000000"/>
                <w:sz w:val="32"/>
              </w:rPr>
            </w:pPr>
          </w:p>
        </w:tc>
        <w:tc>
          <w:tcPr>
            <w:tcW w:w="2763" w:type="dxa"/>
            <w:noWrap w:val="0"/>
            <w:vAlign w:val="center"/>
          </w:tcPr>
          <w:p>
            <w:pPr>
              <w:pStyle w:val="9"/>
              <w:autoSpaceDN w:val="0"/>
              <w:spacing w:line="38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收费金额(元)</w:t>
            </w:r>
          </w:p>
        </w:tc>
        <w:tc>
          <w:tcPr>
            <w:tcW w:w="2895" w:type="dxa"/>
            <w:noWrap w:val="0"/>
            <w:vAlign w:val="top"/>
          </w:tcPr>
          <w:p>
            <w:pPr>
              <w:spacing w:line="52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5</w:t>
            </w:r>
          </w:p>
        </w:tc>
        <w:tc>
          <w:tcPr>
            <w:tcW w:w="2611" w:type="dxa"/>
            <w:noWrap w:val="0"/>
            <w:vAlign w:val="top"/>
          </w:tcPr>
          <w:p>
            <w:pPr>
              <w:spacing w:line="52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6</w:t>
            </w:r>
          </w:p>
        </w:tc>
        <w:tc>
          <w:tcPr>
            <w:tcW w:w="2630" w:type="dxa"/>
            <w:noWrap w:val="0"/>
            <w:vAlign w:val="top"/>
          </w:tcPr>
          <w:p>
            <w:pPr>
              <w:spacing w:line="52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7</w:t>
            </w:r>
          </w:p>
        </w:tc>
        <w:tc>
          <w:tcPr>
            <w:tcW w:w="2611" w:type="dxa"/>
            <w:noWrap w:val="0"/>
            <w:vAlign w:val="top"/>
          </w:tcPr>
          <w:p>
            <w:pPr>
              <w:spacing w:line="52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12" w:type="dxa"/>
            <w:vMerge w:val="continue"/>
            <w:noWrap w:val="0"/>
            <w:vAlign w:val="center"/>
          </w:tcPr>
          <w:p>
            <w:pPr>
              <w:pStyle w:val="9"/>
              <w:autoSpaceDN w:val="0"/>
              <w:spacing w:line="380" w:lineRule="exact"/>
              <w:jc w:val="center"/>
              <w:textAlignment w:val="center"/>
              <w:rPr>
                <w:rFonts w:hint="eastAsia" w:ascii="仿宋" w:hAnsi="仿宋" w:eastAsia="仿宋"/>
                <w:color w:val="000000"/>
                <w:sz w:val="32"/>
              </w:rPr>
            </w:pPr>
          </w:p>
        </w:tc>
        <w:tc>
          <w:tcPr>
            <w:tcW w:w="2763" w:type="dxa"/>
            <w:noWrap w:val="0"/>
            <w:vAlign w:val="center"/>
          </w:tcPr>
          <w:p>
            <w:pPr>
              <w:pStyle w:val="9"/>
              <w:autoSpaceDN w:val="0"/>
              <w:spacing w:line="380" w:lineRule="exact"/>
              <w:jc w:val="center"/>
              <w:textAlignment w:val="center"/>
              <w:rPr>
                <w:rFonts w:hint="eastAsia" w:ascii="仿宋" w:hAnsi="仿宋" w:eastAsia="仿宋"/>
                <w:color w:val="000000"/>
                <w:sz w:val="24"/>
              </w:rPr>
            </w:pPr>
            <w:r>
              <w:rPr>
                <w:rFonts w:hint="eastAsia" w:ascii="仿宋" w:hAnsi="仿宋" w:eastAsia="仿宋"/>
                <w:color w:val="000000"/>
                <w:sz w:val="28"/>
                <w:szCs w:val="28"/>
              </w:rPr>
              <w:t>备注</w:t>
            </w:r>
          </w:p>
        </w:tc>
        <w:tc>
          <w:tcPr>
            <w:tcW w:w="10747" w:type="dxa"/>
            <w:gridSpan w:val="4"/>
            <w:noWrap w:val="0"/>
            <w:vAlign w:val="top"/>
          </w:tcPr>
          <w:p>
            <w:pPr>
              <w:pStyle w:val="9"/>
              <w:autoSpaceDN w:val="0"/>
              <w:spacing w:line="380" w:lineRule="exact"/>
              <w:textAlignment w:val="center"/>
              <w:rPr>
                <w:rFonts w:hint="eastAsia" w:ascii="仿宋" w:hAnsi="仿宋" w:eastAsia="仿宋"/>
                <w:color w:val="000000"/>
                <w:sz w:val="24"/>
              </w:rPr>
            </w:pPr>
            <w:r>
              <w:rPr>
                <w:rFonts w:hint="eastAsia" w:ascii="仿宋" w:hAnsi="仿宋" w:eastAsia="仿宋"/>
                <w:sz w:val="24"/>
              </w:rPr>
              <w:t>1.临时停放时间以每小时为计时单位，不足1小时（含）按1小时计；</w:t>
            </w:r>
          </w:p>
          <w:p>
            <w:pPr>
              <w:pStyle w:val="9"/>
              <w:autoSpaceDN w:val="0"/>
              <w:spacing w:line="380" w:lineRule="exact"/>
              <w:textAlignment w:val="center"/>
              <w:rPr>
                <w:rFonts w:hint="eastAsia" w:ascii="仿宋" w:hAnsi="仿宋" w:eastAsia="仿宋"/>
                <w:sz w:val="24"/>
              </w:rPr>
            </w:pPr>
            <w:r>
              <w:rPr>
                <w:rFonts w:hint="eastAsia" w:ascii="仿宋" w:hAnsi="仿宋" w:eastAsia="仿宋"/>
                <w:sz w:val="24"/>
              </w:rPr>
              <w:t>2.连续停放时间超24小时的，在前24小时的收费基础上，每增加1小时加收1元，12小时限价为8元。</w:t>
            </w:r>
          </w:p>
        </w:tc>
      </w:tr>
    </w:tbl>
    <w:p>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备注：</w:t>
      </w:r>
    </w:p>
    <w:p>
      <w:pPr>
        <w:widowControl/>
        <w:spacing w:line="4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1.汽车月票收费标准一年内调整幅度不得超过原实际收费标准的10%（含），最终调价不得超过最高限价。</w:t>
      </w:r>
    </w:p>
    <w:p>
      <w:pPr>
        <w:widowControl/>
        <w:spacing w:line="4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2.室内（地下停车）类别划分：同时符合停车场</w:t>
      </w:r>
      <w:r>
        <w:rPr>
          <w:rFonts w:hint="eastAsia" w:ascii="仿宋" w:hAnsi="仿宋" w:eastAsia="仿宋" w:cs="宋体"/>
          <w:color w:val="auto"/>
          <w:kern w:val="0"/>
          <w:sz w:val="32"/>
          <w:szCs w:val="32"/>
        </w:rPr>
        <w:t>地面为地坪漆面(或同等质地及以上)、监控、智能IC卡控制条件的为一类；</w:t>
      </w:r>
      <w:r>
        <w:rPr>
          <w:rFonts w:hint="eastAsia" w:ascii="仿宋" w:hAnsi="仿宋" w:eastAsia="仿宋" w:cs="宋体"/>
          <w:color w:val="auto"/>
          <w:kern w:val="0"/>
          <w:sz w:val="32"/>
          <w:szCs w:val="32"/>
          <w:lang w:eastAsia="zh-CN"/>
        </w:rPr>
        <w:t>其余</w:t>
      </w:r>
      <w:r>
        <w:rPr>
          <w:rFonts w:hint="eastAsia" w:ascii="仿宋" w:hAnsi="仿宋" w:eastAsia="仿宋" w:cs="宋体"/>
          <w:color w:val="auto"/>
          <w:kern w:val="0"/>
          <w:sz w:val="32"/>
          <w:szCs w:val="32"/>
        </w:rPr>
        <w:t>为二类。</w:t>
      </w:r>
    </w:p>
    <w:p>
      <w:pPr>
        <w:pStyle w:val="9"/>
        <w:autoSpaceDN w:val="0"/>
        <w:spacing w:line="380" w:lineRule="exact"/>
        <w:ind w:firstLine="640" w:firstLineChars="200"/>
        <w:textAlignment w:val="center"/>
        <w:rPr>
          <w:rFonts w:hint="eastAsia" w:ascii="仿宋" w:hAnsi="仿宋" w:eastAsia="仿宋" w:cs="宋体"/>
          <w:color w:val="auto"/>
          <w:kern w:val="0"/>
          <w:sz w:val="32"/>
          <w:szCs w:val="32"/>
        </w:rPr>
      </w:pPr>
      <w:r>
        <w:rPr>
          <w:rFonts w:hint="eastAsia" w:ascii="仿宋" w:hAnsi="仿宋" w:eastAsia="仿宋"/>
          <w:color w:val="auto"/>
          <w:sz w:val="32"/>
          <w:szCs w:val="32"/>
        </w:rPr>
        <w:t>3．治安、消防、抢险、救护、环卫、特种车辆在小区内执行公务时停车免费；摩托车、电动车、自行车、汽车停放1小时内（含）不收费；</w:t>
      </w:r>
      <w:r>
        <w:rPr>
          <w:rFonts w:hint="eastAsia" w:ascii="仿宋" w:hAnsi="仿宋" w:eastAsia="仿宋" w:cs="宋体"/>
          <w:color w:val="auto"/>
          <w:kern w:val="0"/>
          <w:sz w:val="32"/>
          <w:szCs w:val="32"/>
        </w:rPr>
        <w:t>电动（汽）车充电有关费用按目录电价和转供电等有关政策执行。</w:t>
      </w:r>
    </w:p>
    <w:p>
      <w:pPr>
        <w:widowControl/>
        <w:spacing w:line="48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sz w:val="32"/>
          <w:szCs w:val="32"/>
        </w:rPr>
        <w:t>4.业主在自己拥有使用权的车位（库）内停车仅交纳车位（库）物业服务费。车位（库）物业服务费</w:t>
      </w:r>
      <w:r>
        <w:rPr>
          <w:rFonts w:hint="eastAsia" w:ascii="仿宋" w:hAnsi="仿宋" w:eastAsia="仿宋" w:cs="仿宋"/>
          <w:color w:val="auto"/>
          <w:sz w:val="32"/>
          <w:szCs w:val="32"/>
          <w:lang w:eastAsia="zh-CN"/>
        </w:rPr>
        <w:t>按数量计收，一类</w:t>
      </w:r>
      <w:r>
        <w:rPr>
          <w:rFonts w:hint="eastAsia" w:ascii="仿宋" w:hAnsi="仿宋" w:eastAsia="仿宋" w:cs="仿宋"/>
          <w:color w:val="auto"/>
          <w:sz w:val="32"/>
          <w:szCs w:val="32"/>
        </w:rPr>
        <w:t>最高不超过</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rPr>
        <w:t>元/月</w:t>
      </w:r>
      <w:r>
        <w:rPr>
          <w:rFonts w:hint="eastAsia" w:ascii="仿宋" w:hAnsi="仿宋" w:eastAsia="仿宋" w:cs="仿宋"/>
          <w:color w:val="auto"/>
          <w:sz w:val="32"/>
          <w:szCs w:val="32"/>
          <w:lang w:eastAsia="zh-CN"/>
        </w:rPr>
        <w:t>；二类最高不超过</w:t>
      </w:r>
      <w:r>
        <w:rPr>
          <w:rFonts w:hint="eastAsia" w:ascii="仿宋" w:hAnsi="仿宋" w:eastAsia="仿宋" w:cs="仿宋"/>
          <w:color w:val="auto"/>
          <w:sz w:val="32"/>
          <w:szCs w:val="32"/>
          <w:lang w:val="en-US" w:eastAsia="zh-CN"/>
        </w:rPr>
        <w:t>30元/月</w:t>
      </w:r>
      <w:r>
        <w:rPr>
          <w:rFonts w:hint="eastAsia" w:ascii="仿宋" w:hAnsi="仿宋" w:eastAsia="仿宋" w:cs="仿宋"/>
          <w:color w:val="auto"/>
          <w:sz w:val="32"/>
          <w:szCs w:val="32"/>
        </w:rPr>
        <w:t>。</w:t>
      </w:r>
    </w:p>
    <w:p>
      <w:pPr>
        <w:rPr>
          <w:rFonts w:hint="eastAsia" w:ascii="仿宋" w:hAnsi="仿宋" w:eastAsia="仿宋" w:cs="仿宋"/>
          <w:color w:val="auto"/>
          <w:sz w:val="32"/>
          <w:szCs w:val="32"/>
          <w:u w:val="none" w:color="auto"/>
          <w:shd w:val="clear" w:color="auto" w:fill="auto"/>
          <w:lang w:eastAsia="zh-CN"/>
        </w:rPr>
      </w:pPr>
    </w:p>
    <w:p>
      <w:pPr>
        <w:rPr>
          <w:rFonts w:hint="eastAsia" w:ascii="仿宋" w:hAnsi="仿宋" w:eastAsia="仿宋" w:cs="仿宋"/>
          <w:color w:val="auto"/>
          <w:sz w:val="32"/>
          <w:szCs w:val="32"/>
          <w:u w:val="none" w:color="auto"/>
          <w:shd w:val="clear" w:color="auto" w:fill="auto"/>
          <w:lang w:eastAsia="zh-CN"/>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embedRegular r:id="rId1" w:fontKey="{135B15D6-785D-437A-8A3E-F5B00FB63BAD}"/>
  </w:font>
  <w:font w:name="Cordia New">
    <w:panose1 w:val="020B0304020202020204"/>
    <w:charset w:val="00"/>
    <w:family w:val="swiss"/>
    <w:pitch w:val="default"/>
    <w:sig w:usb0="00000000" w:usb1="00000000" w:usb2="00000000" w:usb3="00000000" w:csb0="00000000" w:csb1="00000000"/>
    <w:embedRegular r:id="rId2" w:fontKey="{B8360616-796A-43BA-8D94-FF67A0A0E665}"/>
  </w:font>
  <w:font w:name="方正小标宋简体">
    <w:panose1 w:val="02000000000000000000"/>
    <w:charset w:val="86"/>
    <w:family w:val="auto"/>
    <w:pitch w:val="default"/>
    <w:sig w:usb0="00000001" w:usb1="08000000" w:usb2="00000000" w:usb3="00000000" w:csb0="00040000" w:csb1="00000000"/>
    <w:embedRegular r:id="rId3" w:fontKey="{728F56A7-AF6B-4EAA-874F-F7F97699DC69}"/>
  </w:font>
  <w:font w:name="仿宋">
    <w:panose1 w:val="02010609060101010101"/>
    <w:charset w:val="86"/>
    <w:family w:val="modern"/>
    <w:pitch w:val="default"/>
    <w:sig w:usb0="00000000" w:usb1="00000000" w:usb2="00000000" w:usb3="00000000" w:csb0="00000000" w:csb1="00000000"/>
    <w:embedRegular r:id="rId4" w:fontKey="{49C0FC83-B906-4A55-8E34-32D4AD9E9F26}"/>
  </w:font>
  <w:font w:name="方正仿宋_GB2312">
    <w:panose1 w:val="02000000000000000000"/>
    <w:charset w:val="86"/>
    <w:family w:val="auto"/>
    <w:pitch w:val="default"/>
    <w:sig w:usb0="A00002BF" w:usb1="184F6CFA" w:usb2="00000012" w:usb3="00000000" w:csb0="00040001" w:csb1="00000000"/>
    <w:embedRegular r:id="rId5" w:fontKey="{43D5898C-0E8D-4729-9F5B-313AAF3A7439}"/>
  </w:font>
  <w:font w:name="仿宋_GB2312">
    <w:panose1 w:val="02010609030101010101"/>
    <w:charset w:val="86"/>
    <w:family w:val="auto"/>
    <w:pitch w:val="default"/>
    <w:sig w:usb0="00000001" w:usb1="080E0000" w:usb2="00000000" w:usb3="00000000" w:csb0="00040000" w:csb1="00000000"/>
    <w:embedRegular r:id="rId6" w:fontKey="{58B3D2C3-48BA-462B-AB11-7E1537A1F872}"/>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0F3A4"/>
    <w:multiLevelType w:val="singleLevel"/>
    <w:tmpl w:val="6970F3A4"/>
    <w:lvl w:ilvl="0" w:tentative="0">
      <w:start w:val="1"/>
      <w:numFmt w:val="decimal"/>
      <w:lvlText w:val="%1."/>
      <w:lvlJc w:val="left"/>
      <w:pPr>
        <w:tabs>
          <w:tab w:val="left" w:pos="312"/>
        </w:tabs>
      </w:pPr>
    </w:lvl>
  </w:abstractNum>
  <w:abstractNum w:abstractNumId="1">
    <w:nsid w:val="76DDDCE5"/>
    <w:multiLevelType w:val="singleLevel"/>
    <w:tmpl w:val="76DDDCE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D4F47"/>
    <w:rsid w:val="0405615F"/>
    <w:rsid w:val="050D7AA6"/>
    <w:rsid w:val="05267421"/>
    <w:rsid w:val="096B69D7"/>
    <w:rsid w:val="09964B09"/>
    <w:rsid w:val="0B237794"/>
    <w:rsid w:val="0B8B2E42"/>
    <w:rsid w:val="0C4B638F"/>
    <w:rsid w:val="0CDE4882"/>
    <w:rsid w:val="0EA24AF8"/>
    <w:rsid w:val="0EBE6A19"/>
    <w:rsid w:val="10945516"/>
    <w:rsid w:val="12A243F7"/>
    <w:rsid w:val="13AD3F51"/>
    <w:rsid w:val="1534088B"/>
    <w:rsid w:val="18370897"/>
    <w:rsid w:val="18D75542"/>
    <w:rsid w:val="1A34374D"/>
    <w:rsid w:val="1AA44480"/>
    <w:rsid w:val="1DAC3BEE"/>
    <w:rsid w:val="1E27299B"/>
    <w:rsid w:val="1E5B60A4"/>
    <w:rsid w:val="1E9D2D33"/>
    <w:rsid w:val="1ED3788D"/>
    <w:rsid w:val="20667C4A"/>
    <w:rsid w:val="2129408D"/>
    <w:rsid w:val="22E16399"/>
    <w:rsid w:val="23F40A87"/>
    <w:rsid w:val="257E4E75"/>
    <w:rsid w:val="26750F95"/>
    <w:rsid w:val="26A979E9"/>
    <w:rsid w:val="28660EFE"/>
    <w:rsid w:val="29CA5A77"/>
    <w:rsid w:val="2A700B97"/>
    <w:rsid w:val="2B230B68"/>
    <w:rsid w:val="2B6E74BF"/>
    <w:rsid w:val="2BF82A97"/>
    <w:rsid w:val="2C723B56"/>
    <w:rsid w:val="2F2A2AC9"/>
    <w:rsid w:val="30BD206F"/>
    <w:rsid w:val="312D6AC1"/>
    <w:rsid w:val="31F93F56"/>
    <w:rsid w:val="328D1399"/>
    <w:rsid w:val="329E7538"/>
    <w:rsid w:val="32CA0310"/>
    <w:rsid w:val="33E97089"/>
    <w:rsid w:val="346537B7"/>
    <w:rsid w:val="35D728C6"/>
    <w:rsid w:val="3614553C"/>
    <w:rsid w:val="37004842"/>
    <w:rsid w:val="37C723A8"/>
    <w:rsid w:val="387033B1"/>
    <w:rsid w:val="390B3F48"/>
    <w:rsid w:val="3AB2757D"/>
    <w:rsid w:val="3C1572B6"/>
    <w:rsid w:val="3CA52F74"/>
    <w:rsid w:val="448D41F5"/>
    <w:rsid w:val="46CB5DF8"/>
    <w:rsid w:val="47897E9E"/>
    <w:rsid w:val="490416A2"/>
    <w:rsid w:val="49D826C1"/>
    <w:rsid w:val="4CEB7119"/>
    <w:rsid w:val="4D505480"/>
    <w:rsid w:val="4DCF2977"/>
    <w:rsid w:val="4E625442"/>
    <w:rsid w:val="4FD13DB3"/>
    <w:rsid w:val="53786647"/>
    <w:rsid w:val="5395212E"/>
    <w:rsid w:val="53BF5397"/>
    <w:rsid w:val="53C8139E"/>
    <w:rsid w:val="54BA69C3"/>
    <w:rsid w:val="55661633"/>
    <w:rsid w:val="56192222"/>
    <w:rsid w:val="56CE5EAA"/>
    <w:rsid w:val="583947FF"/>
    <w:rsid w:val="583F17F1"/>
    <w:rsid w:val="58A03A21"/>
    <w:rsid w:val="59D547F5"/>
    <w:rsid w:val="59D76A48"/>
    <w:rsid w:val="5A4263EE"/>
    <w:rsid w:val="5AC97660"/>
    <w:rsid w:val="5CF16EF5"/>
    <w:rsid w:val="5EF76095"/>
    <w:rsid w:val="5F177678"/>
    <w:rsid w:val="5F953523"/>
    <w:rsid w:val="641B050A"/>
    <w:rsid w:val="65C359C4"/>
    <w:rsid w:val="68DB5834"/>
    <w:rsid w:val="6A09612F"/>
    <w:rsid w:val="6FB670AE"/>
    <w:rsid w:val="717873F4"/>
    <w:rsid w:val="721A463B"/>
    <w:rsid w:val="72551B67"/>
    <w:rsid w:val="734D4F47"/>
    <w:rsid w:val="741A59F7"/>
    <w:rsid w:val="74F358F3"/>
    <w:rsid w:val="75C65B3D"/>
    <w:rsid w:val="79774825"/>
    <w:rsid w:val="7AB24414"/>
    <w:rsid w:val="7AE05751"/>
    <w:rsid w:val="7B7D4A26"/>
    <w:rsid w:val="7E506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ordia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2"/>
      <w:szCs w:val="2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2020-03-16T09:03:00Z</dcterms:created>
  <dc:creator>艾格</dc:creator>
  <cp:lastModifiedBy>Icy </cp:lastModifiedBy>
  <cp:lastPrinted>2020-11-26T09:00:00Z</cp:lastPrinted>
  <dcterms:modified xsi:type="dcterms:W3CDTF">2020-11-27T09:51:18Z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