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F8A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left"/>
        <w:textAlignment w:val="auto"/>
        <w:outlineLvl w:val="9"/>
        <w:rPr>
          <w:rFonts w:hint="eastAsia" w:ascii="方正小标宋简体" w:eastAsia="方正小标宋简体"/>
          <w:color w:val="auto"/>
          <w:sz w:val="64"/>
          <w:szCs w:val="64"/>
          <w:highlight w:val="none"/>
          <w:lang w:eastAsia="zh-CN"/>
        </w:rPr>
      </w:pPr>
      <w:bookmarkStart w:id="326" w:name="_GoBack"/>
      <w:bookmarkEnd w:id="326"/>
    </w:p>
    <w:p w14:paraId="0B5B24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rPr>
          <w:rFonts w:hint="eastAsia" w:ascii="方正小标宋简体" w:eastAsia="方正小标宋简体"/>
          <w:color w:val="auto"/>
          <w:sz w:val="64"/>
          <w:szCs w:val="64"/>
          <w:highlight w:val="none"/>
          <w:lang w:eastAsia="zh-CN"/>
        </w:rPr>
      </w:pPr>
    </w:p>
    <w:p w14:paraId="7670FA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center"/>
        <w:textAlignment w:val="auto"/>
        <w:rPr>
          <w:rFonts w:hint="eastAsia" w:ascii="方正小标宋简体" w:eastAsia="方正小标宋简体"/>
          <w:color w:val="auto"/>
          <w:sz w:val="64"/>
          <w:szCs w:val="64"/>
          <w:highlight w:val="none"/>
        </w:rPr>
      </w:pPr>
      <w:r>
        <w:rPr>
          <w:rFonts w:hint="eastAsia" w:ascii="方正小标宋简体" w:eastAsia="方正小标宋简体"/>
          <w:color w:val="auto"/>
          <w:sz w:val="64"/>
          <w:szCs w:val="64"/>
          <w:highlight w:val="none"/>
          <w:lang w:eastAsia="zh-CN"/>
        </w:rPr>
        <w:t>鹿寨县</w:t>
      </w:r>
      <w:r>
        <w:rPr>
          <w:rFonts w:hint="eastAsia" w:ascii="方正小标宋简体" w:eastAsia="方正小标宋简体"/>
          <w:color w:val="auto"/>
          <w:sz w:val="64"/>
          <w:szCs w:val="64"/>
          <w:highlight w:val="none"/>
        </w:rPr>
        <w:t>国民经济和社会发展</w:t>
      </w:r>
    </w:p>
    <w:p w14:paraId="38BD49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center"/>
        <w:textAlignment w:val="auto"/>
        <w:outlineLvl w:val="9"/>
        <w:rPr>
          <w:rFonts w:hint="eastAsia" w:ascii="方正小标宋简体" w:eastAsia="方正小标宋简体"/>
          <w:color w:val="auto"/>
          <w:sz w:val="64"/>
          <w:szCs w:val="64"/>
          <w:highlight w:val="none"/>
          <w:lang w:eastAsia="zh-CN"/>
        </w:rPr>
      </w:pPr>
      <w:bookmarkStart w:id="0" w:name="_Toc20089"/>
      <w:bookmarkStart w:id="1" w:name="_Toc5904"/>
      <w:bookmarkStart w:id="2" w:name="_Toc18392"/>
      <w:bookmarkStart w:id="3" w:name="_Toc1148"/>
      <w:bookmarkStart w:id="4" w:name="_Toc13728"/>
      <w:bookmarkStart w:id="5" w:name="_Toc17241"/>
      <w:bookmarkStart w:id="6" w:name="_Toc11674"/>
      <w:bookmarkStart w:id="7" w:name="_Toc2888"/>
      <w:bookmarkStart w:id="8" w:name="_Toc32343"/>
      <w:bookmarkStart w:id="9" w:name="_Toc10287"/>
      <w:bookmarkStart w:id="10" w:name="_Toc10834"/>
      <w:bookmarkStart w:id="11" w:name="_Toc8494"/>
      <w:bookmarkStart w:id="12" w:name="_Toc18060"/>
      <w:bookmarkStart w:id="13" w:name="_Toc27316"/>
      <w:bookmarkStart w:id="14" w:name="_Toc8690"/>
      <w:bookmarkStart w:id="15" w:name="_Toc27266"/>
      <w:bookmarkStart w:id="16" w:name="_Toc25382"/>
      <w:bookmarkStart w:id="17" w:name="_Toc3190"/>
      <w:bookmarkStart w:id="18" w:name="_Toc16514"/>
      <w:bookmarkStart w:id="19" w:name="_Toc23346"/>
      <w:bookmarkStart w:id="20" w:name="_Toc8592"/>
      <w:bookmarkStart w:id="21" w:name="_Toc23672"/>
      <w:bookmarkStart w:id="22" w:name="_Toc29504"/>
      <w:bookmarkStart w:id="23" w:name="_Toc6184"/>
      <w:bookmarkStart w:id="24" w:name="_Toc25976"/>
      <w:bookmarkStart w:id="25" w:name="_Toc8325"/>
      <w:bookmarkStart w:id="26" w:name="_Toc4277"/>
      <w:bookmarkStart w:id="27" w:name="_Toc29356"/>
      <w:bookmarkStart w:id="28" w:name="_Toc24370"/>
      <w:bookmarkStart w:id="29" w:name="_Toc30636"/>
      <w:r>
        <w:rPr>
          <w:rFonts w:hint="eastAsia" w:ascii="方正小标宋简体" w:eastAsia="方正小标宋简体"/>
          <w:color w:val="auto"/>
          <w:sz w:val="64"/>
          <w:szCs w:val="64"/>
          <w:highlight w:val="none"/>
        </w:rPr>
        <w:t>第十</w:t>
      </w:r>
      <w:r>
        <w:rPr>
          <w:rFonts w:hint="eastAsia" w:ascii="方正小标宋简体" w:eastAsia="方正小标宋简体"/>
          <w:color w:val="auto"/>
          <w:sz w:val="64"/>
          <w:szCs w:val="64"/>
          <w:highlight w:val="none"/>
          <w:lang w:eastAsia="zh-CN"/>
        </w:rPr>
        <w:t>五</w:t>
      </w:r>
      <w:r>
        <w:rPr>
          <w:rFonts w:hint="eastAsia" w:ascii="方正小标宋简体" w:eastAsia="方正小标宋简体"/>
          <w:color w:val="auto"/>
          <w:sz w:val="64"/>
          <w:szCs w:val="64"/>
          <w:highlight w:val="none"/>
        </w:rPr>
        <w:t>个五年规划</w:t>
      </w:r>
      <w:r>
        <w:rPr>
          <w:rFonts w:hint="eastAsia" w:ascii="方正小标宋简体" w:eastAsia="方正小标宋简体"/>
          <w:color w:val="auto"/>
          <w:sz w:val="64"/>
          <w:szCs w:val="64"/>
          <w:highlight w:val="none"/>
          <w:lang w:eastAsia="zh-CN"/>
        </w:rPr>
        <w:t>纲要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CFE9E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highlight w:val="none"/>
        </w:rPr>
      </w:pPr>
    </w:p>
    <w:p w14:paraId="3626DD4F">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rPr>
          <w:rFonts w:hint="eastAsia" w:ascii="方正小标宋简体" w:eastAsia="方正小标宋简体"/>
          <w:color w:val="auto"/>
          <w:sz w:val="44"/>
          <w:szCs w:val="44"/>
          <w:highlight w:val="none"/>
        </w:rPr>
      </w:pPr>
    </w:p>
    <w:p w14:paraId="7B474C0F">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rPr>
          <w:rFonts w:hint="eastAsia" w:ascii="方正小标宋简体" w:eastAsia="方正小标宋简体"/>
          <w:color w:val="auto"/>
          <w:sz w:val="44"/>
          <w:szCs w:val="44"/>
          <w:highlight w:val="none"/>
        </w:rPr>
      </w:pPr>
    </w:p>
    <w:p w14:paraId="7A8B0466">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both"/>
        <w:rPr>
          <w:rFonts w:hint="eastAsia" w:ascii="方正小标宋简体" w:eastAsia="方正小标宋简体"/>
          <w:color w:val="auto"/>
          <w:sz w:val="44"/>
          <w:szCs w:val="44"/>
          <w:highlight w:val="none"/>
        </w:rPr>
      </w:pPr>
    </w:p>
    <w:p w14:paraId="62F15D66">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center"/>
        <w:rPr>
          <w:rFonts w:hint="default" w:ascii="Times New Roman" w:hAnsi="Times New Roman" w:eastAsia="仿宋_GB2312" w:cs="Times New Roman"/>
          <w:color w:val="auto"/>
          <w:sz w:val="32"/>
          <w:szCs w:val="32"/>
          <w:highlight w:val="none"/>
          <w:lang w:val="en-US" w:eastAsia="zh-CN"/>
        </w:rPr>
      </w:pPr>
    </w:p>
    <w:p w14:paraId="018A947E">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both"/>
        <w:rPr>
          <w:rFonts w:hint="default" w:ascii="Times New Roman" w:hAnsi="Times New Roman" w:eastAsia="仿宋_GB2312" w:cs="Times New Roman"/>
          <w:color w:val="auto"/>
          <w:sz w:val="32"/>
          <w:szCs w:val="32"/>
          <w:highlight w:val="none"/>
          <w:lang w:val="en-US" w:eastAsia="zh-CN"/>
        </w:rPr>
      </w:pPr>
    </w:p>
    <w:p w14:paraId="41C20ED1">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center"/>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202</w:t>
      </w:r>
      <w:r>
        <w:rPr>
          <w:rFonts w:hint="eastAsia"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lang w:val="en-US" w:eastAsia="zh-CN"/>
        </w:rPr>
        <w:t>年</w:t>
      </w:r>
      <w:r>
        <w:rPr>
          <w:rFonts w:hint="eastAsia"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lang w:val="en-US" w:eastAsia="zh-CN"/>
        </w:rPr>
        <w:t>月</w:t>
      </w:r>
    </w:p>
    <w:p w14:paraId="26B83583">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rPr>
          <w:rFonts w:hint="eastAsia" w:ascii="方正小标宋简体" w:eastAsia="方正小标宋简体"/>
          <w:color w:val="auto"/>
          <w:sz w:val="44"/>
          <w:szCs w:val="44"/>
          <w:highlight w:val="none"/>
        </w:rPr>
      </w:pPr>
    </w:p>
    <w:p w14:paraId="55EDEE6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after="0" w:line="240" w:lineRule="auto"/>
        <w:ind w:left="0" w:leftChars="0" w:right="0" w:rightChars="0" w:firstLine="0" w:firstLineChars="0"/>
        <w:jc w:val="center"/>
        <w:rPr>
          <w:rFonts w:ascii="宋体" w:hAnsi="宋体" w:eastAsia="宋体" w:cs="宋体"/>
          <w:color w:val="auto"/>
          <w:kern w:val="2"/>
          <w:sz w:val="21"/>
          <w:szCs w:val="22"/>
          <w:highlight w:val="none"/>
          <w:lang w:val="en-US" w:eastAsia="zh-CN" w:bidi="ar-SA"/>
        </w:rPr>
      </w:pPr>
    </w:p>
    <w:p w14:paraId="1BFCCB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firstLine="0" w:firstLineChars="0"/>
        <w:jc w:val="center"/>
        <w:textAlignment w:val="auto"/>
        <w:rPr>
          <w:rFonts w:ascii="宋体" w:hAnsi="宋体" w:eastAsia="宋体" w:cs="宋体"/>
          <w:color w:val="auto"/>
          <w:kern w:val="2"/>
          <w:sz w:val="21"/>
          <w:szCs w:val="22"/>
          <w:highlight w:val="none"/>
          <w:lang w:val="en-US" w:eastAsia="zh-CN" w:bidi="ar-SA"/>
        </w:rPr>
      </w:pPr>
    </w:p>
    <w:p w14:paraId="0F8C59AA">
      <w:pPr>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0" w:firstLineChars="0"/>
        <w:jc w:val="center"/>
        <w:textAlignment w:val="auto"/>
        <w:rPr>
          <w:rFonts w:hint="default" w:ascii="Times New Roman" w:hAnsi="Times New Roman" w:eastAsia="仿宋_GB2312" w:cs="Times New Roman"/>
          <w:color w:val="auto"/>
          <w:kern w:val="2"/>
          <w:sz w:val="28"/>
          <w:szCs w:val="28"/>
          <w:highlight w:val="none"/>
          <w:lang w:val="en-US" w:eastAsia="zh-CN" w:bidi="ar-SA"/>
        </w:rPr>
        <w:sectPr>
          <w:pgSz w:w="11906" w:h="16838"/>
          <w:pgMar w:top="2098" w:right="1474" w:bottom="1587" w:left="1587" w:header="851" w:footer="992" w:gutter="0"/>
          <w:pgNumType w:fmt="decimal" w:start="1"/>
          <w:cols w:space="0" w:num="1"/>
          <w:rtlGutter w:val="0"/>
          <w:docGrid w:type="lines" w:linePitch="312" w:charSpace="0"/>
        </w:sectPr>
      </w:pPr>
    </w:p>
    <w:sdt>
      <w:sdtPr>
        <w:rPr>
          <w:rFonts w:ascii="宋体" w:hAnsi="宋体" w:eastAsia="宋体" w:cs="宋体"/>
          <w:color w:val="auto"/>
          <w:kern w:val="2"/>
          <w:sz w:val="21"/>
          <w:szCs w:val="22"/>
          <w:highlight w:val="none"/>
          <w:lang w:val="en-US" w:eastAsia="zh-CN" w:bidi="ar-SA"/>
        </w:rPr>
        <w:id w:val="147463155"/>
        <w15:color w:val="DBDBDB"/>
        <w:docPartObj>
          <w:docPartGallery w:val="Table of Contents"/>
          <w:docPartUnique/>
        </w:docPartObj>
      </w:sdtPr>
      <w:sdtEndPr>
        <w:rPr>
          <w:rFonts w:ascii="Calibri" w:hAnsi="Calibri" w:eastAsia="宋体" w:cs="宋体"/>
          <w:color w:val="auto"/>
          <w:kern w:val="2"/>
          <w:sz w:val="21"/>
          <w:szCs w:val="22"/>
          <w:highlight w:val="none"/>
          <w:lang w:val="en-US" w:eastAsia="zh-CN" w:bidi="ar-SA"/>
        </w:rPr>
      </w:sdtEndPr>
      <w:sdtContent>
        <w:p w14:paraId="63B5E7F2">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pacing w:val="160"/>
              <w:kern w:val="0"/>
              <w:sz w:val="44"/>
              <w:szCs w:val="44"/>
              <w:highlight w:val="none"/>
              <w:fitText w:val="1200" w:id="1900241251"/>
            </w:rPr>
            <w:t>目</w:t>
          </w:r>
          <w:r>
            <w:rPr>
              <w:rFonts w:hint="eastAsia" w:ascii="方正小标宋简体" w:hAnsi="方正小标宋简体" w:eastAsia="方正小标宋简体" w:cs="方正小标宋简体"/>
              <w:color w:val="auto"/>
              <w:spacing w:val="0"/>
              <w:kern w:val="0"/>
              <w:sz w:val="44"/>
              <w:szCs w:val="44"/>
              <w:highlight w:val="none"/>
              <w:fitText w:val="1200" w:id="1900241251"/>
            </w:rPr>
            <w:t>录</w:t>
          </w:r>
        </w:p>
        <w:p w14:paraId="76B8957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TOC \o "1-2" \h \u </w:instrText>
          </w:r>
          <w:r>
            <w:rPr>
              <w:rFonts w:ascii="Times New Roman" w:hAnsi="Times New Roman"/>
              <w:color w:val="auto"/>
              <w:highlight w:val="none"/>
            </w:rPr>
            <w:fldChar w:fldCharType="separate"/>
          </w:r>
          <w:r>
            <w:rPr>
              <w:rFonts w:hint="eastAsia" w:ascii="Times New Roman" w:hAnsi="Times New Roman" w:eastAsia="仿宋_GB2312" w:cs="仿宋_GB2312"/>
              <w:b/>
              <w:bCs/>
              <w:color w:val="auto"/>
              <w:sz w:val="32"/>
              <w:szCs w:val="32"/>
              <w:highlight w:val="none"/>
            </w:rPr>
            <w:fldChar w:fldCharType="begin"/>
          </w:r>
          <w:r>
            <w:rPr>
              <w:rFonts w:hint="eastAsia" w:ascii="Times New Roman" w:hAnsi="Times New Roman" w:eastAsia="仿宋_GB2312" w:cs="仿宋_GB2312"/>
              <w:b/>
              <w:bCs/>
              <w:color w:val="auto"/>
              <w:sz w:val="32"/>
              <w:szCs w:val="32"/>
              <w:highlight w:val="none"/>
            </w:rPr>
            <w:instrText xml:space="preserve"> HYPERLINK \l _Toc12751 </w:instrText>
          </w:r>
          <w:r>
            <w:rPr>
              <w:rFonts w:hint="eastAsia" w:ascii="Times New Roman" w:hAnsi="Times New Roman" w:eastAsia="仿宋_GB2312" w:cs="仿宋_GB2312"/>
              <w:b/>
              <w:bCs/>
              <w:color w:val="auto"/>
              <w:sz w:val="32"/>
              <w:szCs w:val="32"/>
              <w:highlight w:val="none"/>
            </w:rPr>
            <w:fldChar w:fldCharType="separate"/>
          </w:r>
          <w:r>
            <w:rPr>
              <w:rFonts w:hint="eastAsia" w:ascii="Times New Roman" w:hAnsi="Times New Roman" w:eastAsia="仿宋_GB2312" w:cs="仿宋_GB2312"/>
              <w:b/>
              <w:bCs/>
              <w:color w:val="auto"/>
              <w:sz w:val="32"/>
              <w:szCs w:val="32"/>
              <w:highlight w:val="none"/>
              <w:lang w:eastAsia="zh-CN"/>
            </w:rPr>
            <w:t>前</w:t>
          </w:r>
          <w:r>
            <w:rPr>
              <w:rFonts w:hint="eastAsia" w:ascii="Times New Roman" w:hAnsi="Times New Roman" w:eastAsia="仿宋_GB2312" w:cs="仿宋_GB2312"/>
              <w:b/>
              <w:bCs/>
              <w:color w:val="auto"/>
              <w:sz w:val="32"/>
              <w:szCs w:val="32"/>
              <w:highlight w:val="none"/>
              <w:lang w:val="en-US" w:eastAsia="zh-CN"/>
            </w:rPr>
            <w:t xml:space="preserve">  </w:t>
          </w:r>
          <w:r>
            <w:rPr>
              <w:rFonts w:hint="eastAsia" w:ascii="Times New Roman" w:hAnsi="Times New Roman" w:eastAsia="仿宋_GB2312" w:cs="仿宋_GB2312"/>
              <w:b/>
              <w:bCs/>
              <w:color w:val="auto"/>
              <w:sz w:val="32"/>
              <w:szCs w:val="32"/>
              <w:highlight w:val="none"/>
              <w:lang w:eastAsia="zh-CN"/>
            </w:rPr>
            <w:t>言</w:t>
          </w:r>
          <w:r>
            <w:rPr>
              <w:rFonts w:hint="eastAsia" w:ascii="Times New Roman" w:hAnsi="Times New Roman" w:eastAsia="仿宋_GB2312" w:cs="仿宋_GB2312"/>
              <w:b w:val="0"/>
              <w:bCs w:val="0"/>
              <w:color w:val="auto"/>
              <w:sz w:val="32"/>
              <w:szCs w:val="32"/>
              <w:highlight w:val="none"/>
            </w:rPr>
            <w:tab/>
          </w:r>
          <w:r>
            <w:rPr>
              <w:rFonts w:hint="eastAsia" w:ascii="Times New Roman" w:hAnsi="Times New Roman" w:eastAsia="仿宋_GB2312" w:cs="仿宋_GB2312"/>
              <w:b w:val="0"/>
              <w:bCs w:val="0"/>
              <w:color w:val="auto"/>
              <w:sz w:val="32"/>
              <w:szCs w:val="32"/>
              <w:highlight w:val="none"/>
            </w:rPr>
            <w:fldChar w:fldCharType="begin"/>
          </w:r>
          <w:r>
            <w:rPr>
              <w:rFonts w:hint="eastAsia" w:ascii="Times New Roman" w:hAnsi="Times New Roman" w:eastAsia="仿宋_GB2312" w:cs="仿宋_GB2312"/>
              <w:b w:val="0"/>
              <w:bCs w:val="0"/>
              <w:color w:val="auto"/>
              <w:sz w:val="32"/>
              <w:szCs w:val="32"/>
              <w:highlight w:val="none"/>
            </w:rPr>
            <w:instrText xml:space="preserve"> PAGEREF _Toc12751 \h </w:instrText>
          </w:r>
          <w:r>
            <w:rPr>
              <w:rFonts w:hint="eastAsia" w:ascii="Times New Roman" w:hAnsi="Times New Roman" w:eastAsia="仿宋_GB2312" w:cs="仿宋_GB2312"/>
              <w:b w:val="0"/>
              <w:bCs w:val="0"/>
              <w:color w:val="auto"/>
              <w:sz w:val="32"/>
              <w:szCs w:val="32"/>
              <w:highlight w:val="none"/>
            </w:rPr>
            <w:fldChar w:fldCharType="separate"/>
          </w:r>
          <w:r>
            <w:rPr>
              <w:rFonts w:hint="eastAsia" w:ascii="Times New Roman" w:hAnsi="Times New Roman" w:eastAsia="仿宋_GB2312" w:cs="仿宋_GB2312"/>
              <w:b w:val="0"/>
              <w:bCs w:val="0"/>
              <w:color w:val="auto"/>
              <w:sz w:val="32"/>
              <w:szCs w:val="32"/>
              <w:highlight w:val="none"/>
            </w:rPr>
            <w:t>1</w:t>
          </w:r>
          <w:r>
            <w:rPr>
              <w:rFonts w:hint="eastAsia" w:ascii="Times New Roman" w:hAnsi="Times New Roman" w:eastAsia="仿宋_GB2312" w:cs="仿宋_GB2312"/>
              <w:b w:val="0"/>
              <w:bCs w:val="0"/>
              <w:color w:val="auto"/>
              <w:sz w:val="32"/>
              <w:szCs w:val="32"/>
              <w:highlight w:val="none"/>
            </w:rPr>
            <w:fldChar w:fldCharType="end"/>
          </w:r>
          <w:r>
            <w:rPr>
              <w:rFonts w:hint="eastAsia" w:ascii="Times New Roman" w:hAnsi="Times New Roman" w:eastAsia="仿宋_GB2312" w:cs="仿宋_GB2312"/>
              <w:b/>
              <w:bCs/>
              <w:color w:val="auto"/>
              <w:sz w:val="32"/>
              <w:szCs w:val="32"/>
              <w:highlight w:val="none"/>
            </w:rPr>
            <w:fldChar w:fldCharType="end"/>
          </w:r>
        </w:p>
        <w:p w14:paraId="2774933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_Toc30576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第一章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_Toc30576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B1A0F0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_Toc18514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kern w:val="44"/>
              <w:sz w:val="32"/>
              <w:szCs w:val="32"/>
              <w:highlight w:val="none"/>
              <w:lang w:val="en-US" w:eastAsia="zh-CN" w:bidi="ar-SA"/>
            </w:rPr>
            <w:t>厚植“十四五”发展优势  乘势而上谋新局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_Toc18514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6F1AA4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_Toc16843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第一</w:t>
          </w:r>
          <w:r>
            <w:rPr>
              <w:rFonts w:hint="eastAsia" w:ascii="Times New Roman" w:hAnsi="Times New Roman" w:eastAsia="仿宋_GB2312" w:cs="仿宋_GB2312"/>
              <w:bCs/>
              <w:color w:val="auto"/>
              <w:sz w:val="32"/>
              <w:szCs w:val="32"/>
              <w:highlight w:val="none"/>
              <w:lang w:eastAsia="zh-CN"/>
            </w:rPr>
            <w:t>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lang w:eastAsia="zh-CN"/>
            </w:rPr>
            <w:t>“十四五”时期经济社会发展</w:t>
          </w:r>
          <w:r>
            <w:rPr>
              <w:rFonts w:hint="eastAsia" w:ascii="Times New Roman" w:hAnsi="Times New Roman" w:eastAsia="仿宋_GB2312" w:cs="仿宋_GB2312"/>
              <w:bCs/>
              <w:color w:val="auto"/>
              <w:sz w:val="32"/>
              <w:szCs w:val="32"/>
              <w:highlight w:val="none"/>
              <w:lang w:val="en-US" w:eastAsia="zh-CN"/>
            </w:rPr>
            <w:t>主要成就</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_Toc16843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3186DA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_Toc23732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 xml:space="preserve">第二节  </w:t>
          </w:r>
          <w:r>
            <w:rPr>
              <w:rFonts w:hint="eastAsia" w:ascii="Times New Roman" w:hAnsi="Times New Roman" w:eastAsia="仿宋_GB2312" w:cs="仿宋_GB2312"/>
              <w:bCs/>
              <w:color w:val="auto"/>
              <w:sz w:val="32"/>
              <w:szCs w:val="32"/>
              <w:highlight w:val="none"/>
            </w:rPr>
            <w:t>“十</w:t>
          </w:r>
          <w:r>
            <w:rPr>
              <w:rFonts w:hint="eastAsia" w:ascii="Times New Roman" w:hAnsi="Times New Roman" w:eastAsia="仿宋_GB2312" w:cs="仿宋_GB2312"/>
              <w:bCs/>
              <w:color w:val="auto"/>
              <w:sz w:val="32"/>
              <w:szCs w:val="32"/>
              <w:highlight w:val="none"/>
              <w:lang w:eastAsia="zh-CN"/>
            </w:rPr>
            <w:t>五</w:t>
          </w:r>
          <w:r>
            <w:rPr>
              <w:rFonts w:hint="eastAsia" w:ascii="Times New Roman" w:hAnsi="Times New Roman" w:eastAsia="仿宋_GB2312" w:cs="仿宋_GB2312"/>
              <w:bCs/>
              <w:color w:val="auto"/>
              <w:sz w:val="32"/>
              <w:szCs w:val="32"/>
              <w:highlight w:val="none"/>
            </w:rPr>
            <w:t>五”</w:t>
          </w:r>
          <w:r>
            <w:rPr>
              <w:rFonts w:hint="eastAsia" w:ascii="Times New Roman" w:hAnsi="Times New Roman" w:eastAsia="仿宋_GB2312" w:cs="仿宋_GB2312"/>
              <w:bCs/>
              <w:color w:val="auto"/>
              <w:sz w:val="32"/>
              <w:szCs w:val="32"/>
              <w:highlight w:val="none"/>
              <w:lang w:eastAsia="zh-CN"/>
            </w:rPr>
            <w:t>时期面临的发展机遇</w:t>
          </w:r>
          <w:r>
            <w:rPr>
              <w:rFonts w:hint="eastAsia" w:ascii="Times New Roman" w:hAnsi="Times New Roman" w:eastAsia="仿宋_GB2312" w:cs="仿宋_GB2312"/>
              <w:bCs/>
              <w:color w:val="auto"/>
              <w:sz w:val="32"/>
              <w:szCs w:val="32"/>
              <w:highlight w:val="none"/>
              <w:lang w:val="en-US" w:eastAsia="zh-CN"/>
            </w:rPr>
            <w:t>和挑战</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_Toc23732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44DF2A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_Toc21232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第二章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_Toc21232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F77179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_Toc17538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pacing w:val="0"/>
              <w:sz w:val="32"/>
              <w:szCs w:val="32"/>
              <w:highlight w:val="none"/>
            </w:rPr>
            <w:t>奋进“十五五”新征程</w:t>
          </w:r>
          <w:r>
            <w:rPr>
              <w:rFonts w:hint="eastAsia" w:ascii="Times New Roman" w:hAnsi="Times New Roman" w:eastAsia="仿宋_GB2312" w:cs="仿宋_GB2312"/>
              <w:b/>
              <w:bCs w:val="0"/>
              <w:color w:val="auto"/>
              <w:spacing w:val="0"/>
              <w:sz w:val="32"/>
              <w:szCs w:val="32"/>
              <w:highlight w:val="none"/>
              <w:lang w:val="en-US" w:eastAsia="zh-CN"/>
            </w:rPr>
            <w:t xml:space="preserve">  </w:t>
          </w:r>
          <w:r>
            <w:rPr>
              <w:rFonts w:hint="eastAsia" w:ascii="Times New Roman" w:hAnsi="Times New Roman" w:eastAsia="仿宋_GB2312" w:cs="仿宋_GB2312"/>
              <w:b/>
              <w:bCs w:val="0"/>
              <w:color w:val="auto"/>
              <w:spacing w:val="0"/>
              <w:sz w:val="32"/>
              <w:szCs w:val="32"/>
              <w:highlight w:val="none"/>
            </w:rPr>
            <w:t>谱写现代化建设新篇章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_Toc17538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4D721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_Toc14186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lang w:eastAsia="zh-CN"/>
            </w:rPr>
            <w:t>第一节</w:t>
          </w:r>
          <w:r>
            <w:rPr>
              <w:rFonts w:hint="eastAsia" w:ascii="Times New Roman" w:hAnsi="Times New Roman" w:eastAsia="仿宋_GB2312" w:cs="仿宋_GB2312"/>
              <w:bCs w:val="0"/>
              <w:color w:val="auto"/>
              <w:sz w:val="32"/>
              <w:szCs w:val="32"/>
              <w:highlight w:val="none"/>
              <w:lang w:val="en-US" w:eastAsia="zh-CN"/>
            </w:rPr>
            <w:t xml:space="preserve">  </w:t>
          </w:r>
          <w:r>
            <w:rPr>
              <w:rFonts w:hint="eastAsia" w:ascii="Times New Roman" w:hAnsi="Times New Roman" w:eastAsia="仿宋_GB2312" w:cs="仿宋_GB2312"/>
              <w:bCs w:val="0"/>
              <w:color w:val="auto"/>
              <w:sz w:val="32"/>
              <w:szCs w:val="32"/>
              <w:highlight w:val="none"/>
              <w:lang w:eastAsia="zh-CN"/>
            </w:rPr>
            <w:t>指导思想</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_Toc14186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F61A53C">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 xml:space="preserve">第二节  </w:t>
          </w:r>
          <w:r>
            <w:rPr>
              <w:rFonts w:hint="eastAsia" w:ascii="Times New Roman" w:hAnsi="Times New Roman" w:eastAsia="仿宋_GB2312" w:cs="仿宋_GB2312"/>
              <w:bCs/>
              <w:color w:val="auto"/>
              <w:sz w:val="32"/>
              <w:szCs w:val="32"/>
              <w:highlight w:val="none"/>
              <w:lang w:eastAsia="zh-CN"/>
            </w:rPr>
            <w:t>基本要求</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304623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_Toc17806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战略</w:t>
          </w:r>
          <w:r>
            <w:rPr>
              <w:rFonts w:hint="eastAsia" w:ascii="Times New Roman" w:hAnsi="Times New Roman" w:eastAsia="仿宋_GB2312" w:cs="仿宋_GB2312"/>
              <w:bCs/>
              <w:color w:val="auto"/>
              <w:sz w:val="32"/>
              <w:szCs w:val="32"/>
              <w:highlight w:val="none"/>
            </w:rPr>
            <w:t>定位</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_Toc17806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40FC8F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_Toc12167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发展目标</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_Toc12167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3FAE92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_Toc14338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第三章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_Toc14338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436EDEC">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_Toc5389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发展新质生产力  做优做强先进制造业</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_Toc5389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27BB8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_Toc32105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第一节  统筹优化工业发展布局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_Toc32105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95C748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_Toc23825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构建现代化产业体系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_Toc23825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7BBDF6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_Toc28245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深化人工智能赋能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_Toc28245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71D633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_Toc31364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第四章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_Toc31364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8D8E6C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_Toc25590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强化科技创新引领  全面塑造发展新优势</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_Toc25590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89D3BE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_Toc21455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rPr>
            <w:t xml:space="preserve">第一节 </w:t>
          </w:r>
          <w:r>
            <w:rPr>
              <w:rFonts w:hint="eastAsia" w:ascii="Times New Roman" w:hAnsi="Times New Roman" w:eastAsia="仿宋_GB2312" w:cs="仿宋_GB2312"/>
              <w:bCs w:val="0"/>
              <w:color w:val="auto"/>
              <w:sz w:val="32"/>
              <w:szCs w:val="32"/>
              <w:highlight w:val="none"/>
              <w:lang w:val="en-US" w:eastAsia="zh-CN"/>
            </w:rPr>
            <w:t xml:space="preserve"> </w:t>
          </w:r>
          <w:r>
            <w:rPr>
              <w:rFonts w:hint="eastAsia" w:ascii="Times New Roman" w:hAnsi="Times New Roman" w:eastAsia="仿宋_GB2312" w:cs="仿宋_GB2312"/>
              <w:bCs w:val="0"/>
              <w:color w:val="auto"/>
              <w:sz w:val="32"/>
              <w:szCs w:val="32"/>
              <w:highlight w:val="none"/>
            </w:rPr>
            <w:t>健全</w:t>
          </w:r>
          <w:r>
            <w:rPr>
              <w:rFonts w:hint="eastAsia" w:ascii="Times New Roman" w:hAnsi="Times New Roman" w:eastAsia="仿宋_GB2312" w:cs="仿宋_GB2312"/>
              <w:bCs w:val="0"/>
              <w:color w:val="auto"/>
              <w:sz w:val="32"/>
              <w:szCs w:val="32"/>
              <w:highlight w:val="none"/>
              <w:lang w:eastAsia="zh-CN"/>
            </w:rPr>
            <w:t>以</w:t>
          </w:r>
          <w:r>
            <w:rPr>
              <w:rFonts w:hint="eastAsia" w:ascii="Times New Roman" w:hAnsi="Times New Roman" w:eastAsia="仿宋_GB2312" w:cs="仿宋_GB2312"/>
              <w:bCs w:val="0"/>
              <w:color w:val="auto"/>
              <w:sz w:val="32"/>
              <w:szCs w:val="32"/>
              <w:highlight w:val="none"/>
            </w:rPr>
            <w:t>企业</w:t>
          </w:r>
          <w:r>
            <w:rPr>
              <w:rFonts w:hint="eastAsia" w:ascii="Times New Roman" w:hAnsi="Times New Roman" w:eastAsia="仿宋_GB2312" w:cs="仿宋_GB2312"/>
              <w:bCs w:val="0"/>
              <w:color w:val="auto"/>
              <w:sz w:val="32"/>
              <w:szCs w:val="32"/>
              <w:highlight w:val="none"/>
              <w:lang w:eastAsia="zh-CN"/>
            </w:rPr>
            <w:t>为</w:t>
          </w:r>
          <w:r>
            <w:rPr>
              <w:rFonts w:hint="eastAsia" w:ascii="Times New Roman" w:hAnsi="Times New Roman" w:eastAsia="仿宋_GB2312" w:cs="仿宋_GB2312"/>
              <w:bCs w:val="0"/>
              <w:color w:val="auto"/>
              <w:sz w:val="32"/>
              <w:szCs w:val="32"/>
              <w:highlight w:val="none"/>
            </w:rPr>
            <w:t>主</w:t>
          </w:r>
          <w:r>
            <w:rPr>
              <w:rFonts w:hint="eastAsia" w:ascii="Times New Roman" w:hAnsi="Times New Roman" w:eastAsia="仿宋_GB2312" w:cs="仿宋_GB2312"/>
              <w:bCs w:val="0"/>
              <w:color w:val="auto"/>
              <w:sz w:val="32"/>
              <w:szCs w:val="32"/>
              <w:highlight w:val="none"/>
              <w:lang w:eastAsia="zh-CN"/>
            </w:rPr>
            <w:t>体</w:t>
          </w:r>
          <w:r>
            <w:rPr>
              <w:rFonts w:hint="eastAsia" w:ascii="Times New Roman" w:hAnsi="Times New Roman" w:eastAsia="仿宋_GB2312" w:cs="仿宋_GB2312"/>
              <w:bCs w:val="0"/>
              <w:color w:val="auto"/>
              <w:sz w:val="32"/>
              <w:szCs w:val="32"/>
              <w:highlight w:val="none"/>
            </w:rPr>
            <w:t>的产业技术创新体系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_Toc21455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B5F689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_Toc15652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 xml:space="preserve">第二节 </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推动科技创新和产业创新深度融合</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_Toc15652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6578AE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_Toc24122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强化科技创新要素保障</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_Toc24122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70599FC">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_Toc3238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第五章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_Toc3238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6C0E4C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_Toc4485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加快现代服务业融合创新  增强经济发展动能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_Toc4485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B1737F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HYPERLINK \l _Toc17140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bCs/>
              <w:color w:val="auto"/>
              <w:sz w:val="32"/>
              <w:szCs w:val="32"/>
              <w:highlight w:val="none"/>
              <w:lang w:val="en-US" w:eastAsia="zh-CN"/>
            </w:rPr>
            <w:t>第一节  优化</w:t>
          </w:r>
          <w:r>
            <w:rPr>
              <w:rFonts w:hint="default" w:ascii="Times New Roman" w:hAnsi="Times New Roman" w:eastAsia="仿宋_GB2312" w:cs="Times New Roman"/>
              <w:bCs/>
              <w:color w:val="auto"/>
              <w:sz w:val="32"/>
              <w:szCs w:val="32"/>
              <w:highlight w:val="none"/>
              <w:lang w:val="zh-TW"/>
            </w:rPr>
            <w:t>现代服务业发展布局</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_Toc17140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48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14:paraId="6C7AFEE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_Toc23858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促进生产性服务业专业化发展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_Toc23858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11E6AB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_Toc30403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推动生活性服务业提质扩容</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_Toc30403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848BA89">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_Toc21855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积极培育消费新动能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_Toc21855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F3F909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_Toc19218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第六章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_Toc19218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C24118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_Toc15127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推动乡村全面振兴  加快农业农村现代化</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_Toc15127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DD3D43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_Toc9883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lang w:val="en-US" w:eastAsia="zh-CN" w:bidi="ar-SA"/>
            </w:rPr>
            <w:t xml:space="preserve">第一节  </w:t>
          </w:r>
          <w:r>
            <w:rPr>
              <w:rFonts w:hint="eastAsia" w:ascii="Times New Roman" w:hAnsi="Times New Roman" w:eastAsia="仿宋_GB2312" w:cs="仿宋_GB2312"/>
              <w:bCs w:val="0"/>
              <w:color w:val="auto"/>
              <w:sz w:val="32"/>
              <w:szCs w:val="32"/>
              <w:highlight w:val="none"/>
              <w:lang w:val="en-US" w:eastAsia="zh-CN"/>
            </w:rPr>
            <w:t>优化</w:t>
          </w:r>
          <w:r>
            <w:rPr>
              <w:rFonts w:hint="eastAsia" w:ascii="Times New Roman" w:hAnsi="Times New Roman" w:eastAsia="仿宋_GB2312" w:cs="仿宋_GB2312"/>
              <w:bCs w:val="0"/>
              <w:color w:val="auto"/>
              <w:sz w:val="32"/>
              <w:szCs w:val="32"/>
              <w:highlight w:val="none"/>
              <w:lang w:val="zh-TW"/>
            </w:rPr>
            <w:t>现代农业发展布局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_Toc9883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0D836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_Toc25733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推动农业现代化与全产业链发展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_Toc25733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91234B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_Toc20437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建设生态宜居和美乡村</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_Toc20437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65F62C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_Toc27506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加大强农惠农富农政策支持力度</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_Toc27506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D89E1F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_Toc23009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第七章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_Toc23009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0DB766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_Toc31983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pacing w:val="-20"/>
              <w:sz w:val="32"/>
              <w:szCs w:val="32"/>
              <w:highlight w:val="none"/>
              <w:lang w:val="en-US" w:eastAsia="zh-CN"/>
            </w:rPr>
            <w:t>推进以人为本的新型城镇化</w:t>
          </w:r>
          <w:r>
            <w:rPr>
              <w:rFonts w:hint="eastAsia" w:ascii="Times New Roman" w:hAnsi="Times New Roman" w:eastAsia="仿宋_GB2312" w:cs="仿宋_GB2312"/>
              <w:b/>
              <w:bCs w:val="0"/>
              <w:color w:val="auto"/>
              <w:sz w:val="32"/>
              <w:szCs w:val="32"/>
              <w:highlight w:val="none"/>
              <w:lang w:val="en-US" w:eastAsia="zh-CN"/>
            </w:rPr>
            <w:t xml:space="preserve">  促进城乡融合发展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_Toc31983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5587C3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_Toc29219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bidi="ar-SA"/>
            </w:rPr>
            <w:t>第一节  持续优化县域发展空间布局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_Toc29219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6F950E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_Toc15136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推进以县城为重要载体的城镇化建设</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_Toc15136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1A5BDF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_Toc23376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bidi="ar-SA"/>
            </w:rPr>
            <w:t>第三节  构建城乡一体化发展机制</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_Toc23376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4DFAA4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_Toc27259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第八章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_Toc27259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D1DB4D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pacing w:val="-11"/>
              <w:sz w:val="32"/>
              <w:szCs w:val="32"/>
              <w:highlight w:val="none"/>
              <w:lang w:val="en-US" w:eastAsia="zh-CN"/>
            </w:rPr>
            <w:t>构建现代化基础设施体系  筑牢县域发展硬支撑</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2F2D356">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_Toc11778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第一节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建设高效顺畅的现代流通体系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_Toc11778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7B3AD6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_Toc14737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第二节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完善安全集约的现代水利保障网络</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_Toc14737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195519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_Toc29244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构建清洁低碳安全高效的新型能源体系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_Toc29244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2A3D70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_Toc25846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系统推进新型基础设施建设</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_Toc25846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2E9569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_Toc25951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第九章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_Toc25951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7FC14E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_Toc2069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持续深化改革扩大开放  增强高质量发展动力</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_Toc2069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CF5BD1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_Toc1677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第一节  激发各类经营主体发展活力</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_Toc1677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9A92AE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_Toc8198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完善要素市场化配置体制机制</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_Toc8198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96082D3">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_Toc31465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深化区域协作与产业协同</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_Toc31465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7E0871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_Toc647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_Toc647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2FE057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_Toc14409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激发创新创造活力  促进文化繁荣发展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_Toc14409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73016D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_Toc12512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第一节</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强化</w:t>
          </w:r>
          <w:r>
            <w:rPr>
              <w:rFonts w:hint="eastAsia" w:ascii="Times New Roman" w:hAnsi="Times New Roman" w:eastAsia="仿宋_GB2312" w:cs="仿宋_GB2312"/>
              <w:color w:val="auto"/>
              <w:sz w:val="32"/>
              <w:szCs w:val="32"/>
              <w:highlight w:val="none"/>
              <w:lang w:val="en-US" w:eastAsia="zh-CN"/>
            </w:rPr>
            <w:t>价值</w:t>
          </w:r>
          <w:r>
            <w:rPr>
              <w:rFonts w:hint="eastAsia" w:ascii="Times New Roman" w:hAnsi="Times New Roman" w:eastAsia="仿宋_GB2312" w:cs="仿宋_GB2312"/>
              <w:color w:val="auto"/>
              <w:sz w:val="32"/>
              <w:szCs w:val="32"/>
              <w:highlight w:val="none"/>
            </w:rPr>
            <w:t>引领与精神文明建设</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_Toc12512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2B3377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_Toc14968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第二节</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提升</w:t>
          </w:r>
          <w:r>
            <w:rPr>
              <w:rFonts w:hint="eastAsia" w:ascii="Times New Roman" w:hAnsi="Times New Roman" w:eastAsia="仿宋_GB2312" w:cs="仿宋_GB2312"/>
              <w:color w:val="auto"/>
              <w:sz w:val="32"/>
              <w:szCs w:val="32"/>
              <w:highlight w:val="none"/>
              <w:lang w:val="en-US" w:eastAsia="zh-CN"/>
            </w:rPr>
            <w:t>公共</w:t>
          </w:r>
          <w:r>
            <w:rPr>
              <w:rFonts w:hint="eastAsia" w:ascii="Times New Roman" w:hAnsi="Times New Roman" w:eastAsia="仿宋_GB2312" w:cs="仿宋_GB2312"/>
              <w:color w:val="auto"/>
              <w:sz w:val="32"/>
              <w:szCs w:val="32"/>
              <w:highlight w:val="none"/>
            </w:rPr>
            <w:t>文化服务</w:t>
          </w:r>
          <w:r>
            <w:rPr>
              <w:rFonts w:hint="eastAsia" w:ascii="Times New Roman" w:hAnsi="Times New Roman" w:eastAsia="仿宋_GB2312" w:cs="仿宋_GB2312"/>
              <w:color w:val="auto"/>
              <w:sz w:val="32"/>
              <w:szCs w:val="32"/>
              <w:highlight w:val="none"/>
              <w:lang w:val="en-US" w:eastAsia="zh-CN"/>
            </w:rPr>
            <w:t>效能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_Toc14968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56A27C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_Toc16584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第三节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推动文体旅融合和业态创新</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_Toc16584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4C1F1C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_Toc3330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第十一章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_Toc3330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73AD82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_Toc29062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提升人民生活品质  推进社会治理现代化</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_Toc29062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32FF10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_Toc29777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第一节  办好人民满意</w:t>
          </w:r>
          <w:r>
            <w:rPr>
              <w:rFonts w:hint="eastAsia" w:ascii="Times New Roman" w:hAnsi="Times New Roman" w:eastAsia="仿宋_GB2312" w:cs="仿宋_GB2312"/>
              <w:bCs/>
              <w:color w:val="auto"/>
              <w:sz w:val="32"/>
              <w:szCs w:val="32"/>
              <w:highlight w:val="none"/>
              <w:lang w:val="zh-TW" w:eastAsia="zh-CN"/>
            </w:rPr>
            <w:t>的教育</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_Toc29777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A60FC89">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_Toc30485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 xml:space="preserve">第二节  </w:t>
          </w:r>
          <w:r>
            <w:rPr>
              <w:rFonts w:hint="eastAsia" w:ascii="Times New Roman" w:hAnsi="Times New Roman" w:eastAsia="仿宋_GB2312" w:cs="仿宋_GB2312"/>
              <w:bCs w:val="0"/>
              <w:color w:val="auto"/>
              <w:kern w:val="2"/>
              <w:sz w:val="32"/>
              <w:szCs w:val="32"/>
              <w:highlight w:val="none"/>
              <w:lang w:val="zh-TW" w:eastAsia="zh-CN" w:bidi="ar-SA"/>
            </w:rPr>
            <w:t>完善全方位全周期健康服务体系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_Toc30485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BBB862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_Toc14542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 xml:space="preserve">第三节  </w:t>
          </w:r>
          <w:r>
            <w:rPr>
              <w:rFonts w:hint="eastAsia" w:ascii="Times New Roman" w:hAnsi="Times New Roman" w:eastAsia="仿宋_GB2312" w:cs="仿宋_GB2312"/>
              <w:bCs w:val="0"/>
              <w:color w:val="auto"/>
              <w:kern w:val="2"/>
              <w:sz w:val="32"/>
              <w:szCs w:val="32"/>
              <w:highlight w:val="none"/>
              <w:lang w:val="zh-TW" w:eastAsia="zh-CN" w:bidi="ar-SA"/>
            </w:rPr>
            <w:t>促进人口</w:t>
          </w:r>
          <w:r>
            <w:rPr>
              <w:rFonts w:hint="eastAsia" w:ascii="Times New Roman" w:hAnsi="Times New Roman" w:eastAsia="仿宋_GB2312" w:cs="仿宋_GB2312"/>
              <w:bCs w:val="0"/>
              <w:color w:val="auto"/>
              <w:kern w:val="2"/>
              <w:sz w:val="32"/>
              <w:szCs w:val="32"/>
              <w:highlight w:val="none"/>
              <w:lang w:val="en-US" w:eastAsia="zh-CN" w:bidi="ar-SA"/>
            </w:rPr>
            <w:t>高质量</w:t>
          </w:r>
          <w:r>
            <w:rPr>
              <w:rFonts w:hint="eastAsia" w:ascii="Times New Roman" w:hAnsi="Times New Roman" w:eastAsia="仿宋_GB2312" w:cs="仿宋_GB2312"/>
              <w:bCs w:val="0"/>
              <w:color w:val="auto"/>
              <w:kern w:val="2"/>
              <w:sz w:val="32"/>
              <w:szCs w:val="32"/>
              <w:highlight w:val="none"/>
              <w:lang w:val="zh-TW" w:eastAsia="zh-CN" w:bidi="ar-SA"/>
            </w:rPr>
            <w:t>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_Toc14542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CED600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_Toc4935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zh-TW" w:eastAsia="zh-CN" w:bidi="ar-SA"/>
            </w:rPr>
            <w:t>第四节</w:t>
          </w:r>
          <w:r>
            <w:rPr>
              <w:rFonts w:hint="eastAsia" w:ascii="Times New Roman" w:hAnsi="Times New Roman" w:eastAsia="仿宋_GB2312" w:cs="仿宋_GB2312"/>
              <w:bCs w:val="0"/>
              <w:color w:val="auto"/>
              <w:kern w:val="2"/>
              <w:sz w:val="32"/>
              <w:szCs w:val="32"/>
              <w:highlight w:val="none"/>
              <w:lang w:val="en-US" w:eastAsia="zh-CN" w:bidi="ar-SA"/>
            </w:rPr>
            <w:t xml:space="preserve">  </w:t>
          </w:r>
          <w:r>
            <w:rPr>
              <w:rFonts w:hint="eastAsia" w:ascii="Times New Roman" w:hAnsi="Times New Roman" w:eastAsia="仿宋_GB2312" w:cs="仿宋_GB2312"/>
              <w:bCs w:val="0"/>
              <w:color w:val="auto"/>
              <w:kern w:val="2"/>
              <w:sz w:val="32"/>
              <w:szCs w:val="32"/>
              <w:highlight w:val="none"/>
              <w:lang w:val="zh-TW" w:eastAsia="zh-CN" w:bidi="ar-SA"/>
            </w:rPr>
            <w:t>健全多层次社会保障体系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_Toc4935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3A190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_Toc27613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第五节  持续提升民主法治建设水平</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_Toc27613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ABBDDA6">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_Toc5448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第六节  推进社会治理现代化</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_Toc5448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772D173">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_Toc32240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第十二章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_Toc32240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20F21B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_Toc23022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 xml:space="preserve">推动绿色低碳转型  </w:t>
          </w:r>
          <w:r>
            <w:rPr>
              <w:rFonts w:hint="eastAsia" w:ascii="Times New Roman" w:hAnsi="Times New Roman" w:eastAsia="仿宋_GB2312" w:cs="仿宋_GB2312"/>
              <w:b/>
              <w:bCs w:val="0"/>
              <w:color w:val="auto"/>
              <w:sz w:val="32"/>
              <w:szCs w:val="32"/>
              <w:highlight w:val="none"/>
            </w:rPr>
            <w:t>建设和谐共生美丽鹿寨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_Toc23022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DDBF88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_Toc30215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w:t>
          </w:r>
          <w:r>
            <w:rPr>
              <w:rFonts w:hint="eastAsia" w:ascii="Times New Roman" w:hAnsi="Times New Roman" w:eastAsia="仿宋_GB2312" w:cs="仿宋_GB2312"/>
              <w:bCs/>
              <w:color w:val="auto"/>
              <w:sz w:val="32"/>
              <w:szCs w:val="32"/>
              <w:highlight w:val="none"/>
              <w:lang w:val="en-US" w:eastAsia="zh-CN"/>
            </w:rPr>
            <w:t>一</w:t>
          </w:r>
          <w:r>
            <w:rPr>
              <w:rFonts w:hint="eastAsia" w:ascii="Times New Roman" w:hAnsi="Times New Roman" w:eastAsia="仿宋_GB2312" w:cs="仿宋_GB2312"/>
              <w:bCs/>
              <w:color w:val="auto"/>
              <w:sz w:val="32"/>
              <w:szCs w:val="32"/>
              <w:highlight w:val="none"/>
            </w:rPr>
            <w:t xml:space="preserve">节 </w:t>
          </w:r>
          <w:r>
            <w:rPr>
              <w:rFonts w:hint="eastAsia" w:ascii="Times New Roman" w:hAnsi="Times New Roman" w:eastAsia="仿宋_GB2312" w:cs="仿宋_GB2312"/>
              <w:bCs/>
              <w:color w:val="auto"/>
              <w:sz w:val="32"/>
              <w:szCs w:val="32"/>
              <w:highlight w:val="none"/>
              <w:lang w:val="en-US" w:eastAsia="zh-CN"/>
            </w:rPr>
            <w:t xml:space="preserve"> 提升生态环境质量</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_Toc30215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84FD80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_Toc31661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w:t>
          </w:r>
          <w:r>
            <w:rPr>
              <w:rFonts w:hint="eastAsia" w:ascii="Times New Roman" w:hAnsi="Times New Roman" w:eastAsia="仿宋_GB2312" w:cs="仿宋_GB2312"/>
              <w:bCs/>
              <w:color w:val="auto"/>
              <w:sz w:val="32"/>
              <w:szCs w:val="32"/>
              <w:highlight w:val="none"/>
              <w:lang w:val="en-US" w:eastAsia="zh-CN"/>
            </w:rPr>
            <w:t>二</w:t>
          </w:r>
          <w:r>
            <w:rPr>
              <w:rFonts w:hint="eastAsia" w:ascii="Times New Roman" w:hAnsi="Times New Roman" w:eastAsia="仿宋_GB2312" w:cs="仿宋_GB2312"/>
              <w:bCs/>
              <w:color w:val="auto"/>
              <w:sz w:val="32"/>
              <w:szCs w:val="32"/>
              <w:highlight w:val="none"/>
            </w:rPr>
            <w:t xml:space="preserve">节 </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筑牢生态安全屏障</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_Toc31661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B2CF6F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_Toc24151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rPr>
            <w:t xml:space="preserve">第三节 </w:t>
          </w:r>
          <w:r>
            <w:rPr>
              <w:rFonts w:hint="eastAsia" w:ascii="Times New Roman" w:hAnsi="Times New Roman" w:eastAsia="仿宋_GB2312" w:cs="仿宋_GB2312"/>
              <w:bCs w:val="0"/>
              <w:color w:val="auto"/>
              <w:sz w:val="32"/>
              <w:szCs w:val="32"/>
              <w:highlight w:val="none"/>
              <w:lang w:val="en-US" w:eastAsia="zh-CN"/>
            </w:rPr>
            <w:t xml:space="preserve"> </w:t>
          </w:r>
          <w:r>
            <w:rPr>
              <w:rFonts w:hint="eastAsia" w:ascii="Times New Roman" w:hAnsi="Times New Roman" w:eastAsia="仿宋_GB2312" w:cs="仿宋_GB2312"/>
              <w:bCs w:val="0"/>
              <w:color w:val="auto"/>
              <w:sz w:val="32"/>
              <w:szCs w:val="32"/>
              <w:highlight w:val="none"/>
            </w:rPr>
            <w:t>推动发展方式绿色低碳转型</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_Toc24151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599E23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_Toc5945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第十三章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_Toc5945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A1E9DC3">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_Toc22246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强化规划实施保障  护航发展蓝图落地</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_Toc22246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2F325C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_Toc29202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 xml:space="preserve">第一节  </w:t>
          </w:r>
          <w:r>
            <w:rPr>
              <w:rFonts w:hint="eastAsia" w:ascii="Times New Roman" w:hAnsi="Times New Roman" w:eastAsia="仿宋_GB2312" w:cs="仿宋_GB2312"/>
              <w:bCs/>
              <w:color w:val="auto"/>
              <w:sz w:val="32"/>
              <w:szCs w:val="32"/>
              <w:highlight w:val="none"/>
              <w:lang w:val="en-US" w:eastAsia="zh-CN"/>
            </w:rPr>
            <w:t>坚持党的全面领导</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_Toc29202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B4F06F9">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_Toc1639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完善规划实施机制</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_Toc1639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C6830A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_Toc31373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强化规划项目支撑</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_Toc31373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C0EF18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ascii="Times New Roman" w:hAnsi="Times New Roman"/>
              <w:color w:val="auto"/>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_Toc8860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加强规划监督评估</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_Toc8860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47FADA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val="0"/>
            <w:autoSpaceDN w:val="0"/>
            <w:bidi w:val="0"/>
            <w:adjustRightInd w:val="0"/>
            <w:snapToGrid w:val="0"/>
            <w:spacing w:line="520" w:lineRule="exact"/>
            <w:ind w:right="0" w:rightChars="0"/>
            <w:jc w:val="both"/>
            <w:textAlignment w:val="auto"/>
            <w:outlineLvl w:val="0"/>
            <w:rPr>
              <w:rFonts w:hint="eastAsia" w:ascii="方正小标宋简体" w:hAnsi="方正小标宋简体" w:eastAsia="方正小标宋简体" w:cs="方正小标宋简体"/>
              <w:b w:val="0"/>
              <w:bCs w:val="0"/>
              <w:color w:val="auto"/>
              <w:sz w:val="44"/>
              <w:szCs w:val="44"/>
              <w:highlight w:val="none"/>
              <w:lang w:eastAsia="zh-CN"/>
            </w:rPr>
            <w:sectPr>
              <w:footerReference r:id="rId5" w:type="default"/>
              <w:pgSz w:w="11906" w:h="16838"/>
              <w:pgMar w:top="2098" w:right="1474" w:bottom="1587" w:left="1587" w:header="851" w:footer="992" w:gutter="0"/>
              <w:pgNumType w:fmt="decimal"/>
              <w:cols w:space="0" w:num="1"/>
              <w:rtlGutter w:val="0"/>
              <w:docGrid w:type="lines" w:linePitch="312" w:charSpace="0"/>
            </w:sectPr>
          </w:pPr>
          <w:r>
            <w:rPr>
              <w:rFonts w:ascii="Times New Roman" w:hAnsi="Times New Roman"/>
              <w:color w:val="auto"/>
              <w:highlight w:val="none"/>
            </w:rPr>
            <w:fldChar w:fldCharType="end"/>
          </w:r>
        </w:p>
      </w:sdtContent>
    </w:sdt>
    <w:p w14:paraId="040F5BC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right="0" w:rightChars="0"/>
        <w:jc w:val="center"/>
        <w:textAlignment w:val="auto"/>
        <w:outlineLvl w:val="0"/>
        <w:rPr>
          <w:rFonts w:hint="eastAsia" w:ascii="方正小标宋简体" w:hAnsi="方正小标宋简体" w:eastAsia="方正小标宋简体" w:cs="方正小标宋简体"/>
          <w:b w:val="0"/>
          <w:bCs w:val="0"/>
          <w:color w:val="auto"/>
          <w:sz w:val="44"/>
          <w:szCs w:val="44"/>
          <w:highlight w:val="none"/>
          <w:lang w:eastAsia="zh-CN"/>
        </w:rPr>
      </w:pPr>
      <w:bookmarkStart w:id="30" w:name="_Toc12751"/>
      <w:r>
        <w:rPr>
          <w:rFonts w:hint="eastAsia" w:ascii="方正小标宋简体" w:hAnsi="方正小标宋简体" w:eastAsia="方正小标宋简体" w:cs="方正小标宋简体"/>
          <w:b w:val="0"/>
          <w:bCs w:val="0"/>
          <w:color w:val="auto"/>
          <w:sz w:val="44"/>
          <w:szCs w:val="44"/>
          <w:highlight w:val="none"/>
          <w:lang w:eastAsia="zh-CN"/>
        </w:rPr>
        <w:t>前</w:t>
      </w:r>
      <w:r>
        <w:rPr>
          <w:rFonts w:hint="eastAsia" w:ascii="方正小标宋简体" w:hAnsi="方正小标宋简体" w:eastAsia="方正小标宋简体" w:cs="方正小标宋简体"/>
          <w:b w:val="0"/>
          <w:bCs w:val="0"/>
          <w:color w:val="auto"/>
          <w:sz w:val="44"/>
          <w:szCs w:val="44"/>
          <w:highlight w:val="none"/>
          <w:lang w:val="en-US" w:eastAsia="zh-CN"/>
        </w:rPr>
        <w:t xml:space="preserve">  </w:t>
      </w:r>
      <w:r>
        <w:rPr>
          <w:rFonts w:hint="eastAsia" w:ascii="方正小标宋简体" w:hAnsi="方正小标宋简体" w:eastAsia="方正小标宋简体" w:cs="方正小标宋简体"/>
          <w:b w:val="0"/>
          <w:bCs w:val="0"/>
          <w:color w:val="auto"/>
          <w:sz w:val="44"/>
          <w:szCs w:val="44"/>
          <w:highlight w:val="none"/>
          <w:lang w:eastAsia="zh-CN"/>
        </w:rPr>
        <w:t>言</w:t>
      </w:r>
      <w:bookmarkEnd w:id="30"/>
    </w:p>
    <w:p w14:paraId="198ADEE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shd w:val="clear" w:color="auto" w:fill="auto"/>
        </w:rPr>
      </w:pPr>
    </w:p>
    <w:p w14:paraId="707638D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highlight w:val="none"/>
          <w:shd w:val="clear" w:color="auto" w:fill="auto"/>
          <w:lang w:eastAsia="zh-CN"/>
        </w:rPr>
      </w:pPr>
      <w:bookmarkStart w:id="31" w:name="_Toc28241"/>
      <w:bookmarkStart w:id="32" w:name="_Toc27951"/>
      <w:r>
        <w:rPr>
          <w:rFonts w:hint="eastAsia" w:ascii="仿宋_GB2312" w:hAnsi="仿宋_GB2312" w:eastAsia="仿宋_GB2312" w:cs="仿宋_GB2312"/>
          <w:color w:val="auto"/>
          <w:sz w:val="32"/>
          <w:szCs w:val="32"/>
          <w:highlight w:val="none"/>
          <w:shd w:val="clear" w:color="auto" w:fill="auto"/>
        </w:rPr>
        <w:t>“十四五”</w:t>
      </w:r>
      <w:r>
        <w:rPr>
          <w:rFonts w:hint="eastAsia" w:ascii="仿宋_GB2312" w:hAnsi="仿宋_GB2312" w:eastAsia="仿宋_GB2312" w:cs="仿宋_GB2312"/>
          <w:color w:val="auto"/>
          <w:sz w:val="32"/>
          <w:szCs w:val="32"/>
          <w:highlight w:val="none"/>
          <w:shd w:val="clear" w:color="auto" w:fill="auto"/>
          <w:lang w:val="en-US" w:eastAsia="zh-CN"/>
        </w:rPr>
        <w:t>时期</w:t>
      </w:r>
      <w:r>
        <w:rPr>
          <w:rFonts w:hint="default" w:ascii="Times New Roman" w:hAnsi="Times New Roman" w:eastAsia="仿宋_GB2312" w:cs="Times New Roman"/>
          <w:color w:val="auto"/>
          <w:sz w:val="32"/>
          <w:szCs w:val="32"/>
          <w:highlight w:val="none"/>
          <w:shd w:val="clear" w:color="auto" w:fill="auto"/>
        </w:rPr>
        <w:t>，在党中央、国务院以及自治区、柳州市党委、政府的坚强领导下，鹿寨县委、</w:t>
      </w:r>
      <w:r>
        <w:rPr>
          <w:rFonts w:hint="eastAsia" w:ascii="Times New Roman" w:hAnsi="Times New Roman" w:eastAsia="仿宋_GB2312" w:cs="Times New Roman"/>
          <w:color w:val="auto"/>
          <w:sz w:val="32"/>
          <w:szCs w:val="32"/>
          <w:highlight w:val="none"/>
          <w:shd w:val="clear" w:color="auto" w:fill="auto"/>
          <w:lang w:eastAsia="zh-CN"/>
        </w:rPr>
        <w:t>县人民政府</w:t>
      </w:r>
      <w:r>
        <w:rPr>
          <w:rFonts w:hint="default" w:ascii="Times New Roman" w:hAnsi="Times New Roman" w:eastAsia="仿宋_GB2312" w:cs="Times New Roman"/>
          <w:color w:val="auto"/>
          <w:sz w:val="32"/>
          <w:szCs w:val="32"/>
          <w:highlight w:val="none"/>
          <w:shd w:val="clear" w:color="auto" w:fill="auto"/>
        </w:rPr>
        <w:t>团结带领全县广大干部群众，坚持以习近平新时代中国特色社会主义思想为指导，深入贯彻落实</w:t>
      </w:r>
      <w:r>
        <w:rPr>
          <w:rFonts w:hint="eastAsia" w:ascii="仿宋_GB2312" w:hAnsi="仿宋_GB2312" w:eastAsia="仿宋_GB2312" w:cs="仿宋_GB2312"/>
          <w:color w:val="auto"/>
          <w:sz w:val="32"/>
          <w:szCs w:val="32"/>
          <w:highlight w:val="none"/>
          <w:shd w:val="clear" w:color="auto" w:fill="auto"/>
        </w:rPr>
        <w:t>习近平总书记关于广西工作论述的重要要求，锚定“实业兴鹿，开放强鹿”战略目标，攻坚克难、砥砺前行，</w:t>
      </w:r>
      <w:r>
        <w:rPr>
          <w:rFonts w:hint="default" w:ascii="Times New Roman" w:hAnsi="Times New Roman" w:eastAsia="仿宋_GB2312" w:cs="Times New Roman"/>
          <w:color w:val="auto"/>
          <w:sz w:val="32"/>
          <w:szCs w:val="32"/>
          <w:highlight w:val="none"/>
          <w:shd w:val="clear" w:color="auto" w:fill="auto"/>
        </w:rPr>
        <w:t>统筹推进产业转型、城乡协调、生态保护与民生福祉，推动经济社会高质量发展迈上新台阶</w:t>
      </w:r>
      <w:r>
        <w:rPr>
          <w:rFonts w:hint="eastAsia" w:ascii="Times New Roman" w:hAnsi="Times New Roman" w:eastAsia="仿宋_GB2312" w:cs="Times New Roman"/>
          <w:color w:val="auto"/>
          <w:sz w:val="32"/>
          <w:szCs w:val="32"/>
          <w:highlight w:val="none"/>
          <w:shd w:val="clear" w:color="auto" w:fill="auto"/>
          <w:lang w:eastAsia="zh-CN"/>
        </w:rPr>
        <w:t>。</w:t>
      </w:r>
      <w:bookmarkEnd w:id="31"/>
      <w:bookmarkEnd w:id="32"/>
    </w:p>
    <w:p w14:paraId="16F5364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kern w:val="2"/>
          <w:sz w:val="32"/>
          <w:szCs w:val="32"/>
          <w:highlight w:val="none"/>
          <w:shd w:val="clear" w:color="auto" w:fill="auto"/>
          <w:lang w:val="en-US" w:eastAsia="zh-CN" w:bidi="ar-SA"/>
        </w:rPr>
      </w:pPr>
      <w:r>
        <w:rPr>
          <w:rFonts w:hint="default" w:ascii="仿宋_GB2312" w:hAnsi="仿宋_GB2312" w:eastAsia="仿宋_GB2312" w:cs="仿宋_GB2312"/>
          <w:color w:val="auto"/>
          <w:kern w:val="2"/>
          <w:sz w:val="32"/>
          <w:szCs w:val="32"/>
          <w:highlight w:val="none"/>
          <w:shd w:val="clear" w:color="auto" w:fill="auto"/>
          <w:lang w:val="en-US" w:eastAsia="zh-CN" w:bidi="ar-SA"/>
        </w:rPr>
        <w:t>“十五五”时期是基本实现社会主义现代化夯实基础、全面发力的关键时期，也是鹿寨县抢抓机遇</w:t>
      </w:r>
      <w:r>
        <w:rPr>
          <w:rFonts w:hint="eastAsia" w:ascii="仿宋_GB2312" w:hAnsi="仿宋_GB2312" w:eastAsia="仿宋_GB2312" w:cs="仿宋_GB2312"/>
          <w:color w:val="auto"/>
          <w:kern w:val="2"/>
          <w:sz w:val="32"/>
          <w:szCs w:val="32"/>
          <w:highlight w:val="none"/>
          <w:shd w:val="clear" w:color="auto" w:fill="auto"/>
          <w:lang w:val="en-US" w:eastAsia="zh-CN" w:bidi="ar-SA"/>
        </w:rPr>
        <w:t>、</w:t>
      </w:r>
      <w:r>
        <w:rPr>
          <w:rFonts w:hint="default" w:ascii="仿宋_GB2312" w:hAnsi="仿宋_GB2312" w:eastAsia="仿宋_GB2312" w:cs="仿宋_GB2312"/>
          <w:color w:val="auto"/>
          <w:kern w:val="2"/>
          <w:sz w:val="32"/>
          <w:szCs w:val="32"/>
          <w:highlight w:val="none"/>
          <w:shd w:val="clear" w:color="auto" w:fill="auto"/>
          <w:lang w:val="en-US" w:eastAsia="zh-CN" w:bidi="ar-SA"/>
        </w:rPr>
        <w:t>实现跨越发展的重要阶段。站在新的历史起点，</w:t>
      </w:r>
      <w:r>
        <w:rPr>
          <w:rFonts w:hint="eastAsia" w:ascii="仿宋_GB2312" w:hAnsi="仿宋_GB2312" w:eastAsia="仿宋_GB2312" w:cs="仿宋_GB2312"/>
          <w:color w:val="auto"/>
          <w:kern w:val="2"/>
          <w:sz w:val="32"/>
          <w:szCs w:val="32"/>
          <w:highlight w:val="none"/>
          <w:shd w:val="clear" w:color="auto" w:fill="auto"/>
          <w:lang w:val="en-US" w:eastAsia="zh-CN" w:bidi="ar-SA"/>
        </w:rPr>
        <w:t>鹿寨</w:t>
      </w:r>
      <w:r>
        <w:rPr>
          <w:rFonts w:hint="default" w:ascii="仿宋_GB2312" w:hAnsi="仿宋_GB2312" w:eastAsia="仿宋_GB2312" w:cs="仿宋_GB2312"/>
          <w:color w:val="auto"/>
          <w:kern w:val="2"/>
          <w:sz w:val="32"/>
          <w:szCs w:val="32"/>
          <w:highlight w:val="none"/>
          <w:shd w:val="clear" w:color="auto" w:fill="auto"/>
          <w:lang w:val="en-US" w:eastAsia="zh-CN" w:bidi="ar-SA"/>
        </w:rPr>
        <w:t>县将全面贯彻</w:t>
      </w:r>
      <w:r>
        <w:rPr>
          <w:rFonts w:hint="eastAsia" w:ascii="仿宋_GB2312" w:hAnsi="仿宋_GB2312" w:eastAsia="仿宋_GB2312" w:cs="仿宋_GB2312"/>
          <w:color w:val="auto"/>
          <w:kern w:val="2"/>
          <w:sz w:val="32"/>
          <w:szCs w:val="32"/>
          <w:highlight w:val="none"/>
          <w:shd w:val="clear" w:color="auto" w:fill="auto"/>
          <w:lang w:val="en-US" w:eastAsia="zh-CN" w:bidi="ar-SA"/>
        </w:rPr>
        <w:t>党的二十大和二十届历次全会精神</w:t>
      </w:r>
      <w:r>
        <w:rPr>
          <w:rFonts w:hint="default" w:ascii="仿宋_GB2312" w:hAnsi="仿宋_GB2312" w:eastAsia="仿宋_GB2312" w:cs="仿宋_GB2312"/>
          <w:color w:val="auto"/>
          <w:kern w:val="2"/>
          <w:sz w:val="32"/>
          <w:szCs w:val="32"/>
          <w:highlight w:val="none"/>
          <w:shd w:val="clear" w:color="auto" w:fill="auto"/>
          <w:lang w:val="en-US" w:eastAsia="zh-CN" w:bidi="ar-SA"/>
        </w:rPr>
        <w:t>，立足新发展阶段，完整准确全面贯彻新发展理念，抢抓自治区构建“一区两地一园一通道”战略机遇，深度融入柳州市“四大定位”发展格局，</w:t>
      </w:r>
      <w:r>
        <w:rPr>
          <w:rFonts w:hint="eastAsia" w:ascii="仿宋_GB2312" w:hAnsi="仿宋_GB2312" w:eastAsia="仿宋_GB2312" w:cs="仿宋_GB2312"/>
          <w:color w:val="auto"/>
          <w:kern w:val="2"/>
          <w:sz w:val="32"/>
          <w:szCs w:val="32"/>
          <w:highlight w:val="none"/>
          <w:shd w:val="clear" w:color="auto" w:fill="auto"/>
          <w:lang w:val="en-US" w:eastAsia="zh-CN" w:bidi="ar-SA"/>
        </w:rPr>
        <w:t>因地制宜发展新质生产力，</w:t>
      </w:r>
      <w:r>
        <w:rPr>
          <w:rFonts w:hint="default" w:ascii="仿宋_GB2312" w:hAnsi="仿宋_GB2312" w:eastAsia="仿宋_GB2312" w:cs="仿宋_GB2312"/>
          <w:color w:val="auto"/>
          <w:kern w:val="2"/>
          <w:sz w:val="32"/>
          <w:szCs w:val="32"/>
          <w:highlight w:val="none"/>
          <w:shd w:val="clear" w:color="auto" w:fill="auto"/>
          <w:lang w:val="en-US" w:eastAsia="zh-CN" w:bidi="ar-SA"/>
        </w:rPr>
        <w:t>推动经济</w:t>
      </w:r>
      <w:r>
        <w:rPr>
          <w:rFonts w:hint="eastAsia" w:ascii="仿宋_GB2312" w:hAnsi="仿宋_GB2312" w:eastAsia="仿宋_GB2312" w:cs="仿宋_GB2312"/>
          <w:color w:val="auto"/>
          <w:kern w:val="2"/>
          <w:sz w:val="32"/>
          <w:szCs w:val="32"/>
          <w:highlight w:val="none"/>
          <w:shd w:val="clear" w:color="auto" w:fill="auto"/>
          <w:lang w:val="en-US" w:eastAsia="zh-CN" w:bidi="ar-SA"/>
        </w:rPr>
        <w:t>发展</w:t>
      </w:r>
      <w:r>
        <w:rPr>
          <w:rFonts w:hint="default" w:ascii="仿宋_GB2312" w:hAnsi="仿宋_GB2312" w:eastAsia="仿宋_GB2312" w:cs="仿宋_GB2312"/>
          <w:color w:val="auto"/>
          <w:kern w:val="2"/>
          <w:sz w:val="32"/>
          <w:szCs w:val="32"/>
          <w:highlight w:val="none"/>
          <w:shd w:val="clear" w:color="auto" w:fill="auto"/>
          <w:lang w:val="en-US" w:eastAsia="zh-CN" w:bidi="ar-SA"/>
        </w:rPr>
        <w:t>实现质的有效提升和量的合理增长，奋力</w:t>
      </w:r>
      <w:r>
        <w:rPr>
          <w:rFonts w:hint="eastAsia" w:ascii="仿宋_GB2312" w:hAnsi="仿宋_GB2312" w:eastAsia="仿宋_GB2312" w:cs="仿宋_GB2312"/>
          <w:color w:val="auto"/>
          <w:kern w:val="2"/>
          <w:sz w:val="32"/>
          <w:szCs w:val="32"/>
          <w:highlight w:val="none"/>
          <w:shd w:val="clear" w:color="auto" w:fill="auto"/>
          <w:lang w:val="en-US" w:eastAsia="zh-CN" w:bidi="ar-SA"/>
        </w:rPr>
        <w:t>书</w:t>
      </w:r>
      <w:r>
        <w:rPr>
          <w:rFonts w:hint="default" w:ascii="仿宋_GB2312" w:hAnsi="仿宋_GB2312" w:eastAsia="仿宋_GB2312" w:cs="仿宋_GB2312"/>
          <w:color w:val="auto"/>
          <w:kern w:val="2"/>
          <w:sz w:val="32"/>
          <w:szCs w:val="32"/>
          <w:highlight w:val="none"/>
          <w:shd w:val="clear" w:color="auto" w:fill="auto"/>
          <w:lang w:val="en-US" w:eastAsia="zh-CN" w:bidi="ar-SA"/>
        </w:rPr>
        <w:t>写中国式现代化鹿寨</w:t>
      </w:r>
      <w:r>
        <w:rPr>
          <w:rFonts w:hint="eastAsia" w:ascii="仿宋_GB2312" w:hAnsi="仿宋_GB2312" w:eastAsia="仿宋_GB2312" w:cs="仿宋_GB2312"/>
          <w:color w:val="auto"/>
          <w:kern w:val="2"/>
          <w:sz w:val="32"/>
          <w:szCs w:val="32"/>
          <w:highlight w:val="none"/>
          <w:shd w:val="clear" w:color="auto" w:fill="auto"/>
          <w:lang w:val="en-US" w:eastAsia="zh-CN" w:bidi="ar-SA"/>
        </w:rPr>
        <w:t>实践新</w:t>
      </w:r>
      <w:r>
        <w:rPr>
          <w:rFonts w:hint="default" w:ascii="仿宋_GB2312" w:hAnsi="仿宋_GB2312" w:eastAsia="仿宋_GB2312" w:cs="仿宋_GB2312"/>
          <w:color w:val="auto"/>
          <w:kern w:val="2"/>
          <w:sz w:val="32"/>
          <w:szCs w:val="32"/>
          <w:highlight w:val="none"/>
          <w:shd w:val="clear" w:color="auto" w:fill="auto"/>
          <w:lang w:val="en-US" w:eastAsia="zh-CN" w:bidi="ar-SA"/>
        </w:rPr>
        <w:t>篇章</w:t>
      </w:r>
      <w:r>
        <w:rPr>
          <w:rFonts w:hint="eastAsia" w:ascii="仿宋_GB2312" w:hAnsi="仿宋_GB2312" w:eastAsia="仿宋_GB2312" w:cs="仿宋_GB2312"/>
          <w:color w:val="auto"/>
          <w:kern w:val="2"/>
          <w:sz w:val="32"/>
          <w:szCs w:val="32"/>
          <w:highlight w:val="none"/>
          <w:shd w:val="clear" w:color="auto" w:fill="auto"/>
          <w:lang w:val="en-US" w:eastAsia="zh-CN" w:bidi="ar-SA"/>
        </w:rPr>
        <w:t>，</w:t>
      </w:r>
      <w:r>
        <w:rPr>
          <w:rFonts w:hint="default" w:ascii="仿宋_GB2312" w:hAnsi="仿宋_GB2312" w:eastAsia="仿宋_GB2312" w:cs="仿宋_GB2312"/>
          <w:color w:val="auto"/>
          <w:kern w:val="2"/>
          <w:sz w:val="32"/>
          <w:szCs w:val="32"/>
          <w:highlight w:val="none"/>
          <w:shd w:val="clear" w:color="auto" w:fill="auto"/>
          <w:lang w:val="en-US" w:eastAsia="zh-CN" w:bidi="ar-SA"/>
        </w:rPr>
        <w:t>确保与全国同步基本实现社会主义现代化取得决定性进展。</w:t>
      </w:r>
    </w:p>
    <w:p w14:paraId="7115DA2B">
      <w:pPr>
        <w:spacing w:line="560" w:lineRule="exact"/>
        <w:ind w:firstLine="640" w:firstLineChars="200"/>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default" w:ascii="Times New Roman" w:hAnsi="Times New Roman" w:eastAsia="仿宋_GB2312" w:cs="Times New Roman"/>
          <w:color w:val="auto"/>
          <w:kern w:val="2"/>
          <w:sz w:val="32"/>
          <w:szCs w:val="32"/>
          <w:highlight w:val="none"/>
          <w:shd w:val="clear" w:color="auto" w:fill="auto"/>
          <w:lang w:val="en-US" w:eastAsia="zh-CN" w:bidi="ar-SA"/>
        </w:rPr>
        <w:t>本规划纲要依据自治区、柳州</w:t>
      </w:r>
      <w:r>
        <w:rPr>
          <w:rFonts w:hint="eastAsia" w:ascii="仿宋_GB2312" w:hAnsi="仿宋_GB2312" w:eastAsia="仿宋_GB2312" w:cs="仿宋_GB2312"/>
          <w:color w:val="auto"/>
          <w:kern w:val="2"/>
          <w:sz w:val="32"/>
          <w:szCs w:val="32"/>
          <w:highlight w:val="none"/>
          <w:shd w:val="clear" w:color="auto" w:fill="auto"/>
          <w:lang w:val="en-US" w:eastAsia="zh-CN" w:bidi="ar-SA"/>
        </w:rPr>
        <w:t>市“十五五”</w:t>
      </w:r>
      <w:r>
        <w:rPr>
          <w:rFonts w:hint="default" w:ascii="Times New Roman" w:hAnsi="Times New Roman" w:eastAsia="仿宋_GB2312" w:cs="Times New Roman"/>
          <w:color w:val="auto"/>
          <w:kern w:val="2"/>
          <w:sz w:val="32"/>
          <w:szCs w:val="32"/>
          <w:highlight w:val="none"/>
          <w:shd w:val="clear" w:color="auto" w:fill="auto"/>
          <w:lang w:val="en-US" w:eastAsia="zh-CN" w:bidi="ar-SA"/>
        </w:rPr>
        <w:t>规划建议及《中共鹿寨县委员会关于制定鹿寨县国民经济和社会发展第十五个五年规划的建议》编制，</w:t>
      </w:r>
      <w:r>
        <w:rPr>
          <w:rFonts w:hint="eastAsia" w:ascii="Times New Roman" w:hAnsi="Times New Roman" w:eastAsia="仿宋_GB2312" w:cs="Times New Roman"/>
          <w:color w:val="auto"/>
          <w:kern w:val="2"/>
          <w:sz w:val="32"/>
          <w:szCs w:val="32"/>
          <w:highlight w:val="none"/>
          <w:shd w:val="clear" w:color="auto" w:fill="auto"/>
          <w:lang w:val="en-US" w:eastAsia="zh-CN" w:bidi="ar-SA"/>
        </w:rPr>
        <w:t>主要阐明</w:t>
      </w:r>
      <w:r>
        <w:rPr>
          <w:rFonts w:hint="eastAsia" w:ascii="仿宋_GB2312" w:hAnsi="仿宋_GB2312" w:eastAsia="仿宋_GB2312" w:cs="仿宋_GB2312"/>
          <w:color w:val="auto"/>
          <w:kern w:val="2"/>
          <w:sz w:val="32"/>
          <w:szCs w:val="32"/>
          <w:highlight w:val="none"/>
          <w:shd w:val="clear" w:color="auto" w:fill="auto"/>
          <w:lang w:val="en-US" w:eastAsia="zh-CN" w:bidi="ar-SA"/>
        </w:rPr>
        <w:t>“十五五”时</w:t>
      </w:r>
      <w:r>
        <w:rPr>
          <w:rFonts w:hint="default" w:ascii="Times New Roman" w:hAnsi="Times New Roman" w:eastAsia="仿宋_GB2312" w:cs="Times New Roman"/>
          <w:color w:val="auto"/>
          <w:kern w:val="2"/>
          <w:sz w:val="32"/>
          <w:szCs w:val="32"/>
          <w:highlight w:val="none"/>
          <w:shd w:val="clear" w:color="auto" w:fill="auto"/>
          <w:lang w:val="en-US" w:eastAsia="zh-CN" w:bidi="ar-SA"/>
        </w:rPr>
        <w:t>期</w:t>
      </w:r>
      <w:r>
        <w:rPr>
          <w:rFonts w:hint="eastAsia" w:ascii="Times New Roman" w:hAnsi="Times New Roman" w:eastAsia="仿宋_GB2312" w:cs="Times New Roman"/>
          <w:color w:val="auto"/>
          <w:kern w:val="2"/>
          <w:sz w:val="32"/>
          <w:szCs w:val="32"/>
          <w:highlight w:val="none"/>
          <w:shd w:val="clear" w:color="auto" w:fill="auto"/>
          <w:lang w:val="en-US" w:eastAsia="zh-CN" w:bidi="ar-SA"/>
        </w:rPr>
        <w:t>的</w:t>
      </w:r>
      <w:r>
        <w:rPr>
          <w:rFonts w:hint="default" w:ascii="Times New Roman" w:hAnsi="Times New Roman" w:eastAsia="仿宋_GB2312" w:cs="Times New Roman"/>
          <w:color w:val="auto"/>
          <w:kern w:val="2"/>
          <w:sz w:val="32"/>
          <w:szCs w:val="32"/>
          <w:highlight w:val="none"/>
          <w:shd w:val="clear" w:color="auto" w:fill="auto"/>
          <w:lang w:val="en-US" w:eastAsia="zh-CN" w:bidi="ar-SA"/>
        </w:rPr>
        <w:t>发展</w:t>
      </w:r>
      <w:r>
        <w:rPr>
          <w:rFonts w:hint="eastAsia" w:ascii="Times New Roman" w:hAnsi="Times New Roman" w:eastAsia="仿宋_GB2312" w:cs="Times New Roman"/>
          <w:color w:val="auto"/>
          <w:kern w:val="2"/>
          <w:sz w:val="32"/>
          <w:szCs w:val="32"/>
          <w:highlight w:val="none"/>
          <w:shd w:val="clear" w:color="auto" w:fill="auto"/>
          <w:lang w:val="en-US" w:eastAsia="zh-CN" w:bidi="ar-SA"/>
        </w:rPr>
        <w:t>思想</w:t>
      </w:r>
      <w:r>
        <w:rPr>
          <w:rFonts w:hint="default" w:ascii="Times New Roman" w:hAnsi="Times New Roman" w:eastAsia="仿宋_GB2312" w:cs="Times New Roman"/>
          <w:color w:val="auto"/>
          <w:kern w:val="2"/>
          <w:sz w:val="32"/>
          <w:szCs w:val="32"/>
          <w:highlight w:val="none"/>
          <w:shd w:val="clear" w:color="auto" w:fill="auto"/>
          <w:lang w:val="en-US" w:eastAsia="zh-CN" w:bidi="ar-SA"/>
        </w:rPr>
        <w:t>、</w:t>
      </w:r>
      <w:r>
        <w:rPr>
          <w:rFonts w:hint="eastAsia" w:ascii="Times New Roman" w:hAnsi="Times New Roman" w:eastAsia="仿宋_GB2312" w:cs="Times New Roman"/>
          <w:color w:val="auto"/>
          <w:kern w:val="2"/>
          <w:sz w:val="32"/>
          <w:szCs w:val="32"/>
          <w:highlight w:val="none"/>
          <w:shd w:val="clear" w:color="auto" w:fill="auto"/>
          <w:lang w:val="en-US" w:eastAsia="zh-CN" w:bidi="ar-SA"/>
        </w:rPr>
        <w:t>主攻方向、战略目标和</w:t>
      </w:r>
      <w:r>
        <w:rPr>
          <w:rFonts w:hint="default" w:ascii="Times New Roman" w:hAnsi="Times New Roman" w:eastAsia="仿宋_GB2312" w:cs="Times New Roman"/>
          <w:color w:val="auto"/>
          <w:kern w:val="2"/>
          <w:sz w:val="32"/>
          <w:szCs w:val="32"/>
          <w:highlight w:val="none"/>
          <w:shd w:val="clear" w:color="auto" w:fill="auto"/>
          <w:lang w:val="en-US" w:eastAsia="zh-CN" w:bidi="ar-SA"/>
        </w:rPr>
        <w:t>重点任务，是</w:t>
      </w:r>
      <w:r>
        <w:rPr>
          <w:rFonts w:hint="eastAsia" w:ascii="Times New Roman" w:hAnsi="Times New Roman" w:eastAsia="仿宋_GB2312" w:cs="Times New Roman"/>
          <w:color w:val="auto"/>
          <w:kern w:val="2"/>
          <w:sz w:val="32"/>
          <w:szCs w:val="32"/>
          <w:highlight w:val="none"/>
          <w:shd w:val="clear" w:color="auto" w:fill="auto"/>
          <w:lang w:val="en-US" w:eastAsia="zh-CN" w:bidi="ar-SA"/>
        </w:rPr>
        <w:t>引领全县</w:t>
      </w:r>
      <w:r>
        <w:rPr>
          <w:rFonts w:hint="default" w:ascii="Times New Roman" w:hAnsi="Times New Roman" w:eastAsia="仿宋_GB2312" w:cs="Times New Roman"/>
          <w:color w:val="auto"/>
          <w:kern w:val="2"/>
          <w:sz w:val="32"/>
          <w:szCs w:val="32"/>
          <w:highlight w:val="none"/>
          <w:shd w:val="clear" w:color="auto" w:fill="auto"/>
          <w:lang w:val="en-US" w:eastAsia="zh-CN" w:bidi="ar-SA"/>
        </w:rPr>
        <w:t>未来五年高质量发展与现代化建设的纲领</w:t>
      </w:r>
      <w:r>
        <w:rPr>
          <w:rFonts w:hint="eastAsia" w:ascii="Times New Roman" w:hAnsi="Times New Roman" w:eastAsia="仿宋_GB2312" w:cs="Times New Roman"/>
          <w:color w:val="auto"/>
          <w:kern w:val="2"/>
          <w:sz w:val="32"/>
          <w:szCs w:val="32"/>
          <w:highlight w:val="none"/>
          <w:shd w:val="clear" w:color="auto" w:fill="auto"/>
          <w:lang w:val="en-US" w:eastAsia="zh-CN" w:bidi="ar-SA"/>
        </w:rPr>
        <w:t>性文件</w:t>
      </w:r>
      <w:r>
        <w:rPr>
          <w:rFonts w:hint="default" w:ascii="Times New Roman" w:hAnsi="Times New Roman" w:eastAsia="仿宋_GB2312" w:cs="Times New Roman"/>
          <w:color w:val="auto"/>
          <w:kern w:val="2"/>
          <w:sz w:val="32"/>
          <w:szCs w:val="32"/>
          <w:highlight w:val="none"/>
          <w:shd w:val="clear" w:color="auto" w:fill="auto"/>
          <w:lang w:val="en-US" w:eastAsia="zh-CN" w:bidi="ar-SA"/>
        </w:rPr>
        <w:t>。</w:t>
      </w:r>
    </w:p>
    <w:p w14:paraId="3456E010">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9"/>
        <w:rPr>
          <w:rFonts w:hint="eastAsia" w:ascii="方正小标宋简体" w:hAnsi="方正小标宋简体" w:eastAsia="方正小标宋简体" w:cs="方正小标宋简体"/>
          <w:b w:val="0"/>
          <w:bCs/>
          <w:color w:val="auto"/>
          <w:sz w:val="44"/>
          <w:szCs w:val="44"/>
          <w:highlight w:val="none"/>
          <w:lang w:val="en-US" w:eastAsia="zh-CN"/>
        </w:rPr>
        <w:sectPr>
          <w:footerReference r:id="rId6" w:type="default"/>
          <w:pgSz w:w="11906" w:h="16838"/>
          <w:pgMar w:top="2098" w:right="1474" w:bottom="1587" w:left="1587" w:header="851" w:footer="992" w:gutter="0"/>
          <w:pgNumType w:fmt="decimal" w:start="1"/>
          <w:cols w:space="0" w:num="1"/>
          <w:rtlGutter w:val="0"/>
          <w:docGrid w:type="lines" w:linePitch="312" w:charSpace="0"/>
        </w:sectPr>
      </w:pPr>
      <w:bookmarkStart w:id="33" w:name="_Toc6457"/>
      <w:bookmarkStart w:id="34" w:name="_Toc20741"/>
      <w:bookmarkStart w:id="35" w:name="_Toc26884"/>
    </w:p>
    <w:p w14:paraId="3FD1F398">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z w:val="44"/>
          <w:szCs w:val="44"/>
          <w:highlight w:val="none"/>
          <w:lang w:val="en-US" w:eastAsia="zh-CN"/>
        </w:rPr>
      </w:pPr>
      <w:bookmarkStart w:id="36" w:name="_Toc30576"/>
      <w:bookmarkStart w:id="37" w:name="_Toc8609"/>
      <w:r>
        <w:rPr>
          <w:rFonts w:hint="eastAsia" w:ascii="方正小标宋简体" w:hAnsi="方正小标宋简体" w:eastAsia="方正小标宋简体" w:cs="方正小标宋简体"/>
          <w:b w:val="0"/>
          <w:bCs/>
          <w:color w:val="auto"/>
          <w:sz w:val="44"/>
          <w:szCs w:val="44"/>
          <w:highlight w:val="none"/>
          <w:lang w:val="en-US" w:eastAsia="zh-CN"/>
        </w:rPr>
        <w:t>第一章</w:t>
      </w:r>
      <w:bookmarkEnd w:id="33"/>
      <w:bookmarkEnd w:id="34"/>
      <w:bookmarkEnd w:id="35"/>
      <w:bookmarkEnd w:id="36"/>
      <w:bookmarkEnd w:id="37"/>
    </w:p>
    <w:p w14:paraId="3AD4D655">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kern w:val="44"/>
          <w:sz w:val="44"/>
          <w:szCs w:val="44"/>
          <w:highlight w:val="none"/>
          <w:lang w:val="en-US" w:eastAsia="zh-CN" w:bidi="ar-SA"/>
        </w:rPr>
      </w:pPr>
      <w:bookmarkStart w:id="38" w:name="_Toc12277"/>
      <w:bookmarkStart w:id="39" w:name="_Toc18514"/>
      <w:r>
        <w:rPr>
          <w:rFonts w:hint="default" w:ascii="方正小标宋简体" w:hAnsi="方正小标宋简体" w:eastAsia="方正小标宋简体" w:cs="方正小标宋简体"/>
          <w:b w:val="0"/>
          <w:bCs/>
          <w:color w:val="auto"/>
          <w:kern w:val="44"/>
          <w:sz w:val="44"/>
          <w:szCs w:val="44"/>
          <w:highlight w:val="none"/>
          <w:lang w:val="en-US" w:eastAsia="zh-CN" w:bidi="ar-SA"/>
        </w:rPr>
        <w:t>厚植“十四五”发展优势</w:t>
      </w:r>
      <w:r>
        <w:rPr>
          <w:rFonts w:hint="eastAsia" w:ascii="方正小标宋简体" w:hAnsi="方正小标宋简体" w:eastAsia="方正小标宋简体" w:cs="方正小标宋简体"/>
          <w:b w:val="0"/>
          <w:bCs/>
          <w:color w:val="auto"/>
          <w:kern w:val="44"/>
          <w:sz w:val="44"/>
          <w:szCs w:val="44"/>
          <w:highlight w:val="none"/>
          <w:lang w:val="en-US" w:eastAsia="zh-CN" w:bidi="ar-SA"/>
        </w:rPr>
        <w:t xml:space="preserve">  </w:t>
      </w:r>
      <w:r>
        <w:rPr>
          <w:rFonts w:hint="default" w:ascii="方正小标宋简体" w:hAnsi="方正小标宋简体" w:eastAsia="方正小标宋简体" w:cs="方正小标宋简体"/>
          <w:b w:val="0"/>
          <w:bCs/>
          <w:color w:val="auto"/>
          <w:kern w:val="44"/>
          <w:sz w:val="44"/>
          <w:szCs w:val="44"/>
          <w:highlight w:val="none"/>
          <w:lang w:val="en-US" w:eastAsia="zh-CN" w:bidi="ar-SA"/>
        </w:rPr>
        <w:t>乘势而上</w:t>
      </w:r>
      <w:r>
        <w:rPr>
          <w:rFonts w:hint="eastAsia" w:ascii="方正小标宋简体" w:hAnsi="方正小标宋简体" w:eastAsia="方正小标宋简体" w:cs="方正小标宋简体"/>
          <w:b w:val="0"/>
          <w:bCs/>
          <w:color w:val="auto"/>
          <w:kern w:val="44"/>
          <w:sz w:val="44"/>
          <w:szCs w:val="44"/>
          <w:highlight w:val="none"/>
          <w:lang w:val="en-US" w:eastAsia="zh-CN" w:bidi="ar-SA"/>
        </w:rPr>
        <w:t>谋</w:t>
      </w:r>
      <w:r>
        <w:rPr>
          <w:rFonts w:hint="default" w:ascii="方正小标宋简体" w:hAnsi="方正小标宋简体" w:eastAsia="方正小标宋简体" w:cs="方正小标宋简体"/>
          <w:b w:val="0"/>
          <w:bCs/>
          <w:color w:val="auto"/>
          <w:kern w:val="44"/>
          <w:sz w:val="44"/>
          <w:szCs w:val="44"/>
          <w:highlight w:val="none"/>
          <w:lang w:val="en-US" w:eastAsia="zh-CN" w:bidi="ar-SA"/>
        </w:rPr>
        <w:t>新局</w:t>
      </w:r>
      <w:bookmarkEnd w:id="38"/>
      <w:bookmarkEnd w:id="39"/>
    </w:p>
    <w:p w14:paraId="282F0732">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default"/>
          <w:b w:val="0"/>
          <w:bCs/>
          <w:color w:val="auto"/>
          <w:sz w:val="36"/>
          <w:szCs w:val="36"/>
          <w:highlight w:val="none"/>
          <w:lang w:eastAsia="zh-CN"/>
        </w:rPr>
      </w:pPr>
      <w:bookmarkStart w:id="40" w:name="_Toc270"/>
      <w:bookmarkStart w:id="41" w:name="_Toc14339"/>
      <w:bookmarkStart w:id="42" w:name="_Toc10528"/>
      <w:bookmarkStart w:id="43" w:name="_Toc22733"/>
      <w:bookmarkStart w:id="44" w:name="_Toc16843"/>
      <w:r>
        <w:rPr>
          <w:rFonts w:hint="eastAsia"/>
          <w:b w:val="0"/>
          <w:bCs/>
          <w:color w:val="auto"/>
          <w:sz w:val="36"/>
          <w:szCs w:val="36"/>
          <w:highlight w:val="none"/>
        </w:rPr>
        <w:t>第一</w:t>
      </w:r>
      <w:r>
        <w:rPr>
          <w:rFonts w:hint="eastAsia"/>
          <w:b w:val="0"/>
          <w:bCs/>
          <w:color w:val="auto"/>
          <w:sz w:val="36"/>
          <w:szCs w:val="36"/>
          <w:highlight w:val="none"/>
          <w:lang w:eastAsia="zh-CN"/>
        </w:rPr>
        <w:t>节</w:t>
      </w:r>
      <w:r>
        <w:rPr>
          <w:rFonts w:hint="eastAsia"/>
          <w:b w:val="0"/>
          <w:bCs/>
          <w:color w:val="auto"/>
          <w:sz w:val="36"/>
          <w:szCs w:val="36"/>
          <w:highlight w:val="none"/>
          <w:lang w:val="en-US" w:eastAsia="zh-CN"/>
        </w:rPr>
        <w:t xml:space="preserve">  </w:t>
      </w:r>
      <w:r>
        <w:rPr>
          <w:rFonts w:hint="eastAsia"/>
          <w:b w:val="0"/>
          <w:bCs/>
          <w:color w:val="auto"/>
          <w:sz w:val="36"/>
          <w:szCs w:val="36"/>
          <w:highlight w:val="none"/>
          <w:lang w:eastAsia="zh-CN"/>
        </w:rPr>
        <w:t>“十四五”时期</w:t>
      </w:r>
      <w:bookmarkEnd w:id="40"/>
      <w:r>
        <w:rPr>
          <w:rFonts w:hint="eastAsia"/>
          <w:b w:val="0"/>
          <w:bCs/>
          <w:color w:val="auto"/>
          <w:sz w:val="36"/>
          <w:szCs w:val="36"/>
          <w:highlight w:val="none"/>
          <w:lang w:eastAsia="zh-CN"/>
        </w:rPr>
        <w:t>经济社会发展</w:t>
      </w:r>
      <w:r>
        <w:rPr>
          <w:rFonts w:hint="eastAsia"/>
          <w:b w:val="0"/>
          <w:bCs/>
          <w:color w:val="auto"/>
          <w:sz w:val="36"/>
          <w:szCs w:val="36"/>
          <w:highlight w:val="none"/>
          <w:lang w:val="en-US" w:eastAsia="zh-CN"/>
        </w:rPr>
        <w:t>主要成就</w:t>
      </w:r>
      <w:bookmarkEnd w:id="41"/>
      <w:bookmarkEnd w:id="42"/>
      <w:bookmarkEnd w:id="43"/>
      <w:bookmarkEnd w:id="44"/>
    </w:p>
    <w:p w14:paraId="42785568">
      <w:pPr>
        <w:spacing w:line="560" w:lineRule="exact"/>
        <w:ind w:firstLine="640" w:firstLineChars="200"/>
        <w:rPr>
          <w:rFonts w:hint="default" w:ascii="Times New Roman" w:hAnsi="Times New Roman" w:eastAsia="仿宋_GB2312" w:cs="Times New Roman"/>
          <w:color w:val="auto"/>
          <w:sz w:val="32"/>
          <w:szCs w:val="32"/>
          <w:highlight w:val="none"/>
          <w:shd w:val="clear" w:color="auto" w:fill="auto"/>
        </w:rPr>
      </w:pPr>
      <w:bookmarkStart w:id="45" w:name="_Toc31100"/>
      <w:bookmarkStart w:id="46" w:name="_Toc28750"/>
      <w:r>
        <w:rPr>
          <w:rFonts w:hint="eastAsia" w:ascii="仿宋_GB2312" w:hAnsi="仿宋_GB2312" w:eastAsia="仿宋_GB2312" w:cs="仿宋_GB2312"/>
          <w:color w:val="auto"/>
          <w:sz w:val="32"/>
          <w:szCs w:val="32"/>
          <w:highlight w:val="none"/>
          <w:shd w:val="clear" w:color="auto" w:fill="auto"/>
        </w:rPr>
        <w:t>“十四五”</w:t>
      </w:r>
      <w:r>
        <w:rPr>
          <w:rFonts w:hint="default" w:ascii="Times New Roman" w:hAnsi="Times New Roman" w:eastAsia="仿宋_GB2312" w:cs="Times New Roman"/>
          <w:color w:val="auto"/>
          <w:sz w:val="32"/>
          <w:szCs w:val="32"/>
          <w:highlight w:val="none"/>
          <w:shd w:val="clear" w:color="auto" w:fill="auto"/>
        </w:rPr>
        <w:t>时期，是</w:t>
      </w:r>
      <w:r>
        <w:rPr>
          <w:rFonts w:hint="eastAsia" w:ascii="Times New Roman" w:hAnsi="Times New Roman" w:eastAsia="仿宋_GB2312" w:cs="Times New Roman"/>
          <w:color w:val="auto"/>
          <w:sz w:val="32"/>
          <w:szCs w:val="32"/>
          <w:highlight w:val="none"/>
          <w:shd w:val="clear" w:color="auto" w:fill="auto"/>
          <w:lang w:eastAsia="zh-CN"/>
        </w:rPr>
        <w:t>鹿寨</w:t>
      </w:r>
      <w:r>
        <w:rPr>
          <w:rFonts w:hint="default" w:ascii="Times New Roman" w:hAnsi="Times New Roman" w:eastAsia="仿宋_GB2312" w:cs="Times New Roman"/>
          <w:color w:val="auto"/>
          <w:sz w:val="32"/>
          <w:szCs w:val="32"/>
          <w:highlight w:val="none"/>
          <w:shd w:val="clear" w:color="auto" w:fill="auto"/>
        </w:rPr>
        <w:t>发展进程中极不平凡的五年。面对世纪疫情的严重冲击，我们迎难而上，有效应对一系列重大风险挑战，牢牢稳住了发展基本盘。五年来，鹿寨县坚持以习近平新时代中国特色社会主义思想为指导，全面贯彻党的二十大和二十届历次全会精神，深入贯彻落实习近平总书记关于广西工作论述的重要要求，以铸牢中华民族共同体意识为主线，锚</w:t>
      </w:r>
      <w:r>
        <w:rPr>
          <w:rFonts w:hint="eastAsia" w:ascii="仿宋_GB2312" w:hAnsi="仿宋_GB2312" w:eastAsia="仿宋_GB2312" w:cs="仿宋_GB2312"/>
          <w:color w:val="auto"/>
          <w:sz w:val="32"/>
          <w:szCs w:val="32"/>
          <w:highlight w:val="none"/>
          <w:shd w:val="clear" w:color="auto" w:fill="auto"/>
        </w:rPr>
        <w:t>定“实业兴鹿，开放强鹿”战略目标，围绕“创新驱动、转型升级、项目支撑、全面发展”</w:t>
      </w:r>
      <w:r>
        <w:rPr>
          <w:rFonts w:hint="eastAsia" w:ascii="仿宋_GB2312" w:hAnsi="仿宋_GB2312" w:eastAsia="仿宋_GB2312" w:cs="仿宋_GB2312"/>
          <w:color w:val="auto"/>
          <w:sz w:val="32"/>
          <w:szCs w:val="32"/>
          <w:highlight w:val="none"/>
          <w:shd w:val="clear" w:color="auto" w:fill="auto"/>
          <w:lang w:eastAsia="zh-CN"/>
        </w:rPr>
        <w:t>的</w:t>
      </w:r>
      <w:r>
        <w:rPr>
          <w:rFonts w:hint="eastAsia" w:ascii="仿宋_GB2312" w:hAnsi="仿宋_GB2312" w:eastAsia="仿宋_GB2312" w:cs="仿宋_GB2312"/>
          <w:color w:val="auto"/>
          <w:sz w:val="32"/>
          <w:szCs w:val="32"/>
          <w:highlight w:val="none"/>
          <w:shd w:val="clear" w:color="auto" w:fill="auto"/>
        </w:rPr>
        <w:t>总体思路</w:t>
      </w:r>
      <w:r>
        <w:rPr>
          <w:rFonts w:hint="default" w:ascii="Times New Roman" w:hAnsi="Times New Roman" w:eastAsia="仿宋_GB2312" w:cs="Times New Roman"/>
          <w:color w:val="auto"/>
          <w:sz w:val="32"/>
          <w:szCs w:val="32"/>
          <w:highlight w:val="none"/>
          <w:shd w:val="clear" w:color="auto" w:fill="auto"/>
        </w:rPr>
        <w:t>，完整、准确、全面贯彻新发展理念。特别是2023年以来，全县上下攻坚克难、砥砺奋进，全力推动经济社会发展</w:t>
      </w:r>
      <w:r>
        <w:rPr>
          <w:rFonts w:hint="eastAsia" w:ascii="Times New Roman" w:hAnsi="Times New Roman" w:eastAsia="仿宋_GB2312" w:cs="Times New Roman"/>
          <w:color w:val="auto"/>
          <w:sz w:val="32"/>
          <w:szCs w:val="32"/>
          <w:highlight w:val="none"/>
          <w:shd w:val="clear" w:color="auto" w:fill="auto"/>
          <w:lang w:eastAsia="zh-CN"/>
        </w:rPr>
        <w:t>重回正轨</w:t>
      </w:r>
      <w:r>
        <w:rPr>
          <w:rFonts w:hint="default"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shd w:val="clear" w:color="auto" w:fill="auto"/>
          <w:lang w:eastAsia="zh-CN"/>
        </w:rPr>
        <w:t>各项事业取得新成效，</w:t>
      </w:r>
      <w:r>
        <w:rPr>
          <w:rFonts w:hint="default" w:ascii="Times New Roman" w:hAnsi="Times New Roman" w:eastAsia="仿宋_GB2312" w:cs="Times New Roman"/>
          <w:color w:val="auto"/>
          <w:sz w:val="32"/>
          <w:szCs w:val="32"/>
          <w:highlight w:val="none"/>
          <w:shd w:val="clear" w:color="auto" w:fill="auto"/>
        </w:rPr>
        <w:t>为</w:t>
      </w:r>
      <w:r>
        <w:rPr>
          <w:rFonts w:hint="eastAsia" w:ascii="仿宋_GB2312" w:hAnsi="仿宋_GB2312" w:eastAsia="仿宋_GB2312" w:cs="仿宋_GB2312"/>
          <w:color w:val="auto"/>
          <w:sz w:val="32"/>
          <w:szCs w:val="32"/>
          <w:highlight w:val="none"/>
          <w:shd w:val="clear" w:color="auto" w:fill="auto"/>
        </w:rPr>
        <w:t>开启“十五五”发</w:t>
      </w:r>
      <w:r>
        <w:rPr>
          <w:rFonts w:hint="default" w:ascii="Times New Roman" w:hAnsi="Times New Roman" w:eastAsia="仿宋_GB2312" w:cs="Times New Roman"/>
          <w:color w:val="auto"/>
          <w:sz w:val="32"/>
          <w:szCs w:val="32"/>
          <w:highlight w:val="none"/>
          <w:shd w:val="clear" w:color="auto" w:fill="auto"/>
        </w:rPr>
        <w:t>展新征程奠定了坚实基础。主要成就体现在以下方面：</w:t>
      </w:r>
    </w:p>
    <w:bookmarkEnd w:id="45"/>
    <w:bookmarkEnd w:id="46"/>
    <w:p w14:paraId="43D6155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kern w:val="0"/>
          <w:sz w:val="32"/>
          <w:szCs w:val="32"/>
          <w:highlight w:val="none"/>
          <w:lang w:val="en-US" w:eastAsia="zh-CN"/>
        </w:rPr>
      </w:pPr>
      <w:bookmarkStart w:id="47" w:name="_Toc1748"/>
      <w:bookmarkStart w:id="48" w:name="_Toc23818"/>
      <w:r>
        <w:rPr>
          <w:rFonts w:hint="eastAsia" w:ascii="仿宋_GB2312" w:hAnsi="仿宋_GB2312" w:eastAsia="仿宋_GB2312" w:cs="仿宋_GB2312"/>
          <w:b/>
          <w:bCs w:val="0"/>
          <w:color w:val="auto"/>
          <w:kern w:val="0"/>
          <w:sz w:val="32"/>
          <w:szCs w:val="32"/>
          <w:highlight w:val="none"/>
          <w:lang w:val="en-US" w:eastAsia="zh-CN"/>
        </w:rPr>
        <w:t>综合实力迈上新台阶。</w:t>
      </w:r>
      <w:bookmarkEnd w:id="47"/>
      <w:bookmarkEnd w:id="48"/>
      <w:r>
        <w:rPr>
          <w:rFonts w:hint="eastAsia" w:ascii="Times New Roman" w:hAnsi="Times New Roman" w:eastAsia="仿宋_GB2312" w:cs="Times New Roman"/>
          <w:b w:val="0"/>
          <w:bCs/>
          <w:color w:val="auto"/>
          <w:kern w:val="0"/>
          <w:sz w:val="32"/>
          <w:szCs w:val="32"/>
          <w:highlight w:val="none"/>
          <w:lang w:val="en-US" w:eastAsia="zh-CN"/>
        </w:rPr>
        <w:t>全</w:t>
      </w:r>
      <w:r>
        <w:rPr>
          <w:rFonts w:hint="default" w:ascii="Times New Roman" w:hAnsi="Times New Roman" w:eastAsia="仿宋_GB2312" w:cs="Times New Roman"/>
          <w:b w:val="0"/>
          <w:bCs/>
          <w:color w:val="auto"/>
          <w:kern w:val="0"/>
          <w:sz w:val="32"/>
          <w:szCs w:val="32"/>
          <w:highlight w:val="none"/>
          <w:lang w:val="en-US" w:eastAsia="zh-CN"/>
        </w:rPr>
        <w:t>县地区生产总值</w:t>
      </w:r>
      <w:r>
        <w:rPr>
          <w:rFonts w:hint="eastAsia" w:ascii="Times New Roman" w:hAnsi="Times New Roman" w:eastAsia="仿宋_GB2312" w:cs="Times New Roman"/>
          <w:b w:val="0"/>
          <w:bCs/>
          <w:color w:val="auto"/>
          <w:kern w:val="0"/>
          <w:sz w:val="32"/>
          <w:szCs w:val="32"/>
          <w:highlight w:val="none"/>
          <w:lang w:val="en-US" w:eastAsia="zh-CN"/>
        </w:rPr>
        <w:t>逐年稳步提升，“十四五”期</w:t>
      </w:r>
      <w:r>
        <w:rPr>
          <w:rFonts w:hint="default" w:ascii="Times New Roman" w:hAnsi="Times New Roman" w:eastAsia="仿宋_GB2312" w:cs="Times New Roman"/>
          <w:b w:val="0"/>
          <w:bCs/>
          <w:color w:val="auto"/>
          <w:kern w:val="0"/>
          <w:sz w:val="32"/>
          <w:szCs w:val="32"/>
          <w:highlight w:val="none"/>
          <w:lang w:val="en-US" w:eastAsia="zh-CN"/>
        </w:rPr>
        <w:t>年均增长</w:t>
      </w:r>
      <w:r>
        <w:rPr>
          <w:rFonts w:hint="eastAsia" w:ascii="Times New Roman" w:hAnsi="Times New Roman" w:eastAsia="仿宋_GB2312" w:cs="Times New Roman"/>
          <w:b w:val="0"/>
          <w:bCs/>
          <w:color w:val="auto"/>
          <w:kern w:val="0"/>
          <w:sz w:val="32"/>
          <w:szCs w:val="32"/>
          <w:highlight w:val="none"/>
          <w:lang w:val="en-US" w:eastAsia="zh-CN"/>
        </w:rPr>
        <w:t>3.05</w:t>
      </w:r>
      <w:r>
        <w:rPr>
          <w:rFonts w:hint="default" w:ascii="Times New Roman" w:hAnsi="Times New Roman" w:eastAsia="仿宋_GB2312" w:cs="Times New Roman"/>
          <w:b w:val="0"/>
          <w:bCs/>
          <w:color w:val="auto"/>
          <w:kern w:val="0"/>
          <w:sz w:val="32"/>
          <w:szCs w:val="32"/>
          <w:highlight w:val="none"/>
          <w:lang w:val="en-US" w:eastAsia="zh-CN"/>
        </w:rPr>
        <w:t>%，社会消费品零售总额</w:t>
      </w:r>
      <w:r>
        <w:rPr>
          <w:rFonts w:hint="eastAsia" w:ascii="Times New Roman" w:hAnsi="Times New Roman" w:eastAsia="仿宋_GB2312" w:cs="Times New Roman"/>
          <w:b w:val="0"/>
          <w:bCs/>
          <w:color w:val="auto"/>
          <w:kern w:val="0"/>
          <w:sz w:val="32"/>
          <w:szCs w:val="32"/>
          <w:highlight w:val="none"/>
          <w:lang w:val="en-US" w:eastAsia="zh-CN"/>
        </w:rPr>
        <w:t>年均增长2.7%，</w:t>
      </w:r>
      <w:r>
        <w:rPr>
          <w:rFonts w:hint="default" w:ascii="Times New Roman" w:hAnsi="Times New Roman" w:eastAsia="仿宋_GB2312" w:cs="Times New Roman"/>
          <w:b w:val="0"/>
          <w:bCs/>
          <w:color w:val="auto"/>
          <w:kern w:val="0"/>
          <w:sz w:val="32"/>
          <w:szCs w:val="32"/>
          <w:highlight w:val="none"/>
          <w:lang w:val="en-US" w:eastAsia="zh-CN"/>
        </w:rPr>
        <w:t>城镇、农村居民人均可支配收入年均增长</w:t>
      </w:r>
      <w:r>
        <w:rPr>
          <w:rFonts w:hint="eastAsia" w:ascii="Times New Roman" w:hAnsi="Times New Roman" w:eastAsia="仿宋_GB2312" w:cs="Times New Roman"/>
          <w:b w:val="0"/>
          <w:bCs/>
          <w:color w:val="auto"/>
          <w:kern w:val="0"/>
          <w:sz w:val="32"/>
          <w:szCs w:val="32"/>
          <w:highlight w:val="none"/>
          <w:lang w:val="en-US" w:eastAsia="zh-CN"/>
        </w:rPr>
        <w:t>4.4</w:t>
      </w:r>
      <w:r>
        <w:rPr>
          <w:rFonts w:hint="default" w:ascii="Times New Roman" w:hAnsi="Times New Roman" w:eastAsia="仿宋_GB2312" w:cs="Times New Roman"/>
          <w:b w:val="0"/>
          <w:bCs/>
          <w:color w:val="auto"/>
          <w:kern w:val="0"/>
          <w:sz w:val="32"/>
          <w:szCs w:val="32"/>
          <w:highlight w:val="none"/>
          <w:lang w:val="en-US" w:eastAsia="zh-CN"/>
        </w:rPr>
        <w:t>%</w:t>
      </w:r>
      <w:r>
        <w:rPr>
          <w:rFonts w:hint="eastAsia" w:ascii="Times New Roman" w:hAnsi="Times New Roman" w:eastAsia="仿宋_GB2312" w:cs="Times New Roman"/>
          <w:b w:val="0"/>
          <w:bCs/>
          <w:color w:val="auto"/>
          <w:kern w:val="0"/>
          <w:sz w:val="32"/>
          <w:szCs w:val="32"/>
          <w:highlight w:val="none"/>
          <w:lang w:val="en-US" w:eastAsia="zh-CN"/>
        </w:rPr>
        <w:t>、</w:t>
      </w:r>
      <w:r>
        <w:rPr>
          <w:rFonts w:hint="default" w:ascii="Times New Roman" w:hAnsi="Times New Roman" w:eastAsia="仿宋_GB2312" w:cs="Times New Roman"/>
          <w:b w:val="0"/>
          <w:bCs/>
          <w:color w:val="auto"/>
          <w:kern w:val="0"/>
          <w:sz w:val="32"/>
          <w:szCs w:val="32"/>
          <w:highlight w:val="none"/>
          <w:lang w:val="en-US" w:eastAsia="zh-CN"/>
        </w:rPr>
        <w:t>7.</w:t>
      </w:r>
      <w:r>
        <w:rPr>
          <w:rFonts w:hint="eastAsia" w:ascii="Times New Roman" w:hAnsi="Times New Roman" w:eastAsia="仿宋_GB2312" w:cs="Times New Roman"/>
          <w:b w:val="0"/>
          <w:bCs/>
          <w:color w:val="auto"/>
          <w:kern w:val="0"/>
          <w:sz w:val="32"/>
          <w:szCs w:val="32"/>
          <w:highlight w:val="none"/>
          <w:lang w:val="en-US" w:eastAsia="zh-CN"/>
        </w:rPr>
        <w:t>5</w:t>
      </w:r>
      <w:r>
        <w:rPr>
          <w:rFonts w:hint="default" w:ascii="Times New Roman" w:hAnsi="Times New Roman" w:eastAsia="仿宋_GB2312" w:cs="Times New Roman"/>
          <w:b w:val="0"/>
          <w:bCs/>
          <w:color w:val="auto"/>
          <w:kern w:val="0"/>
          <w:sz w:val="32"/>
          <w:szCs w:val="32"/>
          <w:highlight w:val="none"/>
          <w:lang w:val="en-US" w:eastAsia="zh-CN"/>
        </w:rPr>
        <w:t>%</w:t>
      </w:r>
      <w:r>
        <w:rPr>
          <w:rFonts w:hint="eastAsia" w:ascii="Times New Roman" w:hAnsi="Times New Roman" w:eastAsia="仿宋_GB2312" w:cs="Times New Roman"/>
          <w:b w:val="0"/>
          <w:bCs/>
          <w:color w:val="auto"/>
          <w:kern w:val="0"/>
          <w:sz w:val="32"/>
          <w:szCs w:val="32"/>
          <w:highlight w:val="none"/>
          <w:lang w:val="en-US" w:eastAsia="zh-CN"/>
        </w:rPr>
        <w:t>。</w:t>
      </w:r>
      <w:r>
        <w:rPr>
          <w:rFonts w:hint="default" w:ascii="Times New Roman" w:hAnsi="Times New Roman" w:eastAsia="仿宋_GB2312" w:cs="Times New Roman"/>
          <w:b w:val="0"/>
          <w:bCs/>
          <w:color w:val="auto"/>
          <w:kern w:val="0"/>
          <w:sz w:val="32"/>
          <w:szCs w:val="32"/>
          <w:highlight w:val="none"/>
          <w:lang w:val="en-US" w:eastAsia="zh-CN"/>
        </w:rPr>
        <w:t>2025</w:t>
      </w:r>
      <w:r>
        <w:rPr>
          <w:rFonts w:hint="eastAsia" w:ascii="仿宋_GB2312" w:hAnsi="仿宋_GB2312" w:eastAsia="仿宋_GB2312" w:cs="仿宋_GB2312"/>
          <w:b w:val="0"/>
          <w:bCs/>
          <w:color w:val="auto"/>
          <w:kern w:val="0"/>
          <w:sz w:val="32"/>
          <w:szCs w:val="32"/>
          <w:highlight w:val="none"/>
          <w:lang w:val="en-US" w:eastAsia="zh-CN"/>
        </w:rPr>
        <w:t>年实现地区生产总值</w:t>
      </w:r>
      <w:r>
        <w:rPr>
          <w:rFonts w:hint="eastAsia" w:ascii="Times New Roman" w:hAnsi="Times New Roman" w:eastAsia="仿宋_GB2312" w:cs="仿宋_GB2312"/>
          <w:color w:val="auto"/>
          <w:kern w:val="2"/>
          <w:sz w:val="32"/>
          <w:szCs w:val="32"/>
          <w:highlight w:val="none"/>
          <w:u w:val="none"/>
          <w:lang w:val="en-US" w:eastAsia="zh-CN" w:bidi="ar"/>
        </w:rPr>
        <w:t>205.41亿元、增长5.0%，</w:t>
      </w:r>
      <w:r>
        <w:rPr>
          <w:rFonts w:hint="default" w:ascii="Times New Roman" w:hAnsi="Times New Roman" w:eastAsia="仿宋_GB2312" w:cs="Times New Roman"/>
          <w:b w:val="0"/>
          <w:bCs/>
          <w:color w:val="auto"/>
          <w:kern w:val="0"/>
          <w:sz w:val="32"/>
          <w:szCs w:val="32"/>
          <w:highlight w:val="none"/>
          <w:lang w:val="en-US" w:eastAsia="zh-CN"/>
        </w:rPr>
        <w:t>人均地区生产总值</w:t>
      </w:r>
      <w:r>
        <w:rPr>
          <w:rFonts w:hint="eastAsia" w:ascii="Times New Roman" w:hAnsi="Times New Roman" w:eastAsia="仿宋_GB2312" w:cs="Times New Roman"/>
          <w:b w:val="0"/>
          <w:bCs/>
          <w:color w:val="auto"/>
          <w:kern w:val="0"/>
          <w:sz w:val="32"/>
          <w:szCs w:val="32"/>
          <w:highlight w:val="none"/>
          <w:lang w:val="en-US" w:eastAsia="zh-CN"/>
        </w:rPr>
        <w:t>达</w:t>
      </w:r>
      <w:r>
        <w:rPr>
          <w:rFonts w:hint="default" w:ascii="Times New Roman" w:hAnsi="Times New Roman" w:eastAsia="仿宋_GB2312" w:cs="Times New Roman"/>
          <w:b w:val="0"/>
          <w:bCs/>
          <w:color w:val="auto"/>
          <w:kern w:val="0"/>
          <w:sz w:val="32"/>
          <w:szCs w:val="32"/>
          <w:highlight w:val="none"/>
          <w:lang w:val="en-US" w:eastAsia="zh-CN"/>
        </w:rPr>
        <w:t>6.</w:t>
      </w:r>
      <w:r>
        <w:rPr>
          <w:rFonts w:hint="eastAsia" w:ascii="Times New Roman" w:hAnsi="Times New Roman" w:eastAsia="仿宋_GB2312" w:cs="Times New Roman"/>
          <w:b w:val="0"/>
          <w:bCs/>
          <w:color w:val="auto"/>
          <w:kern w:val="0"/>
          <w:sz w:val="32"/>
          <w:szCs w:val="32"/>
          <w:highlight w:val="none"/>
          <w:lang w:val="en-US" w:eastAsia="zh-CN"/>
        </w:rPr>
        <w:t>14</w:t>
      </w:r>
      <w:r>
        <w:rPr>
          <w:rFonts w:hint="default" w:ascii="Times New Roman" w:hAnsi="Times New Roman" w:eastAsia="仿宋_GB2312" w:cs="Times New Roman"/>
          <w:b w:val="0"/>
          <w:bCs/>
          <w:color w:val="auto"/>
          <w:kern w:val="0"/>
          <w:sz w:val="32"/>
          <w:szCs w:val="32"/>
          <w:highlight w:val="none"/>
          <w:lang w:val="en-US" w:eastAsia="zh-CN"/>
        </w:rPr>
        <w:t>万元。</w:t>
      </w:r>
      <w:r>
        <w:rPr>
          <w:rFonts w:hint="eastAsia" w:ascii="Times New Roman" w:hAnsi="Times New Roman" w:eastAsia="仿宋_GB2312" w:cs="Times New Roman"/>
          <w:b w:val="0"/>
          <w:bCs/>
          <w:color w:val="auto"/>
          <w:kern w:val="0"/>
          <w:sz w:val="32"/>
          <w:szCs w:val="32"/>
          <w:highlight w:val="none"/>
          <w:lang w:val="en-US" w:eastAsia="zh-CN"/>
        </w:rPr>
        <w:t>其中</w:t>
      </w:r>
      <w:r>
        <w:rPr>
          <w:rFonts w:hint="eastAsia" w:ascii="Times New Roman" w:hAnsi="Times New Roman" w:eastAsia="仿宋_GB2312" w:cs="Times New Roman"/>
          <w:b w:val="0"/>
          <w:bCs w:val="0"/>
          <w:color w:val="auto"/>
          <w:kern w:val="2"/>
          <w:sz w:val="32"/>
          <w:szCs w:val="32"/>
          <w:highlight w:val="none"/>
          <w:lang w:val="en-US" w:eastAsia="zh-CN" w:bidi="ar-SA"/>
        </w:rPr>
        <w:t>规上工业总产值达168.05亿元，增长2.5%，</w:t>
      </w:r>
      <w:r>
        <w:rPr>
          <w:rFonts w:hint="eastAsia" w:ascii="Times New Roman" w:hAnsi="Times New Roman" w:eastAsia="仿宋_GB2312" w:cs="Times New Roman"/>
          <w:b w:val="0"/>
          <w:bCs/>
          <w:color w:val="auto"/>
          <w:kern w:val="0"/>
          <w:sz w:val="32"/>
          <w:szCs w:val="32"/>
          <w:highlight w:val="none"/>
          <w:lang w:val="en-US" w:eastAsia="zh-CN"/>
        </w:rPr>
        <w:t>三次产业占比从2020年的21.9 : 37.6 : 40.5优化</w:t>
      </w:r>
      <w:r>
        <w:rPr>
          <w:rFonts w:hint="default" w:ascii="Times New Roman" w:hAnsi="Times New Roman" w:eastAsia="仿宋_GB2312" w:cs="Times New Roman"/>
          <w:b w:val="0"/>
          <w:bCs/>
          <w:color w:val="auto"/>
          <w:kern w:val="0"/>
          <w:sz w:val="32"/>
          <w:szCs w:val="32"/>
          <w:highlight w:val="none"/>
          <w:lang w:val="en-US" w:eastAsia="zh-CN"/>
        </w:rPr>
        <w:t>为27.2</w:t>
      </w:r>
      <w:r>
        <w:rPr>
          <w:rFonts w:hint="eastAsia" w:ascii="Times New Roman" w:hAnsi="Times New Roman" w:eastAsia="仿宋_GB2312" w:cs="Times New Roman"/>
          <w:b w:val="0"/>
          <w:bCs/>
          <w:color w:val="auto"/>
          <w:kern w:val="0"/>
          <w:sz w:val="32"/>
          <w:szCs w:val="32"/>
          <w:highlight w:val="none"/>
          <w:lang w:val="en-US" w:eastAsia="zh-CN"/>
        </w:rPr>
        <w:t xml:space="preserve"> : </w:t>
      </w:r>
      <w:r>
        <w:rPr>
          <w:rFonts w:hint="default" w:ascii="Times New Roman" w:hAnsi="Times New Roman" w:eastAsia="仿宋_GB2312" w:cs="Times New Roman"/>
          <w:b w:val="0"/>
          <w:bCs/>
          <w:color w:val="auto"/>
          <w:kern w:val="0"/>
          <w:sz w:val="32"/>
          <w:szCs w:val="32"/>
          <w:highlight w:val="none"/>
          <w:lang w:val="en-US" w:eastAsia="zh-CN"/>
        </w:rPr>
        <w:t>31.</w:t>
      </w:r>
      <w:r>
        <w:rPr>
          <w:rFonts w:hint="eastAsia" w:ascii="Times New Roman" w:hAnsi="Times New Roman" w:eastAsia="仿宋_GB2312" w:cs="Times New Roman"/>
          <w:b w:val="0"/>
          <w:bCs/>
          <w:color w:val="auto"/>
          <w:kern w:val="0"/>
          <w:sz w:val="32"/>
          <w:szCs w:val="32"/>
          <w:highlight w:val="none"/>
          <w:lang w:val="en-US" w:eastAsia="zh-CN"/>
        </w:rPr>
        <w:t xml:space="preserve">5 : </w:t>
      </w:r>
      <w:r>
        <w:rPr>
          <w:rFonts w:hint="default" w:ascii="Times New Roman" w:hAnsi="Times New Roman" w:eastAsia="仿宋_GB2312" w:cs="Times New Roman"/>
          <w:b w:val="0"/>
          <w:bCs/>
          <w:color w:val="auto"/>
          <w:kern w:val="0"/>
          <w:sz w:val="32"/>
          <w:szCs w:val="32"/>
          <w:highlight w:val="none"/>
          <w:lang w:val="en-US" w:eastAsia="zh-CN"/>
        </w:rPr>
        <w:t>41.</w:t>
      </w:r>
      <w:r>
        <w:rPr>
          <w:rFonts w:hint="eastAsia" w:ascii="Times New Roman" w:hAnsi="Times New Roman" w:eastAsia="仿宋_GB2312" w:cs="Times New Roman"/>
          <w:b w:val="0"/>
          <w:bCs/>
          <w:color w:val="auto"/>
          <w:kern w:val="0"/>
          <w:sz w:val="32"/>
          <w:szCs w:val="32"/>
          <w:highlight w:val="none"/>
          <w:lang w:val="en-US" w:eastAsia="zh-CN"/>
        </w:rPr>
        <w:t>3，产业结构更趋协调，</w:t>
      </w:r>
      <w:r>
        <w:rPr>
          <w:rFonts w:hint="default" w:ascii="Times New Roman" w:hAnsi="Times New Roman" w:eastAsia="仿宋_GB2312" w:cs="Times New Roman"/>
          <w:b w:val="0"/>
          <w:bCs/>
          <w:color w:val="auto"/>
          <w:kern w:val="0"/>
          <w:sz w:val="32"/>
          <w:szCs w:val="32"/>
          <w:highlight w:val="none"/>
          <w:lang w:val="en-US" w:eastAsia="zh-CN"/>
        </w:rPr>
        <w:t>共同富裕基础进一步夯实。</w:t>
      </w:r>
    </w:p>
    <w:p w14:paraId="4DE15A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工业高质量发展</w:t>
      </w:r>
      <w:r>
        <w:rPr>
          <w:rFonts w:hint="eastAsia" w:ascii="Times New Roman" w:hAnsi="Times New Roman" w:eastAsia="仿宋_GB2312" w:cs="Times New Roman"/>
          <w:b/>
          <w:bCs/>
          <w:color w:val="auto"/>
          <w:sz w:val="32"/>
          <w:szCs w:val="32"/>
          <w:highlight w:val="none"/>
          <w:lang w:val="en-US" w:eastAsia="zh-CN"/>
        </w:rPr>
        <w:t>根基</w:t>
      </w:r>
      <w:r>
        <w:rPr>
          <w:rFonts w:hint="default" w:ascii="Times New Roman" w:hAnsi="Times New Roman" w:eastAsia="仿宋_GB2312" w:cs="Times New Roman"/>
          <w:b/>
          <w:bCs/>
          <w:color w:val="auto"/>
          <w:sz w:val="32"/>
          <w:szCs w:val="32"/>
          <w:highlight w:val="none"/>
          <w:lang w:val="en-US" w:eastAsia="zh-CN"/>
        </w:rPr>
        <w:t>不断</w:t>
      </w:r>
      <w:r>
        <w:rPr>
          <w:rFonts w:hint="eastAsia" w:ascii="Times New Roman" w:hAnsi="Times New Roman" w:eastAsia="仿宋_GB2312" w:cs="Times New Roman"/>
          <w:b/>
          <w:bCs/>
          <w:color w:val="auto"/>
          <w:sz w:val="32"/>
          <w:szCs w:val="32"/>
          <w:highlight w:val="none"/>
          <w:lang w:val="en-US" w:eastAsia="zh-CN"/>
        </w:rPr>
        <w:t>巩固。</w:t>
      </w:r>
      <w:r>
        <w:rPr>
          <w:rFonts w:hint="eastAsia" w:ascii="Times New Roman" w:hAnsi="Times New Roman" w:eastAsia="仿宋_GB2312" w:cs="Times New Roman"/>
          <w:b w:val="0"/>
          <w:bCs w:val="0"/>
          <w:color w:val="auto"/>
          <w:kern w:val="2"/>
          <w:sz w:val="32"/>
          <w:szCs w:val="32"/>
          <w:highlight w:val="none"/>
          <w:lang w:val="en-US" w:eastAsia="zh-CN" w:bidi="ar-SA"/>
        </w:rPr>
        <w:t>现代绿色产业体系基本成形，高端绿色家居、绿色化工及新材料两大主导产业集聚效应日益凸显，2025年占规上工业总产值比重分别提升至32.6%、22.1%，并成功纳入广西县域特色产业目录。园区载体与安全能级同步增强，鹿寨经济开发区纳入柳州高新技术产业开发区，享有国家级高新区与东盟产业合作区双重政策叠加。桂中现代林业科技产业园获评“国家林业产业示范园区”，“十四五”期间共引进大自然、一家美等企业40余家，桂中数智木链交易服务运营平台正式启动。化工园区安全风险等级提升至D级，重大安全风险防控项目建成投用，柳化危险化学品铁路专用线投入运营，园区扩容提质稳步推进。</w:t>
      </w:r>
      <w:r>
        <w:rPr>
          <w:rFonts w:hint="default" w:ascii="Times New Roman" w:hAnsi="Times New Roman" w:eastAsia="仿宋_GB2312" w:cs="Times New Roman"/>
          <w:b w:val="0"/>
          <w:bCs w:val="0"/>
          <w:color w:val="auto"/>
          <w:kern w:val="2"/>
          <w:sz w:val="32"/>
          <w:szCs w:val="32"/>
          <w:highlight w:val="none"/>
          <w:lang w:val="en-US" w:eastAsia="zh-CN" w:bidi="ar-SA"/>
        </w:rPr>
        <w:t>机械汽配、轻工等领域持续增长</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sz w:val="32"/>
          <w:szCs w:val="28"/>
          <w:highlight w:val="none"/>
        </w:rPr>
        <w:t>法恩赛克电池电解液</w:t>
      </w:r>
      <w:r>
        <w:rPr>
          <w:rFonts w:hint="eastAsia" w:ascii="仿宋_GB2312" w:hAnsi="仿宋_GB2312" w:eastAsia="仿宋_GB2312" w:cs="仿宋_GB2312"/>
          <w:b w:val="0"/>
          <w:bCs w:val="0"/>
          <w:color w:val="auto"/>
          <w:sz w:val="32"/>
          <w:szCs w:val="28"/>
          <w:highlight w:val="none"/>
          <w:lang w:val="en-US" w:eastAsia="zh-CN"/>
        </w:rPr>
        <w:t>等一批</w:t>
      </w:r>
      <w:r>
        <w:rPr>
          <w:rFonts w:hint="eastAsia" w:ascii="仿宋_GB2312" w:hAnsi="仿宋_GB2312" w:eastAsia="仿宋_GB2312" w:cs="仿宋_GB2312"/>
          <w:b w:val="0"/>
          <w:bCs w:val="0"/>
          <w:color w:val="auto"/>
          <w:sz w:val="32"/>
          <w:szCs w:val="28"/>
          <w:highlight w:val="none"/>
        </w:rPr>
        <w:t>项目</w:t>
      </w:r>
      <w:r>
        <w:rPr>
          <w:rFonts w:hint="eastAsia" w:ascii="仿宋_GB2312" w:hAnsi="仿宋_GB2312" w:eastAsia="仿宋_GB2312" w:cs="仿宋_GB2312"/>
          <w:b w:val="0"/>
          <w:bCs w:val="0"/>
          <w:color w:val="auto"/>
          <w:sz w:val="32"/>
          <w:szCs w:val="28"/>
          <w:highlight w:val="none"/>
          <w:lang w:val="en-US" w:eastAsia="zh-CN"/>
        </w:rPr>
        <w:t>竣工</w:t>
      </w:r>
      <w:r>
        <w:rPr>
          <w:rFonts w:hint="eastAsia" w:ascii="仿宋_GB2312" w:hAnsi="仿宋_GB2312" w:eastAsia="仿宋_GB2312" w:cs="仿宋_GB2312"/>
          <w:b w:val="0"/>
          <w:bCs w:val="0"/>
          <w:color w:val="auto"/>
          <w:sz w:val="32"/>
          <w:szCs w:val="28"/>
          <w:highlight w:val="none"/>
          <w:lang w:eastAsia="zh-CN"/>
        </w:rPr>
        <w:t>达产，</w:t>
      </w:r>
      <w:r>
        <w:rPr>
          <w:rFonts w:hint="eastAsia" w:ascii="Times New Roman" w:hAnsi="Times New Roman" w:eastAsia="仿宋_GB2312" w:cs="Times New Roman"/>
          <w:b w:val="0"/>
          <w:bCs w:val="0"/>
          <w:color w:val="auto"/>
          <w:kern w:val="2"/>
          <w:sz w:val="32"/>
          <w:szCs w:val="32"/>
          <w:highlight w:val="none"/>
          <w:lang w:val="en-US" w:eastAsia="zh-CN" w:bidi="ar-SA"/>
        </w:rPr>
        <w:t>商用车零部件产业集群入选自治区级特色产业集群，炭罐总成全国市场占有率达17%</w:t>
      </w:r>
      <w:r>
        <w:rPr>
          <w:rFonts w:hint="default" w:ascii="Times New Roman" w:hAnsi="Times New Roman" w:eastAsia="仿宋_GB2312" w:cs="Times New Roman"/>
          <w:b w:val="0"/>
          <w:bCs w:val="0"/>
          <w:color w:val="auto"/>
          <w:kern w:val="2"/>
          <w:sz w:val="32"/>
          <w:szCs w:val="32"/>
          <w:highlight w:val="none"/>
          <w:lang w:val="en-US" w:eastAsia="zh-CN" w:bidi="ar-SA"/>
        </w:rPr>
        <w:t>；新兴产业布局</w:t>
      </w:r>
      <w:r>
        <w:rPr>
          <w:rFonts w:hint="eastAsia" w:ascii="Times New Roman" w:hAnsi="Times New Roman" w:eastAsia="仿宋_GB2312" w:cs="Times New Roman"/>
          <w:b w:val="0"/>
          <w:bCs w:val="0"/>
          <w:color w:val="auto"/>
          <w:kern w:val="2"/>
          <w:sz w:val="32"/>
          <w:szCs w:val="32"/>
          <w:highlight w:val="none"/>
          <w:lang w:val="en-US" w:eastAsia="zh-CN" w:bidi="ar-SA"/>
        </w:rPr>
        <w:t>提</w:t>
      </w:r>
      <w:r>
        <w:rPr>
          <w:rFonts w:hint="default" w:ascii="Times New Roman" w:hAnsi="Times New Roman" w:eastAsia="仿宋_GB2312" w:cs="Times New Roman"/>
          <w:b w:val="0"/>
          <w:bCs w:val="0"/>
          <w:color w:val="auto"/>
          <w:kern w:val="2"/>
          <w:sz w:val="32"/>
          <w:szCs w:val="32"/>
          <w:highlight w:val="none"/>
          <w:lang w:val="en-US" w:eastAsia="zh-CN" w:bidi="ar-SA"/>
        </w:rPr>
        <w:t>速，</w:t>
      </w:r>
      <w:r>
        <w:rPr>
          <w:rFonts w:hint="eastAsia" w:ascii="Times New Roman" w:hAnsi="Times New Roman" w:eastAsia="仿宋_GB2312" w:cs="Times New Roman"/>
          <w:b w:val="0"/>
          <w:bCs w:val="0"/>
          <w:color w:val="auto"/>
          <w:kern w:val="2"/>
          <w:sz w:val="32"/>
          <w:szCs w:val="32"/>
          <w:highlight w:val="none"/>
          <w:lang w:val="en-US" w:eastAsia="zh-CN" w:bidi="ar-SA"/>
        </w:rPr>
        <w:t>一批</w:t>
      </w:r>
      <w:r>
        <w:rPr>
          <w:rFonts w:hint="default" w:ascii="Times New Roman" w:hAnsi="Times New Roman" w:eastAsia="仿宋_GB2312" w:cs="Times New Roman"/>
          <w:b w:val="0"/>
          <w:bCs w:val="0"/>
          <w:color w:val="auto"/>
          <w:kern w:val="2"/>
          <w:sz w:val="32"/>
          <w:szCs w:val="32"/>
          <w:highlight w:val="none"/>
          <w:lang w:val="en-US" w:eastAsia="zh-CN" w:bidi="ar-SA"/>
        </w:rPr>
        <w:t>资源循环利用、新能源等</w:t>
      </w:r>
      <w:r>
        <w:rPr>
          <w:rFonts w:hint="eastAsia" w:ascii="Times New Roman" w:hAnsi="Times New Roman" w:eastAsia="仿宋_GB2312" w:cs="Times New Roman"/>
          <w:b w:val="0"/>
          <w:bCs w:val="0"/>
          <w:color w:val="auto"/>
          <w:kern w:val="2"/>
          <w:sz w:val="32"/>
          <w:szCs w:val="32"/>
          <w:highlight w:val="none"/>
          <w:lang w:val="en-US" w:eastAsia="zh-CN" w:bidi="ar-SA"/>
        </w:rPr>
        <w:t>项目</w:t>
      </w:r>
      <w:r>
        <w:rPr>
          <w:rFonts w:hint="default" w:ascii="Times New Roman" w:hAnsi="Times New Roman" w:eastAsia="仿宋_GB2312" w:cs="Times New Roman"/>
          <w:b w:val="0"/>
          <w:bCs w:val="0"/>
          <w:color w:val="auto"/>
          <w:kern w:val="2"/>
          <w:sz w:val="32"/>
          <w:szCs w:val="32"/>
          <w:highlight w:val="none"/>
          <w:lang w:val="en-US" w:eastAsia="zh-CN" w:bidi="ar-SA"/>
        </w:rPr>
        <w:t>加快落地。创新</w:t>
      </w:r>
      <w:r>
        <w:rPr>
          <w:rFonts w:hint="eastAsia" w:ascii="Times New Roman" w:hAnsi="Times New Roman" w:eastAsia="仿宋_GB2312" w:cs="Times New Roman"/>
          <w:b w:val="0"/>
          <w:bCs w:val="0"/>
          <w:color w:val="auto"/>
          <w:kern w:val="2"/>
          <w:sz w:val="32"/>
          <w:szCs w:val="32"/>
          <w:highlight w:val="none"/>
          <w:lang w:val="en-US" w:eastAsia="zh-CN" w:bidi="ar-SA"/>
        </w:rPr>
        <w:t>动能加速释放</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全县高新技术企业</w:t>
      </w:r>
      <w:r>
        <w:rPr>
          <w:rFonts w:hint="eastAsia" w:ascii="Times New Roman" w:hAnsi="Times New Roman" w:eastAsia="仿宋_GB2312" w:cs="Times New Roman"/>
          <w:b w:val="0"/>
          <w:bCs w:val="0"/>
          <w:color w:val="auto"/>
          <w:sz w:val="32"/>
          <w:szCs w:val="32"/>
          <w:highlight w:val="none"/>
          <w:lang w:val="en-US" w:eastAsia="zh-CN"/>
        </w:rPr>
        <w:t>达</w:t>
      </w:r>
      <w:r>
        <w:rPr>
          <w:rFonts w:hint="default" w:ascii="Times New Roman" w:hAnsi="Times New Roman" w:eastAsia="仿宋_GB2312" w:cs="Times New Roman"/>
          <w:b w:val="0"/>
          <w:bCs w:val="0"/>
          <w:color w:val="auto"/>
          <w:sz w:val="32"/>
          <w:szCs w:val="32"/>
          <w:highlight w:val="none"/>
          <w:lang w:val="en-US" w:eastAsia="zh-CN"/>
        </w:rPr>
        <w:t>3</w:t>
      </w:r>
      <w:r>
        <w:rPr>
          <w:rFonts w:hint="eastAsia" w:ascii="Times New Roman" w:hAnsi="Times New Roman" w:eastAsia="仿宋_GB2312" w:cs="Times New Roman"/>
          <w:b w:val="0"/>
          <w:bCs w:val="0"/>
          <w:color w:val="auto"/>
          <w:sz w:val="32"/>
          <w:szCs w:val="32"/>
          <w:highlight w:val="none"/>
          <w:lang w:val="en-US" w:eastAsia="zh-CN"/>
        </w:rPr>
        <w:t>4</w:t>
      </w:r>
      <w:r>
        <w:rPr>
          <w:rFonts w:hint="default" w:ascii="Times New Roman" w:hAnsi="Times New Roman" w:eastAsia="仿宋_GB2312" w:cs="Times New Roman"/>
          <w:b w:val="0"/>
          <w:bCs w:val="0"/>
          <w:color w:val="auto"/>
          <w:sz w:val="32"/>
          <w:szCs w:val="32"/>
          <w:highlight w:val="none"/>
          <w:lang w:val="en-US" w:eastAsia="zh-CN"/>
        </w:rPr>
        <w:t>家，</w:t>
      </w:r>
      <w:r>
        <w:rPr>
          <w:rFonts w:hint="eastAsia" w:ascii="仿宋_GB2312" w:hAnsi="仿宋_GB2312" w:eastAsia="仿宋_GB2312" w:cs="仿宋_GB2312"/>
          <w:b w:val="0"/>
          <w:bCs w:val="0"/>
          <w:color w:val="auto"/>
          <w:sz w:val="32"/>
          <w:szCs w:val="32"/>
          <w:highlight w:val="none"/>
          <w:lang w:val="en-US" w:eastAsia="zh-CN"/>
        </w:rPr>
        <w:t>较“十三五”</w:t>
      </w:r>
      <w:r>
        <w:rPr>
          <w:rFonts w:hint="default" w:ascii="Times New Roman" w:hAnsi="Times New Roman" w:eastAsia="仿宋_GB2312" w:cs="Times New Roman"/>
          <w:b w:val="0"/>
          <w:bCs w:val="0"/>
          <w:color w:val="auto"/>
          <w:sz w:val="32"/>
          <w:szCs w:val="32"/>
          <w:highlight w:val="none"/>
          <w:lang w:val="en-US" w:eastAsia="zh-CN"/>
        </w:rPr>
        <w:t>期末增长</w:t>
      </w:r>
      <w:r>
        <w:rPr>
          <w:rFonts w:hint="eastAsia" w:ascii="Times New Roman" w:hAnsi="Times New Roman" w:eastAsia="仿宋_GB2312" w:cs="Times New Roman"/>
          <w:b w:val="0"/>
          <w:bCs w:val="0"/>
          <w:color w:val="auto"/>
          <w:sz w:val="32"/>
          <w:szCs w:val="32"/>
          <w:highlight w:val="none"/>
          <w:lang w:val="en-US" w:eastAsia="zh-CN"/>
        </w:rPr>
        <w:t>36</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累计培育</w:t>
      </w:r>
      <w:r>
        <w:rPr>
          <w:rFonts w:hint="default" w:ascii="Times New Roman" w:hAnsi="Times New Roman" w:eastAsia="仿宋_GB2312" w:cs="Times New Roman"/>
          <w:b w:val="0"/>
          <w:bCs w:val="0"/>
          <w:color w:val="auto"/>
          <w:sz w:val="32"/>
          <w:szCs w:val="32"/>
          <w:highlight w:val="none"/>
          <w:lang w:val="en-US" w:eastAsia="zh-CN"/>
        </w:rPr>
        <w:t>专精特新企业1</w:t>
      </w:r>
      <w:r>
        <w:rPr>
          <w:rFonts w:hint="eastAsia"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b w:val="0"/>
          <w:bCs w:val="0"/>
          <w:color w:val="auto"/>
          <w:sz w:val="32"/>
          <w:szCs w:val="32"/>
          <w:highlight w:val="none"/>
          <w:lang w:val="en-US" w:eastAsia="zh-CN"/>
        </w:rPr>
        <w:t>家、瞪羚企业2家，研发经费投入强度达1.8%。</w:t>
      </w:r>
      <w:r>
        <w:rPr>
          <w:rFonts w:hint="default" w:ascii="Times New Roman" w:hAnsi="Times New Roman" w:eastAsia="仿宋_GB2312" w:cs="Times New Roman"/>
          <w:b w:val="0"/>
          <w:bCs w:val="0"/>
          <w:color w:val="auto"/>
          <w:kern w:val="2"/>
          <w:sz w:val="32"/>
          <w:szCs w:val="32"/>
          <w:highlight w:val="none"/>
          <w:lang w:val="en-US" w:eastAsia="zh-CN" w:bidi="ar-SA"/>
        </w:rPr>
        <w:t>制造业智能化、绿色化水平不断提升，累计建成智能工厂4家、数字化车间3家，实施</w:t>
      </w:r>
      <w:r>
        <w:rPr>
          <w:rFonts w:hint="eastAsia" w:ascii="仿宋_GB2312" w:hAnsi="仿宋_GB2312" w:eastAsia="仿宋_GB2312" w:cs="仿宋_GB2312"/>
          <w:b w:val="0"/>
          <w:bCs w:val="0"/>
          <w:color w:val="auto"/>
          <w:kern w:val="2"/>
          <w:sz w:val="32"/>
          <w:szCs w:val="32"/>
          <w:highlight w:val="none"/>
          <w:lang w:val="en-US" w:eastAsia="zh-CN" w:bidi="ar-SA"/>
        </w:rPr>
        <w:t>“机器换人”企</w:t>
      </w:r>
      <w:r>
        <w:rPr>
          <w:rFonts w:hint="default" w:ascii="Times New Roman" w:hAnsi="Times New Roman" w:eastAsia="仿宋_GB2312" w:cs="Times New Roman"/>
          <w:b w:val="0"/>
          <w:bCs w:val="0"/>
          <w:color w:val="auto"/>
          <w:kern w:val="2"/>
          <w:sz w:val="32"/>
          <w:szCs w:val="32"/>
          <w:highlight w:val="none"/>
          <w:lang w:val="en-US" w:eastAsia="zh-CN" w:bidi="ar-SA"/>
        </w:rPr>
        <w:t>业4家，完成MES系统部署规上企业占比达20%。新增国家级绿色工厂2家、自治区级绿色工厂1家。企业培育成</w:t>
      </w:r>
      <w:r>
        <w:rPr>
          <w:rFonts w:hint="eastAsia" w:ascii="Times New Roman" w:hAnsi="Times New Roman" w:eastAsia="仿宋_GB2312" w:cs="Times New Roman"/>
          <w:b w:val="0"/>
          <w:bCs w:val="0"/>
          <w:color w:val="auto"/>
          <w:kern w:val="2"/>
          <w:sz w:val="32"/>
          <w:szCs w:val="32"/>
          <w:highlight w:val="none"/>
          <w:lang w:val="en-US" w:eastAsia="zh-CN" w:bidi="ar-SA"/>
        </w:rPr>
        <w:t>效</w:t>
      </w:r>
      <w:r>
        <w:rPr>
          <w:rFonts w:hint="default" w:ascii="Times New Roman" w:hAnsi="Times New Roman" w:eastAsia="仿宋_GB2312" w:cs="Times New Roman"/>
          <w:b w:val="0"/>
          <w:bCs w:val="0"/>
          <w:color w:val="auto"/>
          <w:kern w:val="2"/>
          <w:sz w:val="32"/>
          <w:szCs w:val="32"/>
          <w:highlight w:val="none"/>
          <w:lang w:val="en-US" w:eastAsia="zh-CN" w:bidi="ar-SA"/>
        </w:rPr>
        <w:t>突出，涌现出专精特</w:t>
      </w:r>
      <w:r>
        <w:rPr>
          <w:rFonts w:hint="eastAsia" w:ascii="仿宋_GB2312" w:hAnsi="仿宋_GB2312" w:eastAsia="仿宋_GB2312" w:cs="仿宋_GB2312"/>
          <w:b w:val="0"/>
          <w:bCs w:val="0"/>
          <w:color w:val="auto"/>
          <w:kern w:val="2"/>
          <w:sz w:val="32"/>
          <w:szCs w:val="32"/>
          <w:highlight w:val="none"/>
          <w:lang w:val="en-US" w:eastAsia="zh-CN" w:bidi="ar-SA"/>
        </w:rPr>
        <w:t>新“小巨人”</w:t>
      </w:r>
      <w:r>
        <w:rPr>
          <w:rFonts w:hint="default" w:ascii="Times New Roman" w:hAnsi="Times New Roman" w:eastAsia="仿宋_GB2312" w:cs="Times New Roman"/>
          <w:b w:val="0"/>
          <w:bCs w:val="0"/>
          <w:color w:val="auto"/>
          <w:kern w:val="2"/>
          <w:sz w:val="32"/>
          <w:szCs w:val="32"/>
          <w:highlight w:val="none"/>
          <w:lang w:val="en-US" w:eastAsia="zh-CN" w:bidi="ar-SA"/>
        </w:rPr>
        <w:t>、自治区制造业单项冠军等优质主体。</w:t>
      </w:r>
      <w:r>
        <w:rPr>
          <w:rFonts w:hint="eastAsia" w:ascii="Times New Roman" w:hAnsi="Times New Roman" w:eastAsia="仿宋_GB2312" w:cs="Times New Roman"/>
          <w:b w:val="0"/>
          <w:bCs w:val="0"/>
          <w:color w:val="auto"/>
          <w:kern w:val="2"/>
          <w:sz w:val="32"/>
          <w:szCs w:val="32"/>
          <w:highlight w:val="none"/>
          <w:lang w:val="en-US" w:eastAsia="zh-CN" w:bidi="ar-SA"/>
        </w:rPr>
        <w:t>环球新材国际成功</w:t>
      </w:r>
      <w:r>
        <w:rPr>
          <w:rFonts w:hint="eastAsia" w:ascii="仿宋_GB2312" w:hAnsi="仿宋_GB2312" w:eastAsia="仿宋_GB2312" w:cs="仿宋_GB2312"/>
          <w:b w:val="0"/>
          <w:bCs w:val="0"/>
          <w:color w:val="auto"/>
          <w:sz w:val="32"/>
          <w:szCs w:val="28"/>
          <w:highlight w:val="none"/>
        </w:rPr>
        <w:t>并购韩国最大珠光材料企业</w:t>
      </w:r>
      <w:r>
        <w:rPr>
          <w:rFonts w:hint="eastAsia" w:ascii="Times New Roman" w:hAnsi="Times New Roman" w:eastAsia="仿宋_GB2312" w:cs="Times New Roman"/>
          <w:b w:val="0"/>
          <w:bCs/>
          <w:i w:val="0"/>
          <w:iCs/>
          <w:color w:val="auto"/>
          <w:sz w:val="32"/>
          <w:szCs w:val="32"/>
          <w:highlight w:val="none"/>
          <w:lang w:eastAsia="zh-CN"/>
        </w:rPr>
        <w:t>CQV</w:t>
      </w:r>
      <w:r>
        <w:rPr>
          <w:rFonts w:hint="eastAsia" w:ascii="仿宋_GB2312" w:hAnsi="仿宋_GB2312" w:eastAsia="仿宋_GB2312" w:cs="仿宋_GB2312"/>
          <w:b w:val="0"/>
          <w:bCs w:val="0"/>
          <w:color w:val="auto"/>
          <w:sz w:val="32"/>
          <w:szCs w:val="28"/>
          <w:highlight w:val="none"/>
        </w:rPr>
        <w:t>公司</w:t>
      </w:r>
      <w:r>
        <w:rPr>
          <w:rFonts w:hint="eastAsia" w:ascii="仿宋_GB2312" w:hAnsi="仿宋_GB2312" w:eastAsia="仿宋_GB2312" w:cs="仿宋_GB2312"/>
          <w:b w:val="0"/>
          <w:bCs w:val="0"/>
          <w:color w:val="auto"/>
          <w:sz w:val="32"/>
          <w:szCs w:val="28"/>
          <w:highlight w:val="none"/>
          <w:lang w:eastAsia="zh-CN"/>
        </w:rPr>
        <w:t>和</w:t>
      </w:r>
      <w:r>
        <w:rPr>
          <w:rFonts w:hint="eastAsia" w:ascii="仿宋_GB2312" w:hAnsi="仿宋_GB2312" w:eastAsia="仿宋_GB2312" w:cs="仿宋_GB2312"/>
          <w:b w:val="0"/>
          <w:bCs w:val="0"/>
          <w:color w:val="auto"/>
          <w:sz w:val="32"/>
          <w:szCs w:val="28"/>
          <w:highlight w:val="none"/>
        </w:rPr>
        <w:t>德国默克集团全球表面解决方</w:t>
      </w:r>
      <w:r>
        <w:rPr>
          <w:rFonts w:hint="eastAsia" w:ascii="仿宋_GB2312" w:hAnsi="仿宋_GB2312" w:eastAsia="仿宋_GB2312" w:cs="仿宋_GB2312"/>
          <w:b w:val="0"/>
          <w:bCs w:val="0"/>
          <w:color w:val="auto"/>
          <w:sz w:val="32"/>
          <w:szCs w:val="28"/>
          <w:highlight w:val="none"/>
          <w:lang w:eastAsia="zh-CN"/>
        </w:rPr>
        <w:t>案</w:t>
      </w:r>
      <w:r>
        <w:rPr>
          <w:rFonts w:hint="eastAsia" w:ascii="仿宋_GB2312" w:hAnsi="仿宋_GB2312" w:eastAsia="仿宋_GB2312" w:cs="仿宋_GB2312"/>
          <w:b w:val="0"/>
          <w:bCs w:val="0"/>
          <w:color w:val="auto"/>
          <w:sz w:val="32"/>
          <w:szCs w:val="28"/>
          <w:highlight w:val="none"/>
        </w:rPr>
        <w:t>业务（</w:t>
      </w:r>
      <w:r>
        <w:rPr>
          <w:rFonts w:hint="eastAsia" w:ascii="Times New Roman" w:hAnsi="Times New Roman" w:eastAsia="仿宋_GB2312" w:cs="Times New Roman"/>
          <w:b w:val="0"/>
          <w:bCs/>
          <w:i w:val="0"/>
          <w:iCs/>
          <w:color w:val="auto"/>
          <w:sz w:val="32"/>
          <w:szCs w:val="32"/>
          <w:highlight w:val="none"/>
          <w:lang w:eastAsia="zh-CN"/>
        </w:rPr>
        <w:t>SUSONITY</w:t>
      </w:r>
      <w:r>
        <w:rPr>
          <w:rFonts w:hint="eastAsia" w:ascii="仿宋_GB2312" w:hAnsi="仿宋_GB2312" w:eastAsia="仿宋_GB2312" w:cs="仿宋_GB2312"/>
          <w:b w:val="0"/>
          <w:bCs w:val="0"/>
          <w:color w:val="auto"/>
          <w:sz w:val="32"/>
          <w:szCs w:val="28"/>
          <w:highlight w:val="none"/>
        </w:rPr>
        <w:t>）</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i w:val="0"/>
          <w:iCs/>
          <w:color w:val="auto"/>
          <w:sz w:val="32"/>
          <w:szCs w:val="32"/>
          <w:highlight w:val="none"/>
          <w:lang w:eastAsia="zh-CN"/>
        </w:rPr>
        <w:t>七色珠光</w:t>
      </w:r>
      <w:r>
        <w:rPr>
          <w:rFonts w:hint="eastAsia" w:ascii="Times New Roman" w:hAnsi="Times New Roman" w:eastAsia="仿宋_GB2312" w:cs="Times New Roman"/>
          <w:b w:val="0"/>
          <w:bCs/>
          <w:i w:val="0"/>
          <w:iCs/>
          <w:color w:val="auto"/>
          <w:sz w:val="32"/>
          <w:szCs w:val="32"/>
          <w:highlight w:val="none"/>
          <w:lang w:val="en-US" w:eastAsia="zh-CN"/>
        </w:rPr>
        <w:t>凭借品牌影响力</w:t>
      </w:r>
      <w:r>
        <w:rPr>
          <w:rFonts w:hint="default" w:ascii="Times New Roman" w:hAnsi="Times New Roman" w:eastAsia="仿宋_GB2312" w:cs="Times New Roman"/>
          <w:b w:val="0"/>
          <w:bCs/>
          <w:i w:val="0"/>
          <w:iCs/>
          <w:color w:val="auto"/>
          <w:sz w:val="32"/>
          <w:szCs w:val="32"/>
          <w:highlight w:val="none"/>
          <w:lang w:eastAsia="zh-CN"/>
        </w:rPr>
        <w:t>成功入选</w:t>
      </w:r>
      <w:r>
        <w:rPr>
          <w:rFonts w:hint="eastAsia" w:ascii="仿宋_GB2312" w:hAnsi="仿宋_GB2312" w:eastAsia="仿宋_GB2312" w:cs="仿宋_GB2312"/>
          <w:b w:val="0"/>
          <w:bCs/>
          <w:i w:val="0"/>
          <w:iCs/>
          <w:color w:val="auto"/>
          <w:sz w:val="32"/>
          <w:szCs w:val="32"/>
          <w:highlight w:val="none"/>
          <w:lang w:eastAsia="zh-CN"/>
        </w:rPr>
        <w:t>“中国</w:t>
      </w:r>
      <w:r>
        <w:rPr>
          <w:rFonts w:hint="default" w:ascii="Times New Roman" w:hAnsi="Times New Roman" w:eastAsia="仿宋_GB2312" w:cs="Times New Roman"/>
          <w:b w:val="0"/>
          <w:bCs/>
          <w:i w:val="0"/>
          <w:iCs/>
          <w:color w:val="auto"/>
          <w:sz w:val="32"/>
          <w:szCs w:val="32"/>
          <w:highlight w:val="none"/>
          <w:lang w:eastAsia="zh-CN"/>
        </w:rPr>
        <w:t>500</w:t>
      </w:r>
      <w:r>
        <w:rPr>
          <w:rFonts w:hint="eastAsia" w:ascii="仿宋_GB2312" w:hAnsi="仿宋_GB2312" w:eastAsia="仿宋_GB2312" w:cs="仿宋_GB2312"/>
          <w:b w:val="0"/>
          <w:bCs/>
          <w:i w:val="0"/>
          <w:iCs/>
          <w:color w:val="auto"/>
          <w:sz w:val="32"/>
          <w:szCs w:val="32"/>
          <w:highlight w:val="none"/>
          <w:lang w:eastAsia="zh-CN"/>
        </w:rPr>
        <w:t>最具价值品牌”</w:t>
      </w:r>
      <w:r>
        <w:rPr>
          <w:rFonts w:hint="default" w:ascii="Times New Roman" w:hAnsi="Times New Roman" w:eastAsia="仿宋_GB2312" w:cs="Times New Roman"/>
          <w:b w:val="0"/>
          <w:bCs/>
          <w:i w:val="0"/>
          <w:iCs/>
          <w:color w:val="auto"/>
          <w:sz w:val="32"/>
          <w:szCs w:val="32"/>
          <w:highlight w:val="none"/>
          <w:lang w:eastAsia="zh-CN"/>
        </w:rPr>
        <w:t>，</w:t>
      </w:r>
      <w:r>
        <w:rPr>
          <w:rFonts w:hint="eastAsia" w:ascii="Times New Roman" w:hAnsi="Times New Roman" w:eastAsia="仿宋_GB2312" w:cs="Times New Roman"/>
          <w:b w:val="0"/>
          <w:bCs/>
          <w:i w:val="0"/>
          <w:iCs/>
          <w:color w:val="auto"/>
          <w:sz w:val="32"/>
          <w:szCs w:val="32"/>
          <w:highlight w:val="none"/>
          <w:lang w:val="en-US" w:eastAsia="zh-CN"/>
        </w:rPr>
        <w:t>企业国际竞争力与</w:t>
      </w:r>
      <w:r>
        <w:rPr>
          <w:rFonts w:hint="default" w:ascii="Times New Roman" w:hAnsi="Times New Roman" w:eastAsia="仿宋_GB2312" w:cs="Times New Roman"/>
          <w:b w:val="0"/>
          <w:bCs/>
          <w:i w:val="0"/>
          <w:iCs/>
          <w:color w:val="auto"/>
          <w:sz w:val="32"/>
          <w:szCs w:val="32"/>
          <w:highlight w:val="none"/>
          <w:lang w:eastAsia="zh-CN"/>
        </w:rPr>
        <w:t>品牌实力</w:t>
      </w:r>
      <w:r>
        <w:rPr>
          <w:rFonts w:hint="eastAsia" w:ascii="Times New Roman" w:hAnsi="Times New Roman" w:eastAsia="仿宋_GB2312" w:cs="Times New Roman"/>
          <w:b w:val="0"/>
          <w:bCs/>
          <w:i w:val="0"/>
          <w:iCs/>
          <w:color w:val="auto"/>
          <w:sz w:val="32"/>
          <w:szCs w:val="32"/>
          <w:highlight w:val="none"/>
          <w:lang w:val="en-US" w:eastAsia="zh-CN"/>
        </w:rPr>
        <w:t>迈上新台阶</w:t>
      </w:r>
      <w:r>
        <w:rPr>
          <w:rFonts w:hint="default" w:ascii="Times New Roman" w:hAnsi="Times New Roman" w:eastAsia="仿宋_GB2312" w:cs="Times New Roman"/>
          <w:b w:val="0"/>
          <w:bCs/>
          <w:i w:val="0"/>
          <w:iCs/>
          <w:color w:val="auto"/>
          <w:sz w:val="32"/>
          <w:szCs w:val="32"/>
          <w:highlight w:val="none"/>
          <w:lang w:eastAsia="zh-CN"/>
        </w:rPr>
        <w:t>。</w:t>
      </w:r>
    </w:p>
    <w:p w14:paraId="020E72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bCs/>
          <w:color w:val="auto"/>
          <w:sz w:val="32"/>
          <w:szCs w:val="32"/>
          <w:highlight w:val="none"/>
          <w:lang w:val="en-US" w:eastAsia="zh-CN"/>
        </w:rPr>
        <w:t>服务业提质增效。</w:t>
      </w:r>
      <w:r>
        <w:rPr>
          <w:rFonts w:hint="default" w:ascii="Times New Roman" w:hAnsi="Times New Roman" w:eastAsia="仿宋_GB2312" w:cs="Times New Roman"/>
          <w:b w:val="0"/>
          <w:bCs w:val="0"/>
          <w:color w:val="auto"/>
          <w:sz w:val="32"/>
          <w:szCs w:val="32"/>
          <w:highlight w:val="none"/>
          <w:lang w:val="en-US" w:eastAsia="zh-CN"/>
        </w:rPr>
        <w:t>通过举办</w:t>
      </w:r>
      <w:r>
        <w:rPr>
          <w:rFonts w:hint="eastAsia" w:ascii="仿宋_GB2312" w:hAnsi="仿宋_GB2312" w:eastAsia="仿宋_GB2312" w:cs="仿宋_GB2312"/>
          <w:b w:val="0"/>
          <w:bCs w:val="0"/>
          <w:color w:val="auto"/>
          <w:sz w:val="32"/>
          <w:szCs w:val="32"/>
          <w:highlight w:val="none"/>
          <w:lang w:val="en-US" w:eastAsia="zh-CN"/>
        </w:rPr>
        <w:t>“约惠鹿寨·乐享消费”等</w:t>
      </w:r>
      <w:r>
        <w:rPr>
          <w:rFonts w:hint="default" w:ascii="Times New Roman" w:hAnsi="Times New Roman" w:eastAsia="仿宋_GB2312" w:cs="Times New Roman"/>
          <w:b w:val="0"/>
          <w:bCs w:val="0"/>
          <w:color w:val="auto"/>
          <w:sz w:val="32"/>
          <w:szCs w:val="32"/>
          <w:highlight w:val="none"/>
          <w:lang w:val="en-US" w:eastAsia="zh-CN"/>
        </w:rPr>
        <w:t>系列活动，有效</w:t>
      </w:r>
      <w:r>
        <w:rPr>
          <w:rFonts w:hint="eastAsia" w:ascii="Times New Roman" w:hAnsi="Times New Roman" w:eastAsia="仿宋_GB2312" w:cs="Times New Roman"/>
          <w:b w:val="0"/>
          <w:bCs w:val="0"/>
          <w:color w:val="auto"/>
          <w:sz w:val="32"/>
          <w:szCs w:val="32"/>
          <w:highlight w:val="none"/>
          <w:lang w:val="en-US" w:eastAsia="zh-CN"/>
        </w:rPr>
        <w:t>激发</w:t>
      </w:r>
      <w:r>
        <w:rPr>
          <w:rFonts w:hint="default" w:ascii="Times New Roman" w:hAnsi="Times New Roman" w:eastAsia="仿宋_GB2312" w:cs="Times New Roman"/>
          <w:b w:val="0"/>
          <w:bCs w:val="0"/>
          <w:color w:val="auto"/>
          <w:sz w:val="32"/>
          <w:szCs w:val="32"/>
          <w:highlight w:val="none"/>
          <w:lang w:val="en-US" w:eastAsia="zh-CN"/>
        </w:rPr>
        <w:t>市场</w:t>
      </w:r>
      <w:r>
        <w:rPr>
          <w:rFonts w:hint="eastAsia" w:ascii="Times New Roman" w:hAnsi="Times New Roman" w:eastAsia="仿宋_GB2312" w:cs="Times New Roman"/>
          <w:b w:val="0"/>
          <w:bCs w:val="0"/>
          <w:color w:val="auto"/>
          <w:sz w:val="32"/>
          <w:szCs w:val="32"/>
          <w:highlight w:val="none"/>
          <w:lang w:val="en-US" w:eastAsia="zh-CN"/>
        </w:rPr>
        <w:t>潜力。</w:t>
      </w:r>
      <w:r>
        <w:rPr>
          <w:rFonts w:hint="default" w:ascii="Times New Roman" w:hAnsi="Times New Roman" w:eastAsia="仿宋_GB2312" w:cs="Times New Roman"/>
          <w:b w:val="0"/>
          <w:bCs w:val="0"/>
          <w:color w:val="auto"/>
          <w:sz w:val="32"/>
          <w:szCs w:val="32"/>
          <w:highlight w:val="none"/>
          <w:lang w:val="en-US" w:eastAsia="zh-CN"/>
        </w:rPr>
        <w:t>绿廊公园、城南汽车站等新商圈</w:t>
      </w:r>
      <w:r>
        <w:rPr>
          <w:rFonts w:hint="eastAsia" w:ascii="Times New Roman" w:hAnsi="Times New Roman" w:eastAsia="仿宋_GB2312" w:cs="Times New Roman"/>
          <w:b w:val="0"/>
          <w:bCs w:val="0"/>
          <w:color w:val="auto"/>
          <w:sz w:val="32"/>
          <w:szCs w:val="32"/>
          <w:highlight w:val="none"/>
          <w:lang w:val="en-US" w:eastAsia="zh-CN"/>
        </w:rPr>
        <w:t>逐步</w:t>
      </w:r>
      <w:r>
        <w:rPr>
          <w:rFonts w:hint="default" w:ascii="Times New Roman" w:hAnsi="Times New Roman" w:eastAsia="仿宋_GB2312" w:cs="Times New Roman"/>
          <w:b w:val="0"/>
          <w:bCs w:val="0"/>
          <w:color w:val="auto"/>
          <w:sz w:val="32"/>
          <w:szCs w:val="32"/>
          <w:highlight w:val="none"/>
          <w:lang w:val="en-US" w:eastAsia="zh-CN"/>
        </w:rPr>
        <w:t>成熟，夜市经济繁荣</w:t>
      </w:r>
      <w:r>
        <w:rPr>
          <w:rFonts w:hint="eastAsia" w:ascii="Times New Roman" w:hAnsi="Times New Roman" w:eastAsia="仿宋_GB2312" w:cs="Times New Roman"/>
          <w:b w:val="0"/>
          <w:bCs w:val="0"/>
          <w:color w:val="auto"/>
          <w:sz w:val="32"/>
          <w:szCs w:val="32"/>
          <w:highlight w:val="none"/>
          <w:lang w:val="en-US" w:eastAsia="zh-CN"/>
        </w:rPr>
        <w:t>活跃，带动消费稳步回升</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五年来</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全县</w:t>
      </w:r>
      <w:r>
        <w:rPr>
          <w:rFonts w:hint="default" w:ascii="Times New Roman" w:hAnsi="Times New Roman" w:eastAsia="仿宋_GB2312" w:cs="Times New Roman"/>
          <w:b w:val="0"/>
          <w:bCs w:val="0"/>
          <w:color w:val="auto"/>
          <w:sz w:val="32"/>
          <w:szCs w:val="32"/>
          <w:highlight w:val="none"/>
          <w:lang w:val="en-US" w:eastAsia="zh-CN"/>
        </w:rPr>
        <w:t>新增规上（限上）服务业企业</w:t>
      </w:r>
      <w:r>
        <w:rPr>
          <w:rFonts w:hint="eastAsia" w:ascii="Times New Roman" w:hAnsi="Times New Roman" w:eastAsia="仿宋_GB2312" w:cs="Times New Roman"/>
          <w:b w:val="0"/>
          <w:bCs w:val="0"/>
          <w:color w:val="auto"/>
          <w:sz w:val="32"/>
          <w:szCs w:val="32"/>
          <w:highlight w:val="none"/>
          <w:lang w:val="en-US" w:eastAsia="zh-CN"/>
        </w:rPr>
        <w:t>70</w:t>
      </w:r>
      <w:r>
        <w:rPr>
          <w:rFonts w:hint="default" w:ascii="Times New Roman" w:hAnsi="Times New Roman" w:eastAsia="仿宋_GB2312" w:cs="Times New Roman"/>
          <w:b w:val="0"/>
          <w:bCs w:val="0"/>
          <w:color w:val="auto"/>
          <w:sz w:val="32"/>
          <w:szCs w:val="32"/>
          <w:highlight w:val="none"/>
          <w:lang w:val="en-US" w:eastAsia="zh-CN"/>
        </w:rPr>
        <w:t>家，社会消费品零售总额</w:t>
      </w:r>
      <w:r>
        <w:rPr>
          <w:rFonts w:hint="eastAsia" w:ascii="Times New Roman" w:hAnsi="Times New Roman" w:eastAsia="仿宋_GB2312" w:cs="Times New Roman"/>
          <w:b w:val="0"/>
          <w:bCs w:val="0"/>
          <w:color w:val="auto"/>
          <w:sz w:val="32"/>
          <w:szCs w:val="32"/>
          <w:highlight w:val="none"/>
          <w:lang w:val="en-US" w:eastAsia="zh-CN"/>
        </w:rPr>
        <w:t>实现稳步</w:t>
      </w:r>
      <w:r>
        <w:rPr>
          <w:rFonts w:hint="default" w:ascii="Times New Roman" w:hAnsi="Times New Roman" w:eastAsia="仿宋_GB2312" w:cs="Times New Roman"/>
          <w:b w:val="0"/>
          <w:bCs w:val="0"/>
          <w:color w:val="auto"/>
          <w:sz w:val="32"/>
          <w:szCs w:val="32"/>
          <w:highlight w:val="none"/>
          <w:lang w:val="en-US" w:eastAsia="zh-CN"/>
        </w:rPr>
        <w:t>增长。</w:t>
      </w:r>
      <w:r>
        <w:rPr>
          <w:rFonts w:hint="eastAsia" w:ascii="Times New Roman" w:hAnsi="Times New Roman" w:eastAsia="仿宋_GB2312" w:cs="Times New Roman"/>
          <w:b w:val="0"/>
          <w:bCs w:val="0"/>
          <w:color w:val="auto"/>
          <w:sz w:val="32"/>
          <w:szCs w:val="32"/>
          <w:highlight w:val="none"/>
          <w:lang w:val="en-US" w:eastAsia="zh-CN"/>
        </w:rPr>
        <w:t>现代</w:t>
      </w:r>
      <w:r>
        <w:rPr>
          <w:rFonts w:hint="default" w:ascii="Times New Roman" w:hAnsi="Times New Roman" w:eastAsia="仿宋_GB2312" w:cs="Times New Roman"/>
          <w:b w:val="0"/>
          <w:bCs w:val="0"/>
          <w:color w:val="auto"/>
          <w:sz w:val="32"/>
          <w:szCs w:val="32"/>
          <w:highlight w:val="none"/>
          <w:lang w:val="en-US" w:eastAsia="zh-CN"/>
        </w:rPr>
        <w:t>物流和电商体系</w:t>
      </w:r>
      <w:r>
        <w:rPr>
          <w:rFonts w:hint="eastAsia" w:ascii="Times New Roman" w:hAnsi="Times New Roman" w:eastAsia="仿宋_GB2312" w:cs="Times New Roman"/>
          <w:b w:val="0"/>
          <w:bCs w:val="0"/>
          <w:color w:val="auto"/>
          <w:sz w:val="32"/>
          <w:szCs w:val="32"/>
          <w:highlight w:val="none"/>
          <w:lang w:val="en-US" w:eastAsia="zh-CN"/>
        </w:rPr>
        <w:t>加快</w:t>
      </w:r>
      <w:r>
        <w:rPr>
          <w:rFonts w:hint="default" w:ascii="Times New Roman" w:hAnsi="Times New Roman" w:eastAsia="仿宋_GB2312" w:cs="Times New Roman"/>
          <w:b w:val="0"/>
          <w:bCs w:val="0"/>
          <w:color w:val="auto"/>
          <w:sz w:val="32"/>
          <w:szCs w:val="32"/>
          <w:highlight w:val="none"/>
          <w:lang w:val="en-US" w:eastAsia="zh-CN"/>
        </w:rPr>
        <w:t>完善，县</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乡</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村三级物流服务网络</w:t>
      </w:r>
      <w:r>
        <w:rPr>
          <w:rFonts w:hint="eastAsia" w:ascii="Times New Roman" w:hAnsi="Times New Roman" w:eastAsia="仿宋_GB2312" w:cs="Times New Roman"/>
          <w:b w:val="0"/>
          <w:bCs w:val="0"/>
          <w:color w:val="auto"/>
          <w:sz w:val="32"/>
          <w:szCs w:val="32"/>
          <w:highlight w:val="none"/>
          <w:lang w:val="en-US" w:eastAsia="zh-CN"/>
        </w:rPr>
        <w:t>实现全覆盖</w:t>
      </w:r>
      <w:r>
        <w:rPr>
          <w:rFonts w:hint="default" w:ascii="Times New Roman" w:hAnsi="Times New Roman" w:eastAsia="仿宋_GB2312" w:cs="Times New Roman"/>
          <w:b w:val="0"/>
          <w:bCs w:val="0"/>
          <w:color w:val="auto"/>
          <w:sz w:val="32"/>
          <w:szCs w:val="32"/>
          <w:highlight w:val="none"/>
          <w:lang w:val="en-US" w:eastAsia="zh-CN"/>
        </w:rPr>
        <w:t>，农村电商</w:t>
      </w:r>
      <w:r>
        <w:rPr>
          <w:rFonts w:hint="eastAsia" w:ascii="Times New Roman" w:hAnsi="Times New Roman" w:eastAsia="仿宋_GB2312" w:cs="Times New Roman"/>
          <w:b w:val="0"/>
          <w:bCs w:val="0"/>
          <w:color w:val="auto"/>
          <w:sz w:val="32"/>
          <w:szCs w:val="32"/>
          <w:highlight w:val="none"/>
          <w:lang w:val="en-US" w:eastAsia="zh-CN"/>
        </w:rPr>
        <w:t>通达</w:t>
      </w:r>
      <w:r>
        <w:rPr>
          <w:rFonts w:hint="default" w:ascii="Times New Roman" w:hAnsi="Times New Roman" w:eastAsia="仿宋_GB2312" w:cs="Times New Roman"/>
          <w:b w:val="0"/>
          <w:bCs w:val="0"/>
          <w:color w:val="auto"/>
          <w:sz w:val="32"/>
          <w:szCs w:val="32"/>
          <w:highlight w:val="none"/>
          <w:lang w:val="en-US" w:eastAsia="zh-CN"/>
        </w:rPr>
        <w:t>率达100%，成功入选全区农村物流高质量发展标准县。文体旅融合</w:t>
      </w:r>
      <w:r>
        <w:rPr>
          <w:rFonts w:hint="eastAsia" w:ascii="Times New Roman" w:hAnsi="Times New Roman" w:eastAsia="仿宋_GB2312" w:cs="Times New Roman"/>
          <w:b w:val="0"/>
          <w:bCs w:val="0"/>
          <w:color w:val="auto"/>
          <w:sz w:val="32"/>
          <w:szCs w:val="32"/>
          <w:highlight w:val="none"/>
          <w:lang w:val="en-US" w:eastAsia="zh-CN"/>
        </w:rPr>
        <w:t>深入推进</w:t>
      </w:r>
      <w:r>
        <w:rPr>
          <w:rFonts w:hint="default"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“拉沟药王节”“江口百鱼宴”“中渡五·廿八城隍庙会”等</w:t>
      </w:r>
      <w:r>
        <w:rPr>
          <w:rFonts w:hint="eastAsia" w:ascii="仿宋_GB2312" w:hAnsi="仿宋_GB2312" w:eastAsia="仿宋_GB2312" w:cs="仿宋_GB2312"/>
          <w:b w:val="0"/>
          <w:bCs w:val="0"/>
          <w:color w:val="auto"/>
          <w:sz w:val="32"/>
          <w:szCs w:val="32"/>
          <w:highlight w:val="none"/>
          <w:lang w:val="en-US" w:eastAsia="zh-CN"/>
        </w:rPr>
        <w:t>“一乡一节”</w:t>
      </w:r>
      <w:r>
        <w:rPr>
          <w:rFonts w:hint="eastAsia" w:ascii="Times New Roman" w:hAnsi="Times New Roman" w:eastAsia="仿宋_GB2312" w:cs="Times New Roman"/>
          <w:b w:val="0"/>
          <w:bCs w:val="0"/>
          <w:color w:val="auto"/>
          <w:sz w:val="32"/>
          <w:szCs w:val="32"/>
          <w:highlight w:val="none"/>
          <w:lang w:val="en-US" w:eastAsia="zh-CN"/>
        </w:rPr>
        <w:t>品牌影响力持续扩大，环广西公路自行车世界巡回赛（鹿寨段）、中国山地越野公开赛（鹿寨站）等国家级赛事</w:t>
      </w:r>
      <w:r>
        <w:rPr>
          <w:rFonts w:hint="default" w:ascii="Times New Roman" w:hAnsi="Times New Roman" w:eastAsia="仿宋_GB2312" w:cs="Times New Roman"/>
          <w:b w:val="0"/>
          <w:bCs w:val="0"/>
          <w:color w:val="auto"/>
          <w:sz w:val="32"/>
          <w:szCs w:val="32"/>
          <w:highlight w:val="none"/>
          <w:lang w:val="en-US" w:eastAsia="zh-CN"/>
        </w:rPr>
        <w:t>成功举办，</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鹿寨镇篮球代表队在</w:t>
      </w:r>
      <w:r>
        <w:rPr>
          <w:rFonts w:hint="eastAsia" w:ascii="Times New Roman" w:hAnsi="Times New Roman" w:eastAsia="仿宋_GB2312" w:cs="仿宋_GB2312"/>
          <w:i w:val="0"/>
          <w:caps w:val="0"/>
          <w:color w:val="auto"/>
          <w:spacing w:val="0"/>
          <w:sz w:val="32"/>
          <w:szCs w:val="32"/>
          <w:highlight w:val="none"/>
          <w:shd w:val="clear" w:color="auto" w:fill="FFFFFF"/>
          <w:lang w:val="en-US" w:eastAsia="zh-CN"/>
        </w:rPr>
        <w:t>2025</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年“村</w:t>
      </w:r>
      <w:r>
        <w:rPr>
          <w:rFonts w:hint="eastAsia" w:ascii="Times New Roman" w:hAnsi="Times New Roman" w:eastAsia="仿宋_GB2312" w:cs="仿宋_GB2312"/>
          <w:i w:val="0"/>
          <w:caps w:val="0"/>
          <w:color w:val="auto"/>
          <w:spacing w:val="0"/>
          <w:sz w:val="32"/>
          <w:szCs w:val="32"/>
          <w:highlight w:val="none"/>
          <w:shd w:val="clear" w:color="auto" w:fill="FFFFFF"/>
          <w:lang w:val="en-US" w:eastAsia="zh-CN"/>
        </w:rPr>
        <w:t>BA</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”球王争霸赛全国总决赛中夺冠。</w:t>
      </w:r>
      <w:r>
        <w:rPr>
          <w:rFonts w:hint="eastAsia" w:ascii="仿宋_GB2312" w:hAnsi="仿宋_GB2312" w:eastAsia="仿宋_GB2312" w:cs="仿宋_GB2312"/>
          <w:b w:val="0"/>
          <w:bCs w:val="0"/>
          <w:color w:val="auto"/>
          <w:sz w:val="32"/>
          <w:szCs w:val="32"/>
          <w:highlight w:val="none"/>
          <w:lang w:val="en-US" w:eastAsia="zh-CN"/>
        </w:rPr>
        <w:t>“文</w:t>
      </w:r>
      <w:r>
        <w:rPr>
          <w:rFonts w:hint="default" w:ascii="Times New Roman" w:hAnsi="Times New Roman" w:eastAsia="仿宋_GB2312" w:cs="Times New Roman"/>
          <w:b w:val="0"/>
          <w:bCs w:val="0"/>
          <w:color w:val="auto"/>
          <w:sz w:val="32"/>
          <w:szCs w:val="32"/>
          <w:highlight w:val="none"/>
          <w:lang w:val="en-US" w:eastAsia="zh-CN"/>
        </w:rPr>
        <w:t>旅</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研</w:t>
      </w:r>
      <w:r>
        <w:rPr>
          <w:rFonts w:hint="eastAsia" w:ascii="仿宋_GB2312" w:hAnsi="仿宋_GB2312" w:eastAsia="仿宋_GB2312" w:cs="仿宋_GB2312"/>
          <w:b w:val="0"/>
          <w:bCs w:val="0"/>
          <w:color w:val="auto"/>
          <w:sz w:val="32"/>
          <w:szCs w:val="32"/>
          <w:highlight w:val="none"/>
          <w:lang w:val="en-US" w:eastAsia="zh-CN"/>
        </w:rPr>
        <w:t>学”等</w:t>
      </w:r>
      <w:r>
        <w:rPr>
          <w:rFonts w:hint="default" w:ascii="Times New Roman" w:hAnsi="Times New Roman" w:eastAsia="仿宋_GB2312" w:cs="Times New Roman"/>
          <w:b w:val="0"/>
          <w:bCs w:val="0"/>
          <w:color w:val="auto"/>
          <w:sz w:val="32"/>
          <w:szCs w:val="32"/>
          <w:highlight w:val="none"/>
          <w:lang w:val="en-US" w:eastAsia="zh-CN"/>
        </w:rPr>
        <w:t>新</w:t>
      </w:r>
      <w:r>
        <w:rPr>
          <w:rFonts w:hint="eastAsia" w:ascii="Times New Roman" w:hAnsi="Times New Roman" w:eastAsia="仿宋_GB2312" w:cs="Times New Roman"/>
          <w:b w:val="0"/>
          <w:bCs w:val="0"/>
          <w:color w:val="auto"/>
          <w:sz w:val="32"/>
          <w:szCs w:val="32"/>
          <w:highlight w:val="none"/>
          <w:lang w:val="en-US" w:eastAsia="zh-CN"/>
        </w:rPr>
        <w:t>模式不断涌现</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旅游</w:t>
      </w:r>
      <w:r>
        <w:rPr>
          <w:rFonts w:hint="default" w:ascii="Times New Roman" w:hAnsi="Times New Roman" w:eastAsia="仿宋_GB2312" w:cs="Times New Roman"/>
          <w:b w:val="0"/>
          <w:bCs w:val="0"/>
          <w:color w:val="auto"/>
          <w:sz w:val="32"/>
          <w:szCs w:val="32"/>
          <w:highlight w:val="none"/>
          <w:lang w:val="en-US" w:eastAsia="zh-CN"/>
        </w:rPr>
        <w:t>接待</w:t>
      </w:r>
      <w:r>
        <w:rPr>
          <w:rFonts w:hint="eastAsia" w:ascii="Times New Roman" w:hAnsi="Times New Roman" w:eastAsia="仿宋_GB2312" w:cs="Times New Roman"/>
          <w:b w:val="0"/>
          <w:bCs w:val="0"/>
          <w:color w:val="auto"/>
          <w:sz w:val="32"/>
          <w:szCs w:val="32"/>
          <w:highlight w:val="none"/>
          <w:lang w:val="en-US" w:eastAsia="zh-CN"/>
        </w:rPr>
        <w:t>人数与</w:t>
      </w:r>
      <w:r>
        <w:rPr>
          <w:rFonts w:hint="default" w:ascii="Times New Roman" w:hAnsi="Times New Roman" w:eastAsia="仿宋_GB2312" w:cs="Times New Roman"/>
          <w:b w:val="0"/>
          <w:bCs w:val="0"/>
          <w:color w:val="auto"/>
          <w:sz w:val="32"/>
          <w:szCs w:val="32"/>
          <w:highlight w:val="none"/>
          <w:lang w:val="en-US" w:eastAsia="zh-CN"/>
        </w:rPr>
        <w:t>消费</w:t>
      </w:r>
      <w:r>
        <w:rPr>
          <w:rFonts w:hint="eastAsia" w:ascii="Times New Roman" w:hAnsi="Times New Roman" w:eastAsia="仿宋_GB2312" w:cs="Times New Roman"/>
          <w:b w:val="0"/>
          <w:bCs w:val="0"/>
          <w:color w:val="auto"/>
          <w:sz w:val="32"/>
          <w:szCs w:val="32"/>
          <w:highlight w:val="none"/>
          <w:lang w:val="en-US" w:eastAsia="zh-CN"/>
        </w:rPr>
        <w:t>规模稳步提升</w:t>
      </w:r>
      <w:r>
        <w:rPr>
          <w:rFonts w:hint="default" w:ascii="Times New Roman" w:hAnsi="Times New Roman" w:eastAsia="仿宋_GB2312" w:cs="Times New Roman"/>
          <w:b w:val="0"/>
          <w:bCs w:val="0"/>
          <w:color w:val="auto"/>
          <w:sz w:val="32"/>
          <w:szCs w:val="32"/>
          <w:highlight w:val="none"/>
          <w:lang w:val="en-US" w:eastAsia="zh-CN"/>
        </w:rPr>
        <w:t>。</w:t>
      </w:r>
    </w:p>
    <w:p w14:paraId="3B0E701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乡村振兴迈出坚实步伐。</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全面完成脱贫攻坚同乡村振兴有效衔接工作。</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粮食生产保持稳定，产量连续五年</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稳定</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在14万吨以上。蔬菜、水果、桑蚕、糖料蔗等主要农产品实现量效齐增，带动农林牧渔业总产值持续</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提</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升。产业振兴扎实推进，</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“鹿寨蜜橙”获批第六批广西</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特色农产品优势区</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创建项目，</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“寨沙头菜”</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获国家地理标志证明商标</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认定</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，黄冕镇获评全</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国“一村一品”示</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范村镇。农业产业化进程加快，规模化、设施化、订单化模式广泛推广</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农业基础不断夯实，累计新建和改造高标准农田</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43.43</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万亩，</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主要农作物</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综合机械化率提高至7</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8</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%。三产融合成效</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突出</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，中蔬联</w:t>
      </w:r>
      <w:r>
        <w:rPr>
          <w:rFonts w:hint="eastAsia" w:ascii="仿宋_GB2312" w:hAnsi="仿宋_GB2312" w:eastAsia="仿宋_GB2312" w:cs="仿宋_GB2312"/>
          <w:b w:val="0"/>
          <w:bCs w:val="0"/>
          <w:color w:val="auto"/>
          <w:sz w:val="32"/>
          <w:szCs w:val="32"/>
          <w:highlight w:val="none"/>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鹿寨智慧农商产业园</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获评“全国三产融合示范园”</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，引入物联网技术实现农产品全程可追溯，年交易额突破5亿元。乡村建设水平整体提升，人居环境持续改善。累计投入2亿元用于乡村基础设施建设，农村电网升级、垃圾污水处理、户厕改造等项目有序</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实施。</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农村改革持续深化，集体产权制度改革获全国先进表彰</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，农村产权流转交易中心累计挂牌总额4亿元，农村产权流转</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规范化工作被</w:t>
      </w:r>
      <w:r>
        <w:rPr>
          <w:rFonts w:hint="eastAsia"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列</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为全国整县（市、区）试点之一。</w:t>
      </w:r>
    </w:p>
    <w:p w14:paraId="10E05E4E">
      <w:pPr>
        <w:pStyle w:val="18"/>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firstLine="643" w:firstLineChars="200"/>
        <w:contextualSpacing/>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color w:val="auto"/>
          <w:kern w:val="0"/>
          <w:sz w:val="32"/>
          <w:szCs w:val="32"/>
          <w:highlight w:val="none"/>
          <w:lang w:val="en-US" w:eastAsia="zh-CN"/>
        </w:rPr>
        <w:t>城乡融合发展</w:t>
      </w:r>
      <w:r>
        <w:rPr>
          <w:rFonts w:hint="eastAsia" w:ascii="Times New Roman" w:hAnsi="Times New Roman" w:eastAsia="仿宋_GB2312" w:cs="Times New Roman"/>
          <w:b/>
          <w:color w:val="auto"/>
          <w:kern w:val="0"/>
          <w:sz w:val="32"/>
          <w:szCs w:val="32"/>
          <w:highlight w:val="none"/>
          <w:lang w:val="en-US" w:eastAsia="zh-CN"/>
        </w:rPr>
        <w:t>形成</w:t>
      </w:r>
      <w:r>
        <w:rPr>
          <w:rFonts w:hint="default" w:ascii="Times New Roman" w:hAnsi="Times New Roman" w:eastAsia="仿宋_GB2312" w:cs="Times New Roman"/>
          <w:b/>
          <w:color w:val="auto"/>
          <w:kern w:val="0"/>
          <w:sz w:val="32"/>
          <w:szCs w:val="32"/>
          <w:highlight w:val="none"/>
          <w:lang w:val="en-US" w:eastAsia="zh-CN"/>
        </w:rPr>
        <w:t>新</w:t>
      </w:r>
      <w:r>
        <w:rPr>
          <w:rFonts w:hint="eastAsia" w:ascii="Times New Roman" w:hAnsi="Times New Roman" w:eastAsia="仿宋_GB2312" w:cs="Times New Roman"/>
          <w:b/>
          <w:color w:val="auto"/>
          <w:kern w:val="0"/>
          <w:sz w:val="32"/>
          <w:szCs w:val="32"/>
          <w:highlight w:val="none"/>
          <w:lang w:val="en-US" w:eastAsia="zh-CN"/>
        </w:rPr>
        <w:t>局面</w:t>
      </w:r>
      <w:r>
        <w:rPr>
          <w:rFonts w:hint="default" w:ascii="Times New Roman" w:hAnsi="Times New Roman" w:eastAsia="仿宋_GB2312" w:cs="Times New Roman"/>
          <w:b/>
          <w:color w:val="auto"/>
          <w:kern w:val="0"/>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全县</w:t>
      </w:r>
      <w:r>
        <w:rPr>
          <w:rFonts w:hint="default" w:ascii="Times New Roman" w:hAnsi="Times New Roman" w:eastAsia="仿宋_GB2312" w:cs="Times New Roman"/>
          <w:b w:val="0"/>
          <w:bCs w:val="0"/>
          <w:color w:val="auto"/>
          <w:sz w:val="32"/>
          <w:szCs w:val="32"/>
          <w:highlight w:val="none"/>
          <w:lang w:val="en-US" w:eastAsia="zh-CN"/>
        </w:rPr>
        <w:t>城镇化水平显著提</w:t>
      </w:r>
      <w:r>
        <w:rPr>
          <w:rFonts w:hint="eastAsia" w:ascii="Times New Roman" w:hAnsi="Times New Roman" w:eastAsia="仿宋_GB2312" w:cs="Times New Roman"/>
          <w:b w:val="0"/>
          <w:bCs w:val="0"/>
          <w:color w:val="auto"/>
          <w:sz w:val="32"/>
          <w:szCs w:val="32"/>
          <w:highlight w:val="none"/>
          <w:lang w:val="en-US" w:eastAsia="zh-CN"/>
        </w:rPr>
        <w:t>升</w:t>
      </w:r>
      <w:r>
        <w:rPr>
          <w:rFonts w:hint="default" w:ascii="Times New Roman" w:hAnsi="Times New Roman" w:eastAsia="仿宋_GB2312" w:cs="Times New Roman"/>
          <w:b w:val="0"/>
          <w:bCs w:val="0"/>
          <w:color w:val="auto"/>
          <w:sz w:val="32"/>
          <w:szCs w:val="32"/>
          <w:highlight w:val="none"/>
          <w:lang w:val="en-US" w:eastAsia="zh-CN"/>
        </w:rPr>
        <w:t>，城镇化率达57.</w:t>
      </w:r>
      <w:r>
        <w:rPr>
          <w:rFonts w:hint="eastAsia"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成功入选</w:t>
      </w:r>
      <w:r>
        <w:rPr>
          <w:rFonts w:hint="default" w:ascii="Times New Roman" w:hAnsi="Times New Roman" w:eastAsia="仿宋_GB2312" w:cs="Times New Roman"/>
          <w:b w:val="0"/>
          <w:bCs w:val="0"/>
          <w:color w:val="auto"/>
          <w:sz w:val="32"/>
          <w:szCs w:val="32"/>
          <w:highlight w:val="none"/>
          <w:lang w:val="en-US" w:eastAsia="zh-CN"/>
        </w:rPr>
        <w:t>自治区新型城镇化示范试点。</w:t>
      </w:r>
      <w:r>
        <w:rPr>
          <w:rFonts w:hint="eastAsia" w:ascii="Times New Roman" w:hAnsi="Times New Roman" w:eastAsia="仿宋_GB2312" w:cs="Times New Roman"/>
          <w:b w:val="0"/>
          <w:bCs w:val="0"/>
          <w:color w:val="auto"/>
          <w:sz w:val="32"/>
          <w:szCs w:val="32"/>
          <w:highlight w:val="none"/>
          <w:lang w:val="en-US" w:eastAsia="zh-CN"/>
        </w:rPr>
        <w:t>在</w:t>
      </w:r>
      <w:r>
        <w:rPr>
          <w:rFonts w:hint="default" w:ascii="Times New Roman" w:hAnsi="Times New Roman" w:eastAsia="仿宋_GB2312" w:cs="Times New Roman"/>
          <w:b w:val="0"/>
          <w:bCs w:val="0"/>
          <w:color w:val="auto"/>
          <w:sz w:val="32"/>
          <w:szCs w:val="32"/>
          <w:highlight w:val="none"/>
          <w:lang w:val="en-US" w:eastAsia="zh-CN"/>
        </w:rPr>
        <w:t>全区县域</w:t>
      </w:r>
      <w:r>
        <w:rPr>
          <w:rFonts w:hint="eastAsia" w:ascii="Times New Roman" w:hAnsi="Times New Roman" w:eastAsia="仿宋_GB2312" w:cs="Times New Roman"/>
          <w:b w:val="0"/>
          <w:bCs w:val="0"/>
          <w:color w:val="auto"/>
          <w:sz w:val="32"/>
          <w:szCs w:val="32"/>
          <w:highlight w:val="none"/>
          <w:lang w:val="en-US" w:eastAsia="zh-CN"/>
        </w:rPr>
        <w:t>率先落</w:t>
      </w:r>
      <w:r>
        <w:rPr>
          <w:rFonts w:hint="eastAsia" w:ascii="仿宋_GB2312" w:hAnsi="仿宋_GB2312" w:eastAsia="仿宋_GB2312" w:cs="仿宋_GB2312"/>
          <w:b w:val="0"/>
          <w:bCs w:val="0"/>
          <w:color w:val="auto"/>
          <w:sz w:val="32"/>
          <w:szCs w:val="32"/>
          <w:highlight w:val="none"/>
          <w:lang w:val="en-US" w:eastAsia="zh-CN"/>
        </w:rPr>
        <w:t>地“智慧停车”</w:t>
      </w:r>
      <w:r>
        <w:rPr>
          <w:rFonts w:hint="default" w:ascii="Times New Roman" w:hAnsi="Times New Roman" w:eastAsia="仿宋_GB2312" w:cs="Times New Roman"/>
          <w:b w:val="0"/>
          <w:bCs w:val="0"/>
          <w:color w:val="auto"/>
          <w:sz w:val="32"/>
          <w:szCs w:val="32"/>
          <w:highlight w:val="none"/>
          <w:lang w:val="en-US" w:eastAsia="zh-CN"/>
        </w:rPr>
        <w:t>项目</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kern w:val="0"/>
          <w:sz w:val="32"/>
          <w:szCs w:val="32"/>
          <w:highlight w:val="none"/>
          <w:lang w:val="en-US" w:eastAsia="zh-CN"/>
        </w:rPr>
        <w:t>树立智慧城市建设新标杆。</w:t>
      </w:r>
      <w:r>
        <w:rPr>
          <w:rFonts w:hint="default" w:ascii="Times New Roman" w:hAnsi="Times New Roman" w:eastAsia="仿宋_GB2312" w:cs="Times New Roman"/>
          <w:b w:val="0"/>
          <w:bCs w:val="0"/>
          <w:color w:val="auto"/>
          <w:sz w:val="32"/>
          <w:szCs w:val="32"/>
          <w:highlight w:val="none"/>
          <w:lang w:val="en-US" w:eastAsia="zh-CN"/>
        </w:rPr>
        <w:t>老旧小区改造、污水处理厂建设、5G网络覆盖等项目</w:t>
      </w:r>
      <w:r>
        <w:rPr>
          <w:rFonts w:hint="eastAsia" w:ascii="Times New Roman" w:hAnsi="Times New Roman" w:eastAsia="仿宋_GB2312" w:cs="Times New Roman"/>
          <w:b w:val="0"/>
          <w:bCs w:val="0"/>
          <w:color w:val="auto"/>
          <w:sz w:val="32"/>
          <w:szCs w:val="32"/>
          <w:highlight w:val="none"/>
          <w:lang w:val="en-US" w:eastAsia="zh-CN"/>
        </w:rPr>
        <w:t>稳步实施</w:t>
      </w:r>
      <w:r>
        <w:rPr>
          <w:rFonts w:hint="default" w:ascii="Times New Roman" w:hAnsi="Times New Roman" w:eastAsia="仿宋_GB2312" w:cs="Times New Roman"/>
          <w:b w:val="0"/>
          <w:bCs w:val="0"/>
          <w:color w:val="auto"/>
          <w:sz w:val="32"/>
          <w:szCs w:val="32"/>
          <w:highlight w:val="none"/>
          <w:lang w:val="en-US" w:eastAsia="zh-CN"/>
        </w:rPr>
        <w:t>，成功获评</w:t>
      </w:r>
      <w:r>
        <w:rPr>
          <w:rFonts w:hint="eastAsia" w:ascii="仿宋_GB2312" w:hAnsi="仿宋_GB2312" w:eastAsia="仿宋_GB2312" w:cs="仿宋_GB2312"/>
          <w:b w:val="0"/>
          <w:bCs w:val="0"/>
          <w:color w:val="auto"/>
          <w:sz w:val="32"/>
          <w:szCs w:val="32"/>
          <w:highlight w:val="none"/>
          <w:lang w:val="en-US" w:eastAsia="zh-CN"/>
        </w:rPr>
        <w:t>“广西新能源汽车推广应用示范县”</w:t>
      </w:r>
      <w:r>
        <w:rPr>
          <w:rFonts w:hint="default" w:ascii="Times New Roman" w:hAnsi="Times New Roman" w:eastAsia="仿宋_GB2312" w:cs="Times New Roman"/>
          <w:b w:val="0"/>
          <w:bCs w:val="0"/>
          <w:color w:val="auto"/>
          <w:sz w:val="32"/>
          <w:szCs w:val="32"/>
          <w:highlight w:val="none"/>
          <w:lang w:val="en-US" w:eastAsia="zh-CN"/>
        </w:rPr>
        <w:t>。基础设施体系持续改善，城</w:t>
      </w:r>
      <w:r>
        <w:rPr>
          <w:rFonts w:hint="eastAsia" w:ascii="Times New Roman" w:hAnsi="Times New Roman" w:eastAsia="仿宋_GB2312" w:cs="Times New Roman"/>
          <w:b w:val="0"/>
          <w:bCs w:val="0"/>
          <w:color w:val="auto"/>
          <w:sz w:val="32"/>
          <w:szCs w:val="32"/>
          <w:highlight w:val="none"/>
          <w:lang w:val="en-US" w:eastAsia="zh-CN"/>
        </w:rPr>
        <w:t>区</w:t>
      </w:r>
      <w:r>
        <w:rPr>
          <w:rFonts w:hint="default" w:ascii="Times New Roman" w:hAnsi="Times New Roman" w:eastAsia="仿宋_GB2312" w:cs="Times New Roman"/>
          <w:b w:val="0"/>
          <w:bCs w:val="0"/>
          <w:color w:val="auto"/>
          <w:sz w:val="32"/>
          <w:szCs w:val="32"/>
          <w:highlight w:val="none"/>
          <w:lang w:val="en-US" w:eastAsia="zh-CN"/>
        </w:rPr>
        <w:t>绿化率</w:t>
      </w:r>
      <w:r>
        <w:rPr>
          <w:rFonts w:hint="eastAsia" w:ascii="Times New Roman" w:hAnsi="Times New Roman" w:eastAsia="仿宋_GB2312" w:cs="Times New Roman"/>
          <w:b w:val="0"/>
          <w:bCs w:val="0"/>
          <w:color w:val="auto"/>
          <w:sz w:val="32"/>
          <w:szCs w:val="32"/>
          <w:highlight w:val="none"/>
          <w:lang w:val="en-US" w:eastAsia="zh-CN"/>
        </w:rPr>
        <w:t>达</w:t>
      </w:r>
      <w:r>
        <w:rPr>
          <w:rFonts w:hint="default" w:ascii="Times New Roman" w:hAnsi="Times New Roman" w:eastAsia="仿宋_GB2312" w:cs="Times New Roman"/>
          <w:b w:val="0"/>
          <w:bCs w:val="0"/>
          <w:color w:val="auto"/>
          <w:sz w:val="32"/>
          <w:szCs w:val="32"/>
          <w:highlight w:val="none"/>
          <w:lang w:val="en-US" w:eastAsia="zh-CN"/>
        </w:rPr>
        <w:t>46.4</w:t>
      </w:r>
      <w:r>
        <w:rPr>
          <w:rFonts w:hint="eastAsia"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lang w:val="en-US" w:eastAsia="zh-CN"/>
        </w:rPr>
        <w:t>%，县城道路</w:t>
      </w:r>
      <w:r>
        <w:rPr>
          <w:rFonts w:hint="eastAsia" w:ascii="Times New Roman" w:hAnsi="Times New Roman" w:eastAsia="仿宋_GB2312" w:cs="Times New Roman"/>
          <w:b w:val="0"/>
          <w:bCs w:val="0"/>
          <w:color w:val="auto"/>
          <w:sz w:val="32"/>
          <w:szCs w:val="32"/>
          <w:highlight w:val="none"/>
          <w:lang w:val="en-US" w:eastAsia="zh-CN"/>
        </w:rPr>
        <w:t>路</w:t>
      </w:r>
      <w:r>
        <w:rPr>
          <w:rFonts w:hint="default" w:ascii="Times New Roman" w:hAnsi="Times New Roman" w:eastAsia="仿宋_GB2312" w:cs="Times New Roman"/>
          <w:b w:val="0"/>
          <w:bCs w:val="0"/>
          <w:color w:val="auto"/>
          <w:sz w:val="32"/>
          <w:szCs w:val="32"/>
          <w:highlight w:val="none"/>
          <w:lang w:val="en-US" w:eastAsia="zh-CN"/>
        </w:rPr>
        <w:t>网密度提</w:t>
      </w:r>
      <w:r>
        <w:rPr>
          <w:rFonts w:hint="eastAsia" w:ascii="Times New Roman" w:hAnsi="Times New Roman" w:eastAsia="仿宋_GB2312" w:cs="Times New Roman"/>
          <w:b w:val="0"/>
          <w:bCs w:val="0"/>
          <w:color w:val="auto"/>
          <w:sz w:val="32"/>
          <w:szCs w:val="32"/>
          <w:highlight w:val="none"/>
          <w:lang w:val="en-US" w:eastAsia="zh-CN"/>
        </w:rPr>
        <w:t>高</w:t>
      </w:r>
      <w:r>
        <w:rPr>
          <w:rFonts w:hint="default" w:ascii="Times New Roman" w:hAnsi="Times New Roman" w:eastAsia="仿宋_GB2312" w:cs="Times New Roman"/>
          <w:b w:val="0"/>
          <w:bCs w:val="0"/>
          <w:color w:val="auto"/>
          <w:sz w:val="32"/>
          <w:szCs w:val="32"/>
          <w:highlight w:val="none"/>
          <w:lang w:val="en-US" w:eastAsia="zh-CN"/>
        </w:rPr>
        <w:t>至8.98公里/平方公里，城市会客厅、体育公园等一批高品质休闲设施</w:t>
      </w:r>
      <w:r>
        <w:rPr>
          <w:rFonts w:hint="eastAsia" w:ascii="Times New Roman" w:hAnsi="Times New Roman" w:eastAsia="仿宋_GB2312" w:cs="Times New Roman"/>
          <w:b w:val="0"/>
          <w:bCs w:val="0"/>
          <w:color w:val="auto"/>
          <w:sz w:val="32"/>
          <w:szCs w:val="32"/>
          <w:highlight w:val="none"/>
          <w:lang w:val="en-US" w:eastAsia="zh-CN"/>
        </w:rPr>
        <w:t>相继</w:t>
      </w:r>
      <w:r>
        <w:rPr>
          <w:rFonts w:hint="default" w:ascii="Times New Roman" w:hAnsi="Times New Roman" w:eastAsia="仿宋_GB2312" w:cs="Times New Roman"/>
          <w:b w:val="0"/>
          <w:bCs w:val="0"/>
          <w:color w:val="auto"/>
          <w:sz w:val="32"/>
          <w:szCs w:val="32"/>
          <w:highlight w:val="none"/>
          <w:lang w:val="en-US" w:eastAsia="zh-CN"/>
        </w:rPr>
        <w:t>建成，市民生活空间</w:t>
      </w:r>
      <w:r>
        <w:rPr>
          <w:rFonts w:hint="eastAsia" w:ascii="Times New Roman" w:hAnsi="Times New Roman" w:eastAsia="仿宋_GB2312" w:cs="Times New Roman"/>
          <w:b w:val="0"/>
          <w:bCs w:val="0"/>
          <w:color w:val="auto"/>
          <w:sz w:val="32"/>
          <w:szCs w:val="32"/>
          <w:highlight w:val="none"/>
          <w:lang w:val="en-US" w:eastAsia="zh-CN"/>
        </w:rPr>
        <w:t>持续</w:t>
      </w:r>
      <w:r>
        <w:rPr>
          <w:rFonts w:hint="default" w:ascii="Times New Roman" w:hAnsi="Times New Roman" w:eastAsia="仿宋_GB2312" w:cs="Times New Roman"/>
          <w:b w:val="0"/>
          <w:bCs w:val="0"/>
          <w:color w:val="auto"/>
          <w:sz w:val="32"/>
          <w:szCs w:val="32"/>
          <w:highlight w:val="none"/>
          <w:lang w:val="en-US" w:eastAsia="zh-CN"/>
        </w:rPr>
        <w:t>拓展。</w:t>
      </w:r>
      <w:r>
        <w:rPr>
          <w:rFonts w:hint="default" w:ascii="Times New Roman" w:hAnsi="Times New Roman" w:eastAsia="仿宋_GB2312" w:cs="Times New Roman"/>
          <w:color w:val="auto"/>
          <w:kern w:val="0"/>
          <w:sz w:val="32"/>
          <w:szCs w:val="32"/>
          <w:highlight w:val="none"/>
          <w:lang w:val="en-US" w:eastAsia="zh-CN" w:bidi="ar-SA"/>
        </w:rPr>
        <w:t>城乡供水保障水平</w:t>
      </w:r>
      <w:r>
        <w:rPr>
          <w:rFonts w:hint="eastAsia" w:ascii="Times New Roman" w:hAnsi="Times New Roman" w:eastAsia="仿宋_GB2312" w:cs="Times New Roman"/>
          <w:color w:val="auto"/>
          <w:kern w:val="0"/>
          <w:sz w:val="32"/>
          <w:szCs w:val="32"/>
          <w:highlight w:val="none"/>
          <w:lang w:val="en-US" w:eastAsia="zh-CN" w:bidi="ar-SA"/>
        </w:rPr>
        <w:t>显著提升，</w:t>
      </w:r>
      <w:r>
        <w:rPr>
          <w:rFonts w:hint="default" w:ascii="Times New Roman" w:hAnsi="Times New Roman" w:eastAsia="仿宋_GB2312" w:cs="Times New Roman"/>
          <w:color w:val="auto"/>
          <w:kern w:val="0"/>
          <w:sz w:val="32"/>
          <w:szCs w:val="32"/>
          <w:highlight w:val="none"/>
          <w:lang w:val="en-US" w:eastAsia="zh-CN" w:bidi="ar-SA"/>
        </w:rPr>
        <w:t>建成城南、寨沙、黄冕等6个城乡一体化供水工程，随着寨沙镇古木村水厂投入使用，规模化供水率提升至54.79%，农村自来水普及率</w:t>
      </w:r>
      <w:r>
        <w:rPr>
          <w:rFonts w:hint="eastAsia" w:ascii="Times New Roman" w:hAnsi="Times New Roman" w:eastAsia="仿宋_GB2312" w:cs="Times New Roman"/>
          <w:color w:val="auto"/>
          <w:kern w:val="0"/>
          <w:sz w:val="32"/>
          <w:szCs w:val="32"/>
          <w:highlight w:val="none"/>
          <w:lang w:val="en-US" w:eastAsia="zh-CN" w:bidi="ar-SA"/>
        </w:rPr>
        <w:t>达</w:t>
      </w:r>
      <w:r>
        <w:rPr>
          <w:rFonts w:hint="default" w:ascii="Times New Roman" w:hAnsi="Times New Roman" w:eastAsia="仿宋_GB2312" w:cs="Times New Roman"/>
          <w:color w:val="auto"/>
          <w:kern w:val="0"/>
          <w:sz w:val="32"/>
          <w:szCs w:val="32"/>
          <w:highlight w:val="none"/>
          <w:lang w:val="en-US" w:eastAsia="zh-CN" w:bidi="ar-SA"/>
        </w:rPr>
        <w:t>90%以上</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农田灌溉条件进一步改善，新增有效灌溉面积</w:t>
      </w:r>
      <w:r>
        <w:rPr>
          <w:rFonts w:hint="eastAsia" w:ascii="Times New Roman" w:hAnsi="Times New Roman" w:eastAsia="仿宋_GB2312" w:cs="Times New Roman"/>
          <w:color w:val="auto"/>
          <w:kern w:val="0"/>
          <w:sz w:val="32"/>
          <w:szCs w:val="32"/>
          <w:highlight w:val="none"/>
          <w:lang w:val="en-US" w:eastAsia="zh-CN" w:bidi="ar-SA"/>
        </w:rPr>
        <w:t>超</w:t>
      </w:r>
      <w:r>
        <w:rPr>
          <w:rFonts w:hint="default" w:ascii="Times New Roman" w:hAnsi="Times New Roman" w:eastAsia="仿宋_GB2312" w:cs="Times New Roman"/>
          <w:color w:val="auto"/>
          <w:kern w:val="0"/>
          <w:sz w:val="32"/>
          <w:szCs w:val="32"/>
          <w:highlight w:val="none"/>
          <w:lang w:val="en-US" w:eastAsia="zh-CN" w:bidi="ar-SA"/>
        </w:rPr>
        <w:t>7.2万亩</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交通物流枢纽功能</w:t>
      </w:r>
      <w:r>
        <w:rPr>
          <w:rFonts w:hint="eastAsia" w:ascii="Times New Roman" w:hAnsi="Times New Roman" w:eastAsia="仿宋_GB2312" w:cs="Times New Roman"/>
          <w:b w:val="0"/>
          <w:bCs w:val="0"/>
          <w:color w:val="auto"/>
          <w:sz w:val="32"/>
          <w:szCs w:val="32"/>
          <w:highlight w:val="none"/>
          <w:lang w:val="en-US" w:eastAsia="zh-CN"/>
        </w:rPr>
        <w:t>全面</w:t>
      </w:r>
      <w:r>
        <w:rPr>
          <w:rFonts w:hint="default" w:ascii="Times New Roman" w:hAnsi="Times New Roman" w:eastAsia="仿宋_GB2312" w:cs="Times New Roman"/>
          <w:b w:val="0"/>
          <w:bCs w:val="0"/>
          <w:color w:val="auto"/>
          <w:sz w:val="32"/>
          <w:szCs w:val="32"/>
          <w:highlight w:val="none"/>
          <w:lang w:val="en-US" w:eastAsia="zh-CN"/>
        </w:rPr>
        <w:t>增强</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桂柳高速改扩建、阳鹿高速</w:t>
      </w:r>
      <w:r>
        <w:rPr>
          <w:rFonts w:hint="eastAsia" w:ascii="Times New Roman" w:hAnsi="Times New Roman" w:eastAsia="仿宋_GB2312" w:cs="Times New Roman"/>
          <w:b w:val="0"/>
          <w:bCs w:val="0"/>
          <w:color w:val="auto"/>
          <w:sz w:val="32"/>
          <w:szCs w:val="32"/>
          <w:highlight w:val="none"/>
          <w:lang w:val="en-US" w:eastAsia="zh-CN"/>
        </w:rPr>
        <w:t>鹿寨</w:t>
      </w:r>
      <w:r>
        <w:rPr>
          <w:rFonts w:hint="default" w:ascii="Times New Roman" w:hAnsi="Times New Roman" w:eastAsia="仿宋_GB2312" w:cs="Times New Roman"/>
          <w:b w:val="0"/>
          <w:bCs w:val="0"/>
          <w:color w:val="auto"/>
          <w:sz w:val="32"/>
          <w:szCs w:val="32"/>
          <w:highlight w:val="none"/>
          <w:lang w:val="en-US" w:eastAsia="zh-CN"/>
        </w:rPr>
        <w:t>东</w:t>
      </w:r>
      <w:r>
        <w:rPr>
          <w:rFonts w:hint="eastAsia" w:ascii="Times New Roman" w:hAnsi="Times New Roman" w:eastAsia="仿宋_GB2312" w:cs="Times New Roman"/>
          <w:b w:val="0"/>
          <w:bCs w:val="0"/>
          <w:color w:val="auto"/>
          <w:sz w:val="32"/>
          <w:szCs w:val="32"/>
          <w:highlight w:val="none"/>
          <w:lang w:val="en-US" w:eastAsia="zh-CN"/>
        </w:rPr>
        <w:t>连接</w:t>
      </w:r>
      <w:r>
        <w:rPr>
          <w:rFonts w:hint="default" w:ascii="Times New Roman" w:hAnsi="Times New Roman" w:eastAsia="仿宋_GB2312" w:cs="Times New Roman"/>
          <w:b w:val="0"/>
          <w:bCs w:val="0"/>
          <w:color w:val="auto"/>
          <w:sz w:val="32"/>
          <w:szCs w:val="32"/>
          <w:highlight w:val="none"/>
          <w:lang w:val="en-US" w:eastAsia="zh-CN"/>
        </w:rPr>
        <w:t>线</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szCs w:val="40"/>
          <w:highlight w:val="none"/>
          <w:lang w:val="en-US" w:eastAsia="zh-CN"/>
        </w:rPr>
        <w:t>鹿寨—</w:t>
      </w:r>
      <w:r>
        <w:rPr>
          <w:rFonts w:hint="default" w:ascii="Times New Roman" w:hAnsi="Times New Roman" w:eastAsia="仿宋_GB2312" w:cs="Times New Roman"/>
          <w:color w:val="auto"/>
          <w:sz w:val="32"/>
          <w:szCs w:val="40"/>
          <w:highlight w:val="none"/>
          <w:lang w:val="en-US" w:eastAsia="zh-CN"/>
        </w:rPr>
        <w:t>钦州港</w:t>
      </w:r>
      <w:r>
        <w:rPr>
          <w:rFonts w:hint="eastAsia" w:ascii="Times New Roman" w:hAnsi="Times New Roman" w:eastAsia="仿宋_GB2312" w:cs="Times New Roman"/>
          <w:color w:val="auto"/>
          <w:sz w:val="32"/>
          <w:szCs w:val="40"/>
          <w:highlight w:val="none"/>
          <w:lang w:val="en-US" w:eastAsia="zh-CN"/>
        </w:rPr>
        <w:t>（鹿寨</w:t>
      </w:r>
      <w:r>
        <w:rPr>
          <w:rFonts w:hint="default" w:ascii="Times New Roman" w:hAnsi="Times New Roman" w:eastAsia="仿宋_GB2312" w:cs="Times New Roman"/>
          <w:color w:val="auto"/>
          <w:sz w:val="32"/>
          <w:szCs w:val="40"/>
          <w:highlight w:val="none"/>
          <w:lang w:val="en-US" w:eastAsia="zh-CN"/>
        </w:rPr>
        <w:t>至</w:t>
      </w:r>
      <w:r>
        <w:rPr>
          <w:rFonts w:hint="eastAsia" w:ascii="Times New Roman" w:hAnsi="Times New Roman" w:eastAsia="仿宋_GB2312" w:cs="Times New Roman"/>
          <w:color w:val="auto"/>
          <w:sz w:val="32"/>
          <w:szCs w:val="40"/>
          <w:highlight w:val="none"/>
          <w:lang w:val="en-US" w:eastAsia="zh-CN"/>
        </w:rPr>
        <w:t>鱼峰</w:t>
      </w:r>
      <w:r>
        <w:rPr>
          <w:rFonts w:hint="default" w:ascii="Times New Roman" w:hAnsi="Times New Roman" w:eastAsia="仿宋_GB2312" w:cs="Times New Roman"/>
          <w:color w:val="auto"/>
          <w:sz w:val="32"/>
          <w:szCs w:val="40"/>
          <w:highlight w:val="none"/>
          <w:lang w:val="en-US" w:eastAsia="zh-CN"/>
        </w:rPr>
        <w:t>段</w:t>
      </w:r>
      <w:r>
        <w:rPr>
          <w:rFonts w:hint="eastAsia" w:ascii="Times New Roman" w:hAnsi="Times New Roman" w:eastAsia="仿宋_GB2312" w:cs="Times New Roman"/>
          <w:color w:val="auto"/>
          <w:sz w:val="32"/>
          <w:szCs w:val="40"/>
          <w:highlight w:val="none"/>
          <w:lang w:val="en-US" w:eastAsia="zh-CN"/>
        </w:rPr>
        <w:t>）</w:t>
      </w:r>
      <w:r>
        <w:rPr>
          <w:rFonts w:hint="default" w:ascii="Times New Roman" w:hAnsi="Times New Roman" w:eastAsia="仿宋_GB2312" w:cs="Times New Roman"/>
          <w:color w:val="auto"/>
          <w:sz w:val="32"/>
          <w:szCs w:val="40"/>
          <w:highlight w:val="none"/>
          <w:lang w:val="en-US" w:eastAsia="zh-CN"/>
        </w:rPr>
        <w:t>高速公路</w:t>
      </w:r>
      <w:r>
        <w:rPr>
          <w:rFonts w:hint="default" w:ascii="Times New Roman" w:hAnsi="Times New Roman" w:eastAsia="仿宋_GB2312" w:cs="Times New Roman"/>
          <w:b w:val="0"/>
          <w:bCs w:val="0"/>
          <w:color w:val="auto"/>
          <w:sz w:val="32"/>
          <w:szCs w:val="32"/>
          <w:highlight w:val="none"/>
          <w:lang w:val="en-US" w:eastAsia="zh-CN"/>
        </w:rPr>
        <w:t>建成通车，江口港一期正式开港运营，</w:t>
      </w:r>
      <w:r>
        <w:rPr>
          <w:rFonts w:hint="eastAsia" w:ascii="Times New Roman" w:hAnsi="Times New Roman" w:eastAsia="仿宋_GB2312" w:cs="Times New Roman"/>
          <w:b w:val="0"/>
          <w:bCs w:val="0"/>
          <w:color w:val="auto"/>
          <w:sz w:val="32"/>
          <w:szCs w:val="32"/>
          <w:highlight w:val="none"/>
          <w:lang w:val="en-US" w:eastAsia="zh-CN"/>
        </w:rPr>
        <w:t>柳江红花枢纽至石龙三江口</w:t>
      </w:r>
      <w:r>
        <w:rPr>
          <w:rFonts w:hint="default" w:ascii="Times New Roman" w:hAnsi="Times New Roman" w:eastAsia="仿宋_GB2312" w:cs="Times New Roman"/>
          <w:b w:val="0"/>
          <w:bCs w:val="0"/>
          <w:color w:val="auto"/>
          <w:sz w:val="32"/>
          <w:szCs w:val="32"/>
          <w:highlight w:val="none"/>
          <w:lang w:val="en-US" w:eastAsia="zh-CN"/>
        </w:rPr>
        <w:t>Ⅱ</w:t>
      </w:r>
      <w:r>
        <w:rPr>
          <w:rFonts w:hint="eastAsia" w:ascii="Times New Roman" w:hAnsi="Times New Roman" w:eastAsia="仿宋_GB2312" w:cs="Times New Roman"/>
          <w:b w:val="0"/>
          <w:bCs w:val="0"/>
          <w:color w:val="auto"/>
          <w:sz w:val="32"/>
          <w:szCs w:val="32"/>
          <w:highlight w:val="none"/>
          <w:lang w:val="en-US" w:eastAsia="zh-CN"/>
        </w:rPr>
        <w:t>级航道投入使用，</w:t>
      </w:r>
      <w:r>
        <w:rPr>
          <w:rFonts w:hint="eastAsia" w:ascii="仿宋_GB2312" w:hAnsi="仿宋_GB2312" w:eastAsia="仿宋_GB2312" w:cs="仿宋_GB2312"/>
          <w:b w:val="0"/>
          <w:bCs w:val="0"/>
          <w:color w:val="auto"/>
          <w:sz w:val="32"/>
          <w:szCs w:val="32"/>
          <w:highlight w:val="none"/>
          <w:lang w:val="en-US" w:eastAsia="zh-CN"/>
        </w:rPr>
        <w:t>“公铁水”多式联运格局初步形成。成功创建“全国</w:t>
      </w:r>
      <w:r>
        <w:rPr>
          <w:rFonts w:hint="eastAsia" w:ascii="仿宋_GB2312" w:hAnsi="仿宋_GB2312" w:eastAsia="仿宋_GB2312" w:cs="仿宋_GB2312"/>
          <w:b w:val="0"/>
          <w:bCs w:val="0"/>
          <w:color w:val="auto"/>
          <w:kern w:val="0"/>
          <w:sz w:val="32"/>
          <w:szCs w:val="32"/>
          <w:highlight w:val="none"/>
          <w:lang w:val="en-US" w:eastAsia="zh-CN"/>
        </w:rPr>
        <w:t>城乡交通运输一体化示范县”和“</w:t>
      </w:r>
      <w:r>
        <w:rPr>
          <w:rFonts w:hint="eastAsia" w:ascii="仿宋_GB2312" w:hAnsi="仿宋_GB2312" w:eastAsia="仿宋_GB2312" w:cs="仿宋_GB2312"/>
          <w:b w:val="0"/>
          <w:bCs w:val="0"/>
          <w:color w:val="auto"/>
          <w:sz w:val="32"/>
          <w:szCs w:val="32"/>
          <w:highlight w:val="none"/>
          <w:lang w:val="en-US" w:eastAsia="zh-CN"/>
        </w:rPr>
        <w:t>广西客货邮融合发展样板县”，“多网融合+交邮合作”</w:t>
      </w:r>
      <w:r>
        <w:rPr>
          <w:rFonts w:hint="default" w:ascii="Times New Roman" w:hAnsi="Times New Roman" w:eastAsia="仿宋_GB2312" w:cs="Times New Roman"/>
          <w:b w:val="0"/>
          <w:bCs w:val="0"/>
          <w:color w:val="auto"/>
          <w:sz w:val="32"/>
          <w:szCs w:val="32"/>
          <w:highlight w:val="none"/>
          <w:lang w:val="en-US" w:eastAsia="zh-CN"/>
        </w:rPr>
        <w:t>模式有效</w:t>
      </w:r>
      <w:r>
        <w:rPr>
          <w:rFonts w:hint="eastAsia" w:ascii="Times New Roman" w:hAnsi="Times New Roman" w:eastAsia="仿宋_GB2312" w:cs="Times New Roman"/>
          <w:b w:val="0"/>
          <w:bCs w:val="0"/>
          <w:color w:val="auto"/>
          <w:sz w:val="32"/>
          <w:szCs w:val="32"/>
          <w:highlight w:val="none"/>
          <w:lang w:val="en-US" w:eastAsia="zh-CN"/>
        </w:rPr>
        <w:t>打通</w:t>
      </w:r>
      <w:r>
        <w:rPr>
          <w:rFonts w:hint="default" w:ascii="Times New Roman" w:hAnsi="Times New Roman" w:eastAsia="仿宋_GB2312" w:cs="Times New Roman"/>
          <w:b w:val="0"/>
          <w:bCs w:val="0"/>
          <w:color w:val="auto"/>
          <w:sz w:val="32"/>
          <w:szCs w:val="32"/>
          <w:highlight w:val="none"/>
          <w:lang w:val="en-US" w:eastAsia="zh-CN"/>
        </w:rPr>
        <w:t>城乡物流</w:t>
      </w:r>
      <w:r>
        <w:rPr>
          <w:rFonts w:hint="eastAsia" w:ascii="Times New Roman" w:hAnsi="Times New Roman" w:eastAsia="仿宋_GB2312" w:cs="Times New Roman"/>
          <w:b w:val="0"/>
          <w:bCs w:val="0"/>
          <w:color w:val="auto"/>
          <w:sz w:val="32"/>
          <w:szCs w:val="32"/>
          <w:highlight w:val="none"/>
          <w:lang w:val="en-US" w:eastAsia="zh-CN"/>
        </w:rPr>
        <w:t>微循环</w:t>
      </w:r>
      <w:r>
        <w:rPr>
          <w:rFonts w:hint="default" w:ascii="Times New Roman" w:hAnsi="Times New Roman" w:eastAsia="仿宋_GB2312" w:cs="Times New Roman"/>
          <w:b w:val="0"/>
          <w:bCs w:val="0"/>
          <w:color w:val="auto"/>
          <w:sz w:val="32"/>
          <w:szCs w:val="32"/>
          <w:highlight w:val="none"/>
          <w:lang w:val="en-US" w:eastAsia="zh-CN"/>
        </w:rPr>
        <w:t>。</w:t>
      </w:r>
    </w:p>
    <w:p w14:paraId="0D9D83BD">
      <w:pPr>
        <w:pStyle w:val="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560" w:lineRule="exact"/>
        <w:ind w:firstLine="643" w:firstLineChars="200"/>
        <w:textAlignment w:val="auto"/>
        <w:rPr>
          <w:rFonts w:hint="eastAsia" w:ascii="Times New Roman" w:hAnsi="Times New Roman" w:eastAsia="仿宋_GB2312" w:cs="Times New Roman"/>
          <w:b w:val="0"/>
          <w:bCs/>
          <w:i w:val="0"/>
          <w:i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eastAsia="zh-CN"/>
        </w:rPr>
        <w:t>改革开放释放新活力</w:t>
      </w:r>
      <w:r>
        <w:rPr>
          <w:rFonts w:hint="default" w:ascii="Times New Roman" w:hAnsi="Times New Roman" w:eastAsia="仿宋_GB2312" w:cs="Times New Roman"/>
          <w:b/>
          <w:bCs w:val="0"/>
          <w:color w:val="auto"/>
          <w:sz w:val="32"/>
          <w:szCs w:val="32"/>
          <w:highlight w:val="none"/>
        </w:rPr>
        <w:t>。</w:t>
      </w:r>
      <w:r>
        <w:rPr>
          <w:rFonts w:hint="default" w:ascii="Times New Roman" w:hAnsi="Times New Roman" w:eastAsia="仿宋_GB2312" w:cs="Times New Roman"/>
          <w:b w:val="0"/>
          <w:bCs/>
          <w:color w:val="auto"/>
          <w:sz w:val="32"/>
          <w:szCs w:val="32"/>
          <w:highlight w:val="none"/>
        </w:rPr>
        <w:t>重点领域改革成效显著，农村宅基地制</w:t>
      </w:r>
      <w:r>
        <w:rPr>
          <w:rFonts w:hint="eastAsia" w:ascii="仿宋_GB2312" w:hAnsi="仿宋_GB2312" w:eastAsia="仿宋_GB2312" w:cs="仿宋_GB2312"/>
          <w:b w:val="0"/>
          <w:bCs/>
          <w:color w:val="auto"/>
          <w:sz w:val="32"/>
          <w:szCs w:val="32"/>
          <w:highlight w:val="none"/>
        </w:rPr>
        <w:t>度“两项试点”改</w:t>
      </w:r>
      <w:r>
        <w:rPr>
          <w:rFonts w:hint="default" w:ascii="Times New Roman" w:hAnsi="Times New Roman" w:eastAsia="仿宋_GB2312" w:cs="Times New Roman"/>
          <w:b w:val="0"/>
          <w:bCs/>
          <w:color w:val="auto"/>
          <w:sz w:val="32"/>
          <w:szCs w:val="32"/>
          <w:highlight w:val="none"/>
        </w:rPr>
        <w:t>革、土地承包延包</w:t>
      </w:r>
      <w:r>
        <w:rPr>
          <w:rFonts w:hint="eastAsia" w:ascii="Times New Roman" w:hAnsi="Times New Roman" w:eastAsia="仿宋_GB2312" w:cs="Times New Roman"/>
          <w:b w:val="0"/>
          <w:bCs/>
          <w:color w:val="auto"/>
          <w:sz w:val="32"/>
          <w:szCs w:val="32"/>
          <w:highlight w:val="none"/>
          <w:lang w:val="en-US" w:eastAsia="zh-CN"/>
        </w:rPr>
        <w:t>三十年试点</w:t>
      </w:r>
      <w:r>
        <w:rPr>
          <w:rFonts w:hint="default" w:ascii="Times New Roman" w:hAnsi="Times New Roman" w:eastAsia="仿宋_GB2312" w:cs="Times New Roman"/>
          <w:b w:val="0"/>
          <w:bCs/>
          <w:color w:val="auto"/>
          <w:sz w:val="32"/>
          <w:szCs w:val="32"/>
          <w:highlight w:val="none"/>
        </w:rPr>
        <w:t>等国家级试点任务顺利完成。</w:t>
      </w:r>
      <w:r>
        <w:rPr>
          <w:rFonts w:hint="default" w:ascii="Times New Roman" w:hAnsi="Times New Roman" w:eastAsia="仿宋_GB2312" w:cs="Times New Roman"/>
          <w:b w:val="0"/>
          <w:bCs/>
          <w:i w:val="0"/>
          <w:iCs/>
          <w:color w:val="auto"/>
          <w:sz w:val="32"/>
          <w:szCs w:val="32"/>
          <w:highlight w:val="none"/>
          <w:lang w:eastAsia="zh-CN"/>
        </w:rPr>
        <w:t>鹿寨县入选自治区基</w:t>
      </w:r>
      <w:r>
        <w:rPr>
          <w:rFonts w:hint="eastAsia" w:ascii="仿宋_GB2312" w:hAnsi="仿宋_GB2312" w:eastAsia="仿宋_GB2312" w:cs="仿宋_GB2312"/>
          <w:b w:val="0"/>
          <w:bCs/>
          <w:i w:val="0"/>
          <w:iCs/>
          <w:color w:val="auto"/>
          <w:sz w:val="32"/>
          <w:szCs w:val="32"/>
          <w:highlight w:val="none"/>
          <w:lang w:eastAsia="zh-CN"/>
        </w:rPr>
        <w:t>层“一枚印章管审批（服务）”改革试点单位，工作经验获人民网广西频道宣传报道。“放管服”改革持续深化，“一证开工”“一件事一次办”等创新举措大幅提升审批效率。营商环境持续优化，依申请</w:t>
      </w:r>
      <w:r>
        <w:rPr>
          <w:rFonts w:hint="default" w:ascii="Times New Roman" w:hAnsi="Times New Roman" w:eastAsia="仿宋_GB2312" w:cs="Times New Roman"/>
          <w:b w:val="0"/>
          <w:bCs/>
          <w:i w:val="0"/>
          <w:iCs/>
          <w:color w:val="auto"/>
          <w:sz w:val="32"/>
          <w:szCs w:val="32"/>
          <w:highlight w:val="none"/>
          <w:lang w:eastAsia="zh-CN"/>
        </w:rPr>
        <w:t>政务服务事项100%可网办，</w:t>
      </w:r>
      <w:r>
        <w:rPr>
          <w:rFonts w:hint="eastAsia" w:ascii="仿宋_GB2312" w:hAnsi="仿宋_GB2312" w:eastAsia="仿宋_GB2312" w:cs="仿宋_GB2312"/>
          <w:b w:val="0"/>
          <w:bCs/>
          <w:i w:val="0"/>
          <w:iCs/>
          <w:color w:val="auto"/>
          <w:sz w:val="32"/>
          <w:szCs w:val="32"/>
          <w:highlight w:val="none"/>
          <w:lang w:eastAsia="zh-CN"/>
        </w:rPr>
        <w:t>“双卡一联盟”</w:t>
      </w:r>
      <w:r>
        <w:rPr>
          <w:rStyle w:val="25"/>
          <w:rFonts w:hint="default" w:ascii="Times New Roman" w:hAnsi="Times New Roman" w:eastAsia="仿宋_GB2312" w:cs="Times New Roman"/>
          <w:b w:val="0"/>
          <w:bCs/>
          <w:i w:val="0"/>
          <w:iCs/>
          <w:color w:val="auto"/>
          <w:sz w:val="32"/>
          <w:szCs w:val="32"/>
          <w:highlight w:val="none"/>
          <w:lang w:eastAsia="zh-CN"/>
        </w:rPr>
        <w:t>[</w:t>
      </w:r>
      <w:r>
        <w:rPr>
          <w:rStyle w:val="25"/>
          <w:rFonts w:hint="default" w:ascii="Times New Roman" w:hAnsi="Times New Roman" w:eastAsia="仿宋_GB2312" w:cs="Times New Roman"/>
          <w:b w:val="0"/>
          <w:bCs/>
          <w:i w:val="0"/>
          <w:iCs/>
          <w:color w:val="auto"/>
          <w:sz w:val="32"/>
          <w:szCs w:val="32"/>
          <w:highlight w:val="none"/>
          <w:lang w:eastAsia="zh-CN"/>
        </w:rPr>
        <w:endnoteReference w:id="0"/>
      </w:r>
      <w:r>
        <w:rPr>
          <w:rStyle w:val="25"/>
          <w:rFonts w:hint="default" w:ascii="Times New Roman" w:hAnsi="Times New Roman" w:eastAsia="仿宋_GB2312" w:cs="Times New Roman"/>
          <w:b w:val="0"/>
          <w:bCs/>
          <w:i w:val="0"/>
          <w:iCs/>
          <w:color w:val="auto"/>
          <w:sz w:val="32"/>
          <w:szCs w:val="32"/>
          <w:highlight w:val="none"/>
          <w:lang w:eastAsia="zh-CN"/>
        </w:rPr>
        <w:t>]</w:t>
      </w:r>
      <w:r>
        <w:rPr>
          <w:rFonts w:hint="eastAsia" w:ascii="仿宋_GB2312" w:hAnsi="仿宋_GB2312" w:eastAsia="仿宋_GB2312" w:cs="仿宋_GB2312"/>
          <w:b w:val="0"/>
          <w:bCs/>
          <w:i w:val="0"/>
          <w:iCs/>
          <w:color w:val="auto"/>
          <w:sz w:val="32"/>
          <w:szCs w:val="32"/>
          <w:highlight w:val="none"/>
          <w:lang w:eastAsia="zh-CN"/>
        </w:rPr>
        <w:t>服</w:t>
      </w:r>
      <w:r>
        <w:rPr>
          <w:rFonts w:hint="default" w:ascii="Times New Roman" w:hAnsi="Times New Roman" w:eastAsia="仿宋_GB2312" w:cs="Times New Roman"/>
          <w:b w:val="0"/>
          <w:bCs/>
          <w:i w:val="0"/>
          <w:iCs/>
          <w:color w:val="auto"/>
          <w:sz w:val="32"/>
          <w:szCs w:val="32"/>
          <w:highlight w:val="none"/>
          <w:lang w:eastAsia="zh-CN"/>
        </w:rPr>
        <w:t>务体系累计服务企业人才2.4万人次，2023</w:t>
      </w:r>
      <w:r>
        <w:rPr>
          <w:rFonts w:hint="eastAsia" w:ascii="Times New Roman" w:hAnsi="Times New Roman" w:eastAsia="仿宋_GB2312" w:cs="Times New Roman"/>
          <w:b w:val="0"/>
          <w:bCs/>
          <w:i w:val="0"/>
          <w:iCs/>
          <w:color w:val="auto"/>
          <w:sz w:val="32"/>
          <w:szCs w:val="32"/>
          <w:highlight w:val="none"/>
          <w:lang w:eastAsia="zh-CN"/>
        </w:rPr>
        <w:t>—</w:t>
      </w:r>
      <w:r>
        <w:rPr>
          <w:rFonts w:hint="default" w:ascii="Times New Roman" w:hAnsi="Times New Roman" w:eastAsia="仿宋_GB2312" w:cs="Times New Roman"/>
          <w:b w:val="0"/>
          <w:bCs/>
          <w:i w:val="0"/>
          <w:iCs/>
          <w:color w:val="auto"/>
          <w:sz w:val="32"/>
          <w:szCs w:val="32"/>
          <w:highlight w:val="none"/>
          <w:lang w:eastAsia="zh-CN"/>
        </w:rPr>
        <w:t>2024年连续两年在全区营商环境评估中位居第一方阵。财政金融支持持续加力，</w:t>
      </w:r>
      <w:r>
        <w:rPr>
          <w:rFonts w:hint="eastAsia" w:ascii="仿宋_GB2312" w:hAnsi="仿宋_GB2312" w:eastAsia="仿宋_GB2312" w:cs="仿宋_GB2312"/>
          <w:b w:val="0"/>
          <w:bCs/>
          <w:i w:val="0"/>
          <w:iCs/>
          <w:color w:val="auto"/>
          <w:sz w:val="32"/>
          <w:szCs w:val="32"/>
          <w:highlight w:val="none"/>
          <w:lang w:eastAsia="zh-CN"/>
        </w:rPr>
        <w:t>“十四五”时期累计投放“桂惠贷”</w:t>
      </w:r>
      <w:r>
        <w:rPr>
          <w:rFonts w:hint="eastAsia" w:ascii="Times New Roman" w:hAnsi="Times New Roman" w:eastAsia="仿宋_GB2312" w:cs="Times New Roman"/>
          <w:b w:val="0"/>
          <w:bCs/>
          <w:i w:val="0"/>
          <w:iCs/>
          <w:color w:val="auto"/>
          <w:sz w:val="32"/>
          <w:szCs w:val="32"/>
          <w:highlight w:val="none"/>
          <w:lang w:val="en-US" w:eastAsia="zh-CN"/>
        </w:rPr>
        <w:t>94.5</w:t>
      </w:r>
      <w:r>
        <w:rPr>
          <w:rFonts w:hint="default" w:ascii="Times New Roman" w:hAnsi="Times New Roman" w:eastAsia="仿宋_GB2312" w:cs="Times New Roman"/>
          <w:b w:val="0"/>
          <w:bCs/>
          <w:i w:val="0"/>
          <w:iCs/>
          <w:color w:val="auto"/>
          <w:sz w:val="32"/>
          <w:szCs w:val="32"/>
          <w:highlight w:val="none"/>
          <w:lang w:eastAsia="zh-CN"/>
        </w:rPr>
        <w:t>亿元，有效赋能实体经济。民营经济蓬勃发展，经营主体总量达2.14万户，对</w:t>
      </w:r>
      <w:r>
        <w:rPr>
          <w:rFonts w:hint="eastAsia" w:ascii="Times New Roman" w:hAnsi="Times New Roman" w:eastAsia="仿宋_GB2312" w:cs="Times New Roman"/>
          <w:b w:val="0"/>
          <w:bCs/>
          <w:i w:val="0"/>
          <w:iCs/>
          <w:color w:val="auto"/>
          <w:sz w:val="32"/>
          <w:szCs w:val="32"/>
          <w:highlight w:val="none"/>
          <w:lang w:val="en-US" w:eastAsia="zh-CN"/>
        </w:rPr>
        <w:t>全县</w:t>
      </w:r>
      <w:r>
        <w:rPr>
          <w:rFonts w:hint="default" w:ascii="Times New Roman" w:hAnsi="Times New Roman" w:eastAsia="仿宋_GB2312" w:cs="Times New Roman"/>
          <w:b w:val="0"/>
          <w:bCs/>
          <w:i w:val="0"/>
          <w:iCs/>
          <w:color w:val="auto"/>
          <w:sz w:val="32"/>
          <w:szCs w:val="32"/>
          <w:highlight w:val="none"/>
          <w:lang w:eastAsia="zh-CN"/>
        </w:rPr>
        <w:t>GDP贡献率提升至65%。</w:t>
      </w:r>
      <w:r>
        <w:rPr>
          <w:rFonts w:hint="eastAsia" w:ascii="Times New Roman" w:hAnsi="Times New Roman" w:eastAsia="仿宋_GB2312" w:cs="Times New Roman"/>
          <w:b w:val="0"/>
          <w:bCs/>
          <w:i w:val="0"/>
          <w:iCs/>
          <w:color w:val="auto"/>
          <w:sz w:val="32"/>
          <w:szCs w:val="32"/>
          <w:highlight w:val="none"/>
          <w:lang w:val="en-US" w:eastAsia="zh-CN"/>
        </w:rPr>
        <w:t>招商引资成果丰硕，积极融入粤港澳大湾区建设，“十四五”期共引进项目154个，涉及总投资约447.8亿元，发展动能持续集聚。</w:t>
      </w:r>
    </w:p>
    <w:p w14:paraId="1D26EFC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bookmarkStart w:id="49" w:name="_Toc1566"/>
      <w:bookmarkStart w:id="50" w:name="_Toc6303"/>
      <w:bookmarkStart w:id="51" w:name="_Toc16123"/>
      <w:r>
        <w:rPr>
          <w:rFonts w:hint="default" w:ascii="Times New Roman" w:hAnsi="Times New Roman" w:eastAsia="仿宋_GB2312" w:cs="Times New Roman"/>
          <w:b/>
          <w:bCs/>
          <w:color w:val="auto"/>
          <w:sz w:val="32"/>
          <w:szCs w:val="32"/>
          <w:highlight w:val="none"/>
        </w:rPr>
        <w:t>生态文明建设取得新成效</w:t>
      </w:r>
      <w:bookmarkEnd w:id="49"/>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环境治理能力显著增强</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完成县城污水处理厂改扩建，日处理能力提升</w:t>
      </w:r>
      <w:r>
        <w:rPr>
          <w:rFonts w:hint="eastAsia" w:ascii="Times New Roman" w:hAnsi="Times New Roman" w:eastAsia="仿宋_GB2312" w:cs="Times New Roman"/>
          <w:b w:val="0"/>
          <w:bCs w:val="0"/>
          <w:color w:val="auto"/>
          <w:sz w:val="32"/>
          <w:szCs w:val="32"/>
          <w:highlight w:val="none"/>
          <w:lang w:val="en-US" w:eastAsia="zh-CN"/>
        </w:rPr>
        <w:t>至</w:t>
      </w:r>
      <w:r>
        <w:rPr>
          <w:rFonts w:hint="default" w:ascii="Times New Roman" w:hAnsi="Times New Roman" w:eastAsia="仿宋_GB2312" w:cs="Times New Roman"/>
          <w:b w:val="0"/>
          <w:bCs w:val="0"/>
          <w:color w:val="auto"/>
          <w:sz w:val="32"/>
          <w:szCs w:val="32"/>
          <w:highlight w:val="none"/>
          <w:lang w:val="en-US" w:eastAsia="zh-CN"/>
        </w:rPr>
        <w:t>7万吨，县域污水处理率超过95%</w:t>
      </w:r>
      <w:r>
        <w:rPr>
          <w:rFonts w:hint="eastAsia" w:ascii="仿宋_GB2312" w:hAnsi="仿宋_GB2312" w:eastAsia="仿宋_GB2312" w:cs="仿宋_GB2312"/>
          <w:b w:val="0"/>
          <w:bCs w:val="0"/>
          <w:color w:val="auto"/>
          <w:sz w:val="32"/>
          <w:szCs w:val="32"/>
          <w:highlight w:val="none"/>
          <w:lang w:val="en-US" w:eastAsia="zh-CN"/>
        </w:rPr>
        <w:t>。设立</w:t>
      </w:r>
      <w:r>
        <w:rPr>
          <w:rFonts w:hint="default" w:ascii="Times New Roman" w:hAnsi="Times New Roman" w:eastAsia="仿宋_GB2312" w:cs="Times New Roman"/>
          <w:b w:val="0"/>
          <w:bCs w:val="0"/>
          <w:color w:val="auto"/>
          <w:sz w:val="32"/>
          <w:szCs w:val="32"/>
          <w:highlight w:val="none"/>
          <w:lang w:val="en-US" w:eastAsia="zh-CN"/>
        </w:rPr>
        <w:t>入河排污</w:t>
      </w:r>
      <w:r>
        <w:rPr>
          <w:rFonts w:hint="eastAsia" w:ascii="仿宋_GB2312" w:hAnsi="仿宋_GB2312" w:eastAsia="仿宋_GB2312" w:cs="仿宋_GB2312"/>
          <w:b w:val="0"/>
          <w:bCs w:val="0"/>
          <w:color w:val="auto"/>
          <w:sz w:val="32"/>
          <w:szCs w:val="32"/>
          <w:highlight w:val="none"/>
          <w:lang w:val="en-US" w:eastAsia="zh-CN"/>
        </w:rPr>
        <w:t>口“巡查专班”，依托</w:t>
      </w:r>
      <w:r>
        <w:rPr>
          <w:rFonts w:hint="default" w:ascii="Times New Roman" w:hAnsi="Times New Roman" w:eastAsia="仿宋_GB2312" w:cs="Times New Roman"/>
          <w:b w:val="0"/>
          <w:bCs w:val="0"/>
          <w:color w:val="auto"/>
          <w:sz w:val="32"/>
          <w:szCs w:val="32"/>
          <w:highlight w:val="none"/>
          <w:lang w:val="en-US" w:eastAsia="zh-CN"/>
        </w:rPr>
        <w:t>视频监控</w:t>
      </w:r>
      <w:r>
        <w:rPr>
          <w:rFonts w:hint="eastAsia" w:ascii="Times New Roman" w:hAnsi="Times New Roman" w:eastAsia="仿宋_GB2312" w:cs="Times New Roman"/>
          <w:b w:val="0"/>
          <w:bCs w:val="0"/>
          <w:color w:val="auto"/>
          <w:sz w:val="32"/>
          <w:szCs w:val="32"/>
          <w:highlight w:val="none"/>
          <w:lang w:val="en-US" w:eastAsia="zh-CN"/>
        </w:rPr>
        <w:t>系统</w:t>
      </w:r>
      <w:r>
        <w:rPr>
          <w:rFonts w:hint="default" w:ascii="Times New Roman" w:hAnsi="Times New Roman" w:eastAsia="仿宋_GB2312" w:cs="Times New Roman"/>
          <w:b w:val="0"/>
          <w:bCs w:val="0"/>
          <w:color w:val="auto"/>
          <w:sz w:val="32"/>
          <w:szCs w:val="32"/>
          <w:highlight w:val="none"/>
          <w:lang w:val="en-US" w:eastAsia="zh-CN"/>
        </w:rPr>
        <w:t>对洛清江等重点流域</w:t>
      </w:r>
      <w:r>
        <w:rPr>
          <w:rFonts w:hint="eastAsia" w:ascii="Times New Roman" w:hAnsi="Times New Roman" w:eastAsia="仿宋_GB2312" w:cs="Times New Roman"/>
          <w:b w:val="0"/>
          <w:bCs w:val="0"/>
          <w:color w:val="auto"/>
          <w:sz w:val="32"/>
          <w:szCs w:val="32"/>
          <w:highlight w:val="none"/>
          <w:lang w:val="en-US" w:eastAsia="zh-CN"/>
        </w:rPr>
        <w:t>实行</w:t>
      </w:r>
      <w:r>
        <w:rPr>
          <w:rFonts w:hint="default" w:ascii="Times New Roman" w:hAnsi="Times New Roman" w:eastAsia="仿宋_GB2312" w:cs="Times New Roman"/>
          <w:b w:val="0"/>
          <w:bCs w:val="0"/>
          <w:color w:val="auto"/>
          <w:sz w:val="32"/>
          <w:szCs w:val="32"/>
          <w:highlight w:val="none"/>
          <w:lang w:val="en-US" w:eastAsia="zh-CN"/>
        </w:rPr>
        <w:t>常态化监测与精准</w:t>
      </w:r>
      <w:r>
        <w:rPr>
          <w:rFonts w:hint="eastAsia" w:ascii="Times New Roman" w:hAnsi="Times New Roman" w:eastAsia="仿宋_GB2312" w:cs="Times New Roman"/>
          <w:b w:val="0"/>
          <w:bCs w:val="0"/>
          <w:color w:val="auto"/>
          <w:sz w:val="32"/>
          <w:szCs w:val="32"/>
          <w:highlight w:val="none"/>
          <w:lang w:val="en-US" w:eastAsia="zh-CN"/>
        </w:rPr>
        <w:t>管控，其</w:t>
      </w:r>
      <w:r>
        <w:rPr>
          <w:rFonts w:hint="default" w:ascii="Times New Roman" w:hAnsi="Times New Roman" w:eastAsia="仿宋_GB2312" w:cs="Times New Roman"/>
          <w:b w:val="0"/>
          <w:bCs w:val="0"/>
          <w:color w:val="auto"/>
          <w:sz w:val="32"/>
          <w:szCs w:val="32"/>
          <w:highlight w:val="none"/>
          <w:lang w:val="en-US" w:eastAsia="zh-CN"/>
        </w:rPr>
        <w:t>地表水考核断面</w:t>
      </w:r>
      <w:r>
        <w:rPr>
          <w:rFonts w:hint="eastAsia" w:ascii="Times New Roman" w:hAnsi="Times New Roman" w:eastAsia="仿宋_GB2312" w:cs="Times New Roman"/>
          <w:b w:val="0"/>
          <w:bCs w:val="0"/>
          <w:color w:val="auto"/>
          <w:sz w:val="32"/>
          <w:szCs w:val="32"/>
          <w:highlight w:val="none"/>
          <w:lang w:val="en-US" w:eastAsia="zh-CN"/>
        </w:rPr>
        <w:t>水质</w:t>
      </w:r>
      <w:r>
        <w:rPr>
          <w:rFonts w:hint="default" w:ascii="Times New Roman" w:hAnsi="Times New Roman" w:eastAsia="仿宋_GB2312" w:cs="Times New Roman"/>
          <w:b w:val="0"/>
          <w:bCs w:val="0"/>
          <w:color w:val="auto"/>
          <w:sz w:val="32"/>
          <w:szCs w:val="32"/>
          <w:highlight w:val="none"/>
          <w:lang w:val="en-US" w:eastAsia="zh-CN"/>
        </w:rPr>
        <w:t>位居全国前列。通过强化秸秆禁烧、烟花爆竹全域管控及多部门联动，</w:t>
      </w:r>
      <w:r>
        <w:rPr>
          <w:rFonts w:hint="eastAsia" w:ascii="Times New Roman" w:hAnsi="Times New Roman" w:eastAsia="仿宋_GB2312" w:cs="Times New Roman"/>
          <w:b w:val="0"/>
          <w:bCs w:val="0"/>
          <w:color w:val="auto"/>
          <w:sz w:val="32"/>
          <w:szCs w:val="32"/>
          <w:highlight w:val="none"/>
          <w:lang w:val="en-US" w:eastAsia="zh-CN"/>
        </w:rPr>
        <w:t>结合</w:t>
      </w:r>
      <w:r>
        <w:rPr>
          <w:rFonts w:hint="default" w:ascii="Times New Roman" w:hAnsi="Times New Roman" w:eastAsia="仿宋_GB2312" w:cs="Times New Roman"/>
          <w:b w:val="0"/>
          <w:bCs w:val="0"/>
          <w:color w:val="auto"/>
          <w:sz w:val="32"/>
          <w:szCs w:val="32"/>
          <w:highlight w:val="none"/>
          <w:lang w:val="en-US" w:eastAsia="zh-CN"/>
        </w:rPr>
        <w:t>在线监测</w:t>
      </w:r>
      <w:r>
        <w:rPr>
          <w:rFonts w:hint="eastAsia" w:ascii="Times New Roman" w:hAnsi="Times New Roman" w:eastAsia="仿宋_GB2312" w:cs="Times New Roman"/>
          <w:b w:val="0"/>
          <w:bCs w:val="0"/>
          <w:color w:val="auto"/>
          <w:sz w:val="32"/>
          <w:szCs w:val="32"/>
          <w:highlight w:val="none"/>
          <w:lang w:val="en-US" w:eastAsia="zh-CN"/>
        </w:rPr>
        <w:t>，加</w:t>
      </w:r>
      <w:r>
        <w:rPr>
          <w:rFonts w:hint="default" w:ascii="Times New Roman" w:hAnsi="Times New Roman" w:eastAsia="仿宋_GB2312" w:cs="Times New Roman"/>
          <w:b w:val="0"/>
          <w:bCs w:val="0"/>
          <w:color w:val="auto"/>
          <w:sz w:val="32"/>
          <w:szCs w:val="32"/>
          <w:highlight w:val="none"/>
          <w:lang w:val="en-US" w:eastAsia="zh-CN"/>
        </w:rPr>
        <w:t>强工业废气监管</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大气污染</w:t>
      </w:r>
      <w:r>
        <w:rPr>
          <w:rFonts w:hint="eastAsia" w:ascii="Times New Roman" w:hAnsi="Times New Roman" w:eastAsia="仿宋_GB2312" w:cs="Times New Roman"/>
          <w:b w:val="0"/>
          <w:bCs w:val="0"/>
          <w:color w:val="auto"/>
          <w:sz w:val="32"/>
          <w:szCs w:val="32"/>
          <w:highlight w:val="none"/>
          <w:lang w:val="en-US" w:eastAsia="zh-CN"/>
        </w:rPr>
        <w:t>得到</w:t>
      </w:r>
      <w:r>
        <w:rPr>
          <w:rFonts w:hint="default" w:ascii="Times New Roman" w:hAnsi="Times New Roman" w:eastAsia="仿宋_GB2312" w:cs="Times New Roman"/>
          <w:b w:val="0"/>
          <w:bCs w:val="0"/>
          <w:color w:val="auto"/>
          <w:sz w:val="32"/>
          <w:szCs w:val="32"/>
          <w:highlight w:val="none"/>
          <w:lang w:val="en-US" w:eastAsia="zh-CN"/>
        </w:rPr>
        <w:t>有效遏制。土壤与</w:t>
      </w:r>
      <w:r>
        <w:rPr>
          <w:rFonts w:hint="eastAsia" w:ascii="仿宋_GB2312" w:hAnsi="仿宋_GB2312" w:eastAsia="仿宋_GB2312" w:cs="仿宋_GB2312"/>
          <w:b w:val="0"/>
          <w:bCs w:val="0"/>
          <w:color w:val="auto"/>
          <w:kern w:val="2"/>
          <w:sz w:val="32"/>
          <w:szCs w:val="32"/>
          <w:highlight w:val="none"/>
          <w:lang w:val="en-US" w:eastAsia="zh-CN" w:bidi="ar-SA"/>
        </w:rPr>
        <w:t>固体废物</w:t>
      </w:r>
      <w:r>
        <w:rPr>
          <w:rFonts w:hint="default" w:ascii="Times New Roman" w:hAnsi="Times New Roman" w:eastAsia="仿宋_GB2312" w:cs="Times New Roman"/>
          <w:b w:val="0"/>
          <w:bCs w:val="0"/>
          <w:color w:val="auto"/>
          <w:sz w:val="32"/>
          <w:szCs w:val="32"/>
          <w:highlight w:val="none"/>
          <w:lang w:val="en-US" w:eastAsia="zh-CN"/>
        </w:rPr>
        <w:t>安全</w:t>
      </w:r>
      <w:r>
        <w:rPr>
          <w:rFonts w:hint="eastAsia" w:ascii="Times New Roman" w:hAnsi="Times New Roman" w:eastAsia="仿宋_GB2312" w:cs="Times New Roman"/>
          <w:b w:val="0"/>
          <w:bCs w:val="0"/>
          <w:color w:val="auto"/>
          <w:sz w:val="32"/>
          <w:szCs w:val="32"/>
          <w:highlight w:val="none"/>
          <w:lang w:val="en-US" w:eastAsia="zh-CN"/>
        </w:rPr>
        <w:t>巩固提升</w:t>
      </w:r>
      <w:r>
        <w:rPr>
          <w:rFonts w:hint="default" w:ascii="Times New Roman" w:hAnsi="Times New Roman" w:eastAsia="仿宋_GB2312" w:cs="Times New Roman"/>
          <w:b w:val="0"/>
          <w:bCs w:val="0"/>
          <w:color w:val="auto"/>
          <w:sz w:val="32"/>
          <w:szCs w:val="32"/>
          <w:highlight w:val="none"/>
          <w:lang w:val="en-US" w:eastAsia="zh-CN"/>
        </w:rPr>
        <w:t>，完成重点行业土壤调查和涉重金属整治，规范废物管理</w:t>
      </w:r>
      <w:r>
        <w:rPr>
          <w:rFonts w:hint="eastAsia" w:ascii="Times New Roman" w:hAnsi="Times New Roman" w:eastAsia="仿宋_GB2312" w:cs="Times New Roman"/>
          <w:b w:val="0"/>
          <w:bCs w:val="0"/>
          <w:color w:val="auto"/>
          <w:sz w:val="32"/>
          <w:szCs w:val="32"/>
          <w:highlight w:val="none"/>
          <w:lang w:val="en-US" w:eastAsia="zh-CN"/>
        </w:rPr>
        <w:t>并</w:t>
      </w:r>
      <w:r>
        <w:rPr>
          <w:rFonts w:hint="default" w:ascii="Times New Roman" w:hAnsi="Times New Roman" w:eastAsia="仿宋_GB2312" w:cs="Times New Roman"/>
          <w:b w:val="0"/>
          <w:bCs w:val="0"/>
          <w:color w:val="auto"/>
          <w:sz w:val="32"/>
          <w:szCs w:val="32"/>
          <w:highlight w:val="none"/>
          <w:lang w:val="en-US" w:eastAsia="zh-CN"/>
        </w:rPr>
        <w:t>严厉打击非法处置行为。生态保护修复</w:t>
      </w:r>
      <w:r>
        <w:rPr>
          <w:rFonts w:hint="eastAsia" w:ascii="Times New Roman" w:hAnsi="Times New Roman" w:eastAsia="仿宋_GB2312" w:cs="Times New Roman"/>
          <w:b w:val="0"/>
          <w:bCs w:val="0"/>
          <w:color w:val="auto"/>
          <w:sz w:val="32"/>
          <w:szCs w:val="32"/>
          <w:highlight w:val="none"/>
          <w:lang w:val="en-US" w:eastAsia="zh-CN"/>
        </w:rPr>
        <w:t>扎实推进，</w:t>
      </w:r>
      <w:r>
        <w:rPr>
          <w:rFonts w:hint="default" w:ascii="Times New Roman" w:hAnsi="Times New Roman" w:eastAsia="仿宋_GB2312" w:cs="Times New Roman"/>
          <w:b w:val="0"/>
          <w:bCs w:val="0"/>
          <w:color w:val="auto"/>
          <w:sz w:val="32"/>
          <w:szCs w:val="32"/>
          <w:highlight w:val="none"/>
          <w:lang w:val="en-US" w:eastAsia="zh-CN"/>
        </w:rPr>
        <w:t>累计修复</w:t>
      </w:r>
      <w:r>
        <w:rPr>
          <w:rFonts w:hint="eastAsia" w:ascii="Times New Roman" w:hAnsi="Times New Roman" w:eastAsia="仿宋_GB2312" w:cs="Times New Roman"/>
          <w:b w:val="0"/>
          <w:bCs w:val="0"/>
          <w:color w:val="auto"/>
          <w:sz w:val="32"/>
          <w:szCs w:val="32"/>
          <w:highlight w:val="none"/>
          <w:lang w:val="en-US" w:eastAsia="zh-CN"/>
        </w:rPr>
        <w:t>废弃及</w:t>
      </w:r>
      <w:r>
        <w:rPr>
          <w:rFonts w:hint="default" w:ascii="Times New Roman" w:hAnsi="Times New Roman" w:eastAsia="仿宋_GB2312" w:cs="Times New Roman"/>
          <w:b w:val="0"/>
          <w:bCs w:val="0"/>
          <w:color w:val="auto"/>
          <w:sz w:val="32"/>
          <w:szCs w:val="32"/>
          <w:highlight w:val="none"/>
          <w:lang w:val="en-US" w:eastAsia="zh-CN"/>
        </w:rPr>
        <w:t>历史遗留矿山</w:t>
      </w:r>
      <w:r>
        <w:rPr>
          <w:rFonts w:hint="eastAsia" w:ascii="Times New Roman" w:hAnsi="Times New Roman" w:eastAsia="仿宋_GB2312" w:cs="Times New Roman"/>
          <w:b w:val="0"/>
          <w:bCs w:val="0"/>
          <w:color w:val="auto"/>
          <w:sz w:val="32"/>
          <w:szCs w:val="32"/>
          <w:highlight w:val="none"/>
          <w:lang w:val="en-US" w:eastAsia="zh-CN"/>
        </w:rPr>
        <w:t>171.21</w:t>
      </w:r>
      <w:r>
        <w:rPr>
          <w:rFonts w:hint="default" w:ascii="Times New Roman" w:hAnsi="Times New Roman" w:eastAsia="仿宋_GB2312" w:cs="Times New Roman"/>
          <w:b w:val="0"/>
          <w:bCs w:val="0"/>
          <w:color w:val="auto"/>
          <w:sz w:val="32"/>
          <w:szCs w:val="32"/>
          <w:highlight w:val="none"/>
          <w:lang w:val="en-US" w:eastAsia="zh-CN"/>
        </w:rPr>
        <w:t>公顷，</w:t>
      </w:r>
      <w:r>
        <w:rPr>
          <w:rFonts w:hint="eastAsia" w:ascii="Times New Roman" w:hAnsi="Times New Roman" w:eastAsia="仿宋_GB2312" w:cs="Times New Roman"/>
          <w:b w:val="0"/>
          <w:bCs w:val="0"/>
          <w:color w:val="auto"/>
          <w:sz w:val="32"/>
          <w:szCs w:val="32"/>
          <w:highlight w:val="none"/>
          <w:lang w:val="en-US" w:eastAsia="zh-CN"/>
        </w:rPr>
        <w:t>稳步实施</w:t>
      </w:r>
      <w:r>
        <w:rPr>
          <w:rFonts w:hint="default" w:ascii="Times New Roman" w:hAnsi="Times New Roman" w:eastAsia="仿宋_GB2312" w:cs="Times New Roman"/>
          <w:b w:val="0"/>
          <w:bCs w:val="0"/>
          <w:color w:val="auto"/>
          <w:sz w:val="32"/>
          <w:szCs w:val="32"/>
          <w:highlight w:val="none"/>
          <w:lang w:val="en-US" w:eastAsia="zh-CN"/>
        </w:rPr>
        <w:t>石榴河流域等生态修复项目</w:t>
      </w:r>
      <w:r>
        <w:rPr>
          <w:rFonts w:hint="eastAsia" w:ascii="Times New Roman" w:hAnsi="Times New Roman" w:eastAsia="仿宋_GB2312" w:cs="Times New Roman"/>
          <w:b w:val="0"/>
          <w:bCs w:val="0"/>
          <w:color w:val="auto"/>
          <w:sz w:val="32"/>
          <w:szCs w:val="32"/>
          <w:highlight w:val="none"/>
          <w:lang w:val="en-US" w:eastAsia="zh-CN"/>
        </w:rPr>
        <w:t>与</w:t>
      </w:r>
      <w:r>
        <w:rPr>
          <w:rFonts w:hint="default" w:ascii="Times New Roman" w:hAnsi="Times New Roman" w:eastAsia="仿宋_GB2312" w:cs="Times New Roman"/>
          <w:b w:val="0"/>
          <w:bCs w:val="0"/>
          <w:color w:val="auto"/>
          <w:kern w:val="0"/>
          <w:sz w:val="32"/>
          <w:szCs w:val="32"/>
          <w:highlight w:val="none"/>
          <w:lang w:val="en-US" w:eastAsia="zh-CN"/>
        </w:rPr>
        <w:t>中小河流治理</w:t>
      </w:r>
      <w:r>
        <w:rPr>
          <w:rFonts w:hint="eastAsia" w:ascii="Times New Roman" w:hAnsi="Times New Roman" w:eastAsia="仿宋_GB2312" w:cs="Times New Roman"/>
          <w:b w:val="0"/>
          <w:bCs w:val="0"/>
          <w:color w:val="auto"/>
          <w:kern w:val="0"/>
          <w:sz w:val="32"/>
          <w:szCs w:val="32"/>
          <w:highlight w:val="none"/>
          <w:lang w:val="en-US" w:eastAsia="zh-CN"/>
        </w:rPr>
        <w:t>工程</w:t>
      </w:r>
      <w:r>
        <w:rPr>
          <w:rFonts w:hint="default" w:ascii="Times New Roman" w:hAnsi="Times New Roman" w:eastAsia="仿宋_GB2312" w:cs="Times New Roman"/>
          <w:b w:val="0"/>
          <w:bCs w:val="0"/>
          <w:color w:val="auto"/>
          <w:kern w:val="0"/>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系统</w:t>
      </w:r>
      <w:r>
        <w:rPr>
          <w:rFonts w:hint="eastAsia" w:ascii="Times New Roman" w:hAnsi="Times New Roman" w:eastAsia="仿宋_GB2312" w:cs="Times New Roman"/>
          <w:b w:val="0"/>
          <w:bCs w:val="0"/>
          <w:color w:val="auto"/>
          <w:sz w:val="32"/>
          <w:szCs w:val="32"/>
          <w:highlight w:val="none"/>
          <w:lang w:val="en-US" w:eastAsia="zh-CN"/>
        </w:rPr>
        <w:t>推进</w:t>
      </w:r>
      <w:r>
        <w:rPr>
          <w:rFonts w:hint="default" w:ascii="Times New Roman" w:hAnsi="Times New Roman" w:eastAsia="仿宋_GB2312" w:cs="Times New Roman"/>
          <w:b w:val="0"/>
          <w:bCs w:val="0"/>
          <w:color w:val="auto"/>
          <w:sz w:val="32"/>
          <w:szCs w:val="32"/>
          <w:highlight w:val="none"/>
          <w:lang w:val="en-US" w:eastAsia="zh-CN"/>
        </w:rPr>
        <w:t>石漠化治理</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bidi="ar-SA"/>
        </w:rPr>
        <w:t>山洪灾害监测预警</w:t>
      </w:r>
      <w:r>
        <w:rPr>
          <w:rFonts w:hint="eastAsia" w:ascii="Times New Roman" w:hAnsi="Times New Roman" w:eastAsia="仿宋_GB2312" w:cs="Times New Roman"/>
          <w:color w:val="auto"/>
          <w:kern w:val="0"/>
          <w:sz w:val="32"/>
          <w:szCs w:val="32"/>
          <w:highlight w:val="none"/>
          <w:lang w:val="en-US" w:eastAsia="zh-CN" w:bidi="ar-SA"/>
        </w:rPr>
        <w:t>体系实现乡镇全</w:t>
      </w:r>
      <w:r>
        <w:rPr>
          <w:rFonts w:hint="default" w:ascii="Times New Roman" w:hAnsi="Times New Roman" w:eastAsia="仿宋_GB2312" w:cs="Times New Roman"/>
          <w:color w:val="auto"/>
          <w:kern w:val="0"/>
          <w:sz w:val="32"/>
          <w:szCs w:val="32"/>
          <w:highlight w:val="none"/>
          <w:lang w:val="en-US" w:eastAsia="zh-CN" w:bidi="ar-SA"/>
        </w:rPr>
        <w:t>覆盖</w:t>
      </w:r>
      <w:r>
        <w:rPr>
          <w:rFonts w:hint="eastAsia" w:ascii="Times New Roman" w:hAnsi="Times New Roman" w:eastAsia="仿宋_GB2312" w:cs="Times New Roman"/>
          <w:color w:val="auto"/>
          <w:kern w:val="0"/>
          <w:sz w:val="32"/>
          <w:szCs w:val="32"/>
          <w:highlight w:val="none"/>
          <w:lang w:val="en-US" w:eastAsia="zh-CN" w:bidi="ar-SA"/>
        </w:rPr>
        <w:t>。防洪能力持续巩固，完成82座水库大坝安全鉴定工作，黄芽水库等12座水库除险加固工程顺利通过竣工验收。</w:t>
      </w:r>
      <w:r>
        <w:rPr>
          <w:rFonts w:hint="default" w:ascii="Times New Roman" w:hAnsi="Times New Roman" w:eastAsia="仿宋_GB2312" w:cs="Times New Roman"/>
          <w:b w:val="0"/>
          <w:bCs w:val="0"/>
          <w:color w:val="auto"/>
          <w:sz w:val="32"/>
          <w:szCs w:val="32"/>
          <w:highlight w:val="none"/>
          <w:lang w:val="en-US" w:eastAsia="zh-CN"/>
        </w:rPr>
        <w:t>新能源产业</w:t>
      </w:r>
      <w:r>
        <w:rPr>
          <w:rFonts w:hint="eastAsia" w:ascii="Times New Roman" w:hAnsi="Times New Roman" w:eastAsia="仿宋_GB2312" w:cs="Times New Roman"/>
          <w:b w:val="0"/>
          <w:bCs w:val="0"/>
          <w:color w:val="auto"/>
          <w:sz w:val="32"/>
          <w:szCs w:val="32"/>
          <w:highlight w:val="none"/>
          <w:lang w:val="en-US" w:eastAsia="zh-CN"/>
        </w:rPr>
        <w:t>布局加速</w:t>
      </w:r>
      <w:r>
        <w:rPr>
          <w:rFonts w:hint="default" w:ascii="Times New Roman" w:hAnsi="Times New Roman" w:eastAsia="仿宋_GB2312" w:cs="Times New Roman"/>
          <w:b w:val="0"/>
          <w:bCs w:val="0"/>
          <w:color w:val="auto"/>
          <w:sz w:val="32"/>
          <w:szCs w:val="32"/>
          <w:highlight w:val="none"/>
          <w:lang w:val="en-US" w:eastAsia="zh-CN"/>
        </w:rPr>
        <w:t>，黄冕风电场一期投运，</w:t>
      </w:r>
      <w:r>
        <w:rPr>
          <w:rFonts w:hint="eastAsia" w:ascii="Times New Roman" w:hAnsi="Times New Roman" w:eastAsia="仿宋_GB2312" w:cs="Times New Roman"/>
          <w:b w:val="0"/>
          <w:bCs w:val="0"/>
          <w:color w:val="auto"/>
          <w:sz w:val="32"/>
          <w:szCs w:val="32"/>
          <w:highlight w:val="none"/>
          <w:lang w:val="en-US" w:eastAsia="zh-CN"/>
        </w:rPr>
        <w:t>四堡、龙江等风电项目有序推进，</w:t>
      </w:r>
      <w:r>
        <w:rPr>
          <w:rFonts w:hint="default" w:ascii="Times New Roman" w:hAnsi="Times New Roman" w:eastAsia="仿宋_GB2312" w:cs="Times New Roman"/>
          <w:b w:val="0"/>
          <w:bCs w:val="0"/>
          <w:color w:val="auto"/>
          <w:sz w:val="32"/>
          <w:szCs w:val="32"/>
          <w:highlight w:val="none"/>
          <w:lang w:val="en-US" w:eastAsia="zh-CN"/>
        </w:rPr>
        <w:t>整县屋顶分布式光伏并网容量达22.7万千瓦，获批国家整县屋顶分布式光伏开发试点。减污降碳协同</w:t>
      </w:r>
      <w:r>
        <w:rPr>
          <w:rFonts w:hint="eastAsia" w:ascii="Times New Roman" w:hAnsi="Times New Roman" w:eastAsia="仿宋_GB2312" w:cs="Times New Roman"/>
          <w:b w:val="0"/>
          <w:bCs w:val="0"/>
          <w:color w:val="auto"/>
          <w:sz w:val="32"/>
          <w:szCs w:val="32"/>
          <w:highlight w:val="none"/>
          <w:lang w:val="en-US" w:eastAsia="zh-CN"/>
        </w:rPr>
        <w:t>增效</w:t>
      </w:r>
      <w:r>
        <w:rPr>
          <w:rFonts w:hint="default" w:ascii="Times New Roman" w:hAnsi="Times New Roman" w:eastAsia="仿宋_GB2312" w:cs="Times New Roman"/>
          <w:b w:val="0"/>
          <w:bCs w:val="0"/>
          <w:color w:val="auto"/>
          <w:sz w:val="32"/>
          <w:szCs w:val="32"/>
          <w:highlight w:val="none"/>
          <w:lang w:val="en-US" w:eastAsia="zh-CN"/>
        </w:rPr>
        <w:t>，实施工业废气</w:t>
      </w:r>
      <w:r>
        <w:rPr>
          <w:rFonts w:hint="eastAsia" w:ascii="Times New Roman" w:hAnsi="Times New Roman" w:eastAsia="仿宋_GB2312" w:cs="Times New Roman"/>
          <w:b w:val="0"/>
          <w:bCs w:val="0"/>
          <w:color w:val="auto"/>
          <w:sz w:val="32"/>
          <w:szCs w:val="32"/>
          <w:highlight w:val="none"/>
          <w:lang w:val="en-US" w:eastAsia="zh-CN"/>
        </w:rPr>
        <w:t>技改</w:t>
      </w:r>
      <w:r>
        <w:rPr>
          <w:rFonts w:hint="default" w:ascii="Times New Roman" w:hAnsi="Times New Roman" w:eastAsia="仿宋_GB2312" w:cs="Times New Roman"/>
          <w:b w:val="0"/>
          <w:bCs w:val="0"/>
          <w:color w:val="auto"/>
          <w:sz w:val="32"/>
          <w:szCs w:val="32"/>
          <w:highlight w:val="none"/>
          <w:lang w:val="en-US" w:eastAsia="zh-CN"/>
        </w:rPr>
        <w:t>，严格落实能</w:t>
      </w:r>
      <w:r>
        <w:rPr>
          <w:rFonts w:hint="eastAsia" w:ascii="仿宋_GB2312" w:hAnsi="仿宋_GB2312" w:eastAsia="仿宋_GB2312" w:cs="仿宋_GB2312"/>
          <w:b w:val="0"/>
          <w:bCs w:val="0"/>
          <w:color w:val="auto"/>
          <w:sz w:val="32"/>
          <w:szCs w:val="32"/>
          <w:highlight w:val="none"/>
          <w:lang w:val="en-US" w:eastAsia="zh-CN"/>
        </w:rPr>
        <w:t>耗“双控”</w:t>
      </w:r>
      <w:r>
        <w:rPr>
          <w:rFonts w:hint="default" w:ascii="Times New Roman" w:hAnsi="Times New Roman" w:eastAsia="仿宋_GB2312" w:cs="Times New Roman"/>
          <w:b w:val="0"/>
          <w:bCs w:val="0"/>
          <w:color w:val="auto"/>
          <w:sz w:val="32"/>
          <w:szCs w:val="32"/>
          <w:highlight w:val="none"/>
          <w:lang w:val="en-US" w:eastAsia="zh-CN"/>
        </w:rPr>
        <w:t>，绿色建筑执行率达100%</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公共交通新能源化率大幅提升，公交车全部实现新能源化，出租车新能源占比超75%</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建成县域综合能源服务站，全县充电桩数量突破2000个。</w:t>
      </w:r>
      <w:bookmarkEnd w:id="50"/>
      <w:bookmarkEnd w:id="51"/>
      <w:r>
        <w:rPr>
          <w:rFonts w:hint="eastAsia" w:ascii="Times New Roman" w:hAnsi="Times New Roman" w:eastAsia="仿宋_GB2312" w:cs="Times New Roman"/>
          <w:b w:val="0"/>
          <w:bCs w:val="0"/>
          <w:color w:val="auto"/>
          <w:sz w:val="32"/>
          <w:szCs w:val="32"/>
          <w:highlight w:val="none"/>
          <w:lang w:val="en-US" w:eastAsia="zh-CN"/>
        </w:rPr>
        <w:t>成功</w:t>
      </w:r>
      <w:r>
        <w:rPr>
          <w:rFonts w:hint="default" w:ascii="Times New Roman" w:hAnsi="Times New Roman" w:eastAsia="仿宋_GB2312" w:cs="Times New Roman"/>
          <w:b w:val="0"/>
          <w:bCs w:val="0"/>
          <w:color w:val="auto"/>
          <w:sz w:val="32"/>
          <w:szCs w:val="32"/>
          <w:highlight w:val="none"/>
          <w:lang w:val="en-US" w:eastAsia="zh-CN"/>
        </w:rPr>
        <w:t>获</w:t>
      </w:r>
      <w:r>
        <w:rPr>
          <w:rFonts w:hint="eastAsia" w:ascii="仿宋_GB2312" w:hAnsi="仿宋_GB2312" w:eastAsia="仿宋_GB2312" w:cs="仿宋_GB2312"/>
          <w:b w:val="0"/>
          <w:bCs w:val="0"/>
          <w:color w:val="auto"/>
          <w:sz w:val="32"/>
          <w:szCs w:val="32"/>
          <w:highlight w:val="none"/>
          <w:lang w:val="en-US" w:eastAsia="zh-CN"/>
        </w:rPr>
        <w:t>评“国家生态文明建设示范区”。</w:t>
      </w:r>
    </w:p>
    <w:p w14:paraId="1191BA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color w:val="auto"/>
          <w:highlight w:val="none"/>
        </w:rPr>
      </w:pPr>
      <w:r>
        <w:rPr>
          <w:rFonts w:hint="default" w:ascii="Times New Roman" w:hAnsi="Times New Roman" w:eastAsia="仿宋_GB2312" w:cs="Times New Roman"/>
          <w:b/>
          <w:bCs/>
          <w:color w:val="auto"/>
          <w:sz w:val="32"/>
          <w:szCs w:val="32"/>
          <w:highlight w:val="none"/>
          <w:lang w:val="en-US" w:eastAsia="zh-CN"/>
        </w:rPr>
        <w:t>民生福祉达到新水平。</w:t>
      </w:r>
      <w:r>
        <w:rPr>
          <w:rFonts w:hint="default" w:ascii="Times New Roman" w:hAnsi="Times New Roman" w:eastAsia="仿宋_GB2312" w:cs="Times New Roman"/>
          <w:b w:val="0"/>
          <w:bCs w:val="0"/>
          <w:color w:val="auto"/>
          <w:sz w:val="32"/>
          <w:szCs w:val="32"/>
          <w:highlight w:val="none"/>
        </w:rPr>
        <w:t>就业保障</w:t>
      </w:r>
      <w:r>
        <w:rPr>
          <w:rFonts w:hint="default" w:ascii="Times New Roman" w:hAnsi="Times New Roman" w:eastAsia="仿宋_GB2312" w:cs="Times New Roman"/>
          <w:b w:val="0"/>
          <w:bCs w:val="0"/>
          <w:color w:val="auto"/>
          <w:sz w:val="32"/>
          <w:szCs w:val="32"/>
          <w:highlight w:val="none"/>
          <w:lang w:eastAsia="zh-CN"/>
        </w:rPr>
        <w:t>坚实</w:t>
      </w:r>
      <w:r>
        <w:rPr>
          <w:rFonts w:hint="default" w:ascii="Times New Roman" w:hAnsi="Times New Roman" w:eastAsia="仿宋_GB2312" w:cs="Times New Roman"/>
          <w:b w:val="0"/>
          <w:bCs w:val="0"/>
          <w:color w:val="auto"/>
          <w:sz w:val="32"/>
          <w:szCs w:val="32"/>
          <w:highlight w:val="none"/>
        </w:rPr>
        <w:t>有力，累计新增城镇就业超</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rPr>
        <w:t>000人，农村劳动力转移就业近</w:t>
      </w:r>
      <w:r>
        <w:rPr>
          <w:rFonts w:hint="eastAsia" w:ascii="Times New Roman" w:hAnsi="Times New Roman" w:eastAsia="仿宋_GB2312" w:cs="Times New Roman"/>
          <w:b w:val="0"/>
          <w:bCs w:val="0"/>
          <w:color w:val="auto"/>
          <w:sz w:val="32"/>
          <w:szCs w:val="32"/>
          <w:highlight w:val="none"/>
          <w:lang w:val="en-US" w:eastAsia="zh-CN"/>
        </w:rPr>
        <w:t>48.78</w:t>
      </w:r>
      <w:r>
        <w:rPr>
          <w:rFonts w:hint="default" w:ascii="Times New Roman" w:hAnsi="Times New Roman" w:eastAsia="仿宋_GB2312" w:cs="Times New Roman"/>
          <w:b w:val="0"/>
          <w:bCs w:val="0"/>
          <w:color w:val="auto"/>
          <w:sz w:val="32"/>
          <w:szCs w:val="32"/>
          <w:highlight w:val="none"/>
        </w:rPr>
        <w:t>万人次，获评自治区</w:t>
      </w:r>
      <w:r>
        <w:rPr>
          <w:rFonts w:hint="eastAsia" w:ascii="仿宋_GB2312" w:hAnsi="仿宋_GB2312" w:eastAsia="仿宋_GB2312" w:cs="仿宋_GB2312"/>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rPr>
        <w:t>落实就业创业政策措施工作力度大、真抓实干成效显著</w:t>
      </w:r>
      <w:r>
        <w:rPr>
          <w:rFonts w:hint="eastAsia" w:ascii="仿宋_GB2312" w:hAnsi="仿宋_GB2312" w:eastAsia="仿宋_GB2312" w:cs="仿宋_GB2312"/>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rPr>
        <w:t>督查激励</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自治区返乡农民工就业创业示范县。社会保障体系持续完善，基本养老保险、基本医疗保险参保率均稳定在95%以上。</w:t>
      </w:r>
      <w:r>
        <w:rPr>
          <w:rFonts w:hint="eastAsia" w:ascii="Times New Roman" w:hAnsi="Times New Roman" w:eastAsia="仿宋_GB2312" w:cs="Times New Roman"/>
          <w:b w:val="0"/>
          <w:bCs w:val="0"/>
          <w:color w:val="auto"/>
          <w:kern w:val="2"/>
          <w:sz w:val="32"/>
          <w:szCs w:val="32"/>
          <w:highlight w:val="none"/>
          <w:lang w:val="en-US" w:eastAsia="zh-CN" w:bidi="ar-SA"/>
        </w:rPr>
        <w:t>发放困难群众救助资金3.77亿元，补助超187万人次。</w:t>
      </w:r>
      <w:r>
        <w:rPr>
          <w:rFonts w:hint="default" w:ascii="Times New Roman" w:hAnsi="Times New Roman" w:eastAsia="仿宋_GB2312" w:cs="Times New Roman"/>
          <w:b w:val="0"/>
          <w:bCs w:val="0"/>
          <w:color w:val="auto"/>
          <w:sz w:val="32"/>
          <w:szCs w:val="32"/>
          <w:highlight w:val="none"/>
        </w:rPr>
        <w:t>住房保障扎实推进，累计完成棚户区改造超</w:t>
      </w:r>
      <w:r>
        <w:rPr>
          <w:rFonts w:hint="eastAsia" w:ascii="Times New Roman" w:hAnsi="Times New Roman" w:eastAsia="仿宋_GB2312" w:cs="Times New Roman"/>
          <w:b w:val="0"/>
          <w:bCs w:val="0"/>
          <w:color w:val="auto"/>
          <w:sz w:val="32"/>
          <w:szCs w:val="32"/>
          <w:highlight w:val="none"/>
          <w:lang w:val="en-US" w:eastAsia="zh-CN"/>
        </w:rPr>
        <w:t>3600户</w:t>
      </w:r>
      <w:r>
        <w:rPr>
          <w:rFonts w:hint="default" w:ascii="Times New Roman" w:hAnsi="Times New Roman" w:eastAsia="仿宋_GB2312" w:cs="Times New Roman"/>
          <w:b w:val="0"/>
          <w:bCs w:val="0"/>
          <w:color w:val="auto"/>
          <w:sz w:val="32"/>
          <w:szCs w:val="32"/>
          <w:highlight w:val="none"/>
        </w:rPr>
        <w:t>，筹建保障性租赁住房近2000套，交</w:t>
      </w:r>
      <w:r>
        <w:rPr>
          <w:rFonts w:hint="eastAsia" w:ascii="仿宋_GB2312" w:hAnsi="仿宋_GB2312" w:eastAsia="仿宋_GB2312" w:cs="仿宋_GB2312"/>
          <w:b w:val="0"/>
          <w:bCs w:val="0"/>
          <w:color w:val="auto"/>
          <w:sz w:val="32"/>
          <w:szCs w:val="32"/>
          <w:highlight w:val="none"/>
        </w:rPr>
        <w:t>付“保交楼”</w:t>
      </w:r>
      <w:r>
        <w:rPr>
          <w:rFonts w:hint="default" w:ascii="Times New Roman" w:hAnsi="Times New Roman" w:eastAsia="仿宋_GB2312" w:cs="Times New Roman"/>
          <w:b w:val="0"/>
          <w:bCs w:val="0"/>
          <w:color w:val="auto"/>
          <w:sz w:val="32"/>
          <w:szCs w:val="32"/>
          <w:highlight w:val="none"/>
        </w:rPr>
        <w:t>4760套。</w:t>
      </w:r>
      <w:r>
        <w:rPr>
          <w:rFonts w:hint="eastAsia" w:ascii="Times New Roman" w:hAnsi="Times New Roman" w:eastAsia="仿宋_GB2312" w:cs="Times New Roman"/>
          <w:color w:val="auto"/>
          <w:kern w:val="2"/>
          <w:sz w:val="32"/>
          <w:szCs w:val="32"/>
          <w:highlight w:val="none"/>
          <w:lang w:val="en-US" w:eastAsia="zh-CN" w:bidi="ar-SA"/>
        </w:rPr>
        <w:t>教育事业实现全面进步，</w:t>
      </w:r>
      <w:r>
        <w:rPr>
          <w:rFonts w:hint="default" w:ascii="Times New Roman" w:hAnsi="Times New Roman" w:eastAsia="仿宋_GB2312" w:cs="Times New Roman"/>
          <w:b w:val="0"/>
          <w:bCs w:val="0"/>
          <w:color w:val="auto"/>
          <w:sz w:val="32"/>
          <w:szCs w:val="32"/>
          <w:highlight w:val="none"/>
        </w:rPr>
        <w:t>投入超2亿元实施316个教学基建项目，新增学位2200余个。2025年学前教育三年毛入园率达102.69%，普惠率达80.2%。义务教育集团化办学覆盖城乡，城乡学校校际差距持续缩小，初中中考质量综合评分居全市前列。高中教育特色发展成效显著，高考特控线上线人数较</w:t>
      </w:r>
      <w:r>
        <w:rPr>
          <w:rFonts w:hint="eastAsia" w:ascii="仿宋_GB2312" w:hAnsi="仿宋_GB2312" w:eastAsia="仿宋_GB2312" w:cs="仿宋_GB2312"/>
          <w:b w:val="0"/>
          <w:bCs w:val="0"/>
          <w:color w:val="auto"/>
          <w:sz w:val="32"/>
          <w:szCs w:val="32"/>
          <w:highlight w:val="none"/>
        </w:rPr>
        <w:t>“十三五”增</w:t>
      </w:r>
      <w:r>
        <w:rPr>
          <w:rFonts w:hint="default" w:ascii="Times New Roman" w:hAnsi="Times New Roman" w:eastAsia="仿宋_GB2312" w:cs="Times New Roman"/>
          <w:b w:val="0"/>
          <w:bCs w:val="0"/>
          <w:color w:val="auto"/>
          <w:sz w:val="32"/>
          <w:szCs w:val="32"/>
          <w:highlight w:val="none"/>
        </w:rPr>
        <w:t>长61%，</w:t>
      </w:r>
      <w:r>
        <w:rPr>
          <w:rFonts w:hint="eastAsia" w:ascii="Times New Roman" w:hAnsi="Times New Roman" w:eastAsia="仿宋_GB2312" w:cs="Times New Roman"/>
          <w:b w:val="0"/>
          <w:bCs w:val="0"/>
          <w:color w:val="auto"/>
          <w:sz w:val="32"/>
          <w:szCs w:val="32"/>
          <w:highlight w:val="none"/>
          <w:lang w:val="en-US" w:eastAsia="zh-CN"/>
        </w:rPr>
        <w:t>鹿鸣中学获评</w:t>
      </w:r>
      <w:r>
        <w:rPr>
          <w:rFonts w:hint="default" w:ascii="Times New Roman" w:hAnsi="Times New Roman" w:eastAsia="仿宋_GB2312" w:cs="Times New Roman"/>
          <w:b w:val="0"/>
          <w:bCs w:val="0"/>
          <w:color w:val="auto"/>
          <w:sz w:val="32"/>
          <w:szCs w:val="32"/>
          <w:highlight w:val="none"/>
        </w:rPr>
        <w:t>自治区星级特色立项学校，鹿寨中学成为自治区一星级特色普通高中。</w:t>
      </w:r>
      <w:r>
        <w:rPr>
          <w:rFonts w:hint="eastAsia" w:ascii="Times New Roman" w:hAnsi="Times New Roman" w:eastAsia="仿宋_GB2312" w:cs="Times New Roman"/>
          <w:color w:val="auto"/>
          <w:kern w:val="2"/>
          <w:sz w:val="32"/>
          <w:szCs w:val="32"/>
          <w:highlight w:val="none"/>
          <w:lang w:val="en-US" w:eastAsia="zh-CN" w:bidi="ar-SA"/>
        </w:rPr>
        <w:t>职业教育产教融合深化，与上汽通用五菱、广西伍亿车灯等企业开展校企合作，累计输送技能人才2500余名，学校获评自治区三星级中等职业学校。特殊教育成果突出，学生在全国残运会斩获5枚奖牌。“五育”并举成效明显，全县学生体质健康合格率达97.73%。</w:t>
      </w:r>
      <w:r>
        <w:rPr>
          <w:rFonts w:hint="default" w:ascii="Times New Roman" w:hAnsi="Times New Roman" w:eastAsia="仿宋_GB2312" w:cs="Times New Roman"/>
          <w:b w:val="0"/>
          <w:bCs w:val="0"/>
          <w:color w:val="auto"/>
          <w:sz w:val="32"/>
          <w:szCs w:val="32"/>
          <w:highlight w:val="none"/>
        </w:rPr>
        <w:t>文化体育繁荣发展，县图书馆获评全国一级图书馆，</w:t>
      </w:r>
      <w:r>
        <w:rPr>
          <w:rFonts w:hint="eastAsia" w:ascii="仿宋_GB2312" w:hAnsi="仿宋_GB2312" w:eastAsia="仿宋_GB2312" w:cs="仿宋_GB2312"/>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rPr>
        <w:t>15</w:t>
      </w:r>
      <w:r>
        <w:rPr>
          <w:rFonts w:hint="eastAsia" w:ascii="仿宋_GB2312" w:hAnsi="仿宋_GB2312" w:eastAsia="仿宋_GB2312" w:cs="仿宋_GB2312"/>
          <w:b w:val="0"/>
          <w:bCs w:val="0"/>
          <w:color w:val="auto"/>
          <w:sz w:val="32"/>
          <w:szCs w:val="32"/>
          <w:highlight w:val="none"/>
        </w:rPr>
        <w:t>分钟健身圈”</w:t>
      </w:r>
      <w:r>
        <w:rPr>
          <w:rFonts w:hint="default" w:ascii="Times New Roman" w:hAnsi="Times New Roman" w:eastAsia="仿宋_GB2312" w:cs="Times New Roman"/>
          <w:b w:val="0"/>
          <w:bCs w:val="0"/>
          <w:color w:val="auto"/>
          <w:sz w:val="32"/>
          <w:szCs w:val="32"/>
          <w:highlight w:val="none"/>
        </w:rPr>
        <w:t>全覆盖，成功创建广西体教融合示范县。医疗卫生服务能力持续提升，县中医医院成功创建三级甲等医院，县人民医院入选全</w:t>
      </w:r>
      <w:r>
        <w:rPr>
          <w:rFonts w:hint="eastAsia" w:ascii="仿宋_GB2312" w:hAnsi="仿宋_GB2312" w:eastAsia="仿宋_GB2312" w:cs="仿宋_GB2312"/>
          <w:b w:val="0"/>
          <w:bCs w:val="0"/>
          <w:color w:val="auto"/>
          <w:sz w:val="32"/>
          <w:szCs w:val="32"/>
          <w:highlight w:val="none"/>
        </w:rPr>
        <w:t>国“千县工程”</w:t>
      </w:r>
      <w:r>
        <w:rPr>
          <w:rFonts w:hint="default" w:ascii="Times New Roman" w:hAnsi="Times New Roman" w:eastAsia="仿宋_GB2312" w:cs="Times New Roman"/>
          <w:b w:val="0"/>
          <w:bCs w:val="0"/>
          <w:color w:val="auto"/>
          <w:sz w:val="32"/>
          <w:szCs w:val="32"/>
          <w:highlight w:val="none"/>
        </w:rPr>
        <w:t>，县域医共体建设经验获国家卫健委推广。社会治理和谐稳定，群众安全感满意度位居全市前列，</w:t>
      </w:r>
      <w:r>
        <w:rPr>
          <w:rFonts w:hint="eastAsia" w:ascii="仿宋_GB2312" w:hAnsi="仿宋_GB2312" w:eastAsia="仿宋_GB2312" w:cs="仿宋_GB2312"/>
          <w:b w:val="0"/>
          <w:bCs w:val="0"/>
          <w:color w:val="auto"/>
          <w:sz w:val="32"/>
          <w:szCs w:val="32"/>
          <w:highlight w:val="none"/>
        </w:rPr>
        <w:t>荣获“广西食品安全示范县”“自治区平安县”等称号，社会大局保持</w:t>
      </w:r>
      <w:r>
        <w:rPr>
          <w:rFonts w:hint="eastAsia" w:ascii="仿宋_GB2312" w:hAnsi="仿宋_GB2312" w:eastAsia="仿宋_GB2312" w:cs="仿宋_GB2312"/>
          <w:b w:val="0"/>
          <w:bCs w:val="0"/>
          <w:color w:val="auto"/>
          <w:sz w:val="32"/>
          <w:szCs w:val="32"/>
          <w:highlight w:val="none"/>
          <w:lang w:val="en-US" w:eastAsia="zh-CN"/>
        </w:rPr>
        <w:t>和谐</w:t>
      </w:r>
      <w:r>
        <w:rPr>
          <w:rFonts w:hint="default" w:ascii="Times New Roman" w:hAnsi="Times New Roman" w:eastAsia="仿宋_GB2312" w:cs="Times New Roman"/>
          <w:b w:val="0"/>
          <w:bCs w:val="0"/>
          <w:color w:val="auto"/>
          <w:sz w:val="32"/>
          <w:szCs w:val="32"/>
          <w:highlight w:val="none"/>
        </w:rPr>
        <w:t>稳定。</w:t>
      </w:r>
    </w:p>
    <w:p w14:paraId="57802D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1"/>
        <w:jc w:val="center"/>
        <w:textAlignment w:val="auto"/>
        <w:rPr>
          <w:rFonts w:hint="eastAsia" w:ascii="方正小标宋简体" w:hAnsi="方正小标宋简体" w:eastAsia="方正小标宋简体" w:cs="方正小标宋简体"/>
          <w:b w:val="0"/>
          <w:bCs w:val="0"/>
          <w:color w:val="auto"/>
          <w:sz w:val="28"/>
          <w:szCs w:val="28"/>
          <w:highlight w:val="none"/>
          <w:lang w:val="en-US" w:eastAsia="zh-CN"/>
        </w:rPr>
      </w:pPr>
      <w:bookmarkStart w:id="52" w:name="_Toc5748"/>
      <w:bookmarkStart w:id="53" w:name="_Toc32237"/>
      <w:bookmarkStart w:id="54" w:name="_Toc31580"/>
      <w:bookmarkStart w:id="55" w:name="_Toc27689"/>
      <w:bookmarkStart w:id="56" w:name="_Toc20289"/>
      <w:r>
        <w:rPr>
          <w:rFonts w:hint="eastAsia" w:ascii="方正小标宋简体" w:hAnsi="方正小标宋简体" w:eastAsia="方正小标宋简体" w:cs="方正小标宋简体"/>
          <w:color w:val="auto"/>
          <w:sz w:val="28"/>
          <w:szCs w:val="28"/>
          <w:highlight w:val="none"/>
          <w:lang w:val="en-US" w:eastAsia="zh-CN"/>
        </w:rPr>
        <w:t>表</w:t>
      </w:r>
      <w:r>
        <w:rPr>
          <w:rFonts w:hint="default" w:ascii="Times New Roman" w:hAnsi="Times New Roman" w:eastAsia="方正小标宋简体" w:cs="Times New Roman"/>
          <w:color w:val="auto"/>
          <w:sz w:val="28"/>
          <w:szCs w:val="28"/>
          <w:highlight w:val="none"/>
          <w:lang w:val="en-US" w:eastAsia="zh-CN"/>
        </w:rPr>
        <w:t>1-1</w:t>
      </w:r>
      <w:r>
        <w:rPr>
          <w:rFonts w:hint="eastAsia" w:ascii="方正小标宋简体" w:hAnsi="方正小标宋简体" w:eastAsia="方正小标宋简体" w:cs="方正小标宋简体"/>
          <w:color w:val="auto"/>
          <w:sz w:val="28"/>
          <w:szCs w:val="28"/>
          <w:highlight w:val="none"/>
          <w:lang w:val="en-US" w:eastAsia="zh-CN"/>
        </w:rPr>
        <w:t>：鹿寨县“十四五”规划主要指标完成情况</w:t>
      </w:r>
      <w:bookmarkEnd w:id="52"/>
      <w:bookmarkEnd w:id="53"/>
      <w:bookmarkEnd w:id="54"/>
      <w:bookmarkEnd w:id="55"/>
      <w:bookmarkEnd w:id="56"/>
    </w:p>
    <w:tbl>
      <w:tblPr>
        <w:tblStyle w:val="21"/>
        <w:tblpPr w:leftFromText="180" w:rightFromText="180" w:vertAnchor="text" w:horzAnchor="page" w:tblpXSpec="center" w:tblpY="33"/>
        <w:tblOverlap w:val="never"/>
        <w:tblW w:w="92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9"/>
        <w:gridCol w:w="650"/>
        <w:gridCol w:w="3345"/>
        <w:gridCol w:w="960"/>
        <w:gridCol w:w="1089"/>
        <w:gridCol w:w="914"/>
        <w:gridCol w:w="877"/>
        <w:gridCol w:w="3"/>
        <w:gridCol w:w="960"/>
      </w:tblGrid>
      <w:tr w14:paraId="2CC8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exact"/>
          <w:jc w:val="center"/>
        </w:trPr>
        <w:tc>
          <w:tcPr>
            <w:tcW w:w="449" w:type="dxa"/>
            <w:vMerge w:val="restart"/>
            <w:tcBorders>
              <w:top w:val="single" w:color="000000" w:sz="4" w:space="0"/>
              <w:left w:val="single" w:color="000000" w:sz="4" w:space="0"/>
              <w:right w:val="single" w:color="000000" w:sz="4" w:space="0"/>
            </w:tcBorders>
            <w:shd w:val="clear" w:color="auto" w:fill="auto"/>
            <w:vAlign w:val="center"/>
          </w:tcPr>
          <w:p w14:paraId="0BAB3F9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p>
          <w:p w14:paraId="2A68772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 xml:space="preserve">类别 </w:t>
            </w:r>
          </w:p>
        </w:tc>
        <w:tc>
          <w:tcPr>
            <w:tcW w:w="650" w:type="dxa"/>
            <w:vMerge w:val="restart"/>
            <w:tcBorders>
              <w:top w:val="single" w:color="000000" w:sz="4" w:space="0"/>
              <w:left w:val="single" w:color="000000" w:sz="4" w:space="0"/>
              <w:right w:val="single" w:color="000000" w:sz="4" w:space="0"/>
            </w:tcBorders>
            <w:shd w:val="clear" w:color="auto" w:fill="auto"/>
            <w:vAlign w:val="center"/>
          </w:tcPr>
          <w:p w14:paraId="6002C5A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Style w:val="46"/>
                <w:rFonts w:hint="eastAsia" w:ascii="仿宋_GB2312" w:hAnsi="仿宋_GB2312" w:eastAsia="仿宋_GB2312" w:cs="仿宋_GB2312"/>
                <w:color w:val="auto"/>
                <w:sz w:val="24"/>
                <w:szCs w:val="24"/>
                <w:highlight w:val="none"/>
                <w:lang w:val="en-US" w:eastAsia="zh-CN"/>
              </w:rPr>
              <w:t>序号</w:t>
            </w:r>
            <w:r>
              <w:rPr>
                <w:rStyle w:val="47"/>
                <w:rFonts w:hint="eastAsia" w:ascii="仿宋_GB2312" w:hAnsi="仿宋_GB2312" w:eastAsia="仿宋_GB2312" w:cs="仿宋_GB2312"/>
                <w:color w:val="auto"/>
                <w:sz w:val="24"/>
                <w:szCs w:val="24"/>
                <w:highlight w:val="none"/>
                <w:lang w:val="en-US" w:eastAsia="zh-CN"/>
              </w:rPr>
              <w:t xml:space="preserve"> </w:t>
            </w:r>
          </w:p>
        </w:tc>
        <w:tc>
          <w:tcPr>
            <w:tcW w:w="3345" w:type="dxa"/>
            <w:vMerge w:val="restart"/>
            <w:tcBorders>
              <w:top w:val="single" w:color="000000" w:sz="4" w:space="0"/>
              <w:left w:val="single" w:color="000000" w:sz="4" w:space="0"/>
              <w:right w:val="nil"/>
            </w:tcBorders>
            <w:shd w:val="clear" w:color="auto" w:fill="auto"/>
            <w:noWrap/>
            <w:vAlign w:val="center"/>
          </w:tcPr>
          <w:p w14:paraId="0CBA491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指标名称</w:t>
            </w:r>
          </w:p>
        </w:tc>
        <w:tc>
          <w:tcPr>
            <w:tcW w:w="960" w:type="dxa"/>
            <w:vMerge w:val="restart"/>
            <w:tcBorders>
              <w:top w:val="single" w:color="000000" w:sz="4" w:space="0"/>
              <w:left w:val="single" w:color="000000" w:sz="4" w:space="0"/>
              <w:right w:val="single" w:color="000000" w:sz="4" w:space="0"/>
            </w:tcBorders>
            <w:shd w:val="clear" w:color="auto" w:fill="auto"/>
            <w:noWrap/>
            <w:vAlign w:val="center"/>
          </w:tcPr>
          <w:p w14:paraId="27DA705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指标</w:t>
            </w:r>
          </w:p>
          <w:p w14:paraId="6147509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属性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B81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“十四五”规划</w:t>
            </w:r>
          </w:p>
          <w:p w14:paraId="0FFCA87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目标</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817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lang w:val="en-US" w:eastAsia="zh-CN"/>
              </w:rPr>
            </w:pPr>
            <w:r>
              <w:rPr>
                <w:rFonts w:hint="eastAsia" w:ascii="仿宋_GB2312" w:hAnsi="仿宋_GB2312" w:eastAsia="仿宋_GB2312" w:cs="仿宋_GB2312"/>
                <w:b/>
                <w:bCs/>
                <w:i w:val="0"/>
                <w:iCs w:val="0"/>
                <w:color w:val="auto"/>
                <w:sz w:val="24"/>
                <w:szCs w:val="24"/>
                <w:highlight w:val="none"/>
                <w:u w:val="none"/>
                <w:lang w:val="en-US" w:eastAsia="zh-CN"/>
              </w:rPr>
              <w:t>“十四五”目标完成</w:t>
            </w:r>
          </w:p>
          <w:p w14:paraId="25DF46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lang w:val="en-US" w:eastAsia="zh-CN"/>
              </w:rPr>
            </w:pPr>
            <w:r>
              <w:rPr>
                <w:rFonts w:hint="eastAsia" w:ascii="仿宋_GB2312" w:hAnsi="仿宋_GB2312" w:eastAsia="仿宋_GB2312" w:cs="仿宋_GB2312"/>
                <w:b/>
                <w:bCs/>
                <w:i w:val="0"/>
                <w:iCs w:val="0"/>
                <w:color w:val="auto"/>
                <w:sz w:val="24"/>
                <w:szCs w:val="24"/>
                <w:highlight w:val="none"/>
                <w:u w:val="none"/>
                <w:lang w:val="en-US" w:eastAsia="zh-CN"/>
              </w:rPr>
              <w:t>情况</w:t>
            </w:r>
          </w:p>
        </w:tc>
      </w:tr>
      <w:tr w14:paraId="2A37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exact"/>
          <w:jc w:val="center"/>
        </w:trPr>
        <w:tc>
          <w:tcPr>
            <w:tcW w:w="449" w:type="dxa"/>
            <w:vMerge w:val="continue"/>
            <w:tcBorders>
              <w:left w:val="single" w:color="000000" w:sz="4" w:space="0"/>
              <w:bottom w:val="single" w:color="auto" w:sz="4" w:space="0"/>
              <w:right w:val="single" w:color="000000" w:sz="4" w:space="0"/>
            </w:tcBorders>
            <w:shd w:val="clear" w:color="auto" w:fill="auto"/>
            <w:vAlign w:val="center"/>
          </w:tcPr>
          <w:p w14:paraId="4428310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color w:val="auto"/>
                <w:sz w:val="24"/>
                <w:szCs w:val="24"/>
                <w:highlight w:val="none"/>
              </w:rPr>
            </w:pPr>
          </w:p>
        </w:tc>
        <w:tc>
          <w:tcPr>
            <w:tcW w:w="650" w:type="dxa"/>
            <w:vMerge w:val="continue"/>
            <w:tcBorders>
              <w:left w:val="single" w:color="000000" w:sz="4" w:space="0"/>
              <w:bottom w:val="single" w:color="auto" w:sz="4" w:space="0"/>
              <w:right w:val="single" w:color="000000" w:sz="4" w:space="0"/>
            </w:tcBorders>
            <w:shd w:val="clear" w:color="auto" w:fill="auto"/>
            <w:vAlign w:val="center"/>
          </w:tcPr>
          <w:p w14:paraId="2EA232F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sz w:val="24"/>
                <w:szCs w:val="24"/>
                <w:highlight w:val="none"/>
              </w:rPr>
            </w:pPr>
          </w:p>
        </w:tc>
        <w:tc>
          <w:tcPr>
            <w:tcW w:w="3345" w:type="dxa"/>
            <w:vMerge w:val="continue"/>
            <w:tcBorders>
              <w:left w:val="single" w:color="000000" w:sz="4" w:space="0"/>
              <w:bottom w:val="single" w:color="auto" w:sz="4" w:space="0"/>
              <w:right w:val="nil"/>
            </w:tcBorders>
            <w:shd w:val="clear" w:color="auto" w:fill="auto"/>
            <w:noWrap/>
            <w:vAlign w:val="center"/>
          </w:tcPr>
          <w:p w14:paraId="11C412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sz w:val="24"/>
                <w:szCs w:val="24"/>
                <w:highlight w:val="none"/>
              </w:rPr>
            </w:pPr>
          </w:p>
        </w:tc>
        <w:tc>
          <w:tcPr>
            <w:tcW w:w="960" w:type="dxa"/>
            <w:vMerge w:val="continue"/>
            <w:tcBorders>
              <w:left w:val="single" w:color="000000" w:sz="4" w:space="0"/>
              <w:bottom w:val="single" w:color="auto" w:sz="4" w:space="0"/>
              <w:right w:val="single" w:color="000000" w:sz="4" w:space="0"/>
            </w:tcBorders>
            <w:shd w:val="clear" w:color="auto" w:fill="auto"/>
            <w:noWrap/>
            <w:vAlign w:val="center"/>
          </w:tcPr>
          <w:p w14:paraId="7BCC30D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sz w:val="24"/>
                <w:szCs w:val="24"/>
                <w:highlight w:val="none"/>
              </w:rPr>
            </w:pPr>
          </w:p>
        </w:tc>
        <w:tc>
          <w:tcPr>
            <w:tcW w:w="108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5306D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Times New Roman" w:hAnsi="Times New Roman" w:eastAsia="仿宋_GB2312" w:cs="仿宋_GB2312"/>
                <w:b/>
                <w:bCs/>
                <w:i w:val="0"/>
                <w:iCs w:val="0"/>
                <w:color w:val="auto"/>
                <w:kern w:val="0"/>
                <w:sz w:val="24"/>
                <w:szCs w:val="24"/>
                <w:highlight w:val="none"/>
                <w:u w:val="none"/>
                <w:lang w:val="en-US" w:eastAsia="zh-CN"/>
              </w:rPr>
              <w:t>2025</w:t>
            </w:r>
            <w:r>
              <w:rPr>
                <w:rFonts w:hint="eastAsia" w:ascii="仿宋_GB2312" w:hAnsi="仿宋_GB2312" w:eastAsia="仿宋_GB2312" w:cs="仿宋_GB2312"/>
                <w:b/>
                <w:bCs/>
                <w:i w:val="0"/>
                <w:iCs w:val="0"/>
                <w:color w:val="auto"/>
                <w:kern w:val="0"/>
                <w:sz w:val="24"/>
                <w:szCs w:val="24"/>
                <w:highlight w:val="none"/>
                <w:u w:val="none"/>
                <w:lang w:val="en-US" w:eastAsia="zh-CN"/>
              </w:rPr>
              <w:t>年</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C9F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年均</w:t>
            </w:r>
          </w:p>
          <w:p w14:paraId="6255264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增长</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A54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Style w:val="46"/>
                <w:rFonts w:hint="eastAsia" w:ascii="仿宋_GB2312" w:hAnsi="仿宋_GB2312" w:eastAsia="仿宋_GB2312" w:cs="仿宋_GB2312"/>
                <w:color w:val="auto"/>
                <w:sz w:val="24"/>
                <w:szCs w:val="24"/>
                <w:highlight w:val="none"/>
                <w:lang w:val="en-US" w:eastAsia="zh-CN"/>
              </w:rPr>
            </w:pPr>
            <w:r>
              <w:rPr>
                <w:rStyle w:val="46"/>
                <w:rFonts w:hint="eastAsia" w:ascii="仿宋_GB2312" w:hAnsi="仿宋_GB2312" w:eastAsia="仿宋_GB2312" w:cs="仿宋_GB2312"/>
                <w:color w:val="auto"/>
                <w:sz w:val="24"/>
                <w:szCs w:val="24"/>
                <w:highlight w:val="none"/>
                <w:lang w:val="en-US" w:eastAsia="zh-CN"/>
              </w:rPr>
              <w:t>完成</w:t>
            </w:r>
          </w:p>
          <w:p w14:paraId="58CA577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Style w:val="46"/>
                <w:rFonts w:hint="eastAsia" w:ascii="仿宋_GB2312" w:hAnsi="仿宋_GB2312" w:eastAsia="仿宋_GB2312" w:cs="仿宋_GB2312"/>
                <w:color w:val="auto"/>
                <w:sz w:val="24"/>
                <w:szCs w:val="24"/>
                <w:highlight w:val="none"/>
                <w:lang w:val="en-US" w:eastAsia="zh-CN"/>
              </w:rPr>
              <w:t>情况</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6A4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Style w:val="46"/>
                <w:rFonts w:hint="eastAsia" w:ascii="仿宋_GB2312" w:hAnsi="仿宋_GB2312" w:eastAsia="仿宋_GB2312" w:cs="仿宋_GB2312"/>
                <w:color w:val="auto"/>
                <w:sz w:val="24"/>
                <w:szCs w:val="24"/>
                <w:highlight w:val="none"/>
                <w:lang w:val="en-US" w:eastAsia="zh-CN"/>
              </w:rPr>
            </w:pPr>
            <w:r>
              <w:rPr>
                <w:rStyle w:val="46"/>
                <w:rFonts w:hint="eastAsia" w:ascii="仿宋_GB2312" w:hAnsi="仿宋_GB2312" w:eastAsia="仿宋_GB2312" w:cs="仿宋_GB2312"/>
                <w:color w:val="auto"/>
                <w:sz w:val="24"/>
                <w:szCs w:val="24"/>
                <w:highlight w:val="none"/>
                <w:lang w:val="en-US" w:eastAsia="zh-CN"/>
              </w:rPr>
              <w:t>年均</w:t>
            </w:r>
          </w:p>
          <w:p w14:paraId="4175F6F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Style w:val="46"/>
                <w:rFonts w:hint="eastAsia" w:ascii="仿宋_GB2312" w:hAnsi="仿宋_GB2312" w:eastAsia="仿宋_GB2312" w:cs="仿宋_GB2312"/>
                <w:color w:val="auto"/>
                <w:sz w:val="24"/>
                <w:szCs w:val="24"/>
                <w:highlight w:val="none"/>
                <w:lang w:val="en-US" w:eastAsia="zh-CN"/>
              </w:rPr>
            </w:pPr>
            <w:r>
              <w:rPr>
                <w:rStyle w:val="46"/>
                <w:rFonts w:hint="eastAsia" w:ascii="仿宋_GB2312" w:hAnsi="仿宋_GB2312" w:eastAsia="仿宋_GB2312" w:cs="仿宋_GB2312"/>
                <w:color w:val="auto"/>
                <w:sz w:val="24"/>
                <w:szCs w:val="24"/>
                <w:highlight w:val="none"/>
                <w:lang w:val="en-US" w:eastAsia="zh-CN"/>
              </w:rPr>
              <w:t>增长</w:t>
            </w:r>
          </w:p>
        </w:tc>
      </w:tr>
      <w:tr w14:paraId="4A7A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exact"/>
          <w:jc w:val="center"/>
        </w:trPr>
        <w:tc>
          <w:tcPr>
            <w:tcW w:w="44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0880A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rPr>
              <w:t>经</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济</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发</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展</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5B76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3D170A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地区生产总值（亿元）</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14BA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F4D1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619F31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1"/>
                <w:szCs w:val="21"/>
                <w:highlight w:val="none"/>
                <w:lang w:val="en-US" w:eastAsia="zh-CN"/>
              </w:rPr>
              <w:t>高于区、市水平</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C69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CD9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3.</w:t>
            </w:r>
            <w:r>
              <w:rPr>
                <w:rFonts w:hint="eastAsia" w:ascii="Times New Roman" w:hAnsi="Times New Roman" w:eastAsia="仿宋_GB2312" w:cs="Times New Roman"/>
                <w:i w:val="0"/>
                <w:iCs w:val="0"/>
                <w:color w:val="auto"/>
                <w:kern w:val="0"/>
                <w:sz w:val="24"/>
                <w:szCs w:val="24"/>
                <w:highlight w:val="none"/>
                <w:u w:val="none"/>
                <w:lang w:val="en-US" w:eastAsia="zh-CN"/>
              </w:rPr>
              <w:t>05</w:t>
            </w:r>
          </w:p>
        </w:tc>
      </w:tr>
      <w:tr w14:paraId="514DB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8BF1E0">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B0B92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6BEB432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人均地区生产总值（万人/人）</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C228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DB59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8ED396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80C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6.</w:t>
            </w:r>
            <w:r>
              <w:rPr>
                <w:rFonts w:hint="eastAsia" w:ascii="Times New Roman" w:hAnsi="Times New Roman" w:eastAsia="仿宋_GB2312" w:cs="Times New Roman"/>
                <w:i w:val="0"/>
                <w:iCs w:val="0"/>
                <w:color w:val="auto"/>
                <w:kern w:val="0"/>
                <w:sz w:val="24"/>
                <w:szCs w:val="24"/>
                <w:highlight w:val="none"/>
                <w:u w:val="none"/>
                <w:lang w:val="en-US" w:eastAsia="zh-CN"/>
              </w:rPr>
              <w:t>14</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3EE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2F466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BBD75F">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66659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6D2532A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一般公共预算收入（%）</w:t>
            </w:r>
          </w:p>
          <w:p w14:paraId="56A295A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收入）（亿元）</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245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5968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8019F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7.5</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592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E2B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4"/>
                <w:szCs w:val="24"/>
                <w:highlight w:val="none"/>
                <w:u w:val="none"/>
                <w:lang w:val="en-US" w:eastAsia="zh-CN"/>
              </w:rPr>
              <w:t>-</w:t>
            </w:r>
            <w:r>
              <w:rPr>
                <w:rFonts w:hint="default" w:ascii="Times New Roman" w:hAnsi="Times New Roman" w:eastAsia="仿宋_GB2312" w:cs="Times New Roman"/>
                <w:i w:val="0"/>
                <w:iCs w:val="0"/>
                <w:color w:val="auto"/>
                <w:kern w:val="0"/>
                <w:sz w:val="24"/>
                <w:szCs w:val="24"/>
                <w:highlight w:val="none"/>
                <w:u w:val="none"/>
                <w:lang w:val="en-US" w:eastAsia="zh-CN"/>
              </w:rPr>
              <w:t>0.04</w:t>
            </w:r>
          </w:p>
        </w:tc>
      </w:tr>
      <w:tr w14:paraId="162AB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FD77A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1CBCE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4</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7215513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规模以上工业总产值（亿元）</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A498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2B88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59364D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15.5</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C72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2A9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2.4</w:t>
            </w:r>
          </w:p>
        </w:tc>
      </w:tr>
      <w:tr w14:paraId="12228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2AA14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F561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5</w:t>
            </w:r>
          </w:p>
        </w:tc>
        <w:tc>
          <w:tcPr>
            <w:tcW w:w="33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C8154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战略性新兴产业总产值占工业总产值比重（%）</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6DEF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E6E22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25</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F6E65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727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9.8</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E9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1386A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exact"/>
          <w:jc w:val="center"/>
        </w:trPr>
        <w:tc>
          <w:tcPr>
            <w:tcW w:w="449" w:type="dxa"/>
            <w:vMerge w:val="continue"/>
            <w:tcBorders>
              <w:top w:val="single" w:color="auto" w:sz="4" w:space="0"/>
              <w:left w:val="single" w:color="auto" w:sz="4" w:space="0"/>
              <w:bottom w:val="nil"/>
              <w:right w:val="single" w:color="000000" w:sz="4" w:space="0"/>
            </w:tcBorders>
            <w:shd w:val="clear" w:color="auto" w:fill="auto"/>
            <w:vAlign w:val="center"/>
          </w:tcPr>
          <w:p w14:paraId="0043305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6392E3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6</w:t>
            </w:r>
          </w:p>
        </w:tc>
        <w:tc>
          <w:tcPr>
            <w:tcW w:w="3345" w:type="dxa"/>
            <w:tcBorders>
              <w:top w:val="single" w:color="auto" w:sz="4" w:space="0"/>
              <w:left w:val="single" w:color="000000" w:sz="4" w:space="0"/>
              <w:bottom w:val="nil"/>
              <w:right w:val="nil"/>
            </w:tcBorders>
            <w:shd w:val="clear" w:color="auto" w:fill="auto"/>
            <w:noWrap/>
            <w:vAlign w:val="center"/>
          </w:tcPr>
          <w:p w14:paraId="462F6C4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固定资产投资（%）</w:t>
            </w:r>
          </w:p>
        </w:tc>
        <w:tc>
          <w:tcPr>
            <w:tcW w:w="9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60292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D7513E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1C3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15</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795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80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r>
              <w:rPr>
                <w:rFonts w:hint="eastAsia" w:ascii="Times New Roman" w:hAnsi="Times New Roman" w:eastAsia="仿宋_GB2312" w:cs="Times New Roman"/>
                <w:i w:val="0"/>
                <w:iCs w:val="0"/>
                <w:color w:val="auto"/>
                <w:kern w:val="0"/>
                <w:sz w:val="24"/>
                <w:szCs w:val="24"/>
                <w:highlight w:val="none"/>
                <w:u w:val="none"/>
                <w:lang w:val="en-US" w:eastAsia="zh-CN"/>
              </w:rPr>
              <w:t>12.6</w:t>
            </w:r>
          </w:p>
        </w:tc>
      </w:tr>
      <w:tr w14:paraId="27F6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exact"/>
          <w:jc w:val="center"/>
        </w:trPr>
        <w:tc>
          <w:tcPr>
            <w:tcW w:w="449" w:type="dxa"/>
            <w:vMerge w:val="continue"/>
            <w:tcBorders>
              <w:top w:val="single" w:color="000000" w:sz="4" w:space="0"/>
              <w:left w:val="single" w:color="auto" w:sz="4" w:space="0"/>
              <w:bottom w:val="nil"/>
              <w:right w:val="single" w:color="000000" w:sz="4" w:space="0"/>
            </w:tcBorders>
            <w:shd w:val="clear" w:color="auto" w:fill="auto"/>
            <w:vAlign w:val="center"/>
          </w:tcPr>
          <w:p w14:paraId="79CC68FF">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3AB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w:t>
            </w:r>
          </w:p>
        </w:tc>
        <w:tc>
          <w:tcPr>
            <w:tcW w:w="3345" w:type="dxa"/>
            <w:tcBorders>
              <w:top w:val="single" w:color="000000" w:sz="4" w:space="0"/>
              <w:left w:val="single" w:color="000000" w:sz="4" w:space="0"/>
              <w:bottom w:val="nil"/>
              <w:right w:val="nil"/>
            </w:tcBorders>
            <w:shd w:val="clear" w:color="auto" w:fill="auto"/>
            <w:noWrap/>
            <w:vAlign w:val="center"/>
          </w:tcPr>
          <w:p w14:paraId="1C50537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社会消费品零售总额（亿元）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0EA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79E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F56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3AB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5F1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2.7</w:t>
            </w:r>
          </w:p>
        </w:tc>
      </w:tr>
      <w:tr w14:paraId="4456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exact"/>
          <w:jc w:val="center"/>
        </w:trPr>
        <w:tc>
          <w:tcPr>
            <w:tcW w:w="449" w:type="dxa"/>
            <w:vMerge w:val="continue"/>
            <w:tcBorders>
              <w:top w:val="single" w:color="000000" w:sz="4" w:space="0"/>
              <w:left w:val="single" w:color="auto" w:sz="4" w:space="0"/>
              <w:bottom w:val="nil"/>
              <w:right w:val="single" w:color="000000" w:sz="4" w:space="0"/>
            </w:tcBorders>
            <w:shd w:val="clear" w:color="auto" w:fill="auto"/>
            <w:vAlign w:val="center"/>
          </w:tcPr>
          <w:p w14:paraId="5468F382">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6B7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8</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31C9C70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常住人口城镇化率（%）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B00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819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58</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C05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nil"/>
              <w:bottom w:val="single" w:color="000000" w:sz="4" w:space="0"/>
              <w:right w:val="single" w:color="000000" w:sz="4" w:space="0"/>
            </w:tcBorders>
            <w:shd w:val="clear" w:color="auto" w:fill="auto"/>
            <w:noWrap/>
            <w:vAlign w:val="center"/>
          </w:tcPr>
          <w:p w14:paraId="13F5948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57.2</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F5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2221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exact"/>
          <w:jc w:val="center"/>
        </w:trPr>
        <w:tc>
          <w:tcPr>
            <w:tcW w:w="449"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BFECA7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9D29">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EF63F4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户籍人口城镇化率（%）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221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2D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43</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DE9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nil"/>
              <w:bottom w:val="single" w:color="000000" w:sz="4" w:space="0"/>
              <w:right w:val="single" w:color="000000" w:sz="4" w:space="0"/>
            </w:tcBorders>
            <w:shd w:val="clear" w:color="auto" w:fill="auto"/>
            <w:noWrap/>
            <w:vAlign w:val="center"/>
          </w:tcPr>
          <w:p w14:paraId="36764BD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41</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37B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1912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exac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D434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rPr>
              <w:t>创新</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驱</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动</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FC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4D1E7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研发与实验发展经费支出占GDP比重（%）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B61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883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C30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DA1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1.8</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C95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3180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F133F">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61A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10</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0DA27E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每万人口发明专利拥有量（%）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EE4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F87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28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B79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E20E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35BD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D70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kern w:val="2"/>
                <w:sz w:val="24"/>
                <w:szCs w:val="24"/>
                <w:highlight w:val="none"/>
                <w:u w:val="none"/>
                <w:lang w:val="en-US" w:eastAsia="zh-CN" w:bidi="ar-SA"/>
              </w:rPr>
            </w:pPr>
            <w:r>
              <w:rPr>
                <w:rFonts w:hint="default" w:ascii="Times New Roman" w:hAnsi="Times New Roman" w:eastAsia="仿宋_GB2312" w:cs="Times New Roman"/>
                <w:b/>
                <w:bCs/>
                <w:i w:val="0"/>
                <w:iCs w:val="0"/>
                <w:color w:val="auto"/>
                <w:kern w:val="2"/>
                <w:sz w:val="24"/>
                <w:szCs w:val="24"/>
                <w:highlight w:val="none"/>
                <w:u w:val="none"/>
                <w:lang w:val="en-US" w:eastAsia="zh-CN" w:bidi="ar-SA"/>
              </w:rPr>
              <w:t>民生福祉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089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11</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5E0A6E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学前三年教育毛入园率（%）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125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47E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EE9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650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102.69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946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64DE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B1CA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b/>
                <w:bCs/>
                <w:i w:val="0"/>
                <w:iCs w:val="0"/>
                <w:color w:val="auto"/>
                <w:kern w:val="2"/>
                <w:sz w:val="24"/>
                <w:szCs w:val="24"/>
                <w:highlight w:val="none"/>
                <w:u w:val="none"/>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597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12</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8574EF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高中阶段毛入学率（%）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061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863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97</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C1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FBC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92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B41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4B62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A8E69">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FB0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13</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30FD57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城镇登记失业率（%）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2E9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B97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≤4.5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DD6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A3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无法对比</w:t>
            </w:r>
          </w:p>
        </w:tc>
      </w:tr>
      <w:tr w14:paraId="0648D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F8A4">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AFA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14</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22E1A51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每千常住人口执业（助理）医师数（人）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169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w:t>
            </w:r>
            <w:r>
              <w:rPr>
                <w:rFonts w:hint="eastAsia" w:ascii="Times New Roman" w:hAnsi="Times New Roman" w:eastAsia="仿宋_GB2312" w:cs="Times New Roman"/>
                <w:i w:val="0"/>
                <w:iCs w:val="0"/>
                <w:color w:val="auto"/>
                <w:kern w:val="0"/>
                <w:sz w:val="24"/>
                <w:szCs w:val="24"/>
                <w:highlight w:val="none"/>
                <w:u w:val="none"/>
                <w:lang w:val="en-US" w:eastAsia="zh-CN"/>
              </w:rPr>
              <w:t>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C4F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9"/>
                <w:rFonts w:hint="default" w:ascii="Times New Roman" w:hAnsi="Times New Roman" w:eastAsia="仿宋_GB2312" w:cs="Times New Roman"/>
                <w:color w:val="auto"/>
                <w:sz w:val="24"/>
                <w:szCs w:val="24"/>
                <w:highlight w:val="none"/>
                <w:lang w:val="en-US" w:eastAsia="zh-CN"/>
              </w:rPr>
              <w:t>≥</w:t>
            </w:r>
            <w:r>
              <w:rPr>
                <w:rStyle w:val="50"/>
                <w:rFonts w:hint="default" w:ascii="Times New Roman" w:hAnsi="Times New Roman" w:eastAsia="仿宋_GB2312" w:cs="Times New Roman"/>
                <w:color w:val="auto"/>
                <w:sz w:val="24"/>
                <w:szCs w:val="24"/>
                <w:highlight w:val="none"/>
                <w:lang w:val="en-US" w:eastAsia="zh-CN"/>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16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75B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3.</w:t>
            </w:r>
            <w:r>
              <w:rPr>
                <w:rFonts w:hint="eastAsia" w:ascii="Times New Roman" w:hAnsi="Times New Roman" w:eastAsia="仿宋_GB2312" w:cs="Times New Roman"/>
                <w:i w:val="0"/>
                <w:iCs w:val="0"/>
                <w:color w:val="auto"/>
                <w:kern w:val="0"/>
                <w:sz w:val="24"/>
                <w:szCs w:val="24"/>
                <w:highlight w:val="none"/>
                <w:u w:val="none"/>
                <w:lang w:val="en-US" w:eastAsia="zh-CN"/>
              </w:rPr>
              <w:t>67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9AF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4F8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46CC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84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15</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C87C78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常住人口（万人）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37D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B5F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38</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DAA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023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33.42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9AE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3E78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5E1EA">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D86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16</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364787E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农村居民人均可支配收入（元）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27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E9B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217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E87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093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7.5</w:t>
            </w:r>
          </w:p>
        </w:tc>
      </w:tr>
      <w:tr w14:paraId="2DF2A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5225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6D3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17</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418438B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城镇居民人均可支配收入（元）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66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29F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3E3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59A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09E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4.4</w:t>
            </w:r>
          </w:p>
        </w:tc>
      </w:tr>
      <w:tr w14:paraId="5078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FE490">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96F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18</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45A01A6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基本医疗保险参保率（%）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9E0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9AA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879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F12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96.35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238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4D10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DD2B2">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2B6D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19</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65E553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基本养老保险参保率（%）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63E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557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567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E3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868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7E853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FF95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20C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20</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BB366B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人均预期寿命（岁）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E96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182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78.2</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A90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EB3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8</w:t>
            </w:r>
            <w:r>
              <w:rPr>
                <w:rFonts w:hint="eastAsia" w:ascii="Times New Roman" w:hAnsi="Times New Roman" w:eastAsia="仿宋_GB2312" w:cs="Times New Roman"/>
                <w:i w:val="0"/>
                <w:iCs w:val="0"/>
                <w:color w:val="auto"/>
                <w:kern w:val="0"/>
                <w:sz w:val="24"/>
                <w:szCs w:val="24"/>
                <w:highlight w:val="none"/>
                <w:u w:val="none"/>
                <w:lang w:val="en-US" w:eastAsia="zh-CN"/>
              </w:rPr>
              <w:t>1.96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119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968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8D969">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4DC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21</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2899B0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保障性住房（套）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5E1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82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按上级下达2521</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AC7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99</w:t>
            </w:r>
            <w:r>
              <w:rPr>
                <w:rFonts w:hint="eastAsia" w:ascii="Times New Roman" w:hAnsi="Times New Roman" w:eastAsia="仿宋_GB2312" w:cs="Times New Roman"/>
                <w:i w:val="0"/>
                <w:iCs w:val="0"/>
                <w:color w:val="auto"/>
                <w:kern w:val="0"/>
                <w:sz w:val="24"/>
                <w:szCs w:val="24"/>
                <w:highlight w:val="none"/>
                <w:u w:val="none"/>
                <w:lang w:val="en-US" w:eastAsia="zh-CN"/>
              </w:rPr>
              <w:t>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311D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4CCC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80C28">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090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22</w:t>
            </w:r>
          </w:p>
        </w:tc>
        <w:tc>
          <w:tcPr>
            <w:tcW w:w="3345" w:type="dxa"/>
            <w:tcBorders>
              <w:top w:val="single" w:color="000000" w:sz="4" w:space="0"/>
              <w:left w:val="single" w:color="000000" w:sz="4" w:space="0"/>
              <w:bottom w:val="single" w:color="000000" w:sz="4" w:space="0"/>
              <w:right w:val="nil"/>
            </w:tcBorders>
            <w:shd w:val="clear" w:color="auto" w:fill="auto"/>
            <w:vAlign w:val="center"/>
          </w:tcPr>
          <w:p w14:paraId="64982AB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每千名老人养老床位数（张）</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A11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D10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r>
              <w:rPr>
                <w:rStyle w:val="50"/>
                <w:rFonts w:hint="default" w:ascii="Times New Roman" w:hAnsi="Times New Roman" w:eastAsia="仿宋_GB2312" w:cs="Times New Roman"/>
                <w:color w:val="auto"/>
                <w:sz w:val="24"/>
                <w:szCs w:val="24"/>
                <w:highlight w:val="none"/>
                <w:lang w:val="en-US" w:eastAsia="zh-CN"/>
              </w:rPr>
              <w:t>35</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90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4"/>
                <w:szCs w:val="24"/>
                <w:highlight w:val="none"/>
                <w:u w:val="none"/>
                <w:lang w:val="en-US" w:eastAsia="zh-CN"/>
              </w:rPr>
              <w:t>无法对比</w:t>
            </w:r>
          </w:p>
        </w:tc>
      </w:tr>
      <w:tr w14:paraId="153B3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exac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1A4C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rPr>
              <w:t>生</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态</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文</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明</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0D5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23</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54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森林覆盖率（%）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AF7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nil"/>
              <w:right w:val="single" w:color="000000" w:sz="4" w:space="0"/>
            </w:tcBorders>
            <w:shd w:val="clear" w:color="auto" w:fill="auto"/>
            <w:noWrap/>
            <w:vAlign w:val="center"/>
          </w:tcPr>
          <w:p w14:paraId="431983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w:t>
            </w:r>
            <w:r>
              <w:rPr>
                <w:rStyle w:val="50"/>
                <w:rFonts w:hint="default" w:ascii="Times New Roman" w:hAnsi="Times New Roman" w:eastAsia="仿宋_GB2312" w:cs="Times New Roman"/>
                <w:color w:val="auto"/>
                <w:sz w:val="24"/>
                <w:szCs w:val="24"/>
                <w:highlight w:val="none"/>
                <w:lang w:val="en-US" w:eastAsia="zh-CN"/>
              </w:rPr>
              <w:t>65</w:t>
            </w:r>
          </w:p>
        </w:tc>
        <w:tc>
          <w:tcPr>
            <w:tcW w:w="914" w:type="dxa"/>
            <w:tcBorders>
              <w:top w:val="single" w:color="000000" w:sz="4" w:space="0"/>
              <w:left w:val="single" w:color="000000" w:sz="4" w:space="0"/>
              <w:bottom w:val="nil"/>
              <w:right w:val="single" w:color="000000" w:sz="4" w:space="0"/>
            </w:tcBorders>
            <w:shd w:val="clear" w:color="auto" w:fill="auto"/>
            <w:noWrap/>
            <w:vAlign w:val="center"/>
          </w:tcPr>
          <w:p w14:paraId="22AFC4B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840" w:type="dxa"/>
            <w:gridSpan w:val="3"/>
            <w:tcBorders>
              <w:top w:val="single" w:color="000000" w:sz="4" w:space="0"/>
              <w:left w:val="single" w:color="000000" w:sz="4" w:space="0"/>
              <w:bottom w:val="nil"/>
              <w:right w:val="single" w:color="000000" w:sz="4" w:space="0"/>
            </w:tcBorders>
            <w:shd w:val="clear" w:color="auto" w:fill="auto"/>
            <w:noWrap/>
            <w:vAlign w:val="center"/>
          </w:tcPr>
          <w:p w14:paraId="21F08A7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4"/>
                <w:szCs w:val="24"/>
                <w:highlight w:val="none"/>
                <w:u w:val="none"/>
                <w:lang w:val="en-US" w:eastAsia="zh-CN"/>
              </w:rPr>
              <w:t>无法对比</w:t>
            </w:r>
          </w:p>
        </w:tc>
      </w:tr>
      <w:tr w14:paraId="09910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966F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2CC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24</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B5D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耕地保有量（万亩）</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D87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571A93C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按上级下达</w:t>
            </w:r>
            <w:r>
              <w:rPr>
                <w:rFonts w:hint="eastAsia" w:ascii="Times New Roman" w:hAnsi="Times New Roman" w:eastAsia="仿宋_GB2312" w:cs="Times New Roman"/>
                <w:i w:val="0"/>
                <w:iCs w:val="0"/>
                <w:color w:val="auto"/>
                <w:kern w:val="0"/>
                <w:sz w:val="24"/>
                <w:szCs w:val="24"/>
                <w:highlight w:val="none"/>
                <w:u w:val="none"/>
                <w:lang w:val="en-US" w:eastAsia="zh-CN"/>
              </w:rPr>
              <w:t>45.26</w:t>
            </w:r>
          </w:p>
          <w:p w14:paraId="18A6812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51.03</w:t>
            </w:r>
          </w:p>
        </w:tc>
        <w:tc>
          <w:tcPr>
            <w:tcW w:w="880"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668FEEC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50.01</w:t>
            </w:r>
          </w:p>
        </w:tc>
        <w:tc>
          <w:tcPr>
            <w:tcW w:w="9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FAE7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4FD91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5694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72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25</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394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万元生产总值能耗降低（%）</w:t>
            </w:r>
          </w:p>
        </w:tc>
        <w:tc>
          <w:tcPr>
            <w:tcW w:w="9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E78706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DE076D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按上级下达</w:t>
            </w:r>
            <w:r>
              <w:rPr>
                <w:rFonts w:hint="eastAsia" w:ascii="Times New Roman" w:hAnsi="Times New Roman" w:eastAsia="仿宋_GB2312" w:cs="Times New Roman"/>
                <w:i w:val="0"/>
                <w:iCs w:val="0"/>
                <w:color w:val="auto"/>
                <w:kern w:val="0"/>
                <w:sz w:val="24"/>
                <w:szCs w:val="24"/>
                <w:highlight w:val="none"/>
                <w:u w:val="none"/>
                <w:lang w:val="en-US" w:eastAsia="zh-CN"/>
              </w:rPr>
              <w:t>13.5</w:t>
            </w:r>
          </w:p>
        </w:tc>
        <w:tc>
          <w:tcPr>
            <w:tcW w:w="880" w:type="dxa"/>
            <w:gridSpan w:val="2"/>
            <w:tcBorders>
              <w:top w:val="single" w:color="auto" w:sz="4" w:space="0"/>
              <w:left w:val="single" w:color="000000" w:sz="4" w:space="0"/>
              <w:bottom w:val="single" w:color="auto" w:sz="4" w:space="0"/>
              <w:right w:val="single" w:color="000000" w:sz="4" w:space="0"/>
            </w:tcBorders>
            <w:shd w:val="clear" w:color="auto" w:fill="auto"/>
            <w:noWrap/>
            <w:vAlign w:val="center"/>
          </w:tcPr>
          <w:p w14:paraId="67A6181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3EA4718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3.2</w:t>
            </w:r>
          </w:p>
        </w:tc>
      </w:tr>
      <w:tr w14:paraId="33982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42C77">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037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26</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229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万元生产总值用水量降低（%）</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EE2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auto" w:sz="4" w:space="0"/>
              <w:left w:val="single" w:color="000000" w:sz="4" w:space="0"/>
              <w:bottom w:val="single" w:color="000000" w:sz="4" w:space="0"/>
              <w:right w:val="nil"/>
            </w:tcBorders>
            <w:shd w:val="clear" w:color="auto" w:fill="auto"/>
            <w:noWrap/>
            <w:vAlign w:val="center"/>
          </w:tcPr>
          <w:p w14:paraId="075AFA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auto" w:sz="4" w:space="0"/>
              <w:left w:val="single" w:color="000000" w:sz="4" w:space="0"/>
              <w:bottom w:val="single" w:color="000000" w:sz="4" w:space="0"/>
              <w:right w:val="nil"/>
            </w:tcBorders>
            <w:shd w:val="clear" w:color="auto" w:fill="auto"/>
            <w:noWrap/>
            <w:vAlign w:val="center"/>
          </w:tcPr>
          <w:p w14:paraId="4EEFB6C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Style w:val="48"/>
                <w:rFonts w:hint="default" w:ascii="Times New Roman" w:hAnsi="Times New Roman" w:eastAsia="仿宋_GB2312" w:cs="Times New Roman"/>
                <w:color w:val="auto"/>
                <w:sz w:val="24"/>
                <w:szCs w:val="24"/>
                <w:highlight w:val="none"/>
                <w:lang w:val="en-US" w:eastAsia="zh-CN"/>
              </w:rPr>
            </w:pPr>
            <w:r>
              <w:rPr>
                <w:rStyle w:val="48"/>
                <w:rFonts w:hint="default" w:ascii="Times New Roman" w:hAnsi="Times New Roman" w:eastAsia="仿宋_GB2312" w:cs="Times New Roman"/>
                <w:color w:val="auto"/>
                <w:sz w:val="24"/>
                <w:szCs w:val="24"/>
                <w:highlight w:val="none"/>
                <w:lang w:val="en-US" w:eastAsia="zh-CN"/>
              </w:rPr>
              <w:t>9.71</w:t>
            </w:r>
          </w:p>
        </w:tc>
        <w:tc>
          <w:tcPr>
            <w:tcW w:w="880" w:type="dxa"/>
            <w:gridSpan w:val="2"/>
            <w:tcBorders>
              <w:top w:val="single" w:color="auto" w:sz="4" w:space="0"/>
              <w:left w:val="single" w:color="000000" w:sz="4" w:space="0"/>
              <w:bottom w:val="nil"/>
              <w:right w:val="single" w:color="000000" w:sz="4" w:space="0"/>
            </w:tcBorders>
            <w:shd w:val="clear" w:color="auto" w:fill="auto"/>
            <w:noWrap/>
            <w:vAlign w:val="center"/>
          </w:tcPr>
          <w:p w14:paraId="4DE9CF2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auto" w:sz="4" w:space="0"/>
              <w:left w:val="single" w:color="000000" w:sz="4" w:space="0"/>
              <w:bottom w:val="nil"/>
              <w:right w:val="single" w:color="000000" w:sz="4" w:space="0"/>
            </w:tcBorders>
            <w:shd w:val="clear" w:color="auto" w:fill="auto"/>
            <w:noWrap/>
            <w:vAlign w:val="center"/>
          </w:tcPr>
          <w:p w14:paraId="2E0A711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10.4</w:t>
            </w:r>
          </w:p>
        </w:tc>
      </w:tr>
      <w:tr w14:paraId="64CA4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81C22">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02F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27</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461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万元生产总值CO</w:t>
            </w:r>
            <w:r>
              <w:rPr>
                <w:rStyle w:val="51"/>
                <w:rFonts w:hint="default" w:ascii="Times New Roman" w:hAnsi="Times New Roman" w:eastAsia="仿宋_GB2312" w:cs="Times New Roman"/>
                <w:color w:val="auto"/>
                <w:sz w:val="24"/>
                <w:szCs w:val="24"/>
                <w:highlight w:val="none"/>
                <w:vertAlign w:val="subscript"/>
                <w:lang w:val="en-US" w:eastAsia="zh-CN"/>
              </w:rPr>
              <w:t>2</w:t>
            </w:r>
            <w:r>
              <w:rPr>
                <w:rStyle w:val="48"/>
                <w:rFonts w:hint="default" w:ascii="Times New Roman" w:hAnsi="Times New Roman" w:eastAsia="仿宋_GB2312" w:cs="Times New Roman"/>
                <w:color w:val="auto"/>
                <w:sz w:val="24"/>
                <w:szCs w:val="24"/>
                <w:highlight w:val="none"/>
                <w:lang w:val="en-US" w:eastAsia="zh-CN"/>
              </w:rPr>
              <w:t>排放降低（%）</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BD7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384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94D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完成上级下达目标</w:t>
            </w:r>
          </w:p>
        </w:tc>
      </w:tr>
      <w:tr w14:paraId="772E6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6E580">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restart"/>
            <w:tcBorders>
              <w:top w:val="single" w:color="000000" w:sz="4" w:space="0"/>
              <w:left w:val="single" w:color="000000" w:sz="4" w:space="0"/>
              <w:right w:val="single" w:color="000000" w:sz="4" w:space="0"/>
            </w:tcBorders>
            <w:shd w:val="clear" w:color="auto" w:fill="auto"/>
            <w:noWrap/>
            <w:vAlign w:val="center"/>
          </w:tcPr>
          <w:p w14:paraId="2AA62AE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28</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4F4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主要污染物排放量降低（%）</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30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3843" w:type="dxa"/>
            <w:gridSpan w:val="5"/>
            <w:tcBorders>
              <w:top w:val="single" w:color="000000" w:sz="4" w:space="0"/>
              <w:left w:val="single" w:color="000000" w:sz="4" w:space="0"/>
              <w:bottom w:val="nil"/>
              <w:right w:val="single" w:color="000000" w:sz="4" w:space="0"/>
            </w:tcBorders>
            <w:shd w:val="clear" w:color="auto" w:fill="auto"/>
            <w:noWrap/>
            <w:vAlign w:val="center"/>
          </w:tcPr>
          <w:p w14:paraId="712D71F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完成上级下达目标</w:t>
            </w:r>
          </w:p>
        </w:tc>
      </w:tr>
      <w:tr w14:paraId="6FAC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96ADE">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right w:val="single" w:color="000000" w:sz="4" w:space="0"/>
            </w:tcBorders>
            <w:shd w:val="clear" w:color="auto" w:fill="auto"/>
            <w:noWrap/>
            <w:vAlign w:val="center"/>
          </w:tcPr>
          <w:p w14:paraId="41521DB5">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E6B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其中：化学需要量（%）</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D6C4">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3843" w:type="dxa"/>
            <w:gridSpan w:val="5"/>
            <w:vMerge w:val="restart"/>
            <w:tcBorders>
              <w:top w:val="single" w:color="000000" w:sz="4" w:space="0"/>
              <w:left w:val="single" w:color="000000" w:sz="4" w:space="0"/>
              <w:right w:val="single" w:color="000000" w:sz="4" w:space="0"/>
            </w:tcBorders>
            <w:shd w:val="clear" w:color="auto" w:fill="auto"/>
            <w:noWrap/>
            <w:vAlign w:val="center"/>
          </w:tcPr>
          <w:p w14:paraId="7337443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完成上级下达目标</w:t>
            </w:r>
          </w:p>
        </w:tc>
      </w:tr>
      <w:tr w14:paraId="5ECB9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C69B5">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right w:val="single" w:color="000000" w:sz="4" w:space="0"/>
            </w:tcBorders>
            <w:shd w:val="clear" w:color="auto" w:fill="auto"/>
            <w:noWrap/>
            <w:vAlign w:val="center"/>
          </w:tcPr>
          <w:p w14:paraId="5A33D756">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FE7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720" w:firstLineChars="30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氨氮（%）</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F1F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843" w:type="dxa"/>
            <w:gridSpan w:val="5"/>
            <w:vMerge w:val="continue"/>
            <w:tcBorders>
              <w:left w:val="single" w:color="000000" w:sz="4" w:space="0"/>
              <w:right w:val="single" w:color="000000" w:sz="4" w:space="0"/>
            </w:tcBorders>
            <w:shd w:val="clear" w:color="auto" w:fill="auto"/>
            <w:noWrap/>
            <w:vAlign w:val="center"/>
          </w:tcPr>
          <w:p w14:paraId="5B32FEE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p>
        </w:tc>
      </w:tr>
      <w:tr w14:paraId="38E0A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E440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right w:val="single" w:color="000000" w:sz="4" w:space="0"/>
            </w:tcBorders>
            <w:shd w:val="clear" w:color="auto" w:fill="auto"/>
            <w:noWrap/>
            <w:vAlign w:val="center"/>
          </w:tcPr>
          <w:p w14:paraId="0A3ACCB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70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720" w:firstLineChars="30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二氧化硫（%）</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012C">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843" w:type="dxa"/>
            <w:gridSpan w:val="5"/>
            <w:vMerge w:val="continue"/>
            <w:tcBorders>
              <w:left w:val="single" w:color="000000" w:sz="4" w:space="0"/>
              <w:right w:val="single" w:color="000000" w:sz="4" w:space="0"/>
            </w:tcBorders>
            <w:shd w:val="clear" w:color="auto" w:fill="auto"/>
            <w:noWrap/>
            <w:vAlign w:val="center"/>
          </w:tcPr>
          <w:p w14:paraId="6037A7B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p>
        </w:tc>
      </w:tr>
      <w:tr w14:paraId="7D1B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A7606">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bottom w:val="single" w:color="000000" w:sz="4" w:space="0"/>
              <w:right w:val="single" w:color="000000" w:sz="4" w:space="0"/>
            </w:tcBorders>
            <w:shd w:val="clear" w:color="auto" w:fill="auto"/>
            <w:noWrap/>
            <w:vAlign w:val="center"/>
          </w:tcPr>
          <w:p w14:paraId="4EEBDFE4">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EDD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720" w:firstLineChars="30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氮氧化物（%）</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2D0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843" w:type="dxa"/>
            <w:gridSpan w:val="5"/>
            <w:vMerge w:val="continue"/>
            <w:tcBorders>
              <w:left w:val="single" w:color="000000" w:sz="4" w:space="0"/>
              <w:bottom w:val="single" w:color="000000" w:sz="4" w:space="0"/>
              <w:right w:val="single" w:color="000000" w:sz="4" w:space="0"/>
            </w:tcBorders>
            <w:shd w:val="clear" w:color="auto" w:fill="auto"/>
            <w:noWrap/>
            <w:vAlign w:val="center"/>
          </w:tcPr>
          <w:p w14:paraId="11B9FE0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p>
        </w:tc>
      </w:tr>
      <w:tr w14:paraId="46EE7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EC6C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769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29</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C5BA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城市空气质量优良天数比率（%）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1D3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F57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03B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9</w:t>
            </w:r>
            <w:r>
              <w:rPr>
                <w:rFonts w:hint="eastAsia" w:ascii="Times New Roman" w:hAnsi="Times New Roman" w:eastAsia="仿宋_GB2312" w:cs="Times New Roman"/>
                <w:i w:val="0"/>
                <w:iCs w:val="0"/>
                <w:color w:val="auto"/>
                <w:sz w:val="24"/>
                <w:szCs w:val="24"/>
                <w:highlight w:val="none"/>
                <w:u w:val="none"/>
                <w:lang w:val="en-US" w:eastAsia="zh-CN"/>
              </w:rPr>
              <w:t>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C44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5B4A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F8AB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529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30</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CAF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县城江河流域断面水质（类）</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A04E">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rPr>
                <w:rFonts w:hint="default" w:ascii="Times New Roman" w:hAnsi="Times New Roman" w:eastAsia="仿宋_GB2312" w:cs="Times New Roman"/>
                <w:i w:val="0"/>
                <w:iCs w:val="0"/>
                <w:color w:val="auto"/>
                <w:sz w:val="24"/>
                <w:szCs w:val="24"/>
                <w:highlight w:val="none"/>
                <w:u w:val="none"/>
                <w:lang w:eastAsia="zh-CN"/>
              </w:rPr>
            </w:pPr>
            <w:r>
              <w:rPr>
                <w:rFonts w:hint="default" w:ascii="Times New Roman" w:hAnsi="Times New Roman" w:eastAsia="仿宋_GB2312" w:cs="Times New Roman"/>
                <w:i w:val="0"/>
                <w:iCs w:val="0"/>
                <w:color w:val="auto"/>
                <w:sz w:val="24"/>
                <w:szCs w:val="24"/>
                <w:highlight w:val="none"/>
                <w:u w:val="none"/>
                <w:lang w:eastAsia="zh-CN"/>
              </w:rPr>
              <w:t>约束</w:t>
            </w:r>
            <w:r>
              <w:rPr>
                <w:rFonts w:hint="default" w:ascii="Times New Roman" w:hAnsi="Times New Roman" w:eastAsia="仿宋_GB2312" w:cs="Times New Roman"/>
                <w:i w:val="0"/>
                <w:iCs w:val="0"/>
                <w:color w:val="auto"/>
                <w:kern w:val="0"/>
                <w:sz w:val="24"/>
                <w:szCs w:val="24"/>
                <w:highlight w:val="none"/>
                <w:u w:val="none"/>
                <w:lang w:val="en-US" w:eastAsia="zh-CN"/>
              </w:rPr>
              <w:t>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BC3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50"/>
                <w:rFonts w:hint="default" w:ascii="Times New Roman" w:hAnsi="Times New Roman" w:eastAsia="仿宋_GB2312" w:cs="Times New Roman"/>
                <w:color w:val="auto"/>
                <w:sz w:val="24"/>
                <w:szCs w:val="24"/>
                <w:highlight w:val="none"/>
                <w:lang w:val="en-US" w:eastAsia="zh-CN"/>
              </w:rPr>
              <w:t>≥</w:t>
            </w:r>
            <w:r>
              <w:rPr>
                <w:rStyle w:val="48"/>
                <w:rFonts w:hint="default" w:ascii="Times New Roman" w:hAnsi="Times New Roman" w:eastAsia="仿宋_GB2312" w:cs="Times New Roman"/>
                <w:color w:val="auto"/>
                <w:sz w:val="24"/>
                <w:szCs w:val="24"/>
                <w:highlight w:val="none"/>
                <w:lang w:val="en-US" w:eastAsia="zh-CN"/>
              </w:rPr>
              <w:t>Ⅲ</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E629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Ⅲ</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99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p w14:paraId="4000E9C4">
            <w:pPr>
              <w:pStyle w:val="2"/>
              <w:rPr>
                <w:rFonts w:hint="default"/>
                <w:color w:val="auto"/>
                <w:highlight w:val="none"/>
              </w:rPr>
            </w:pPr>
          </w:p>
        </w:tc>
      </w:tr>
      <w:tr w14:paraId="0C97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exact"/>
          <w:jc w:val="center"/>
        </w:trPr>
        <w:tc>
          <w:tcPr>
            <w:tcW w:w="92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1F023F">
            <w:pPr>
              <w:pStyle w:val="2"/>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color w:val="auto"/>
                <w:sz w:val="24"/>
                <w:szCs w:val="24"/>
                <w:highlight w:val="none"/>
                <w:lang w:val="en-US" w:eastAsia="zh-CN"/>
              </w:rPr>
            </w:pPr>
            <w:bookmarkStart w:id="57" w:name="_Toc8084"/>
            <w:r>
              <w:rPr>
                <w:rFonts w:hint="eastAsia" w:ascii="仿宋_GB2312" w:hAnsi="仿宋_GB2312" w:eastAsia="仿宋_GB2312" w:cs="仿宋_GB2312"/>
                <w:color w:val="auto"/>
                <w:sz w:val="24"/>
                <w:szCs w:val="24"/>
                <w:highlight w:val="none"/>
                <w:lang w:eastAsia="zh-CN"/>
              </w:rPr>
              <w:t>备注：</w:t>
            </w: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lang w:eastAsia="zh-CN"/>
              </w:rPr>
              <w:t>城镇登记失业率，</w:t>
            </w:r>
            <w:r>
              <w:rPr>
                <w:rFonts w:hint="default" w:ascii="Times New Roman" w:hAnsi="Times New Roman" w:eastAsia="仿宋_GB2312" w:cs="Times New Roman"/>
                <w:i w:val="0"/>
                <w:iCs w:val="0"/>
                <w:color w:val="auto"/>
                <w:kern w:val="0"/>
                <w:sz w:val="24"/>
                <w:szCs w:val="24"/>
                <w:highlight w:val="none"/>
                <w:u w:val="none"/>
                <w:lang w:val="en-US" w:eastAsia="zh-CN"/>
              </w:rPr>
              <w:t>以市级为单位进行统计和公布，故不作对比；</w:t>
            </w:r>
          </w:p>
          <w:p w14:paraId="330A50BA">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720" w:firstLineChars="300"/>
              <w:jc w:val="both"/>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2.每千名老人养老床位数，由于上级未下达指标任务，故无法对比；</w:t>
            </w:r>
          </w:p>
          <w:p w14:paraId="3279116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720" w:firstLineChars="30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3.森林覆盖率，统计口径先后于2023年、2024年</w:t>
            </w:r>
            <w:r>
              <w:rPr>
                <w:rFonts w:hint="eastAsia" w:ascii="仿宋_GB2312" w:hAnsi="仿宋_GB2312" w:eastAsia="仿宋_GB2312" w:cs="仿宋_GB2312"/>
                <w:i w:val="0"/>
                <w:iCs w:val="0"/>
                <w:color w:val="auto"/>
                <w:kern w:val="0"/>
                <w:sz w:val="24"/>
                <w:szCs w:val="24"/>
                <w:highlight w:val="none"/>
                <w:u w:val="none"/>
                <w:lang w:val="en-US" w:eastAsia="zh-CN"/>
              </w:rPr>
              <w:t>进行大幅调整，估无法对比。</w:t>
            </w:r>
          </w:p>
          <w:p w14:paraId="0DB99E59">
            <w:pPr>
              <w:pStyle w:val="29"/>
              <w:numPr>
                <w:ilvl w:val="0"/>
                <w:numId w:val="1"/>
              </w:numPr>
              <w:jc w:val="both"/>
              <w:rPr>
                <w:rFonts w:hint="eastAsia"/>
                <w:color w:val="auto"/>
                <w:highlight w:val="none"/>
                <w:lang w:val="en-US" w:eastAsia="zh-CN"/>
              </w:rPr>
            </w:pPr>
          </w:p>
          <w:p w14:paraId="28DF2885">
            <w:pPr>
              <w:pStyle w:val="29"/>
              <w:numPr>
                <w:ilvl w:val="0"/>
                <w:numId w:val="2"/>
              </w:numPr>
              <w:ind w:left="720" w:leftChars="0" w:firstLine="0" w:firstLineChars="0"/>
              <w:jc w:val="both"/>
              <w:rPr>
                <w:rFonts w:hint="eastAsia"/>
                <w:color w:val="auto"/>
                <w:highlight w:val="none"/>
                <w:lang w:val="en-US" w:eastAsia="zh-CN"/>
              </w:rPr>
            </w:pPr>
          </w:p>
          <w:p w14:paraId="4AADD9F5">
            <w:pPr>
              <w:pStyle w:val="29"/>
              <w:jc w:val="both"/>
              <w:rPr>
                <w:rFonts w:hint="default"/>
                <w:color w:val="auto"/>
                <w:highlight w:val="none"/>
                <w:lang w:val="en-US" w:eastAsia="zh-CN"/>
              </w:rPr>
            </w:pPr>
          </w:p>
        </w:tc>
      </w:tr>
    </w:tbl>
    <w:p w14:paraId="11CBF265">
      <w:pPr>
        <w:pStyle w:val="2"/>
        <w:keepNext w:val="0"/>
        <w:keepLines w:val="0"/>
        <w:pageBreakBefore w:val="0"/>
        <w:widowControl w:val="0"/>
        <w:kinsoku/>
        <w:wordWrap/>
        <w:overflowPunct/>
        <w:topLinePunct w:val="0"/>
        <w:autoSpaceDE/>
        <w:autoSpaceDN/>
        <w:bidi w:val="0"/>
        <w:adjustRightInd/>
        <w:snapToGrid/>
        <w:spacing w:after="0" w:line="560" w:lineRule="exact"/>
        <w:ind w:firstLine="522"/>
        <w:textAlignment w:val="auto"/>
        <w:rPr>
          <w:rFonts w:hint="default"/>
          <w:color w:val="auto"/>
          <w:highlight w:val="none"/>
          <w:lang w:val="en-US" w:eastAsia="zh-CN"/>
        </w:rPr>
      </w:pPr>
      <w:r>
        <w:rPr>
          <w:rFonts w:hint="eastAsia" w:ascii="仿宋_GB2312" w:hAnsi="仿宋_GB2312" w:eastAsia="仿宋_GB2312" w:cs="仿宋_GB2312"/>
          <w:b w:val="0"/>
          <w:i w:val="0"/>
          <w:color w:val="auto"/>
          <w:sz w:val="32"/>
          <w:szCs w:val="32"/>
          <w:highlight w:val="none"/>
          <w:u w:val="none"/>
          <w:lang w:val="en-US" w:eastAsia="zh-CN"/>
        </w:rPr>
        <w:t>总体来说，“十四五”规划实施进展顺利、总体符合预期，各项约束性指标圆满完成，预期性目标基本实现，规划执行取得良好成效。</w:t>
      </w:r>
    </w:p>
    <w:p w14:paraId="625E52DC">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rPr>
      </w:pPr>
      <w:bookmarkStart w:id="58" w:name="_Toc6098"/>
      <w:bookmarkStart w:id="59" w:name="_Toc23732"/>
      <w:bookmarkStart w:id="60" w:name="_Toc21352"/>
      <w:bookmarkStart w:id="61" w:name="_Toc6630"/>
      <w:r>
        <w:rPr>
          <w:rFonts w:hint="eastAsia"/>
          <w:b w:val="0"/>
          <w:bCs/>
          <w:color w:val="auto"/>
          <w:sz w:val="36"/>
          <w:szCs w:val="36"/>
          <w:highlight w:val="none"/>
          <w:lang w:val="en-US" w:eastAsia="zh-CN"/>
        </w:rPr>
        <w:t xml:space="preserve">第二节  </w:t>
      </w:r>
      <w:r>
        <w:rPr>
          <w:rFonts w:hint="eastAsia"/>
          <w:b w:val="0"/>
          <w:bCs/>
          <w:color w:val="auto"/>
          <w:sz w:val="36"/>
          <w:szCs w:val="36"/>
          <w:highlight w:val="none"/>
        </w:rPr>
        <w:t>“十</w:t>
      </w:r>
      <w:r>
        <w:rPr>
          <w:rFonts w:hint="eastAsia"/>
          <w:b w:val="0"/>
          <w:bCs/>
          <w:color w:val="auto"/>
          <w:sz w:val="36"/>
          <w:szCs w:val="36"/>
          <w:highlight w:val="none"/>
          <w:lang w:eastAsia="zh-CN"/>
        </w:rPr>
        <w:t>五</w:t>
      </w:r>
      <w:r>
        <w:rPr>
          <w:rFonts w:hint="eastAsia"/>
          <w:b w:val="0"/>
          <w:bCs/>
          <w:color w:val="auto"/>
          <w:sz w:val="36"/>
          <w:szCs w:val="36"/>
          <w:highlight w:val="none"/>
        </w:rPr>
        <w:t>五”</w:t>
      </w:r>
      <w:r>
        <w:rPr>
          <w:rFonts w:hint="eastAsia"/>
          <w:b w:val="0"/>
          <w:bCs/>
          <w:color w:val="auto"/>
          <w:sz w:val="36"/>
          <w:szCs w:val="36"/>
          <w:highlight w:val="none"/>
          <w:lang w:eastAsia="zh-CN"/>
        </w:rPr>
        <w:t>时期面临的发展机遇</w:t>
      </w:r>
      <w:bookmarkEnd w:id="57"/>
      <w:r>
        <w:rPr>
          <w:rFonts w:hint="eastAsia"/>
          <w:b w:val="0"/>
          <w:bCs/>
          <w:color w:val="auto"/>
          <w:sz w:val="36"/>
          <w:szCs w:val="36"/>
          <w:highlight w:val="none"/>
          <w:lang w:val="en-US" w:eastAsia="zh-CN"/>
        </w:rPr>
        <w:t>和挑战</w:t>
      </w:r>
      <w:bookmarkEnd w:id="58"/>
      <w:bookmarkEnd w:id="59"/>
      <w:bookmarkEnd w:id="60"/>
      <w:bookmarkEnd w:id="61"/>
    </w:p>
    <w:p w14:paraId="12D6FC2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“十五五”时期是基本实现社会主义现代化夯实基础、全面发力的关键阶段，是广西加快推进新时代壮美广西建设、谱写中国式现代化广西篇章的重要时期</w:t>
      </w:r>
      <w:r>
        <w:rPr>
          <w:rFonts w:hint="eastAsia" w:ascii="仿宋_GB2312" w:hAnsi="仿宋_GB2312" w:eastAsia="仿宋_GB2312" w:cs="仿宋_GB2312"/>
          <w:b w:val="0"/>
          <w:bCs w:val="0"/>
          <w:color w:val="auto"/>
          <w:sz w:val="32"/>
          <w:szCs w:val="32"/>
          <w:highlight w:val="none"/>
          <w:lang w:val="en-US" w:eastAsia="zh-CN"/>
        </w:rPr>
        <w:t>，也是柳州市融入自治区“一区两地一园一通道”</w:t>
      </w:r>
      <w:r>
        <w:rPr>
          <w:rStyle w:val="25"/>
          <w:rFonts w:hint="default" w:ascii="Times New Roman" w:hAnsi="Times New Roman" w:eastAsia="仿宋_GB2312" w:cs="Times New Roman"/>
          <w:b w:val="0"/>
          <w:bCs w:val="0"/>
          <w:color w:val="auto"/>
          <w:sz w:val="32"/>
          <w:szCs w:val="32"/>
          <w:highlight w:val="none"/>
          <w:lang w:val="en-US" w:eastAsia="zh-CN"/>
        </w:rPr>
        <w:t>[</w:t>
      </w:r>
      <w:r>
        <w:rPr>
          <w:rStyle w:val="25"/>
          <w:rFonts w:hint="default" w:ascii="Times New Roman" w:hAnsi="Times New Roman" w:eastAsia="仿宋_GB2312" w:cs="Times New Roman"/>
          <w:b w:val="0"/>
          <w:bCs w:val="0"/>
          <w:color w:val="auto"/>
          <w:sz w:val="32"/>
          <w:szCs w:val="32"/>
          <w:highlight w:val="none"/>
          <w:lang w:val="en-US" w:eastAsia="zh-CN"/>
        </w:rPr>
        <w:endnoteReference w:id="1"/>
      </w:r>
      <w:r>
        <w:rPr>
          <w:rStyle w:val="25"/>
          <w:rFonts w:hint="default"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建设、推进新型工业化、发展新质生产力、建设制造强市的关键五年。鹿寨县作为柳州市高质量发展的重要支撑、现代制造城产业链延伸的核心腹地及向西承接产业转移辐射的节点城市，正处于转型升级、跨越发展的战略机遇期，同时也面临区域竞争加剧和创新驱动紧迫的双重挑战。</w:t>
      </w:r>
      <w:r>
        <w:rPr>
          <w:rFonts w:hint="eastAsia" w:ascii="仿宋_GB2312" w:hAnsi="仿宋_GB2312" w:eastAsia="仿宋_GB2312" w:cs="仿宋_GB2312"/>
          <w:b w:val="0"/>
          <w:bCs w:val="0"/>
          <w:color w:val="auto"/>
          <w:kern w:val="2"/>
          <w:sz w:val="32"/>
          <w:szCs w:val="32"/>
          <w:highlight w:val="none"/>
          <w:lang w:val="en-US" w:eastAsia="zh-CN" w:bidi="ar-SA"/>
        </w:rPr>
        <w:t>必须科学审视环境变化，准确把握机遇，有效应对风险。</w:t>
      </w:r>
    </w:p>
    <w:p w14:paraId="1A6FCA6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从国际看，</w:t>
      </w:r>
      <w:r>
        <w:rPr>
          <w:rFonts w:hint="eastAsia" w:ascii="仿宋_GB2312" w:hAnsi="仿宋_GB2312" w:eastAsia="仿宋_GB2312" w:cs="仿宋_GB2312"/>
          <w:b/>
          <w:bCs/>
          <w:color w:val="auto"/>
          <w:kern w:val="2"/>
          <w:sz w:val="32"/>
          <w:szCs w:val="32"/>
          <w:highlight w:val="none"/>
          <w:lang w:val="en-US" w:eastAsia="zh-CN" w:bidi="ar-SA"/>
        </w:rPr>
        <w:t>变局加速演进，机遇与风险并存。</w:t>
      </w:r>
      <w:r>
        <w:rPr>
          <w:rFonts w:hint="eastAsia" w:ascii="仿宋_GB2312" w:hAnsi="仿宋_GB2312" w:eastAsia="仿宋_GB2312" w:cs="仿宋_GB2312"/>
          <w:b w:val="0"/>
          <w:bCs w:val="0"/>
          <w:color w:val="auto"/>
          <w:kern w:val="2"/>
          <w:sz w:val="32"/>
          <w:szCs w:val="32"/>
          <w:highlight w:val="none"/>
          <w:lang w:val="en-US" w:eastAsia="zh-CN" w:bidi="ar-SA"/>
        </w:rPr>
        <w:t>世界百年变局全方位深层次加速演进，新一轮科技革命和产业变革推动</w:t>
      </w:r>
      <w:r>
        <w:rPr>
          <w:rFonts w:hint="eastAsia" w:ascii="仿宋_GB2312" w:hAnsi="仿宋_GB2312" w:eastAsia="仿宋_GB2312" w:cs="仿宋_GB2312"/>
          <w:b w:val="0"/>
          <w:bCs w:val="0"/>
          <w:color w:val="auto"/>
          <w:sz w:val="32"/>
          <w:szCs w:val="32"/>
          <w:highlight w:val="none"/>
          <w:lang w:val="en-US" w:eastAsia="zh-CN"/>
        </w:rPr>
        <w:t>新能源、人工智能、低空经济等新兴产业重塑全球产业链供应链格局。</w:t>
      </w:r>
      <w:r>
        <w:rPr>
          <w:rFonts w:hint="eastAsia" w:ascii="仿宋_GB2312" w:hAnsi="仿宋_GB2312" w:eastAsia="仿宋_GB2312" w:cs="仿宋_GB2312"/>
          <w:b w:val="0"/>
          <w:bCs w:val="0"/>
          <w:color w:val="auto"/>
          <w:kern w:val="2"/>
          <w:sz w:val="32"/>
          <w:szCs w:val="32"/>
          <w:highlight w:val="none"/>
          <w:lang w:val="en-US" w:eastAsia="zh-CN" w:bidi="ar-SA"/>
        </w:rPr>
        <w:t>绿色低碳转型成为全球共识，为鹿寨县在新能源、循环经济等领域参与国际分工带来新契机。但同时，世界经济增长动能不足，地缘政治风险上升，保护主义加剧，国际经济贸易秩序承压，也对县域经济外向度提升和产业链稳定构成潜在风险。</w:t>
      </w:r>
    </w:p>
    <w:p w14:paraId="60F8B87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从国内看，经济长期向好，转型与挑战交织。</w:t>
      </w:r>
      <w:r>
        <w:rPr>
          <w:rFonts w:hint="eastAsia" w:ascii="仿宋_GB2312" w:hAnsi="仿宋_GB2312" w:eastAsia="仿宋_GB2312" w:cs="仿宋_GB2312"/>
          <w:b w:val="0"/>
          <w:bCs w:val="0"/>
          <w:color w:val="auto"/>
          <w:kern w:val="2"/>
          <w:sz w:val="32"/>
          <w:szCs w:val="32"/>
          <w:highlight w:val="none"/>
          <w:lang w:val="en-US" w:eastAsia="zh-CN" w:bidi="ar-SA"/>
        </w:rPr>
        <w:t>我国经济长期向好的基本面稳固，构建新发展格局、推动高质量发展、发展新质生产力成为战略导向，为县域承接产业升级、激发内需潜力提供了广阔空间。但国内经济仍面临有效需求不足、新旧动能转换艰巨等挑战。对鹿寨而言，关键是要主动融入国内大循环，借助国内统一大市场的规模优势，承接发达地区创新辐射，将宏观机遇转化为本地产业升级与特色培育的实际动力。</w:t>
      </w:r>
    </w:p>
    <w:p w14:paraId="5FB49C1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从区域看，重大</w:t>
      </w:r>
      <w:r>
        <w:rPr>
          <w:rFonts w:hint="eastAsia" w:ascii="Times New Roman" w:hAnsi="Times New Roman" w:eastAsia="仿宋_GB2312" w:cs="Times New Roman"/>
          <w:b/>
          <w:bCs/>
          <w:color w:val="auto"/>
          <w:kern w:val="2"/>
          <w:sz w:val="32"/>
          <w:szCs w:val="32"/>
          <w:highlight w:val="none"/>
          <w:lang w:val="en-US" w:eastAsia="zh-CN" w:bidi="ar-SA"/>
        </w:rPr>
        <w:t>战略叠加，动力与压力共显。</w:t>
      </w:r>
      <w:r>
        <w:rPr>
          <w:rFonts w:hint="eastAsia" w:ascii="Times New Roman" w:hAnsi="Times New Roman" w:eastAsia="仿宋_GB2312" w:cs="Times New Roman"/>
          <w:b w:val="0"/>
          <w:bCs w:val="0"/>
          <w:color w:val="auto"/>
          <w:kern w:val="2"/>
          <w:sz w:val="32"/>
          <w:szCs w:val="32"/>
          <w:highlight w:val="none"/>
          <w:lang w:val="en-US" w:eastAsia="zh-CN" w:bidi="ar-SA"/>
        </w:rPr>
        <w:t>广西正处于战略机遇密集汇聚、高质量发展成型起势的重要窗口期。“一带一路”纵深推进、中国—东盟自贸区3.0版建设、西部陆海新通道高水平共建、平陆运河经济带全面建设等重大工程实施，将显著改善鹿寨的物流条件与开放格局。自治区“一区两地一园一通道”建设及制造业十大支柱产业重点布局，柳州市全力建设国际新能源汽车产业高地、构建“10+N”现代化工业体系，为鹿寨带来直接的产业协同与升级窗口。与此同时，区域也面临传统产业转型偏慢、新兴动能培育不足等共性压力，竞争态势日趋激烈。</w:t>
      </w:r>
    </w:p>
    <w:p w14:paraId="1B15152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highlight w:val="none"/>
          <w:lang w:eastAsia="zh-CN"/>
        </w:rPr>
        <w:t>综合研判，</w:t>
      </w:r>
      <w:r>
        <w:rPr>
          <w:rFonts w:hint="eastAsia" w:ascii="仿宋_GB2312" w:hAnsi="仿宋_GB2312" w:eastAsia="仿宋_GB2312" w:cs="仿宋_GB2312"/>
          <w:b/>
          <w:bCs/>
          <w:color w:val="auto"/>
          <w:sz w:val="32"/>
          <w:highlight w:val="none"/>
        </w:rPr>
        <w:t>“十五五”时期</w:t>
      </w:r>
      <w:r>
        <w:rPr>
          <w:rFonts w:hint="eastAsia" w:ascii="仿宋_GB2312" w:hAnsi="仿宋_GB2312" w:eastAsia="仿宋_GB2312" w:cs="仿宋_GB2312"/>
          <w:b/>
          <w:bCs/>
          <w:color w:val="auto"/>
          <w:sz w:val="32"/>
          <w:highlight w:val="none"/>
          <w:lang w:eastAsia="zh-CN"/>
        </w:rPr>
        <w:t>鹿寨</w:t>
      </w:r>
      <w:r>
        <w:rPr>
          <w:rFonts w:hint="eastAsia" w:ascii="仿宋_GB2312" w:hAnsi="仿宋_GB2312" w:eastAsia="仿宋_GB2312" w:cs="仿宋_GB2312"/>
          <w:b/>
          <w:bCs/>
          <w:color w:val="auto"/>
          <w:sz w:val="32"/>
          <w:highlight w:val="none"/>
        </w:rPr>
        <w:t>发展机遇与风险挑战并存</w:t>
      </w:r>
      <w:r>
        <w:rPr>
          <w:rFonts w:hint="eastAsia" w:ascii="仿宋_GB2312" w:hAnsi="仿宋_GB2312" w:eastAsia="仿宋_GB2312" w:cs="仿宋_GB2312"/>
          <w:b/>
          <w:bCs/>
          <w:color w:val="auto"/>
          <w:sz w:val="32"/>
          <w:highlight w:val="none"/>
          <w:lang w:eastAsia="zh-CN"/>
        </w:rPr>
        <w:t>，</w:t>
      </w:r>
      <w:r>
        <w:rPr>
          <w:rFonts w:hint="eastAsia" w:ascii="仿宋_GB2312" w:hAnsi="仿宋_GB2312" w:eastAsia="仿宋_GB2312" w:cs="仿宋_GB2312"/>
          <w:b/>
          <w:bCs/>
          <w:color w:val="auto"/>
          <w:sz w:val="32"/>
          <w:highlight w:val="none"/>
          <w:lang w:val="en-US" w:eastAsia="zh-CN"/>
        </w:rPr>
        <w:t>但机遇总体大于挑战</w:t>
      </w:r>
      <w:r>
        <w:rPr>
          <w:rFonts w:hint="eastAsia" w:ascii="仿宋_GB2312" w:hAnsi="仿宋_GB2312" w:eastAsia="仿宋_GB2312" w:cs="仿宋_GB2312"/>
          <w:b/>
          <w:bCs/>
          <w:color w:val="auto"/>
          <w:sz w:val="32"/>
          <w:highlight w:val="none"/>
        </w:rPr>
        <w:t>。</w:t>
      </w:r>
      <w:r>
        <w:rPr>
          <w:rFonts w:hint="eastAsia" w:ascii="Times New Roman" w:hAnsi="Times New Roman" w:eastAsia="仿宋_GB2312" w:cs="Times New Roman"/>
          <w:color w:val="auto"/>
          <w:sz w:val="32"/>
          <w:highlight w:val="none"/>
        </w:rPr>
        <w:t>当前，鹿寨正处</w:t>
      </w:r>
      <w:r>
        <w:rPr>
          <w:rFonts w:hint="eastAsia" w:ascii="Times New Roman" w:hAnsi="Times New Roman" w:eastAsia="仿宋_GB2312" w:cs="Times New Roman"/>
          <w:color w:val="auto"/>
          <w:sz w:val="32"/>
          <w:highlight w:val="none"/>
          <w:lang w:eastAsia="zh-CN"/>
        </w:rPr>
        <w:t>于</w:t>
      </w:r>
      <w:r>
        <w:rPr>
          <w:rFonts w:hint="eastAsia" w:ascii="Times New Roman" w:hAnsi="Times New Roman" w:eastAsia="仿宋_GB2312" w:cs="Times New Roman"/>
          <w:color w:val="auto"/>
          <w:sz w:val="32"/>
          <w:highlight w:val="none"/>
        </w:rPr>
        <w:t>产业转型升级</w:t>
      </w:r>
      <w:r>
        <w:rPr>
          <w:rFonts w:hint="eastAsia" w:ascii="Times New Roman" w:hAnsi="Times New Roman" w:eastAsia="仿宋_GB2312" w:cs="Times New Roman"/>
          <w:color w:val="auto"/>
          <w:sz w:val="32"/>
          <w:highlight w:val="none"/>
          <w:lang w:eastAsia="zh-CN"/>
        </w:rPr>
        <w:t>与</w:t>
      </w:r>
      <w:r>
        <w:rPr>
          <w:rFonts w:hint="eastAsia" w:ascii="Times New Roman" w:hAnsi="Times New Roman" w:eastAsia="仿宋_GB2312" w:cs="Times New Roman"/>
          <w:color w:val="auto"/>
          <w:sz w:val="32"/>
          <w:highlight w:val="none"/>
        </w:rPr>
        <w:t>新动能</w:t>
      </w:r>
      <w:r>
        <w:rPr>
          <w:rFonts w:hint="eastAsia" w:ascii="Times New Roman" w:hAnsi="Times New Roman" w:eastAsia="仿宋_GB2312" w:cs="Times New Roman"/>
          <w:color w:val="auto"/>
          <w:sz w:val="32"/>
          <w:highlight w:val="none"/>
          <w:lang w:eastAsia="zh-CN"/>
        </w:rPr>
        <w:t>培育</w:t>
      </w:r>
      <w:r>
        <w:rPr>
          <w:rFonts w:hint="eastAsia" w:ascii="Times New Roman" w:hAnsi="Times New Roman" w:eastAsia="仿宋_GB2312" w:cs="Times New Roman"/>
          <w:color w:val="auto"/>
          <w:sz w:val="32"/>
          <w:highlight w:val="none"/>
        </w:rPr>
        <w:t>的攻坚期</w:t>
      </w:r>
      <w:r>
        <w:rPr>
          <w:rFonts w:hint="eastAsia" w:ascii="Times New Roman" w:hAnsi="Times New Roman" w:eastAsia="仿宋_GB2312" w:cs="Times New Roman"/>
          <w:color w:val="auto"/>
          <w:sz w:val="32"/>
          <w:highlight w:val="none"/>
          <w:lang w:eastAsia="zh-CN"/>
        </w:rPr>
        <w:t>、</w:t>
      </w:r>
      <w:r>
        <w:rPr>
          <w:rFonts w:hint="eastAsia" w:ascii="Times New Roman" w:hAnsi="Times New Roman" w:eastAsia="仿宋_GB2312" w:cs="Times New Roman"/>
          <w:color w:val="auto"/>
          <w:sz w:val="32"/>
          <w:highlight w:val="none"/>
        </w:rPr>
        <w:t>依托柳州工业辐射</w:t>
      </w:r>
      <w:r>
        <w:rPr>
          <w:rFonts w:hint="eastAsia" w:ascii="Times New Roman" w:hAnsi="Times New Roman" w:eastAsia="仿宋_GB2312" w:cs="Times New Roman"/>
          <w:color w:val="auto"/>
          <w:sz w:val="32"/>
          <w:highlight w:val="none"/>
          <w:lang w:eastAsia="zh-CN"/>
        </w:rPr>
        <w:t>与</w:t>
      </w:r>
      <w:r>
        <w:rPr>
          <w:rFonts w:hint="eastAsia" w:ascii="Times New Roman" w:hAnsi="Times New Roman" w:eastAsia="仿宋_GB2312" w:cs="Times New Roman"/>
          <w:color w:val="auto"/>
          <w:sz w:val="32"/>
          <w:highlight w:val="none"/>
        </w:rPr>
        <w:t>承接区域产业转移的机遇期</w:t>
      </w:r>
      <w:r>
        <w:rPr>
          <w:rFonts w:hint="eastAsia" w:ascii="Times New Roman" w:hAnsi="Times New Roman" w:eastAsia="仿宋_GB2312" w:cs="Times New Roman"/>
          <w:color w:val="auto"/>
          <w:sz w:val="32"/>
          <w:highlight w:val="none"/>
          <w:lang w:eastAsia="zh-CN"/>
        </w:rPr>
        <w:t>，</w:t>
      </w:r>
      <w:r>
        <w:rPr>
          <w:rFonts w:hint="eastAsia" w:ascii="Times New Roman" w:hAnsi="Times New Roman" w:eastAsia="仿宋_GB2312" w:cs="Times New Roman"/>
          <w:color w:val="auto"/>
          <w:sz w:val="32"/>
          <w:highlight w:val="none"/>
        </w:rPr>
        <w:t>必须立足</w:t>
      </w:r>
      <w:r>
        <w:rPr>
          <w:rFonts w:hint="eastAsia" w:ascii="Times New Roman" w:hAnsi="Times New Roman" w:eastAsia="仿宋_GB2312" w:cs="Times New Roman"/>
          <w:color w:val="auto"/>
          <w:sz w:val="32"/>
          <w:highlight w:val="none"/>
          <w:lang w:eastAsia="zh-CN"/>
        </w:rPr>
        <w:t>县情</w:t>
      </w:r>
      <w:r>
        <w:rPr>
          <w:rFonts w:hint="eastAsia" w:ascii="Times New Roman" w:hAnsi="Times New Roman" w:eastAsia="仿宋_GB2312" w:cs="Times New Roman"/>
          <w:color w:val="auto"/>
          <w:sz w:val="32"/>
          <w:highlight w:val="none"/>
        </w:rPr>
        <w:t>实际，准确把握形势变化，</w:t>
      </w:r>
      <w:r>
        <w:rPr>
          <w:rFonts w:hint="eastAsia" w:ascii="Times New Roman" w:hAnsi="Times New Roman" w:eastAsia="仿宋_GB2312" w:cs="Times New Roman"/>
          <w:color w:val="auto"/>
          <w:sz w:val="32"/>
          <w:highlight w:val="none"/>
          <w:lang w:eastAsia="zh-CN"/>
        </w:rPr>
        <w:t>科学</w:t>
      </w:r>
      <w:r>
        <w:rPr>
          <w:rFonts w:hint="eastAsia" w:ascii="Times New Roman" w:hAnsi="Times New Roman" w:eastAsia="仿宋_GB2312" w:cs="Times New Roman"/>
          <w:color w:val="auto"/>
          <w:sz w:val="32"/>
          <w:highlight w:val="none"/>
        </w:rPr>
        <w:t>研判优势短板，</w:t>
      </w:r>
      <w:r>
        <w:rPr>
          <w:rFonts w:hint="eastAsia" w:ascii="Times New Roman" w:hAnsi="Times New Roman" w:eastAsia="仿宋_GB2312" w:cs="Times New Roman"/>
          <w:color w:val="auto"/>
          <w:sz w:val="32"/>
          <w:highlight w:val="none"/>
          <w:lang w:eastAsia="zh-CN"/>
        </w:rPr>
        <w:t>系统</w:t>
      </w:r>
      <w:r>
        <w:rPr>
          <w:rFonts w:hint="eastAsia" w:ascii="Times New Roman" w:hAnsi="Times New Roman" w:eastAsia="仿宋_GB2312" w:cs="Times New Roman"/>
          <w:color w:val="auto"/>
          <w:sz w:val="32"/>
          <w:highlight w:val="none"/>
        </w:rPr>
        <w:t>谋划“十五五”时期发展</w:t>
      </w:r>
      <w:r>
        <w:rPr>
          <w:rFonts w:hint="eastAsia" w:ascii="Times New Roman" w:hAnsi="Times New Roman" w:eastAsia="仿宋_GB2312" w:cs="Times New Roman"/>
          <w:color w:val="auto"/>
          <w:sz w:val="32"/>
          <w:highlight w:val="none"/>
          <w:lang w:eastAsia="zh-CN"/>
        </w:rPr>
        <w:t>路径</w:t>
      </w:r>
      <w:r>
        <w:rPr>
          <w:rFonts w:hint="eastAsia" w:ascii="Times New Roman" w:hAnsi="Times New Roman" w:eastAsia="仿宋_GB2312" w:cs="Times New Roman"/>
          <w:color w:val="auto"/>
          <w:sz w:val="32"/>
          <w:highlight w:val="none"/>
        </w:rPr>
        <w:t>与战略目标。</w:t>
      </w:r>
      <w:r>
        <w:rPr>
          <w:rFonts w:hint="eastAsia" w:ascii="Times New Roman" w:hAnsi="Times New Roman" w:eastAsia="仿宋_GB2312" w:cs="Times New Roman"/>
          <w:color w:val="auto"/>
          <w:sz w:val="32"/>
          <w:highlight w:val="none"/>
          <w:lang w:eastAsia="zh-CN"/>
        </w:rPr>
        <w:t>重点在以下几个方面把握机遇、应对挑战：</w:t>
      </w:r>
    </w:p>
    <w:p w14:paraId="5D085E5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多重战略机遇叠加，驱动鹿寨向枢纽经济、创新集群与绿色前沿协同跃升。</w:t>
      </w:r>
    </w:p>
    <w:p w14:paraId="5BFCFD3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——重大战略叠加赋能枢纽能级跃升。</w:t>
      </w:r>
      <w:r>
        <w:rPr>
          <w:rFonts w:hint="eastAsia" w:ascii="Times New Roman" w:hAnsi="Times New Roman" w:eastAsia="仿宋_GB2312" w:cs="Times New Roman"/>
          <w:b w:val="0"/>
          <w:bCs w:val="0"/>
          <w:color w:val="auto"/>
          <w:kern w:val="2"/>
          <w:sz w:val="32"/>
          <w:szCs w:val="32"/>
          <w:highlight w:val="none"/>
          <w:lang w:val="en-US" w:eastAsia="zh-CN" w:bidi="ar-SA"/>
        </w:rPr>
        <w:t>随着平陆运河经济带全面建设和西部陆海新通道高水平共建，将使鹿寨的交通物流条件发生历史性改善，从传统内陆节点迈向区域性物流枢纽，这为发展临港沿江经济、更深层次融入国内国际双循环提供了关键支撑。同时，鹿寨作为自治区级新型城镇化建设示范点，有望在城乡融合与公共服务提升等方面获得更多政策与资源倾斜，进一步夯实产城融合发展基础。</w:t>
      </w:r>
    </w:p>
    <w:p w14:paraId="740BB2C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——链式协同驱动产业集群升级。</w:t>
      </w:r>
      <w:r>
        <w:rPr>
          <w:rFonts w:hint="eastAsia" w:ascii="Times New Roman" w:hAnsi="Times New Roman" w:eastAsia="仿宋_GB2312" w:cs="Times New Roman"/>
          <w:b w:val="0"/>
          <w:bCs w:val="0"/>
          <w:color w:val="auto"/>
          <w:kern w:val="2"/>
          <w:sz w:val="32"/>
          <w:szCs w:val="32"/>
          <w:highlight w:val="none"/>
          <w:lang w:val="en-US" w:eastAsia="zh-CN" w:bidi="ar-SA"/>
        </w:rPr>
        <w:t>国家大力发展新质生产力，自治区重点布局制造业支柱产业，特别是柳州市构建以新能源汽车为核心的“10+N”现代化工业体系，为鹿寨创造了精准的产业对接窗口。鹿寨作为柳州制造业重要承载地和广西东融战略重要节点，可深度融入全市乃至区域产业链：一是依托柳州汽车城资源，重点培育新能源汽车轻量化部件、智能座舱、动力电池关键材料等细分领域，推动传统汽配产业向高端化转型；二是借势柳州新能源实验室等创新平台，共建产学研基地，强化在化工新材料、林木精深加工等本地优势产业的协同创新与集群化发展。</w:t>
      </w:r>
    </w:p>
    <w:p w14:paraId="05E2547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——低碳前沿开拓未来增长空间。</w:t>
      </w:r>
      <w:r>
        <w:rPr>
          <w:rFonts w:hint="eastAsia" w:ascii="Times New Roman" w:hAnsi="Times New Roman" w:eastAsia="仿宋_GB2312" w:cs="Times New Roman"/>
          <w:b w:val="0"/>
          <w:bCs w:val="0"/>
          <w:color w:val="auto"/>
          <w:kern w:val="2"/>
          <w:sz w:val="32"/>
          <w:szCs w:val="32"/>
          <w:highlight w:val="none"/>
          <w:lang w:val="en-US" w:eastAsia="zh-CN" w:bidi="ar-SA"/>
        </w:rPr>
        <w:t>全球绿色低碳转型深化与国家“两重”“两新”投资导向，为鹿寨发挥循环经济产业基础与零碳项目实践优势提供了明确赛道。可积极争取光伏、储能等新能源重大项目布局，拓展绿色贸易。同时，自治区打造面向东盟的人工智能合作高地，深化“北上广研发+广西集成+东盟应用”模式，鹿寨可借此机遇，在智能制造、智慧农林等领域探索应用场景创新，培育新的增长点。</w:t>
      </w:r>
    </w:p>
    <w:p w14:paraId="3DF4FBA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风险挑战复杂严峻但总体可控，需着力破解结构性与内生性矛盾。</w:t>
      </w:r>
    </w:p>
    <w:p w14:paraId="2205EA9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——外部风险传导与开放短板交织显现。</w:t>
      </w:r>
      <w:r>
        <w:rPr>
          <w:rFonts w:hint="eastAsia" w:ascii="Times New Roman" w:hAnsi="Times New Roman" w:eastAsia="仿宋_GB2312" w:cs="Times New Roman"/>
          <w:b w:val="0"/>
          <w:bCs w:val="0"/>
          <w:color w:val="auto"/>
          <w:kern w:val="2"/>
          <w:sz w:val="32"/>
          <w:szCs w:val="32"/>
          <w:highlight w:val="none"/>
          <w:lang w:val="en-US" w:eastAsia="zh-CN" w:bidi="ar-SA"/>
        </w:rPr>
        <w:t>鹿寨虽具备区位节点条件，但融入西部陆海新通道、粤港澳大湾区等重大战略的实质深度与广度不足，缺乏高能级开放平台与关键性项目抓手。在区域产业分工中定位尚不清晰，与周边县域协同机制不畅，存在产业同质化竞争倾向，承接外部产业转移多处于产业链中低端，吸引高端要素能力较弱。外向型产业基础薄弱，国际市场开拓能力有限。与此同时，全球经济复苏乏力、地缘政治冲突及国际贸易格局演变等外部不确定性，可通过供应链、市场需求等渠道向县域传导，加剧本地产业与企业运营风险，绿色贸易壁垒与技术标准升级也对传统产业形成新的适应压力。</w:t>
      </w:r>
    </w:p>
    <w:p w14:paraId="4F757E8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——内生动力不足与结构优化双重承压。</w:t>
      </w:r>
      <w:r>
        <w:rPr>
          <w:rFonts w:hint="eastAsia" w:ascii="Times New Roman" w:hAnsi="Times New Roman" w:eastAsia="仿宋_GB2312" w:cs="Times New Roman"/>
          <w:b w:val="0"/>
          <w:bCs w:val="0"/>
          <w:color w:val="auto"/>
          <w:kern w:val="2"/>
          <w:sz w:val="32"/>
          <w:szCs w:val="32"/>
          <w:highlight w:val="none"/>
          <w:lang w:val="en-US" w:eastAsia="zh-CN" w:bidi="ar-SA"/>
        </w:rPr>
        <w:t>传统产业多处于价值链中低端环节，转型升级面临技术、资金与市场多重约束，产品附加值及企业核心竞争力亟待提升。以汽配、化工等为代表的领域易受上游市场波动传导，抗风险能力偏弱。同时，新兴产业虽具潜力，但尚未形成规模效应与集群优势，对经济增长的有效支撑不足。科技创新与本地产业融合深度不够，研发投入转化效率不高，导致全要素生产率增长放缓。经济增长仍较大程度依赖政府投资，高技术产业及制造业投资比重偏低，房地产市场调整持续影响地方财政与信用环境，部分重点企业经营压力加大，税源培育面临挑战，内生动能亟待系统性增强。</w:t>
      </w:r>
    </w:p>
    <w:p w14:paraId="6354894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——城乡发展不均衡与公共服务供给不足。</w:t>
      </w:r>
      <w:r>
        <w:rPr>
          <w:rFonts w:hint="eastAsia" w:ascii="Times New Roman" w:hAnsi="Times New Roman" w:eastAsia="仿宋_GB2312" w:cs="Times New Roman"/>
          <w:b w:val="0"/>
          <w:bCs w:val="0"/>
          <w:color w:val="auto"/>
          <w:kern w:val="2"/>
          <w:sz w:val="32"/>
          <w:szCs w:val="32"/>
          <w:highlight w:val="none"/>
          <w:lang w:val="en-US" w:eastAsia="zh-CN" w:bidi="ar-SA"/>
        </w:rPr>
        <w:t>城乡居民收入差距依然显著，县域内乡镇之间发展不均衡。优质教育、医疗、养老等公共服务资源在城乡间配置不均，农村基础设施与公共服务设施存在短板，均等化水平有待提高。人才、资金、技术等关键要素向乡村流动的激励机制不健全，市场化配置改革有待深化，制约了乡村产业振兴与内生发展动力。此外，社会治理的精细化、智能化水平不足，在应对社会结构变化、化解基层矛盾、提升公共安全与应急管理能力等方面存在提升空间，与人民日益增长的美好生活需要仍有差距。</w:t>
      </w:r>
    </w:p>
    <w:p w14:paraId="30FD16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面对新形势新要求，鹿寨县必须准确把握国内外环境深刻变化，</w:t>
      </w:r>
      <w:r>
        <w:rPr>
          <w:rFonts w:hint="eastAsia" w:ascii="仿宋_GB2312" w:hAnsi="仿宋_GB2312" w:eastAsia="仿宋_GB2312" w:cs="仿宋_GB2312"/>
          <w:bCs/>
          <w:color w:val="auto"/>
          <w:sz w:val="32"/>
          <w:szCs w:val="32"/>
          <w:highlight w:val="none"/>
          <w:lang w:eastAsia="zh-CN"/>
        </w:rPr>
        <w:t>紧密对接柳州建设全国性综合交通枢纽带来的物流集聚效应、现代制造城建设的产业协同机遇、高质量发展先行区赋予的改革创新使命以及城市副中心培育带来的功能分工红利，特别是在对接国家新型工业化示范区建设、共享自贸试验区联动创新政策、融入人工智能产业集群布局等方面，应力争主动、精准施策，努力在服务柳州战略使命中展现鹿寨作为、贡献鹿寨力量。</w:t>
      </w:r>
      <w:bookmarkStart w:id="62" w:name="_Toc25102"/>
    </w:p>
    <w:p w14:paraId="45553F06">
      <w:pPr>
        <w:rPr>
          <w:rFonts w:hint="eastAsia" w:ascii="方正小标宋简体" w:hAnsi="方正小标宋简体" w:eastAsia="方正小标宋简体" w:cs="方正小标宋简体"/>
          <w:b w:val="0"/>
          <w:bCs/>
          <w:color w:val="auto"/>
          <w:highlight w:val="none"/>
          <w:lang w:val="en-US" w:eastAsia="zh-CN"/>
        </w:rPr>
      </w:pPr>
      <w:bookmarkStart w:id="63" w:name="_Toc16512"/>
      <w:bookmarkStart w:id="64" w:name="_Toc17868"/>
      <w:bookmarkStart w:id="65" w:name="_Toc27986"/>
      <w:r>
        <w:rPr>
          <w:rFonts w:hint="eastAsia" w:ascii="方正小标宋简体" w:hAnsi="方正小标宋简体" w:eastAsia="方正小标宋简体" w:cs="方正小标宋简体"/>
          <w:b w:val="0"/>
          <w:bCs/>
          <w:color w:val="auto"/>
          <w:highlight w:val="none"/>
          <w:lang w:val="en-US" w:eastAsia="zh-CN"/>
        </w:rPr>
        <w:br w:type="page"/>
      </w:r>
    </w:p>
    <w:p w14:paraId="6579BA57">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66" w:name="_Toc21232"/>
      <w:r>
        <w:rPr>
          <w:rFonts w:hint="eastAsia" w:ascii="方正小标宋简体" w:hAnsi="方正小标宋简体" w:eastAsia="方正小标宋简体" w:cs="方正小标宋简体"/>
          <w:b w:val="0"/>
          <w:bCs/>
          <w:color w:val="auto"/>
          <w:highlight w:val="none"/>
          <w:lang w:val="en-US" w:eastAsia="zh-CN"/>
        </w:rPr>
        <w:t>第二章</w:t>
      </w:r>
      <w:bookmarkEnd w:id="63"/>
      <w:bookmarkEnd w:id="64"/>
      <w:bookmarkEnd w:id="65"/>
      <w:bookmarkEnd w:id="66"/>
    </w:p>
    <w:bookmarkEnd w:id="62"/>
    <w:p w14:paraId="6AD6B8F3">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pacing w:val="-6"/>
          <w:sz w:val="44"/>
          <w:highlight w:val="none"/>
        </w:rPr>
      </w:pPr>
      <w:bookmarkStart w:id="67" w:name="_Toc17538"/>
      <w:bookmarkStart w:id="68" w:name="_Toc28050"/>
      <w:r>
        <w:rPr>
          <w:rFonts w:hint="eastAsia" w:ascii="方正小标宋简体" w:hAnsi="方正小标宋简体" w:eastAsia="方正小标宋简体" w:cs="方正小标宋简体"/>
          <w:b w:val="0"/>
          <w:bCs/>
          <w:color w:val="auto"/>
          <w:spacing w:val="-6"/>
          <w:sz w:val="44"/>
          <w:highlight w:val="none"/>
        </w:rPr>
        <w:t>奋进“十五五”新征程</w:t>
      </w:r>
      <w:r>
        <w:rPr>
          <w:rFonts w:hint="eastAsia" w:ascii="方正小标宋简体" w:hAnsi="方正小标宋简体" w:eastAsia="方正小标宋简体" w:cs="方正小标宋简体"/>
          <w:b w:val="0"/>
          <w:bCs/>
          <w:color w:val="auto"/>
          <w:spacing w:val="-6"/>
          <w:sz w:val="44"/>
          <w:highlight w:val="none"/>
          <w:lang w:val="en-US" w:eastAsia="zh-CN"/>
        </w:rPr>
        <w:t xml:space="preserve">  </w:t>
      </w:r>
      <w:r>
        <w:rPr>
          <w:rFonts w:hint="eastAsia" w:ascii="方正小标宋简体" w:hAnsi="方正小标宋简体" w:eastAsia="方正小标宋简体" w:cs="方正小标宋简体"/>
          <w:b w:val="0"/>
          <w:bCs/>
          <w:color w:val="auto"/>
          <w:spacing w:val="-6"/>
          <w:sz w:val="44"/>
          <w:highlight w:val="none"/>
        </w:rPr>
        <w:t>谱写现代化建设新篇章</w:t>
      </w:r>
      <w:bookmarkEnd w:id="67"/>
      <w:bookmarkEnd w:id="68"/>
    </w:p>
    <w:p w14:paraId="373FD903">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黑体" w:hAnsi="黑体" w:eastAsia="黑体" w:cs="黑体"/>
          <w:b w:val="0"/>
          <w:bCs w:val="0"/>
          <w:color w:val="auto"/>
          <w:sz w:val="36"/>
          <w:szCs w:val="36"/>
          <w:highlight w:val="none"/>
          <w:lang w:eastAsia="zh-CN"/>
        </w:rPr>
      </w:pPr>
      <w:bookmarkStart w:id="69" w:name="_Toc687"/>
      <w:bookmarkStart w:id="70" w:name="_Toc16036"/>
      <w:bookmarkStart w:id="71" w:name="_Toc14186"/>
      <w:bookmarkStart w:id="72" w:name="_Toc12987"/>
      <w:bookmarkStart w:id="73" w:name="_Toc27536"/>
      <w:r>
        <w:rPr>
          <w:rFonts w:hint="eastAsia" w:ascii="黑体" w:hAnsi="黑体" w:eastAsia="黑体" w:cs="黑体"/>
          <w:b w:val="0"/>
          <w:bCs w:val="0"/>
          <w:color w:val="auto"/>
          <w:sz w:val="36"/>
          <w:szCs w:val="36"/>
          <w:highlight w:val="none"/>
          <w:lang w:eastAsia="zh-CN"/>
        </w:rPr>
        <w:t>第一节</w:t>
      </w:r>
      <w:r>
        <w:rPr>
          <w:rFonts w:hint="eastAsia" w:ascii="黑体" w:hAnsi="黑体" w:eastAsia="黑体" w:cs="黑体"/>
          <w:b w:val="0"/>
          <w:bCs w:val="0"/>
          <w:color w:val="auto"/>
          <w:sz w:val="36"/>
          <w:szCs w:val="36"/>
          <w:highlight w:val="none"/>
          <w:lang w:val="en-US" w:eastAsia="zh-CN"/>
        </w:rPr>
        <w:t xml:space="preserve">  </w:t>
      </w:r>
      <w:bookmarkEnd w:id="69"/>
      <w:r>
        <w:rPr>
          <w:rFonts w:hint="eastAsia" w:ascii="黑体" w:hAnsi="黑体" w:eastAsia="黑体" w:cs="黑体"/>
          <w:b w:val="0"/>
          <w:bCs w:val="0"/>
          <w:color w:val="auto"/>
          <w:sz w:val="36"/>
          <w:szCs w:val="36"/>
          <w:highlight w:val="none"/>
          <w:lang w:eastAsia="zh-CN"/>
        </w:rPr>
        <w:t>指导思想</w:t>
      </w:r>
      <w:bookmarkEnd w:id="70"/>
      <w:bookmarkEnd w:id="71"/>
      <w:bookmarkEnd w:id="72"/>
      <w:bookmarkEnd w:id="73"/>
    </w:p>
    <w:p w14:paraId="5A5E1EB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rPr>
          <w:rFonts w:hint="eastAsia" w:ascii="Times New Roman" w:hAnsi="Times New Roman" w:eastAsia="仿宋_GB2312"/>
          <w:snapToGrid w:val="0"/>
          <w:color w:val="auto"/>
          <w:kern w:val="0"/>
          <w:sz w:val="32"/>
          <w:szCs w:val="32"/>
          <w:highlight w:val="none"/>
        </w:rPr>
      </w:pPr>
      <w:r>
        <w:rPr>
          <w:rFonts w:hint="eastAsia" w:ascii="仿宋_GB2312" w:hAnsi="仿宋_GB2312" w:eastAsia="仿宋_GB2312" w:cs="仿宋_GB2312"/>
          <w:color w:val="auto"/>
          <w:sz w:val="32"/>
          <w:szCs w:val="32"/>
          <w:highlight w:val="none"/>
        </w:rPr>
        <w:t>坚持马克思列宁主义、毛泽东思想、邓小平理论、“三个代表”重要思想、科学发展观，全面贯彻习近平新时代中国特色社会主义思想，深入贯彻党的二十大和二十届历次全会精神，统筹推进“五位一体”总体布局，协调推进“四个全面”战略布局，</w:t>
      </w:r>
      <w:r>
        <w:rPr>
          <w:rFonts w:hint="eastAsia" w:ascii="仿宋_GB2312" w:hAnsi="仿宋_GB2312" w:eastAsia="仿宋_GB2312" w:cs="仿宋_GB2312"/>
          <w:b w:val="0"/>
          <w:bCs w:val="0"/>
          <w:color w:val="auto"/>
          <w:spacing w:val="0"/>
          <w:sz w:val="32"/>
          <w:szCs w:val="32"/>
          <w:highlight w:val="none"/>
          <w:lang w:eastAsia="zh-CN"/>
        </w:rPr>
        <w:t>坚决贯彻落实习近平总书记关于广西工作论述的重要要求，解放思想、创新求变，向海图强、开放发展，</w:t>
      </w:r>
      <w:r>
        <w:rPr>
          <w:rFonts w:hint="eastAsia" w:ascii="仿宋_GB2312" w:hAnsi="仿宋_GB2312" w:eastAsia="仿宋_GB2312" w:cs="仿宋_GB2312"/>
          <w:color w:val="auto"/>
          <w:sz w:val="32"/>
          <w:szCs w:val="32"/>
          <w:highlight w:val="none"/>
          <w:lang w:eastAsia="zh-CN"/>
        </w:rPr>
        <w:t>完整准确全面贯彻新发展理念，积极服务和融入新发展格局。</w:t>
      </w:r>
      <w:r>
        <w:rPr>
          <w:rFonts w:hint="eastAsia" w:ascii="仿宋_GB2312" w:hAnsi="仿宋_GB2312" w:eastAsia="仿宋_GB2312" w:cs="仿宋_GB2312"/>
          <w:b w:val="0"/>
          <w:bCs w:val="0"/>
          <w:color w:val="auto"/>
          <w:spacing w:val="0"/>
          <w:sz w:val="32"/>
          <w:szCs w:val="32"/>
          <w:highlight w:val="none"/>
          <w:lang w:eastAsia="zh-CN"/>
        </w:rPr>
        <w:t>牢牢把握</w:t>
      </w:r>
      <w:r>
        <w:rPr>
          <w:rFonts w:hint="eastAsia" w:ascii="仿宋_GB2312" w:hAnsi="仿宋_GB2312" w:eastAsia="仿宋_GB2312" w:cs="仿宋_GB2312"/>
          <w:b w:val="0"/>
          <w:bCs w:val="0"/>
          <w:color w:val="auto"/>
          <w:spacing w:val="0"/>
          <w:sz w:val="32"/>
          <w:szCs w:val="32"/>
          <w:highlight w:val="none"/>
          <w:lang w:val="en-US" w:eastAsia="zh-CN"/>
        </w:rPr>
        <w:t>铸</w:t>
      </w:r>
      <w:r>
        <w:rPr>
          <w:rFonts w:hint="eastAsia" w:ascii="仿宋_GB2312" w:hAnsi="仿宋_GB2312" w:eastAsia="仿宋_GB2312" w:cs="仿宋_GB2312"/>
          <w:b w:val="0"/>
          <w:bCs w:val="0"/>
          <w:color w:val="auto"/>
          <w:spacing w:val="0"/>
          <w:sz w:val="32"/>
          <w:szCs w:val="32"/>
          <w:highlight w:val="none"/>
          <w:lang w:eastAsia="zh-CN"/>
        </w:rPr>
        <w:t>牢中华民族共同体意识这条主线，</w:t>
      </w:r>
      <w:r>
        <w:rPr>
          <w:rFonts w:hint="eastAsia" w:ascii="仿宋_GB2312" w:hAnsi="仿宋_GB2312" w:eastAsia="仿宋_GB2312" w:cs="仿宋_GB2312"/>
          <w:color w:val="auto"/>
          <w:sz w:val="32"/>
          <w:szCs w:val="32"/>
          <w:highlight w:val="none"/>
          <w:lang w:eastAsia="zh-CN"/>
        </w:rPr>
        <w:t>坚持稳中求进工作总基调，坚持以经济建设为中心，以推动高质量发展为主题，以改革创新为根本动力，以满足人民日益增长的美好生活需要为根本目的，以全面从严治党为根本保障。紧抓国家推动西部大开发、建设平陆运河经济带等重大战略机遇，主动服务和融入自治区和柳州市发展部署。深入实施“智汇兴鹿，工业强鹿”战略，</w:t>
      </w:r>
      <w:r>
        <w:rPr>
          <w:rFonts w:hint="eastAsia" w:ascii="仿宋_GB2312" w:hAnsi="仿宋_GB2312" w:eastAsia="仿宋_GB2312" w:cs="仿宋_GB2312"/>
          <w:color w:val="auto"/>
          <w:sz w:val="32"/>
          <w:szCs w:val="32"/>
          <w:highlight w:val="none"/>
          <w:lang w:val="en-US" w:eastAsia="zh-CN"/>
        </w:rPr>
        <w:t>加快推进新型工业化，发展新质生产力，推动经济实现质的有效提升和量的合理增长。</w:t>
      </w:r>
      <w:r>
        <w:rPr>
          <w:rFonts w:hint="eastAsia" w:ascii="Times New Roman" w:hAnsi="Times New Roman" w:eastAsia="仿宋_GB2312"/>
          <w:snapToGrid w:val="0"/>
          <w:color w:val="auto"/>
          <w:kern w:val="0"/>
          <w:sz w:val="32"/>
          <w:szCs w:val="32"/>
          <w:highlight w:val="none"/>
          <w:lang w:eastAsia="zh-CN"/>
        </w:rPr>
        <w:t>致力于建设“两区一基地一门户”</w:t>
      </w:r>
      <w:r>
        <w:rPr>
          <w:rStyle w:val="25"/>
          <w:rFonts w:hint="eastAsia" w:ascii="Times New Roman" w:hAnsi="Times New Roman" w:eastAsia="仿宋_GB2312"/>
          <w:snapToGrid w:val="0"/>
          <w:color w:val="auto"/>
          <w:kern w:val="0"/>
          <w:sz w:val="32"/>
          <w:szCs w:val="32"/>
          <w:highlight w:val="none"/>
          <w:lang w:eastAsia="zh-CN"/>
        </w:rPr>
        <w:t>[</w:t>
      </w:r>
      <w:r>
        <w:rPr>
          <w:rStyle w:val="25"/>
          <w:rFonts w:hint="eastAsia" w:ascii="Times New Roman" w:hAnsi="Times New Roman" w:eastAsia="仿宋_GB2312"/>
          <w:snapToGrid w:val="0"/>
          <w:color w:val="auto"/>
          <w:kern w:val="0"/>
          <w:sz w:val="32"/>
          <w:szCs w:val="32"/>
          <w:highlight w:val="none"/>
          <w:lang w:eastAsia="zh-CN"/>
        </w:rPr>
        <w:endnoteReference w:id="2"/>
      </w:r>
      <w:r>
        <w:rPr>
          <w:rStyle w:val="25"/>
          <w:rFonts w:hint="eastAsia" w:ascii="Times New Roman" w:hAnsi="Times New Roman" w:eastAsia="仿宋_GB2312"/>
          <w:snapToGrid w:val="0"/>
          <w:color w:val="auto"/>
          <w:kern w:val="0"/>
          <w:sz w:val="32"/>
          <w:szCs w:val="32"/>
          <w:highlight w:val="none"/>
          <w:lang w:eastAsia="zh-CN"/>
        </w:rPr>
        <w:t>]</w:t>
      </w:r>
      <w:r>
        <w:rPr>
          <w:rFonts w:hint="eastAsia" w:ascii="Times New Roman" w:hAnsi="Times New Roman" w:eastAsia="仿宋_GB2312"/>
          <w:snapToGrid w:val="0"/>
          <w:color w:val="auto"/>
          <w:kern w:val="0"/>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奋力谱写中国式现代化鹿寨新篇章。</w:t>
      </w:r>
    </w:p>
    <w:p w14:paraId="7F0BA7BA">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仿宋_GB2312" w:hAnsi="仿宋_GB2312" w:eastAsia="黑体" w:cs="仿宋_GB2312"/>
          <w:b w:val="0"/>
          <w:bCs w:val="0"/>
          <w:color w:val="auto"/>
          <w:kern w:val="0"/>
          <w:sz w:val="32"/>
          <w:szCs w:val="32"/>
          <w:highlight w:val="none"/>
          <w:lang w:val="en-US" w:eastAsia="zh-CN"/>
        </w:rPr>
      </w:pPr>
      <w:bookmarkStart w:id="74" w:name="_Toc9648"/>
      <w:bookmarkStart w:id="75" w:name="_Toc22752"/>
      <w:bookmarkStart w:id="76" w:name="_Toc16855"/>
      <w:bookmarkStart w:id="77" w:name="_Toc5154"/>
      <w:bookmarkStart w:id="78" w:name="_Toc22254"/>
      <w:bookmarkStart w:id="79" w:name="_Toc29433"/>
      <w:bookmarkStart w:id="80" w:name="_Toc31370"/>
      <w:r>
        <w:rPr>
          <w:rFonts w:hint="eastAsia"/>
          <w:b w:val="0"/>
          <w:bCs/>
          <w:color w:val="auto"/>
          <w:sz w:val="36"/>
          <w:szCs w:val="36"/>
          <w:highlight w:val="none"/>
          <w:lang w:val="en-US" w:eastAsia="zh-CN"/>
        </w:rPr>
        <w:t xml:space="preserve">第二节  </w:t>
      </w:r>
      <w:r>
        <w:rPr>
          <w:rFonts w:hint="eastAsia"/>
          <w:b w:val="0"/>
          <w:bCs/>
          <w:color w:val="auto"/>
          <w:sz w:val="36"/>
          <w:szCs w:val="36"/>
          <w:highlight w:val="none"/>
          <w:lang w:eastAsia="zh-CN"/>
        </w:rPr>
        <w:t>基本</w:t>
      </w:r>
      <w:bookmarkEnd w:id="74"/>
      <w:bookmarkEnd w:id="75"/>
      <w:bookmarkEnd w:id="76"/>
      <w:bookmarkEnd w:id="77"/>
      <w:bookmarkEnd w:id="78"/>
      <w:bookmarkEnd w:id="79"/>
      <w:r>
        <w:rPr>
          <w:rFonts w:hint="eastAsia"/>
          <w:b w:val="0"/>
          <w:bCs/>
          <w:color w:val="auto"/>
          <w:sz w:val="36"/>
          <w:szCs w:val="36"/>
          <w:highlight w:val="none"/>
          <w:lang w:eastAsia="zh-CN"/>
        </w:rPr>
        <w:t>要求</w:t>
      </w:r>
      <w:bookmarkEnd w:id="80"/>
    </w:p>
    <w:p w14:paraId="1D16B8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在坚决贯彻落实党的二十届四中全会明确的坚持党的全面领导、坚持人民至上、坚持高质量发展、坚持全面深化改革、坚持有效市场和有为政府相结合、坚持统筹发展和安全原则的基础上，结合鹿寨实际，立足县域特色，强化担当作为，做到“六个更加注重”：</w:t>
      </w:r>
    </w:p>
    <w:p w14:paraId="2AAEE03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rPr>
          <w:rFonts w:hint="eastAsia" w:ascii="宋体" w:hAnsi="宋体" w:eastAsia="宋体" w:cs="宋体"/>
          <w:b w:val="0"/>
          <w:bCs w:val="0"/>
          <w:i w:val="0"/>
          <w:strike w:val="0"/>
          <w:color w:val="auto"/>
          <w:sz w:val="32"/>
          <w:szCs w:val="32"/>
          <w:highlight w:val="none"/>
          <w:u w:val="none"/>
          <w:lang w:eastAsia="zh-CN"/>
        </w:rPr>
      </w:pPr>
      <w:r>
        <w:rPr>
          <w:rFonts w:hint="eastAsia" w:ascii="Times New Roman" w:hAnsi="Times New Roman" w:eastAsia="仿宋_GB2312" w:cs="Times New Roman"/>
          <w:b/>
          <w:bCs/>
          <w:color w:val="auto"/>
          <w:kern w:val="2"/>
          <w:sz w:val="32"/>
          <w:szCs w:val="32"/>
          <w:highlight w:val="none"/>
          <w:lang w:val="en-US" w:eastAsia="zh-CN" w:bidi="ar-SA"/>
        </w:rPr>
        <w:t>——更加注重服务国家和广西所需，发挥鹿寨所</w:t>
      </w:r>
      <w:r>
        <w:rPr>
          <w:rFonts w:hint="eastAsia" w:ascii="仿宋_GB2312" w:hAnsi="仿宋_GB2312" w:eastAsia="仿宋_GB2312" w:cs="仿宋_GB2312"/>
          <w:b/>
          <w:bCs/>
          <w:color w:val="auto"/>
          <w:kern w:val="2"/>
          <w:sz w:val="32"/>
          <w:szCs w:val="32"/>
          <w:highlight w:val="none"/>
          <w:lang w:val="en-US" w:eastAsia="zh-CN" w:bidi="ar-SA"/>
        </w:rPr>
        <w:t>能。</w:t>
      </w:r>
      <w:r>
        <w:rPr>
          <w:rFonts w:hint="eastAsia" w:ascii="仿宋_GB2312" w:hAnsi="仿宋_GB2312" w:eastAsia="仿宋_GB2312" w:cs="仿宋_GB2312"/>
          <w:color w:val="auto"/>
          <w:kern w:val="2"/>
          <w:sz w:val="32"/>
          <w:szCs w:val="32"/>
          <w:highlight w:val="none"/>
          <w:lang w:val="en-US" w:eastAsia="zh-CN" w:bidi="ar-SA"/>
        </w:rPr>
        <w:t>切实提高政治站位，既着眼国家和自治区战略全局，又立足鹿寨发展实际，登高望远、脚踏实地，主动担当作为，更好地服务和融入全国、全区、全市发展大局，做到大中见小和小中见大、谋一域和谋全局、有所为和有所不为的辩证统一。</w:t>
      </w:r>
    </w:p>
    <w:p w14:paraId="3A5FEB8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更加注重人工智能赋能引领。</w:t>
      </w:r>
      <w:r>
        <w:rPr>
          <w:rFonts w:hint="eastAsia" w:ascii="仿宋_GB2312" w:hAnsi="仿宋_GB2312" w:eastAsia="仿宋_GB2312" w:cs="仿宋_GB2312"/>
          <w:color w:val="auto"/>
          <w:kern w:val="2"/>
          <w:sz w:val="32"/>
          <w:szCs w:val="32"/>
          <w:highlight w:val="none"/>
          <w:lang w:val="en-US" w:eastAsia="zh-CN" w:bidi="ar-SA"/>
        </w:rPr>
        <w:t>主动拥抱人工智能时代，注重策略、强化整合、创新场景，积极践行“北上广研发+广西集成+东盟应用”的发展路径，深入实施“人工智能+”行动，推动人工智能与制造业、农业、服务业深度融合，赋能传统产业转型升级，培育智能经济新增长点，筑牢高质量发展根基。</w:t>
      </w:r>
    </w:p>
    <w:p w14:paraId="61A188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更加注重向海发展、扩大开放。</w:t>
      </w:r>
      <w:r>
        <w:rPr>
          <w:rFonts w:hint="eastAsia" w:ascii="仿宋_GB2312" w:hAnsi="仿宋_GB2312" w:eastAsia="仿宋_GB2312" w:cs="仿宋_GB2312"/>
          <w:color w:val="auto"/>
          <w:kern w:val="2"/>
          <w:sz w:val="32"/>
          <w:szCs w:val="32"/>
          <w:highlight w:val="none"/>
          <w:lang w:val="en-US" w:eastAsia="zh-CN" w:bidi="ar-SA"/>
        </w:rPr>
        <w:t>强化向海思维，凝聚向海共识，主动融入西部陆海新通道建设，积极对接北部湾经济区、平陆运河经济带，深化与粤港澳大湾区、长三角、京津冀等重点区域合作，拓展面向东盟和共建“一带一路”国家的开放合作，推动更多资源要素向鹿寨集聚，在海陆统筹、内外联动中更好地服务构建新发展格局。</w:t>
      </w:r>
    </w:p>
    <w:p w14:paraId="2F031F1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更加注重铸牢中华民族共同体意识。</w:t>
      </w:r>
      <w:r>
        <w:rPr>
          <w:rFonts w:hint="eastAsia" w:ascii="仿宋_GB2312" w:hAnsi="仿宋_GB2312" w:eastAsia="仿宋_GB2312" w:cs="仿宋_GB2312"/>
          <w:color w:val="auto"/>
          <w:kern w:val="2"/>
          <w:sz w:val="32"/>
          <w:szCs w:val="32"/>
          <w:highlight w:val="none"/>
          <w:lang w:val="en-US" w:eastAsia="zh-CN" w:bidi="ar-SA"/>
        </w:rPr>
        <w:t>积极促进各民族交往交流交融，引导各族群众牢固树立休戚与共、荣辱与共、生死与共、命运与共的共同体理念，齐心协力推动民族地区经济社会发展，持续保障和改善民生，稳步迈向共同富裕。</w:t>
      </w:r>
    </w:p>
    <w:p w14:paraId="04A861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更加注重高质量发展和高水平安全良性互动。</w:t>
      </w:r>
      <w:r>
        <w:rPr>
          <w:rFonts w:hint="eastAsia" w:ascii="仿宋_GB2312" w:hAnsi="仿宋_GB2312" w:eastAsia="仿宋_GB2312" w:cs="仿宋_GB2312"/>
          <w:color w:val="auto"/>
          <w:kern w:val="2"/>
          <w:sz w:val="32"/>
          <w:szCs w:val="32"/>
          <w:highlight w:val="none"/>
          <w:lang w:val="en-US" w:eastAsia="zh-CN" w:bidi="ar-SA"/>
        </w:rPr>
        <w:t>统筹发展和安全，强化底线思维，有力有效防范化解重大风险，增强经济社会发展韧性，提升防灾减灾救灾能力，推动高质量发展和高水平安全协同并进，确保经济社会发展行稳致远。</w:t>
      </w:r>
    </w:p>
    <w:p w14:paraId="0B738F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更加注重统筹建好政治生态和自然生态“两个生态”。</w:t>
      </w:r>
      <w:r>
        <w:rPr>
          <w:rFonts w:hint="eastAsia" w:ascii="仿宋_GB2312" w:hAnsi="仿宋_GB2312" w:eastAsia="仿宋_GB2312" w:cs="仿宋_GB2312"/>
          <w:color w:val="auto"/>
          <w:kern w:val="2"/>
          <w:sz w:val="32"/>
          <w:szCs w:val="32"/>
          <w:highlight w:val="none"/>
          <w:lang w:val="en-US" w:eastAsia="zh-CN" w:bidi="ar-SA"/>
        </w:rPr>
        <w:t>严明政治纪律和政治规矩，纵深推进全面从严治党，营造风清气正的政治生态；扛牢保护好鹿寨山山水水的政治责任，持续擦亮生态优势金字招牌，推动绿色发展，促进人与自然和谐共生，让风清气正的政治生态和山清水秀的自然生态交相辉映、相得益彰。</w:t>
      </w:r>
    </w:p>
    <w:p w14:paraId="24E86324">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81" w:name="_Toc17806"/>
      <w:bookmarkStart w:id="82" w:name="_Toc16133"/>
      <w:bookmarkStart w:id="83" w:name="_Toc17748"/>
      <w:bookmarkStart w:id="84" w:name="_Toc28073"/>
      <w:bookmarkStart w:id="85" w:name="_Toc6263"/>
      <w:bookmarkStart w:id="86" w:name="_Toc3812"/>
      <w:bookmarkStart w:id="87" w:name="_Toc9703"/>
      <w:r>
        <w:rPr>
          <w:rFonts w:hint="eastAsia"/>
          <w:b w:val="0"/>
          <w:bCs/>
          <w:color w:val="auto"/>
          <w:sz w:val="36"/>
          <w:szCs w:val="36"/>
          <w:highlight w:val="none"/>
          <w:lang w:val="en-US" w:eastAsia="zh-CN"/>
        </w:rPr>
        <w:t>第三节  战略</w:t>
      </w:r>
      <w:r>
        <w:rPr>
          <w:rFonts w:hint="eastAsia"/>
          <w:b w:val="0"/>
          <w:bCs/>
          <w:color w:val="auto"/>
          <w:sz w:val="36"/>
          <w:szCs w:val="36"/>
          <w:highlight w:val="none"/>
        </w:rPr>
        <w:t>定位</w:t>
      </w:r>
      <w:bookmarkEnd w:id="81"/>
      <w:bookmarkEnd w:id="82"/>
      <w:bookmarkEnd w:id="83"/>
      <w:bookmarkEnd w:id="84"/>
      <w:bookmarkEnd w:id="85"/>
      <w:bookmarkEnd w:id="86"/>
      <w:bookmarkEnd w:id="87"/>
    </w:p>
    <w:p w14:paraId="6DE82E7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立足新阶段、贯彻新理念，鹿寨县将紧扣服务国家和自治区战略，依托自身产业基础与区位条件，着力构建“两区一基地一门户”功能互补、协同联动的战略体系。打造功能片区协同载体，推动产城融合与城乡联动，优化空间布局与服务能级；夯实产业基地核心引擎，做强实体制造与产业链条，提升经济韧性与附加值；筑牢门户枢纽前沿阵地，强化交通与开放链接能力，促进资源要素高效汇聚。最终形成“门户引流、基地转化、片区承载、整体跃升”的良性发展循环，全面增强县域综合竞争力与区域影响力。</w:t>
      </w:r>
    </w:p>
    <w:p w14:paraId="46458F3D">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全国城乡融合与新型城镇化建设实践区。</w:t>
      </w:r>
      <w:r>
        <w:rPr>
          <w:rFonts w:hint="eastAsia" w:ascii="仿宋_GB2312" w:hAnsi="仿宋_GB2312" w:eastAsia="仿宋_GB2312" w:cs="仿宋_GB2312"/>
          <w:b w:val="0"/>
          <w:bCs w:val="0"/>
          <w:color w:val="auto"/>
          <w:kern w:val="0"/>
          <w:sz w:val="32"/>
          <w:szCs w:val="32"/>
          <w:highlight w:val="none"/>
          <w:lang w:val="en-US" w:eastAsia="zh-CN"/>
        </w:rPr>
        <w:t>坚持以人为核心的发展理念，充分发挥工业基础扎实、生态环境优越、区位交通便捷的综合优势，系统推进城乡空间优化、产业协同与制度创新，构建“中心城区—重点镇—特色乡村”梯次分明、功能互补的城乡发展格局。通过深化城乡产业融合，引导资本、技术、人才等要素在城乡间双向流动、合理配置，加快教育、医疗、文化等公共服务向乡村延伸覆盖，积极探索土地制度、产权制度等重点领域改革突破，建立健全城乡统一的要素市场与治理体系，努力走出一条以人为本、城乡共富、宜居宜业的中西部地区城乡融合发展新路径。</w:t>
      </w:r>
    </w:p>
    <w:p w14:paraId="2980C6BE">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广西县域经济高质量发展先行区。</w:t>
      </w:r>
      <w:r>
        <w:rPr>
          <w:rFonts w:hint="eastAsia" w:ascii="仿宋_GB2312" w:hAnsi="仿宋_GB2312" w:eastAsia="仿宋_GB2312" w:cs="仿宋_GB2312"/>
          <w:b w:val="0"/>
          <w:bCs w:val="0"/>
          <w:color w:val="auto"/>
          <w:kern w:val="0"/>
          <w:sz w:val="32"/>
          <w:szCs w:val="32"/>
          <w:highlight w:val="none"/>
          <w:lang w:val="en-US" w:eastAsia="zh-CN"/>
        </w:rPr>
        <w:t>坚持以“创新、协调、绿色、开放、共享”的新发展理念为引领，在产业转型升级、绿色低碳转型、科技创新应用等方面走在全区县域前列。巩固提升高端绿色家居、</w:t>
      </w:r>
      <w:r>
        <w:rPr>
          <w:rFonts w:hint="eastAsia" w:ascii="Times New Roman" w:hAnsi="Times New Roman" w:eastAsia="仿宋_GB2312" w:cs="仿宋_GB2312"/>
          <w:b w:val="0"/>
          <w:bCs w:val="0"/>
          <w:color w:val="auto"/>
          <w:kern w:val="0"/>
          <w:sz w:val="32"/>
          <w:szCs w:val="32"/>
          <w:highlight w:val="none"/>
          <w:lang w:val="en-US" w:eastAsia="zh-CN"/>
        </w:rPr>
        <w:t>绿色化工及新材料</w:t>
      </w:r>
      <w:r>
        <w:rPr>
          <w:rFonts w:hint="eastAsia" w:ascii="仿宋_GB2312" w:hAnsi="仿宋_GB2312" w:eastAsia="仿宋_GB2312" w:cs="仿宋_GB2312"/>
          <w:b w:val="0"/>
          <w:bCs w:val="0"/>
          <w:color w:val="auto"/>
          <w:kern w:val="0"/>
          <w:sz w:val="32"/>
          <w:szCs w:val="32"/>
          <w:highlight w:val="none"/>
          <w:lang w:val="en-US" w:eastAsia="zh-CN"/>
        </w:rPr>
        <w:t>等特色产业集群，积极培育新能源、光电信息等战略性新兴产业，构建以先进制造业为支撑的现代产业体系。深入探索“创新驱动，绿色崛起”的高质量发展路径，形成具有示范意义的“鹿寨模式”，为广西县域经济转型升级和工业振兴提供可借鉴的实践经验。</w:t>
      </w:r>
    </w:p>
    <w:p w14:paraId="60BA1228">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柳州城市副中心和新兴工业制造基地。</w:t>
      </w:r>
      <w:r>
        <w:rPr>
          <w:rFonts w:hint="eastAsia" w:ascii="仿宋_GB2312" w:hAnsi="仿宋_GB2312" w:eastAsia="仿宋_GB2312" w:cs="仿宋_GB2312"/>
          <w:b w:val="0"/>
          <w:bCs w:val="0"/>
          <w:color w:val="auto"/>
          <w:kern w:val="0"/>
          <w:sz w:val="32"/>
          <w:szCs w:val="32"/>
          <w:highlight w:val="none"/>
          <w:lang w:val="en-US" w:eastAsia="zh-CN"/>
        </w:rPr>
        <w:t>同步推动城市功能提质升级，优化教育、医疗、文化等公共服务资源配置，增强金融、商务等现代服务功能，建设服务于桂中地区的要素集聚与组织中心。强化与主城区的快速交通连接和功能互补，推动基础设施、产业发展、公共服务同城化，构建“主城引领、副中心支撑、双向赋能”的都市圈发展新格局，建成柳州向东融合发展的战略支点和现代化城市副中心。全面承接柳州主城区功能疏解与产业转移，强化与柳东新区规划衔接、产业协同和设施共享，高标准建设区域性专业市场、现代物流基地和产教融合园区。聚焦汽车零部件、机械制造等高端环节，打造产业链完整、创新能力突出的工业经济新增长极。</w:t>
      </w:r>
    </w:p>
    <w:p w14:paraId="663771A5">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生产服务型国家物流枢纽向海门户。</w:t>
      </w:r>
      <w:r>
        <w:rPr>
          <w:rFonts w:hint="eastAsia" w:ascii="仿宋_GB2312" w:hAnsi="仿宋_GB2312" w:eastAsia="仿宋_GB2312" w:cs="仿宋_GB2312"/>
          <w:b w:val="0"/>
          <w:bCs w:val="0"/>
          <w:color w:val="auto"/>
          <w:kern w:val="0"/>
          <w:sz w:val="32"/>
          <w:szCs w:val="32"/>
          <w:highlight w:val="none"/>
          <w:lang w:val="en-US" w:eastAsia="zh-CN"/>
        </w:rPr>
        <w:t>鹿寨作为柳州工业出海的战略前沿与桥头堡，立足柳州雄厚的工业基础与鹿寨“通江达海”的区位优势，以服务制造业降本增效和价值链提升为核心，加快构建“枢纽+通道+网络”的现代化物流体系。依托江口港及湘桂铁路等关键节点，重点布局工业供应链物流、大宗物资集散和区域分拨配送功能，建设集原材料协同供应、产成品分拨、供应链金融和跨境物流服务于一体的综合性服务平台。强化与柳州汽车、机械、钢铁等产业集群的深度协同，积极对接平陆运河通道，打造服务柳州、辐射桂中、贯通东盟的陆海联动枢纽功能区，全面增强柳州国家物流枢纽的出海能力与开放能级，为区域产业升级与融入国内国际双循环提供坚实支撑。</w:t>
      </w:r>
    </w:p>
    <w:p w14:paraId="399D13E7">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b w:val="0"/>
          <w:bCs/>
          <w:color w:val="auto"/>
          <w:sz w:val="36"/>
          <w:szCs w:val="36"/>
          <w:highlight w:val="none"/>
          <w:lang w:eastAsia="zh-CN"/>
        </w:rPr>
      </w:pPr>
      <w:bookmarkStart w:id="88" w:name="_Toc13366"/>
      <w:bookmarkStart w:id="89" w:name="_Toc16367"/>
      <w:bookmarkStart w:id="90" w:name="_Toc15997"/>
      <w:bookmarkStart w:id="91" w:name="_Toc12167"/>
      <w:r>
        <w:rPr>
          <w:rFonts w:hint="eastAsia"/>
          <w:b w:val="0"/>
          <w:bCs/>
          <w:color w:val="auto"/>
          <w:sz w:val="36"/>
          <w:szCs w:val="36"/>
          <w:highlight w:val="none"/>
          <w:lang w:val="en-US" w:eastAsia="zh-CN"/>
        </w:rPr>
        <w:t>第四节  发展目标</w:t>
      </w:r>
      <w:bookmarkEnd w:id="88"/>
      <w:bookmarkEnd w:id="89"/>
      <w:bookmarkEnd w:id="90"/>
      <w:bookmarkEnd w:id="91"/>
    </w:p>
    <w:p w14:paraId="3E18F2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坚持“一战略、两路径、四支撑、六行动”总体布局，构建“2311”现代化产业体系，奋力实现“两个突破”。深入实施</w:t>
      </w:r>
      <w:r>
        <w:rPr>
          <w:rFonts w:hint="eastAsia" w:ascii="仿宋_GB2312" w:hAnsi="仿宋_GB2312" w:eastAsia="仿宋_GB2312" w:cs="仿宋_GB2312"/>
          <w:b w:val="0"/>
          <w:bCs w:val="0"/>
          <w:color w:val="auto"/>
          <w:kern w:val="2"/>
          <w:sz w:val="32"/>
          <w:szCs w:val="32"/>
          <w:highlight w:val="none"/>
          <w:lang w:val="en-US" w:eastAsia="zh-CN" w:bidi="ar-SA"/>
        </w:rPr>
        <w:t>“智汇兴鹿，工业强鹿”战略，牢牢把握“全面融柳，特色崛起”两大发展</w:t>
      </w:r>
      <w:r>
        <w:rPr>
          <w:rFonts w:hint="default" w:ascii="Times New Roman" w:hAnsi="Times New Roman" w:eastAsia="仿宋_GB2312" w:cs="Times New Roman"/>
          <w:b w:val="0"/>
          <w:bCs w:val="0"/>
          <w:color w:val="auto"/>
          <w:kern w:val="2"/>
          <w:sz w:val="32"/>
          <w:szCs w:val="32"/>
          <w:highlight w:val="none"/>
          <w:lang w:val="en-US" w:eastAsia="zh-CN" w:bidi="ar-SA"/>
        </w:rPr>
        <w:t>路径，</w:t>
      </w:r>
      <w:r>
        <w:rPr>
          <w:rFonts w:hint="eastAsia" w:ascii="Times New Roman" w:hAnsi="Times New Roman" w:eastAsia="仿宋_GB2312" w:cs="Times New Roman"/>
          <w:b w:val="0"/>
          <w:bCs w:val="0"/>
          <w:color w:val="auto"/>
          <w:kern w:val="2"/>
          <w:sz w:val="32"/>
          <w:szCs w:val="32"/>
          <w:highlight w:val="none"/>
          <w:lang w:val="en-US" w:eastAsia="zh-CN" w:bidi="ar-SA"/>
        </w:rPr>
        <w:t>以</w:t>
      </w:r>
      <w:r>
        <w:rPr>
          <w:rFonts w:hint="default" w:ascii="Times New Roman" w:hAnsi="Times New Roman" w:eastAsia="仿宋_GB2312" w:cs="Times New Roman"/>
          <w:b w:val="0"/>
          <w:bCs w:val="0"/>
          <w:color w:val="auto"/>
          <w:kern w:val="2"/>
          <w:sz w:val="32"/>
          <w:szCs w:val="32"/>
          <w:highlight w:val="none"/>
          <w:lang w:val="en-US" w:eastAsia="zh-CN" w:bidi="ar-SA"/>
        </w:rPr>
        <w:t>港航枢纽、要素保障、营商环境</w:t>
      </w:r>
      <w:r>
        <w:rPr>
          <w:rFonts w:hint="eastAsia" w:ascii="Times New Roman" w:hAnsi="Times New Roman" w:eastAsia="仿宋_GB2312" w:cs="Times New Roman"/>
          <w:b w:val="0"/>
          <w:bCs w:val="0"/>
          <w:color w:val="auto"/>
          <w:kern w:val="2"/>
          <w:sz w:val="32"/>
          <w:szCs w:val="32"/>
          <w:highlight w:val="none"/>
          <w:lang w:val="en-US" w:eastAsia="zh-CN" w:bidi="ar-SA"/>
        </w:rPr>
        <w:t>和</w:t>
      </w:r>
      <w:r>
        <w:rPr>
          <w:rFonts w:hint="default" w:ascii="Times New Roman" w:hAnsi="Times New Roman" w:eastAsia="仿宋_GB2312" w:cs="Times New Roman"/>
          <w:b w:val="0"/>
          <w:bCs w:val="0"/>
          <w:color w:val="auto"/>
          <w:kern w:val="2"/>
          <w:sz w:val="32"/>
          <w:szCs w:val="32"/>
          <w:highlight w:val="none"/>
          <w:lang w:val="en-US" w:eastAsia="zh-CN" w:bidi="ar-SA"/>
        </w:rPr>
        <w:t>生态底线</w:t>
      </w:r>
      <w:r>
        <w:rPr>
          <w:rFonts w:hint="eastAsia" w:ascii="Times New Roman" w:hAnsi="Times New Roman" w:eastAsia="仿宋_GB2312" w:cs="Times New Roman"/>
          <w:b w:val="0"/>
          <w:bCs w:val="0"/>
          <w:color w:val="auto"/>
          <w:kern w:val="2"/>
          <w:sz w:val="32"/>
          <w:szCs w:val="32"/>
          <w:highlight w:val="none"/>
          <w:lang w:val="en-US" w:eastAsia="zh-CN" w:bidi="ar-SA"/>
        </w:rPr>
        <w:t>为</w:t>
      </w:r>
      <w:r>
        <w:rPr>
          <w:rFonts w:hint="default" w:ascii="Times New Roman" w:hAnsi="Times New Roman" w:eastAsia="仿宋_GB2312" w:cs="Times New Roman"/>
          <w:b w:val="0"/>
          <w:bCs w:val="0"/>
          <w:color w:val="auto"/>
          <w:kern w:val="2"/>
          <w:sz w:val="32"/>
          <w:szCs w:val="32"/>
          <w:highlight w:val="none"/>
          <w:lang w:val="en-US" w:eastAsia="zh-CN" w:bidi="ar-SA"/>
        </w:rPr>
        <w:t>四大支撑，系统推进产业强基、交通互联、融柳协同、招商引智、民生提质、绿色转型六大行动。</w:t>
      </w:r>
      <w:r>
        <w:rPr>
          <w:rFonts w:hint="eastAsia" w:ascii="Times New Roman" w:hAnsi="Times New Roman" w:eastAsia="仿宋_GB2312" w:cs="Times New Roman"/>
          <w:b w:val="0"/>
          <w:bCs w:val="0"/>
          <w:color w:val="auto"/>
          <w:kern w:val="2"/>
          <w:sz w:val="32"/>
          <w:szCs w:val="32"/>
          <w:highlight w:val="none"/>
          <w:lang w:val="en-US" w:eastAsia="zh-CN" w:bidi="ar-SA"/>
        </w:rPr>
        <w:t>着力打造高端绿色家居、绿色化工及新材料2个百亿级支柱产业集群，形成高端装备制造产业、智慧轻工及大健康、新能源3个五十亿级特色产业集群，前瞻布局低空经济1个百亿级新兴产业新赛道，培育临港沿江1个百亿级产业带</w:t>
      </w:r>
      <w:r>
        <w:rPr>
          <w:rFonts w:hint="default" w:ascii="Times New Roman" w:hAnsi="Times New Roman" w:eastAsia="仿宋_GB2312" w:cs="Times New Roman"/>
          <w:b w:val="0"/>
          <w:bCs w:val="0"/>
          <w:color w:val="auto"/>
          <w:kern w:val="2"/>
          <w:sz w:val="32"/>
          <w:szCs w:val="32"/>
          <w:highlight w:val="none"/>
          <w:lang w:val="en-US" w:eastAsia="zh-CN" w:bidi="ar-SA"/>
        </w:rPr>
        <w:t>。到</w:t>
      </w:r>
      <w:r>
        <w:rPr>
          <w:rFonts w:hint="eastAsia" w:ascii="仿宋_GB2312" w:hAnsi="仿宋_GB2312" w:eastAsia="仿宋_GB2312" w:cs="仿宋_GB2312"/>
          <w:b w:val="0"/>
          <w:bCs w:val="0"/>
          <w:color w:val="auto"/>
          <w:kern w:val="2"/>
          <w:sz w:val="32"/>
          <w:szCs w:val="32"/>
          <w:highlight w:val="none"/>
          <w:lang w:val="en-US" w:eastAsia="zh-CN" w:bidi="ar-SA"/>
        </w:rPr>
        <w:t>“十五五”</w:t>
      </w:r>
      <w:r>
        <w:rPr>
          <w:rFonts w:hint="default" w:ascii="Times New Roman" w:hAnsi="Times New Roman" w:eastAsia="仿宋_GB2312" w:cs="Times New Roman"/>
          <w:b w:val="0"/>
          <w:bCs w:val="0"/>
          <w:color w:val="auto"/>
          <w:kern w:val="2"/>
          <w:sz w:val="32"/>
          <w:szCs w:val="32"/>
          <w:highlight w:val="none"/>
          <w:lang w:val="en-US" w:eastAsia="zh-CN" w:bidi="ar-SA"/>
        </w:rPr>
        <w:t>期末，</w:t>
      </w:r>
      <w:r>
        <w:rPr>
          <w:rFonts w:hint="eastAsia" w:ascii="Times New Roman" w:hAnsi="Times New Roman" w:eastAsia="仿宋_GB2312" w:cs="Times New Roman"/>
          <w:b w:val="0"/>
          <w:bCs w:val="0"/>
          <w:color w:val="auto"/>
          <w:kern w:val="2"/>
          <w:sz w:val="32"/>
          <w:szCs w:val="32"/>
          <w:highlight w:val="none"/>
          <w:lang w:val="en-US" w:eastAsia="zh-CN" w:bidi="ar-SA"/>
        </w:rPr>
        <w:t>全县</w:t>
      </w:r>
      <w:r>
        <w:rPr>
          <w:rFonts w:hint="default" w:ascii="Times New Roman" w:hAnsi="Times New Roman" w:eastAsia="仿宋_GB2312" w:cs="Times New Roman"/>
          <w:b w:val="0"/>
          <w:bCs w:val="0"/>
          <w:color w:val="auto"/>
          <w:kern w:val="2"/>
          <w:sz w:val="32"/>
          <w:szCs w:val="32"/>
          <w:highlight w:val="none"/>
          <w:lang w:val="en-US" w:eastAsia="zh-CN" w:bidi="ar-SA"/>
        </w:rPr>
        <w:t>地区生产总值</w:t>
      </w:r>
      <w:r>
        <w:rPr>
          <w:rFonts w:hint="eastAsia" w:ascii="Times New Roman" w:hAnsi="Times New Roman" w:eastAsia="仿宋_GB2312" w:cs="Times New Roman"/>
          <w:b w:val="0"/>
          <w:bCs w:val="0"/>
          <w:color w:val="auto"/>
          <w:kern w:val="2"/>
          <w:sz w:val="32"/>
          <w:szCs w:val="32"/>
          <w:highlight w:val="none"/>
          <w:lang w:val="en-US" w:eastAsia="zh-CN" w:bidi="ar-SA"/>
        </w:rPr>
        <w:t>力争突破300亿元，规模以上工业总产值力争突破250亿元。</w:t>
      </w:r>
    </w:p>
    <w:p w14:paraId="73FF5D8C">
      <w:pPr>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line="560" w:lineRule="exact"/>
        <w:ind w:firstLine="643" w:firstLineChars="200"/>
        <w:rPr>
          <w:rFonts w:ascii="Times New Roman" w:hAnsi="Times New Roman" w:eastAsia="仿宋_GB2312" w:cs="Times New Roman"/>
          <w:color w:val="auto"/>
          <w:kern w:val="2"/>
          <w:sz w:val="32"/>
          <w:szCs w:val="32"/>
          <w:highlight w:val="none"/>
          <w:lang w:val="en-US" w:eastAsia="zh-CN" w:bidi="ar-SA"/>
        </w:rPr>
      </w:pPr>
      <w:r>
        <w:rPr>
          <w:rFonts w:hint="eastAsia" w:ascii="仿宋_GB2312" w:eastAsia="仿宋_GB2312"/>
          <w:b/>
          <w:bCs/>
          <w:color w:val="auto"/>
          <w:sz w:val="32"/>
          <w:szCs w:val="32"/>
          <w:highlight w:val="none"/>
          <w:lang w:val="en-US" w:eastAsia="zh-CN"/>
        </w:rPr>
        <w:t>——高质量发展取得显著成效</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融柳提质谋突破，兴产融合创争先，以深化改革开放引领新发展，全面融入柳州发展大局，推动</w:t>
      </w:r>
      <w:r>
        <w:rPr>
          <w:rFonts w:ascii="Times New Roman" w:hAnsi="Times New Roman" w:eastAsia="仿宋_GB2312" w:cs="Times New Roman"/>
          <w:color w:val="auto"/>
          <w:kern w:val="2"/>
          <w:sz w:val="32"/>
          <w:szCs w:val="32"/>
          <w:highlight w:val="none"/>
          <w:lang w:val="en-US" w:eastAsia="zh-CN" w:bidi="ar-SA"/>
        </w:rPr>
        <w:t>经济增长保持在合理区间，与柳州</w:t>
      </w:r>
      <w:r>
        <w:rPr>
          <w:rFonts w:hint="eastAsia" w:ascii="仿宋_GB2312" w:hAnsi="仿宋_GB2312" w:eastAsia="仿宋_GB2312" w:cs="仿宋_GB2312"/>
          <w:color w:val="auto"/>
          <w:kern w:val="2"/>
          <w:sz w:val="32"/>
          <w:szCs w:val="32"/>
          <w:highlight w:val="none"/>
          <w:lang w:val="en-US" w:eastAsia="zh-CN" w:bidi="ar-SA"/>
        </w:rPr>
        <w:t>市“十五五”发</w:t>
      </w:r>
      <w:r>
        <w:rPr>
          <w:rFonts w:ascii="Times New Roman" w:hAnsi="Times New Roman" w:eastAsia="仿宋_GB2312" w:cs="Times New Roman"/>
          <w:color w:val="auto"/>
          <w:kern w:val="2"/>
          <w:sz w:val="32"/>
          <w:szCs w:val="32"/>
          <w:highlight w:val="none"/>
          <w:lang w:val="en-US" w:eastAsia="zh-CN" w:bidi="ar-SA"/>
        </w:rPr>
        <w:t>展节奏同频共振。经济结构更加优化，深度融入柳州现代产业体系，积极承接柳州产业转移，因地制宜发展新质生产力。制造业核心竞争力显著增强，传统产业转型升级、新兴产业培育壮大取得突破，现代服务业比</w:t>
      </w:r>
      <w:r>
        <w:rPr>
          <w:rFonts w:ascii="Times New Roman" w:hAnsi="Times New Roman" w:eastAsia="仿宋_GB2312" w:cs="Times New Roman"/>
          <w:color w:val="auto"/>
          <w:kern w:val="2"/>
          <w:sz w:val="32"/>
          <w:szCs w:val="32"/>
          <w:highlight w:val="none"/>
          <w:shd w:val="clear" w:color="auto" w:fill="auto"/>
          <w:lang w:val="en-US" w:eastAsia="zh-CN" w:bidi="ar-SA"/>
        </w:rPr>
        <w:t>重持续提升，农业基础更加稳固，一二三产</w:t>
      </w:r>
      <w:r>
        <w:rPr>
          <w:rFonts w:hint="eastAsia" w:ascii="Times New Roman" w:hAnsi="Times New Roman" w:eastAsia="仿宋_GB2312" w:cs="Times New Roman"/>
          <w:color w:val="auto"/>
          <w:kern w:val="2"/>
          <w:sz w:val="32"/>
          <w:szCs w:val="32"/>
          <w:highlight w:val="none"/>
          <w:shd w:val="clear" w:color="auto" w:fill="auto"/>
          <w:lang w:val="en-US" w:eastAsia="zh-CN" w:bidi="ar-SA"/>
        </w:rPr>
        <w:t>业深度融合</w:t>
      </w:r>
      <w:r>
        <w:rPr>
          <w:rFonts w:ascii="Times New Roman" w:hAnsi="Times New Roman" w:eastAsia="仿宋_GB2312" w:cs="Times New Roman"/>
          <w:color w:val="auto"/>
          <w:kern w:val="2"/>
          <w:sz w:val="32"/>
          <w:szCs w:val="32"/>
          <w:highlight w:val="none"/>
          <w:shd w:val="clear" w:color="auto" w:fill="auto"/>
          <w:lang w:val="en-US" w:eastAsia="zh-CN" w:bidi="ar-SA"/>
        </w:rPr>
        <w:t>。</w:t>
      </w:r>
    </w:p>
    <w:p w14:paraId="523CE6EF">
      <w:pPr>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jc w:val="both"/>
        <w:rPr>
          <w:rFonts w:hint="eastAsia" w:ascii="仿宋_GB2312" w:hAnsi="Calibri" w:eastAsia="仿宋_GB2312" w:cs="宋体"/>
          <w:b w:val="0"/>
          <w:bCs w:val="0"/>
          <w:color w:val="auto"/>
          <w:kern w:val="2"/>
          <w:sz w:val="32"/>
          <w:szCs w:val="32"/>
          <w:highlight w:val="none"/>
          <w:lang w:val="en-US" w:eastAsia="zh-CN" w:bidi="ar-SA"/>
        </w:rPr>
      </w:pPr>
      <w:r>
        <w:rPr>
          <w:rFonts w:hint="eastAsia" w:ascii="仿宋_GB2312" w:eastAsia="仿宋_GB2312" w:cs="宋体"/>
          <w:b/>
          <w:bCs/>
          <w:color w:val="auto"/>
          <w:kern w:val="2"/>
          <w:sz w:val="32"/>
          <w:szCs w:val="32"/>
          <w:highlight w:val="none"/>
          <w:lang w:val="en-US" w:eastAsia="zh-CN" w:bidi="ar-SA"/>
        </w:rPr>
        <w:t>——科技</w:t>
      </w:r>
      <w:r>
        <w:rPr>
          <w:rFonts w:hint="eastAsia" w:ascii="仿宋_GB2312" w:hAnsi="仿宋_GB2312" w:eastAsia="仿宋_GB2312" w:cs="仿宋_GB2312"/>
          <w:b/>
          <w:bCs/>
          <w:color w:val="auto"/>
          <w:sz w:val="32"/>
          <w:szCs w:val="32"/>
          <w:highlight w:val="none"/>
          <w:lang w:eastAsia="zh-CN"/>
        </w:rPr>
        <w:t>创新能力持续增强。</w:t>
      </w:r>
      <w:r>
        <w:rPr>
          <w:rFonts w:hint="eastAsia" w:ascii="仿宋_GB2312" w:hAnsi="仿宋_GB2312" w:eastAsia="仿宋_GB2312" w:cs="仿宋_GB2312"/>
          <w:b w:val="0"/>
          <w:bCs w:val="0"/>
          <w:color w:val="auto"/>
          <w:sz w:val="32"/>
          <w:szCs w:val="32"/>
          <w:highlight w:val="none"/>
          <w:lang w:eastAsia="zh-CN"/>
        </w:rPr>
        <w:t>深化“四链融合”促进创新，强化“智汇兴鹿”战略支撑。</w:t>
      </w:r>
      <w:r>
        <w:rPr>
          <w:rFonts w:hint="eastAsia" w:ascii="仿宋_GB2312" w:hAnsi="Calibri" w:eastAsia="仿宋_GB2312" w:cs="宋体"/>
          <w:b w:val="0"/>
          <w:bCs w:val="0"/>
          <w:color w:val="auto"/>
          <w:kern w:val="2"/>
          <w:sz w:val="32"/>
          <w:szCs w:val="32"/>
          <w:highlight w:val="none"/>
          <w:lang w:val="en-US" w:eastAsia="zh-CN" w:bidi="ar-SA"/>
        </w:rPr>
        <w:t>主动对接柳州区域性科技服务中心建设，融入柳州创新链、产业链、资金链、人才链“四链”融合生态。研发经费投入强度持续提高，力争全社会研发投入占地区生产总值比重</w:t>
      </w:r>
      <w:r>
        <w:rPr>
          <w:rFonts w:hint="eastAsia" w:ascii="Times New Roman" w:hAnsi="Times New Roman" w:eastAsia="仿宋_GB2312" w:cs="Times New Roman"/>
          <w:color w:val="auto"/>
          <w:sz w:val="32"/>
          <w:szCs w:val="32"/>
          <w:highlight w:val="none"/>
          <w:lang w:val="en-US" w:eastAsia="zh-CN"/>
        </w:rPr>
        <w:t>高于“十四五”时期实际水平</w:t>
      </w:r>
      <w:r>
        <w:rPr>
          <w:rFonts w:hint="eastAsia" w:ascii="仿宋_GB2312" w:hAnsi="Calibri" w:eastAsia="仿宋_GB2312" w:cs="宋体"/>
          <w:b w:val="0"/>
          <w:bCs w:val="0"/>
          <w:color w:val="auto"/>
          <w:kern w:val="2"/>
          <w:sz w:val="32"/>
          <w:szCs w:val="32"/>
          <w:highlight w:val="none"/>
          <w:lang w:val="en-US" w:eastAsia="zh-CN" w:bidi="ar-SA"/>
        </w:rPr>
        <w:t>。创新平台建设取得新突破，与柳州主城区及粤港澳大湾区等创新资源富集区的合作深化。高新技术企业、科技型中小企业数量大幅增加，积极培育瞪羚企业和创新型领军企业。科技成果转化应用能力明显提升，人才集聚效应更加显现，成为柳州创新体系的重要支点。</w:t>
      </w:r>
    </w:p>
    <w:p w14:paraId="51FE5C76">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rPr>
          <w:rFonts w:hint="eastAsia" w:ascii="仿宋_GB2312" w:hAnsi="Calibri" w:eastAsia="仿宋_GB2312" w:cs="宋体"/>
          <w:b w:val="0"/>
          <w:bCs w:val="0"/>
          <w:color w:val="auto"/>
          <w:kern w:val="2"/>
          <w:sz w:val="32"/>
          <w:szCs w:val="32"/>
          <w:highlight w:val="none"/>
          <w:lang w:val="en-US" w:eastAsia="zh-CN" w:bidi="ar-SA"/>
        </w:rPr>
      </w:pPr>
      <w:r>
        <w:rPr>
          <w:rFonts w:hint="eastAsia" w:ascii="仿宋_GB2312" w:eastAsia="仿宋_GB2312"/>
          <w:b/>
          <w:bCs/>
          <w:color w:val="auto"/>
          <w:sz w:val="32"/>
          <w:szCs w:val="32"/>
          <w:highlight w:val="none"/>
          <w:lang w:eastAsia="zh-CN"/>
        </w:rPr>
        <w:t>——</w:t>
      </w:r>
      <w:r>
        <w:rPr>
          <w:rFonts w:hint="eastAsia" w:ascii="仿宋_GB2312" w:hAnsi="Calibri" w:eastAsia="仿宋_GB2312" w:cs="宋体"/>
          <w:b/>
          <w:bCs/>
          <w:color w:val="auto"/>
          <w:kern w:val="2"/>
          <w:sz w:val="32"/>
          <w:szCs w:val="32"/>
          <w:highlight w:val="none"/>
          <w:lang w:val="en-US" w:eastAsia="zh-CN" w:bidi="ar-SA"/>
        </w:rPr>
        <w:t>城乡融合发展</w:t>
      </w:r>
      <w:r>
        <w:rPr>
          <w:rFonts w:hint="eastAsia" w:ascii="仿宋_GB2312" w:hAnsi="仿宋_GB2312" w:eastAsia="仿宋_GB2312" w:cs="仿宋_GB2312"/>
          <w:b/>
          <w:bCs/>
          <w:i w:val="0"/>
          <w:iCs w:val="0"/>
          <w:caps w:val="0"/>
          <w:color w:val="auto"/>
          <w:spacing w:val="-2"/>
          <w:sz w:val="32"/>
          <w:szCs w:val="32"/>
          <w:highlight w:val="none"/>
          <w:shd w:val="clear" w:color="auto" w:fill="FFFFFF"/>
          <w:lang w:eastAsia="zh-CN"/>
        </w:rPr>
        <w:t>进一步</w:t>
      </w:r>
      <w:r>
        <w:rPr>
          <w:rFonts w:hint="eastAsia" w:ascii="仿宋_GB2312" w:hAnsi="仿宋_GB2312" w:eastAsia="仿宋_GB2312" w:cs="仿宋_GB2312"/>
          <w:b/>
          <w:bCs/>
          <w:i w:val="0"/>
          <w:iCs w:val="0"/>
          <w:caps w:val="0"/>
          <w:color w:val="auto"/>
          <w:spacing w:val="-2"/>
          <w:sz w:val="32"/>
          <w:szCs w:val="32"/>
          <w:highlight w:val="none"/>
          <w:shd w:val="clear" w:color="auto" w:fill="FFFFFF"/>
        </w:rPr>
        <w:t>深化</w:t>
      </w:r>
      <w:r>
        <w:rPr>
          <w:rFonts w:hint="eastAsia" w:ascii="仿宋_GB2312" w:eastAsia="仿宋_GB2312"/>
          <w:b/>
          <w:bCs/>
          <w:color w:val="auto"/>
          <w:sz w:val="32"/>
          <w:szCs w:val="32"/>
          <w:highlight w:val="none"/>
          <w:lang w:eastAsia="zh-CN"/>
        </w:rPr>
        <w:t>。</w:t>
      </w:r>
      <w:r>
        <w:rPr>
          <w:rFonts w:hint="eastAsia" w:ascii="仿宋_GB2312" w:eastAsia="仿宋_GB2312"/>
          <w:b w:val="0"/>
          <w:bCs w:val="0"/>
          <w:color w:val="auto"/>
          <w:sz w:val="32"/>
          <w:szCs w:val="32"/>
          <w:highlight w:val="none"/>
          <w:lang w:eastAsia="zh-CN"/>
        </w:rPr>
        <w:t>坚持“全面融柳促同城，城乡一体共发展”的路径，</w:t>
      </w:r>
      <w:r>
        <w:rPr>
          <w:rFonts w:hint="eastAsia" w:ascii="仿宋_GB2312" w:hAnsi="Calibri" w:eastAsia="仿宋_GB2312" w:cs="宋体"/>
          <w:b w:val="0"/>
          <w:bCs w:val="0"/>
          <w:color w:val="auto"/>
          <w:kern w:val="2"/>
          <w:sz w:val="32"/>
          <w:szCs w:val="32"/>
          <w:highlight w:val="none"/>
          <w:lang w:val="en-US" w:eastAsia="zh-CN" w:bidi="ar-SA"/>
        </w:rPr>
        <w:t>积极融入柳州发展格局，强化与柳州主城区的同城化发展。</w:t>
      </w:r>
      <w:r>
        <w:rPr>
          <w:rFonts w:hint="eastAsia" w:ascii="仿宋_GB2312" w:eastAsia="仿宋_GB2312" w:cs="宋体"/>
          <w:b w:val="0"/>
          <w:bCs w:val="0"/>
          <w:color w:val="auto"/>
          <w:kern w:val="2"/>
          <w:sz w:val="32"/>
          <w:szCs w:val="32"/>
          <w:highlight w:val="none"/>
          <w:lang w:val="en-US" w:eastAsia="zh-CN" w:bidi="ar-SA"/>
        </w:rPr>
        <w:t>城市</w:t>
      </w:r>
      <w:r>
        <w:rPr>
          <w:rFonts w:hint="eastAsia" w:ascii="仿宋_GB2312" w:hAnsi="Calibri" w:eastAsia="仿宋_GB2312" w:cs="宋体"/>
          <w:b w:val="0"/>
          <w:bCs w:val="0"/>
          <w:color w:val="auto"/>
          <w:kern w:val="2"/>
          <w:sz w:val="32"/>
          <w:szCs w:val="32"/>
          <w:highlight w:val="none"/>
          <w:lang w:val="en-US" w:eastAsia="zh-CN" w:bidi="ar-SA"/>
        </w:rPr>
        <w:t>基础设施更加完善，综合承载能力和精细化管理水平显著提高，城市特色风貌更加彰显。乡村振兴全面推进，农业农村现代化取得重要进展，以产业发展推动乡村振兴效果显著，乡村产业兴旺、生态宜居、乡风文明、治理有效、生活富裕的目标基本实现。城乡交通、水利、能源及新型基础设施持续优化，基础设施一体化和基本公共服务均等化水平明显提高，共同富裕取得实质性进展。</w:t>
      </w:r>
    </w:p>
    <w:p w14:paraId="1E205246">
      <w:pPr>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jc w:val="both"/>
        <w:rPr>
          <w:rFonts w:hint="eastAsia" w:ascii="仿宋_GB2312" w:hAnsi="Calibri" w:eastAsia="仿宋_GB2312" w:cs="宋体"/>
          <w:b w:val="0"/>
          <w:bCs w:val="0"/>
          <w:color w:val="auto"/>
          <w:kern w:val="2"/>
          <w:sz w:val="32"/>
          <w:szCs w:val="32"/>
          <w:highlight w:val="none"/>
          <w:lang w:val="en-US" w:eastAsia="zh-CN" w:bidi="ar-SA"/>
        </w:rPr>
      </w:pPr>
      <w:r>
        <w:rPr>
          <w:rFonts w:hint="eastAsia" w:ascii="仿宋_GB2312" w:eastAsia="仿宋_GB2312" w:cs="宋体"/>
          <w:b/>
          <w:bCs/>
          <w:color w:val="auto"/>
          <w:kern w:val="2"/>
          <w:sz w:val="32"/>
          <w:szCs w:val="32"/>
          <w:highlight w:val="none"/>
          <w:lang w:val="en-US" w:eastAsia="zh-CN" w:bidi="ar-SA"/>
        </w:rPr>
        <w:t>——</w:t>
      </w:r>
      <w:r>
        <w:rPr>
          <w:rFonts w:hint="eastAsia" w:ascii="仿宋_GB2312" w:hAnsi="Calibri" w:eastAsia="仿宋_GB2312" w:cs="宋体"/>
          <w:b/>
          <w:bCs/>
          <w:color w:val="auto"/>
          <w:kern w:val="2"/>
          <w:sz w:val="32"/>
          <w:szCs w:val="32"/>
          <w:highlight w:val="none"/>
          <w:lang w:val="en-US" w:eastAsia="zh-CN" w:bidi="ar-SA"/>
        </w:rPr>
        <w:t>社会文明程度</w:t>
      </w:r>
      <w:r>
        <w:rPr>
          <w:rFonts w:hint="eastAsia" w:ascii="仿宋_GB2312" w:eastAsia="仿宋_GB2312" w:cs="宋体"/>
          <w:b/>
          <w:bCs/>
          <w:color w:val="auto"/>
          <w:kern w:val="2"/>
          <w:sz w:val="32"/>
          <w:szCs w:val="32"/>
          <w:highlight w:val="none"/>
          <w:lang w:val="en-US" w:eastAsia="zh-CN" w:bidi="ar-SA"/>
        </w:rPr>
        <w:t>明显</w:t>
      </w:r>
      <w:r>
        <w:rPr>
          <w:rFonts w:hint="eastAsia" w:ascii="仿宋_GB2312" w:hAnsi="Calibri" w:eastAsia="仿宋_GB2312" w:cs="宋体"/>
          <w:b/>
          <w:bCs/>
          <w:color w:val="auto"/>
          <w:kern w:val="2"/>
          <w:sz w:val="32"/>
          <w:szCs w:val="32"/>
          <w:highlight w:val="none"/>
          <w:lang w:val="en-US" w:eastAsia="zh-CN" w:bidi="ar-SA"/>
        </w:rPr>
        <w:t>提升</w:t>
      </w:r>
      <w:r>
        <w:rPr>
          <w:rFonts w:hint="eastAsia" w:ascii="仿宋_GB2312" w:hAnsi="Calibri" w:eastAsia="仿宋_GB2312" w:cs="宋体"/>
          <w:b w:val="0"/>
          <w:bCs w:val="0"/>
          <w:color w:val="auto"/>
          <w:kern w:val="2"/>
          <w:sz w:val="32"/>
          <w:szCs w:val="32"/>
          <w:highlight w:val="none"/>
          <w:lang w:val="en-US" w:eastAsia="zh-CN" w:bidi="ar-SA"/>
        </w:rPr>
        <w:t>。</w:t>
      </w:r>
      <w:r>
        <w:rPr>
          <w:rFonts w:hint="eastAsia" w:ascii="仿宋_GB2312" w:eastAsia="仿宋_GB2312" w:cs="宋体"/>
          <w:b w:val="0"/>
          <w:bCs w:val="0"/>
          <w:color w:val="auto"/>
          <w:kern w:val="2"/>
          <w:sz w:val="32"/>
          <w:szCs w:val="32"/>
          <w:highlight w:val="none"/>
          <w:lang w:val="en-US" w:eastAsia="zh-CN" w:bidi="ar-SA"/>
        </w:rPr>
        <w:t>以“文化铸魂兴鹿寨，文明提质润民心”为指引，</w:t>
      </w:r>
      <w:r>
        <w:rPr>
          <w:rFonts w:hint="eastAsia" w:ascii="仿宋_GB2312" w:hAnsi="Calibri" w:eastAsia="仿宋_GB2312" w:cs="宋体"/>
          <w:b w:val="0"/>
          <w:bCs w:val="0"/>
          <w:color w:val="auto"/>
          <w:kern w:val="2"/>
          <w:sz w:val="32"/>
          <w:szCs w:val="32"/>
          <w:highlight w:val="none"/>
          <w:lang w:val="en-US" w:eastAsia="zh-CN" w:bidi="ar-SA"/>
        </w:rPr>
        <w:t>充分挖掘与活化鹿寨特色文化资源，加强文化遗产系统性保护和创新利用，推动文化</w:t>
      </w:r>
      <w:r>
        <w:rPr>
          <w:rFonts w:hint="eastAsia" w:ascii="仿宋_GB2312" w:eastAsia="仿宋_GB2312" w:cs="宋体"/>
          <w:b w:val="0"/>
          <w:bCs w:val="0"/>
          <w:color w:val="auto"/>
          <w:kern w:val="2"/>
          <w:sz w:val="32"/>
          <w:szCs w:val="32"/>
          <w:highlight w:val="none"/>
          <w:lang w:val="en-US" w:eastAsia="zh-CN" w:bidi="ar-SA"/>
        </w:rPr>
        <w:t>和</w:t>
      </w:r>
      <w:r>
        <w:rPr>
          <w:rFonts w:hint="eastAsia" w:ascii="仿宋_GB2312" w:hAnsi="Calibri" w:eastAsia="仿宋_GB2312" w:cs="宋体"/>
          <w:b w:val="0"/>
          <w:bCs w:val="0"/>
          <w:color w:val="auto"/>
          <w:kern w:val="2"/>
          <w:sz w:val="32"/>
          <w:szCs w:val="32"/>
          <w:highlight w:val="none"/>
          <w:lang w:val="en-US" w:eastAsia="zh-CN" w:bidi="ar-SA"/>
        </w:rPr>
        <w:t>旅游、创意产业深度融合。现代公共文化服务体系更加完善，城乡公共文化服务提质增效，人民精神文化生活日益丰富。文化创新创造活力持续激发，本土文化影响力不断增强，市民文化认同感和自豪感显著提升，基本建成人文气息浓郁、文化特色鲜明、文明程度领先的宜居宜业之城。社会文明程度显著提高，文化自信更加坚定，社会主义核心价值观深入人心。</w:t>
      </w:r>
    </w:p>
    <w:p w14:paraId="4D808CDF">
      <w:pPr>
        <w:spacing w:line="560" w:lineRule="exact"/>
        <w:ind w:firstLine="643" w:firstLineChars="200"/>
        <w:rPr>
          <w:rFonts w:hint="eastAsia" w:ascii="Times New Roman" w:hAnsi="Times New Roman" w:eastAsia="仿宋_GB2312" w:cs="Times New Roman"/>
          <w:color w:val="auto"/>
          <w:sz w:val="32"/>
          <w:szCs w:val="32"/>
          <w:highlight w:val="none"/>
          <w:lang w:eastAsia="zh-CN"/>
        </w:rPr>
      </w:pPr>
      <w:r>
        <w:rPr>
          <w:rFonts w:hint="eastAsia" w:ascii="仿宋_GB2312" w:eastAsia="仿宋_GB2312"/>
          <w:b/>
          <w:bCs/>
          <w:color w:val="auto"/>
          <w:sz w:val="32"/>
          <w:szCs w:val="32"/>
          <w:highlight w:val="none"/>
          <w:lang w:val="en-US" w:eastAsia="zh-CN"/>
        </w:rPr>
        <w:t>——人民生活</w:t>
      </w:r>
      <w:r>
        <w:rPr>
          <w:rFonts w:hint="eastAsia" w:ascii="仿宋_GB2312" w:hAnsi="仿宋_GB2312" w:eastAsia="仿宋_GB2312" w:cs="仿宋_GB2312"/>
          <w:b/>
          <w:bCs/>
          <w:color w:val="auto"/>
          <w:sz w:val="32"/>
          <w:szCs w:val="32"/>
          <w:highlight w:val="none"/>
          <w:lang w:eastAsia="zh-CN"/>
        </w:rPr>
        <w:t>品质稳步提高</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聚焦“民生提质优服务，幸福鹿寨惠民生”，推动</w:t>
      </w:r>
      <w:r>
        <w:rPr>
          <w:rFonts w:hint="eastAsia" w:ascii="Times New Roman" w:hAnsi="Times New Roman" w:eastAsia="仿宋_GB2312" w:cs="Times New Roman"/>
          <w:color w:val="auto"/>
          <w:kern w:val="2"/>
          <w:sz w:val="32"/>
          <w:szCs w:val="22"/>
          <w:highlight w:val="none"/>
          <w:lang w:val="en-US" w:eastAsia="zh-CN" w:bidi="ar-SA"/>
        </w:rPr>
        <w:t>城乡居民人均可支配收入增长与经济增长基本同步，收入差距逐步缩小。实现更加充分更高质量就业，教育、医疗、养老、社保、住房等公共服务体系更加健全，基本公共服务可及性和均等化水平明显提升，人民群众的获得感、幸福感、安全感持续增强。法治鹿寨、平安鹿寨建设不断深化，社会治理效能显著提升，突发公共事件应急能力和自然灾害防御能力明显增强，人民群众安全感满意度保持高位。</w:t>
      </w:r>
    </w:p>
    <w:p w14:paraId="341ED598">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rPr>
          <w:rFonts w:hint="eastAsia" w:ascii="仿宋_GB2312" w:eastAsia="仿宋_GB2312"/>
          <w:color w:val="auto"/>
          <w:sz w:val="32"/>
          <w:szCs w:val="32"/>
          <w:highlight w:val="none"/>
          <w:lang w:eastAsia="zh-CN"/>
        </w:rPr>
      </w:pPr>
      <w:r>
        <w:rPr>
          <w:rFonts w:hint="eastAsia" w:ascii="仿宋_GB2312" w:eastAsia="仿宋_GB2312"/>
          <w:b/>
          <w:bCs/>
          <w:color w:val="auto"/>
          <w:sz w:val="32"/>
          <w:szCs w:val="32"/>
          <w:highlight w:val="none"/>
          <w:lang w:val="en-US" w:eastAsia="zh-CN"/>
        </w:rPr>
        <w:t>——绿色</w:t>
      </w:r>
      <w:r>
        <w:rPr>
          <w:rFonts w:hint="eastAsia" w:ascii="仿宋_GB2312" w:hAnsi="仿宋_GB2312" w:eastAsia="仿宋_GB2312" w:cs="仿宋_GB2312"/>
          <w:b/>
          <w:bCs/>
          <w:i w:val="0"/>
          <w:iCs/>
          <w:color w:val="auto"/>
          <w:sz w:val="32"/>
          <w:szCs w:val="32"/>
          <w:highlight w:val="none"/>
          <w:lang w:eastAsia="zh-CN"/>
        </w:rPr>
        <w:t>低碳转型步伐加快</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秉持“绿色转型守底线，生态鹿寨绘底色”，</w:t>
      </w:r>
      <w:r>
        <w:rPr>
          <w:rFonts w:hint="eastAsia" w:ascii="仿宋_GB2312" w:hAnsi="Calibri" w:eastAsia="仿宋_GB2312" w:cs="宋体"/>
          <w:b w:val="0"/>
          <w:bCs w:val="0"/>
          <w:color w:val="auto"/>
          <w:kern w:val="2"/>
          <w:sz w:val="32"/>
          <w:szCs w:val="32"/>
          <w:highlight w:val="none"/>
          <w:lang w:val="en-US" w:eastAsia="zh-CN" w:bidi="ar-SA"/>
        </w:rPr>
        <w:t>协同柳州推进生态文明建设，守护好“山清水秀生态美”的底色。绿色低碳转型加快，产业绿色化改造、能源结构优化持续推进。生产生活方式绿色转型成效显著，能源资源配置更加合理、利用效率大幅提升，主要污染物排放总量持续减少，单位生产总值能耗和二氧化碳排放完成柳州市下达目标。生态环境持续改善，空气质量、水环境质量稳定达标，土壤环境风险得到有效管控，森林覆盖率保持稳定，生态系统服务功能不断增强，城乡人居环境更加优美。</w:t>
      </w:r>
    </w:p>
    <w:p w14:paraId="574D44B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eastAsia="zh-CN"/>
        </w:rPr>
        <w:t>——</w:t>
      </w:r>
      <w:r>
        <w:rPr>
          <w:rFonts w:hint="eastAsia" w:ascii="仿宋_GB2312" w:eastAsia="仿宋_GB2312"/>
          <w:b/>
          <w:bCs/>
          <w:color w:val="auto"/>
          <w:sz w:val="32"/>
          <w:szCs w:val="32"/>
          <w:highlight w:val="none"/>
        </w:rPr>
        <w:t>改革开放</w:t>
      </w:r>
      <w:r>
        <w:rPr>
          <w:rFonts w:hint="eastAsia" w:ascii="仿宋_GB2312" w:eastAsia="仿宋_GB2312"/>
          <w:b/>
          <w:bCs/>
          <w:color w:val="auto"/>
          <w:sz w:val="32"/>
          <w:szCs w:val="32"/>
          <w:highlight w:val="none"/>
          <w:lang w:val="en-US" w:eastAsia="zh-CN"/>
        </w:rPr>
        <w:t>更加深入</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以“改革赋能优环境，开放融柳拓格局”为驱动，</w:t>
      </w:r>
      <w:r>
        <w:rPr>
          <w:rFonts w:hint="eastAsia" w:ascii="仿宋_GB2312" w:hAnsi="Calibri" w:eastAsia="仿宋_GB2312" w:cs="宋体"/>
          <w:color w:val="auto"/>
          <w:kern w:val="2"/>
          <w:sz w:val="32"/>
          <w:szCs w:val="32"/>
          <w:highlight w:val="none"/>
          <w:lang w:val="en-US" w:eastAsia="zh-CN" w:bidi="ar-SA"/>
        </w:rPr>
        <w:t>深度融入柳州高水平开放格局，积极链接中国（广西）自由贸易试验区柳州联动创新区、国家级经济技术开发区等高能级开放平台。重要领域和关键环节改革取得决定性成果，现代市场体系日趋完善，资源配置的市场化机制进一步健全。营商环境显著提升，“法治、智慧、服务”政府基本形成，政府公信力和执行力明显提高。开放型经济规模持续扩大，对外贸易结构不断优化，利用外资质量和水平明显提升，对外合作</w:t>
      </w:r>
      <w:r>
        <w:rPr>
          <w:rFonts w:hint="eastAsia" w:ascii="仿宋_GB2312" w:eastAsia="仿宋_GB2312" w:cs="宋体"/>
          <w:color w:val="auto"/>
          <w:kern w:val="2"/>
          <w:sz w:val="32"/>
          <w:szCs w:val="32"/>
          <w:highlight w:val="none"/>
          <w:lang w:val="en-US" w:eastAsia="zh-CN" w:bidi="ar-SA"/>
        </w:rPr>
        <w:t>加快</w:t>
      </w:r>
      <w:r>
        <w:rPr>
          <w:rFonts w:hint="eastAsia" w:ascii="仿宋_GB2312" w:hAnsi="Calibri" w:eastAsia="仿宋_GB2312" w:cs="宋体"/>
          <w:color w:val="auto"/>
          <w:kern w:val="2"/>
          <w:sz w:val="32"/>
          <w:szCs w:val="32"/>
          <w:highlight w:val="none"/>
          <w:lang w:val="en-US" w:eastAsia="zh-CN" w:bidi="ar-SA"/>
        </w:rPr>
        <w:t>推进。</w:t>
      </w:r>
    </w:p>
    <w:p w14:paraId="065B205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Calibri" w:eastAsia="仿宋_GB2312" w:cs="宋体"/>
          <w:color w:val="auto"/>
          <w:kern w:val="2"/>
          <w:sz w:val="32"/>
          <w:szCs w:val="32"/>
          <w:highlight w:val="none"/>
          <w:lang w:val="en-US" w:eastAsia="zh-CN" w:bidi="ar-SA"/>
        </w:rPr>
      </w:pPr>
      <w:r>
        <w:rPr>
          <w:rFonts w:hint="eastAsia" w:ascii="仿宋_GB2312" w:eastAsia="仿宋_GB2312"/>
          <w:b/>
          <w:bCs/>
          <w:color w:val="auto"/>
          <w:sz w:val="32"/>
          <w:szCs w:val="32"/>
          <w:highlight w:val="none"/>
          <w:lang w:eastAsia="zh-CN"/>
        </w:rPr>
        <w:t>——社会治理更加高效</w:t>
      </w:r>
      <w:r>
        <w:rPr>
          <w:rFonts w:hint="eastAsia" w:ascii="仿宋_GB2312" w:eastAsia="仿宋_GB2312"/>
          <w:b/>
          <w:bCs/>
          <w:color w:val="auto"/>
          <w:sz w:val="32"/>
          <w:szCs w:val="32"/>
          <w:highlight w:val="none"/>
        </w:rPr>
        <w:t>。</w:t>
      </w:r>
      <w:bookmarkStart w:id="92" w:name="_Toc23763"/>
      <w:bookmarkStart w:id="93" w:name="_Toc13072"/>
      <w:bookmarkStart w:id="94" w:name="_Toc21472"/>
      <w:r>
        <w:rPr>
          <w:rFonts w:hint="eastAsia" w:ascii="仿宋_GB2312" w:eastAsia="仿宋_GB2312"/>
          <w:b w:val="0"/>
          <w:bCs w:val="0"/>
          <w:color w:val="auto"/>
          <w:sz w:val="32"/>
          <w:szCs w:val="32"/>
          <w:highlight w:val="none"/>
          <w:lang w:eastAsia="zh-CN"/>
        </w:rPr>
        <w:t>坚持“数字赋能精治理，平安法治稳社会”的方略，</w:t>
      </w:r>
      <w:r>
        <w:rPr>
          <w:rFonts w:hint="eastAsia" w:ascii="仿宋_GB2312" w:hAnsi="Calibri" w:eastAsia="仿宋_GB2312" w:cs="宋体"/>
          <w:color w:val="auto"/>
          <w:kern w:val="2"/>
          <w:sz w:val="32"/>
          <w:szCs w:val="32"/>
          <w:highlight w:val="none"/>
          <w:lang w:val="en-US" w:eastAsia="zh-CN" w:bidi="ar-SA"/>
        </w:rPr>
        <w:t>全面加强民主法治建设，法治政府建设取得新成效，司法公信力持续提升。基层治理效能增强，党组织领导的自治、法治、德治相结合的城乡基层治理体系更加完善，数字技术赋能社会治理效果显著。防范化解重大风险体制机制不断健全，安全生产、应急管理、网络安全等重点领域风险防控能力明显提升，发展安全保障更加有力。</w:t>
      </w:r>
    </w:p>
    <w:p w14:paraId="478D25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snapToGrid w:val="0"/>
          <w:color w:val="auto"/>
          <w:spacing w:val="6"/>
          <w:kern w:val="0"/>
          <w:sz w:val="32"/>
          <w:szCs w:val="32"/>
          <w:highlight w:val="none"/>
        </w:rPr>
      </w:pPr>
      <w:r>
        <w:rPr>
          <w:rFonts w:hint="eastAsia" w:ascii="Times New Roman" w:hAnsi="Times New Roman" w:eastAsia="仿宋_GB2312"/>
          <w:snapToGrid w:val="0"/>
          <w:color w:val="auto"/>
          <w:kern w:val="0"/>
          <w:sz w:val="32"/>
          <w:szCs w:val="32"/>
          <w:highlight w:val="none"/>
        </w:rPr>
        <w:t>在</w:t>
      </w:r>
      <w:r>
        <w:rPr>
          <w:rFonts w:hint="eastAsia" w:ascii="Times New Roman" w:hAnsi="Times New Roman" w:eastAsia="仿宋_GB2312"/>
          <w:snapToGrid w:val="0"/>
          <w:color w:val="auto"/>
          <w:kern w:val="0"/>
          <w:sz w:val="32"/>
          <w:szCs w:val="32"/>
          <w:highlight w:val="none"/>
          <w:lang w:eastAsia="zh-CN"/>
        </w:rPr>
        <w:t>“</w:t>
      </w:r>
      <w:r>
        <w:rPr>
          <w:rFonts w:hint="eastAsia" w:ascii="仿宋_GB2312" w:eastAsia="仿宋_GB2312"/>
          <w:b w:val="0"/>
          <w:bCs w:val="0"/>
          <w:color w:val="auto"/>
          <w:sz w:val="32"/>
          <w:szCs w:val="32"/>
          <w:highlight w:val="none"/>
          <w:lang w:eastAsia="zh-CN"/>
        </w:rPr>
        <w:t>十五五</w:t>
      </w:r>
      <w:r>
        <w:rPr>
          <w:rFonts w:hint="eastAsia" w:ascii="Times New Roman" w:hAnsi="Times New Roman" w:eastAsia="仿宋_GB2312"/>
          <w:snapToGrid w:val="0"/>
          <w:color w:val="auto"/>
          <w:kern w:val="0"/>
          <w:sz w:val="32"/>
          <w:szCs w:val="32"/>
          <w:highlight w:val="none"/>
          <w:lang w:eastAsia="zh-CN"/>
        </w:rPr>
        <w:t>”</w:t>
      </w:r>
      <w:r>
        <w:rPr>
          <w:rFonts w:hint="eastAsia" w:ascii="Times New Roman" w:hAnsi="Times New Roman" w:eastAsia="仿宋_GB2312"/>
          <w:snapToGrid w:val="0"/>
          <w:color w:val="auto"/>
          <w:kern w:val="0"/>
          <w:sz w:val="32"/>
          <w:szCs w:val="32"/>
          <w:highlight w:val="none"/>
        </w:rPr>
        <w:t>基础上再奋斗五年，到</w:t>
      </w:r>
      <w:r>
        <w:rPr>
          <w:rFonts w:hint="eastAsia" w:ascii="Times New Roman" w:hAnsi="Times New Roman" w:eastAsia="仿宋_GB2312"/>
          <w:snapToGrid w:val="0"/>
          <w:color w:val="auto"/>
          <w:kern w:val="0"/>
          <w:sz w:val="32"/>
          <w:szCs w:val="32"/>
          <w:highlight w:val="none"/>
          <w:lang w:val="en-US" w:eastAsia="zh-CN"/>
        </w:rPr>
        <w:t>2035</w:t>
      </w:r>
      <w:r>
        <w:rPr>
          <w:rFonts w:hint="eastAsia" w:ascii="Times New Roman" w:hAnsi="Times New Roman" w:eastAsia="仿宋_GB2312"/>
          <w:snapToGrid w:val="0"/>
          <w:color w:val="auto"/>
          <w:kern w:val="0"/>
          <w:sz w:val="32"/>
          <w:szCs w:val="32"/>
          <w:highlight w:val="none"/>
        </w:rPr>
        <w:t>年</w:t>
      </w:r>
      <w:r>
        <w:rPr>
          <w:rFonts w:hint="eastAsia" w:ascii="Times New Roman" w:hAnsi="Times New Roman" w:eastAsia="仿宋_GB2312"/>
          <w:snapToGrid w:val="0"/>
          <w:color w:val="auto"/>
          <w:kern w:val="0"/>
          <w:sz w:val="32"/>
          <w:szCs w:val="32"/>
          <w:highlight w:val="none"/>
          <w:lang w:eastAsia="zh-CN"/>
        </w:rPr>
        <w:t>鹿寨</w:t>
      </w:r>
      <w:r>
        <w:rPr>
          <w:rFonts w:hint="eastAsia" w:ascii="Times New Roman" w:hAnsi="Times New Roman" w:eastAsia="仿宋_GB2312"/>
          <w:snapToGrid w:val="0"/>
          <w:color w:val="auto"/>
          <w:kern w:val="0"/>
          <w:sz w:val="32"/>
          <w:szCs w:val="32"/>
          <w:highlight w:val="none"/>
        </w:rPr>
        <w:t>经济实力、科技</w:t>
      </w:r>
      <w:r>
        <w:rPr>
          <w:rFonts w:hint="eastAsia" w:ascii="Times New Roman" w:hAnsi="Times New Roman" w:eastAsia="仿宋_GB2312"/>
          <w:snapToGrid w:val="0"/>
          <w:color w:val="auto"/>
          <w:kern w:val="0"/>
          <w:sz w:val="32"/>
          <w:szCs w:val="32"/>
          <w:highlight w:val="none"/>
          <w:lang w:val="en-US" w:eastAsia="zh-CN"/>
        </w:rPr>
        <w:t>实力</w:t>
      </w:r>
      <w:r>
        <w:rPr>
          <w:rFonts w:hint="eastAsia" w:ascii="Times New Roman" w:hAnsi="Times New Roman" w:eastAsia="仿宋_GB2312"/>
          <w:snapToGrid w:val="0"/>
          <w:color w:val="auto"/>
          <w:kern w:val="0"/>
          <w:sz w:val="32"/>
          <w:szCs w:val="32"/>
          <w:highlight w:val="none"/>
        </w:rPr>
        <w:t>、综合实力大幅跃升，经济总量、人均地区生产总值和居民</w:t>
      </w:r>
      <w:r>
        <w:rPr>
          <w:rFonts w:hint="eastAsia" w:ascii="Times New Roman" w:hAnsi="Times New Roman" w:eastAsia="仿宋_GB2312"/>
          <w:snapToGrid w:val="0"/>
          <w:color w:val="auto"/>
          <w:kern w:val="0"/>
          <w:sz w:val="32"/>
          <w:szCs w:val="32"/>
          <w:highlight w:val="none"/>
          <w:lang w:val="en-US" w:eastAsia="zh-CN"/>
        </w:rPr>
        <w:t>人均可支配</w:t>
      </w:r>
      <w:r>
        <w:rPr>
          <w:rFonts w:hint="eastAsia" w:ascii="Times New Roman" w:hAnsi="Times New Roman" w:eastAsia="仿宋_GB2312"/>
          <w:snapToGrid w:val="0"/>
          <w:color w:val="auto"/>
          <w:kern w:val="0"/>
          <w:sz w:val="32"/>
          <w:szCs w:val="32"/>
          <w:highlight w:val="none"/>
        </w:rPr>
        <w:t>收入</w:t>
      </w:r>
      <w:r>
        <w:rPr>
          <w:rFonts w:hint="eastAsia" w:ascii="Times New Roman" w:hAnsi="Times New Roman" w:eastAsia="仿宋_GB2312"/>
          <w:snapToGrid w:val="0"/>
          <w:color w:val="auto"/>
          <w:kern w:val="0"/>
          <w:sz w:val="32"/>
          <w:szCs w:val="32"/>
          <w:highlight w:val="none"/>
          <w:lang w:eastAsia="zh-CN"/>
        </w:rPr>
        <w:t>再</w:t>
      </w:r>
      <w:r>
        <w:rPr>
          <w:rFonts w:hint="eastAsia" w:ascii="Times New Roman" w:hAnsi="Times New Roman" w:eastAsia="仿宋_GB2312"/>
          <w:snapToGrid w:val="0"/>
          <w:color w:val="auto"/>
          <w:kern w:val="0"/>
          <w:sz w:val="32"/>
          <w:szCs w:val="32"/>
          <w:highlight w:val="none"/>
        </w:rPr>
        <w:t>上新台阶，人民生活更加幸福美好，广西高质量发展先行</w:t>
      </w:r>
      <w:r>
        <w:rPr>
          <w:rFonts w:hint="eastAsia" w:ascii="Times New Roman" w:hAnsi="Times New Roman" w:eastAsia="仿宋_GB2312"/>
          <w:snapToGrid w:val="0"/>
          <w:color w:val="auto"/>
          <w:spacing w:val="6"/>
          <w:kern w:val="0"/>
          <w:sz w:val="32"/>
          <w:szCs w:val="32"/>
          <w:highlight w:val="none"/>
        </w:rPr>
        <w:t>区示范作用更加凸显，与全国同步基本实现社会主义现代化。</w:t>
      </w:r>
    </w:p>
    <w:p w14:paraId="27977CD3">
      <w:pPr>
        <w:pStyle w:val="27"/>
        <w:rPr>
          <w:rFonts w:hint="eastAsia"/>
          <w:color w:val="auto"/>
          <w:highlight w:val="none"/>
          <w:lang w:val="en-US" w:eastAsia="zh-CN"/>
        </w:rPr>
      </w:pPr>
    </w:p>
    <w:p w14:paraId="23505EAA">
      <w:pPr>
        <w:pStyle w:val="2"/>
        <w:bidi w:val="0"/>
        <w:jc w:val="center"/>
        <w:rPr>
          <w:rFonts w:hint="eastAsia"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表</w:t>
      </w:r>
      <w:r>
        <w:rPr>
          <w:rFonts w:hint="eastAsia" w:ascii="Times New Roman" w:hAnsi="Times New Roman" w:eastAsia="方正小标宋简体" w:cs="方正小标宋简体"/>
          <w:color w:val="auto"/>
          <w:sz w:val="28"/>
          <w:szCs w:val="28"/>
          <w:highlight w:val="none"/>
          <w:lang w:val="en-US" w:eastAsia="zh-CN"/>
        </w:rPr>
        <w:t>2</w:t>
      </w:r>
      <w:r>
        <w:rPr>
          <w:rFonts w:hint="eastAsia" w:ascii="方正小标宋简体" w:hAnsi="方正小标宋简体" w:eastAsia="方正小标宋简体" w:cs="方正小标宋简体"/>
          <w:color w:val="auto"/>
          <w:sz w:val="28"/>
          <w:szCs w:val="28"/>
          <w:highlight w:val="none"/>
          <w:lang w:val="en-US" w:eastAsia="zh-CN"/>
        </w:rPr>
        <w:t>-</w:t>
      </w:r>
      <w:r>
        <w:rPr>
          <w:rFonts w:hint="eastAsia" w:ascii="Times New Roman" w:hAnsi="Times New Roman" w:eastAsia="方正小标宋简体" w:cs="方正小标宋简体"/>
          <w:color w:val="auto"/>
          <w:sz w:val="28"/>
          <w:szCs w:val="28"/>
          <w:highlight w:val="none"/>
          <w:lang w:val="en-US" w:eastAsia="zh-CN"/>
        </w:rPr>
        <w:t>1</w:t>
      </w:r>
      <w:r>
        <w:rPr>
          <w:rFonts w:hint="eastAsia" w:ascii="方正小标宋简体" w:hAnsi="方正小标宋简体" w:eastAsia="方正小标宋简体" w:cs="方正小标宋简体"/>
          <w:color w:val="auto"/>
          <w:sz w:val="28"/>
          <w:szCs w:val="28"/>
          <w:highlight w:val="none"/>
          <w:lang w:val="en-US" w:eastAsia="zh-CN"/>
        </w:rPr>
        <w:t>：</w:t>
      </w:r>
      <w:r>
        <w:rPr>
          <w:rFonts w:hint="eastAsia" w:ascii="方正小标宋简体" w:hAnsi="方正小标宋简体" w:eastAsia="方正小标宋简体" w:cs="方正小标宋简体"/>
          <w:color w:val="auto"/>
          <w:sz w:val="28"/>
          <w:szCs w:val="28"/>
          <w:highlight w:val="none"/>
          <w:lang w:eastAsia="zh-CN"/>
        </w:rPr>
        <w:t>鹿寨县</w:t>
      </w:r>
      <w:r>
        <w:rPr>
          <w:rFonts w:hint="eastAsia" w:ascii="方正小标宋简体" w:hAnsi="方正小标宋简体" w:eastAsia="方正小标宋简体" w:cs="方正小标宋简体"/>
          <w:color w:val="auto"/>
          <w:sz w:val="28"/>
          <w:szCs w:val="28"/>
          <w:highlight w:val="none"/>
        </w:rPr>
        <w:t>“十五五”</w:t>
      </w:r>
      <w:r>
        <w:rPr>
          <w:rFonts w:hint="eastAsia" w:ascii="方正小标宋简体" w:hAnsi="方正小标宋简体" w:eastAsia="方正小标宋简体" w:cs="方正小标宋简体"/>
          <w:color w:val="auto"/>
          <w:sz w:val="28"/>
          <w:szCs w:val="28"/>
          <w:highlight w:val="none"/>
          <w:lang w:eastAsia="zh-CN"/>
        </w:rPr>
        <w:t>时期</w:t>
      </w:r>
      <w:r>
        <w:rPr>
          <w:rFonts w:hint="eastAsia" w:ascii="方正小标宋简体" w:hAnsi="方正小标宋简体" w:eastAsia="方正小标宋简体" w:cs="方正小标宋简体"/>
          <w:color w:val="auto"/>
          <w:sz w:val="28"/>
          <w:szCs w:val="28"/>
          <w:highlight w:val="none"/>
        </w:rPr>
        <w:t>经济社会发展目标和指标体系</w:t>
      </w:r>
      <w:bookmarkEnd w:id="92"/>
      <w:bookmarkEnd w:id="93"/>
      <w:bookmarkEnd w:id="94"/>
    </w:p>
    <w:tbl>
      <w:tblPr>
        <w:tblStyle w:val="21"/>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842"/>
        <w:gridCol w:w="510"/>
        <w:gridCol w:w="1276"/>
        <w:gridCol w:w="2414"/>
        <w:gridCol w:w="1601"/>
        <w:gridCol w:w="1189"/>
        <w:gridCol w:w="1126"/>
      </w:tblGrid>
      <w:tr w14:paraId="3065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7" w:hRule="atLeast"/>
          <w:tblHeader/>
          <w:jc w:val="center"/>
        </w:trPr>
        <w:tc>
          <w:tcPr>
            <w:tcW w:w="842" w:type="dxa"/>
            <w:vAlign w:val="center"/>
          </w:tcPr>
          <w:p w14:paraId="1CB882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bookmarkStart w:id="95" w:name="_Toc17504"/>
            <w:bookmarkStart w:id="96" w:name="_Toc19272"/>
            <w:bookmarkStart w:id="97" w:name="_Toc27355"/>
            <w:r>
              <w:rPr>
                <w:rFonts w:hint="eastAsia" w:ascii="仿宋_GB2312" w:hAnsi="仿宋_GB2312" w:eastAsia="仿宋_GB2312" w:cs="仿宋_GB2312"/>
                <w:b/>
                <w:bCs/>
                <w:color w:val="auto"/>
                <w:sz w:val="24"/>
                <w:szCs w:val="24"/>
                <w:highlight w:val="none"/>
              </w:rPr>
              <w:t>类别</w:t>
            </w:r>
          </w:p>
        </w:tc>
        <w:tc>
          <w:tcPr>
            <w:tcW w:w="510" w:type="dxa"/>
            <w:vAlign w:val="center"/>
          </w:tcPr>
          <w:p w14:paraId="68ECC9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3690" w:type="dxa"/>
            <w:gridSpan w:val="2"/>
            <w:vAlign w:val="center"/>
          </w:tcPr>
          <w:p w14:paraId="28895E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指标</w:t>
            </w:r>
          </w:p>
        </w:tc>
        <w:tc>
          <w:tcPr>
            <w:tcW w:w="1601" w:type="dxa"/>
            <w:vAlign w:val="center"/>
          </w:tcPr>
          <w:p w14:paraId="752FAC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Times New Roman" w:hAnsi="Times New Roman" w:eastAsia="仿宋_GB2312" w:cs="仿宋_GB2312"/>
                <w:b/>
                <w:bCs/>
                <w:color w:val="auto"/>
                <w:sz w:val="24"/>
                <w:szCs w:val="24"/>
                <w:highlight w:val="none"/>
              </w:rPr>
              <w:t>20</w:t>
            </w:r>
            <w:r>
              <w:rPr>
                <w:rFonts w:hint="eastAsia" w:ascii="Times New Roman" w:hAnsi="Times New Roman" w:eastAsia="仿宋_GB2312" w:cs="仿宋_GB2312"/>
                <w:b/>
                <w:bCs/>
                <w:color w:val="auto"/>
                <w:sz w:val="24"/>
                <w:szCs w:val="24"/>
                <w:highlight w:val="none"/>
                <w:lang w:val="en-US" w:eastAsia="zh-CN"/>
              </w:rPr>
              <w:t>30</w:t>
            </w:r>
            <w:r>
              <w:rPr>
                <w:rFonts w:hint="eastAsia" w:ascii="仿宋_GB2312" w:hAnsi="仿宋_GB2312" w:eastAsia="仿宋_GB2312" w:cs="仿宋_GB2312"/>
                <w:b/>
                <w:bCs/>
                <w:color w:val="auto"/>
                <w:sz w:val="24"/>
                <w:szCs w:val="24"/>
                <w:highlight w:val="none"/>
              </w:rPr>
              <w:t>年</w:t>
            </w:r>
          </w:p>
        </w:tc>
        <w:tc>
          <w:tcPr>
            <w:tcW w:w="1189" w:type="dxa"/>
            <w:vAlign w:val="center"/>
          </w:tcPr>
          <w:p w14:paraId="64A8651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rPr>
              <w:t>年均增长</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或五年</w:t>
            </w:r>
            <w:r>
              <w:rPr>
                <w:rFonts w:hint="eastAsia" w:ascii="仿宋_GB2312" w:hAnsi="仿宋_GB2312" w:eastAsia="仿宋_GB2312" w:cs="仿宋_GB2312"/>
                <w:b/>
                <w:bCs/>
                <w:color w:val="auto"/>
                <w:sz w:val="24"/>
                <w:szCs w:val="24"/>
                <w:highlight w:val="none"/>
              </w:rPr>
              <w:t>累计</w:t>
            </w:r>
          </w:p>
        </w:tc>
        <w:tc>
          <w:tcPr>
            <w:tcW w:w="1126" w:type="dxa"/>
            <w:vAlign w:val="center"/>
          </w:tcPr>
          <w:p w14:paraId="307A55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指标</w:t>
            </w:r>
          </w:p>
          <w:p w14:paraId="43D627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属性</w:t>
            </w:r>
          </w:p>
        </w:tc>
      </w:tr>
      <w:tr w14:paraId="5295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340" w:hRule="atLeast"/>
          <w:jc w:val="center"/>
        </w:trPr>
        <w:tc>
          <w:tcPr>
            <w:tcW w:w="842" w:type="dxa"/>
            <w:vMerge w:val="restart"/>
            <w:vAlign w:val="center"/>
          </w:tcPr>
          <w:p w14:paraId="5787E95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经济</w:t>
            </w:r>
          </w:p>
          <w:p w14:paraId="7A4390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发展</w:t>
            </w:r>
          </w:p>
        </w:tc>
        <w:tc>
          <w:tcPr>
            <w:tcW w:w="510" w:type="dxa"/>
            <w:vAlign w:val="center"/>
          </w:tcPr>
          <w:p w14:paraId="78501709">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3690" w:type="dxa"/>
            <w:gridSpan w:val="2"/>
            <w:vAlign w:val="center"/>
          </w:tcPr>
          <w:p w14:paraId="2185C810">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地区生产总值（</w:t>
            </w:r>
            <w:r>
              <w:rPr>
                <w:rFonts w:hint="eastAsia" w:ascii="Times New Roman" w:hAnsi="Times New Roman" w:eastAsia="仿宋_GB2312" w:cs="Times New Roman"/>
                <w:color w:val="auto"/>
                <w:sz w:val="24"/>
                <w:szCs w:val="24"/>
                <w:highlight w:val="none"/>
                <w:lang w:eastAsia="zh-CN"/>
              </w:rPr>
              <w:t>亿元</w:t>
            </w:r>
            <w:r>
              <w:rPr>
                <w:rFonts w:hint="default" w:ascii="Times New Roman" w:hAnsi="Times New Roman" w:eastAsia="仿宋_GB2312" w:cs="Times New Roman"/>
                <w:color w:val="auto"/>
                <w:sz w:val="24"/>
                <w:szCs w:val="24"/>
                <w:highlight w:val="none"/>
              </w:rPr>
              <w:t>）</w:t>
            </w:r>
          </w:p>
        </w:tc>
        <w:tc>
          <w:tcPr>
            <w:tcW w:w="1601" w:type="dxa"/>
            <w:vAlign w:val="center"/>
          </w:tcPr>
          <w:p w14:paraId="3CD7A4E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300</w:t>
            </w:r>
          </w:p>
        </w:tc>
        <w:tc>
          <w:tcPr>
            <w:tcW w:w="1189" w:type="dxa"/>
            <w:vAlign w:val="center"/>
          </w:tcPr>
          <w:p w14:paraId="6B2301A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&gt;5.5</w:t>
            </w:r>
          </w:p>
        </w:tc>
        <w:tc>
          <w:tcPr>
            <w:tcW w:w="1126" w:type="dxa"/>
            <w:vAlign w:val="center"/>
          </w:tcPr>
          <w:p w14:paraId="25A9DB6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7232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944" w:hRule="atLeast"/>
          <w:jc w:val="center"/>
        </w:trPr>
        <w:tc>
          <w:tcPr>
            <w:tcW w:w="842" w:type="dxa"/>
            <w:vMerge w:val="continue"/>
            <w:vAlign w:val="center"/>
          </w:tcPr>
          <w:p w14:paraId="6606949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A0456DC">
            <w:pPr>
              <w:keepNext w:val="0"/>
              <w:keepLines w:val="0"/>
              <w:pageBreakBefore w:val="0"/>
              <w:kinsoku/>
              <w:wordWrap/>
              <w:overflowPunct/>
              <w:topLinePunct w:val="0"/>
              <w:autoSpaceDE/>
              <w:autoSpaceDN/>
              <w:bidi w:val="0"/>
              <w:adjustRightInd/>
              <w:snapToGrid/>
              <w:spacing w:line="500" w:lineRule="exact"/>
              <w:jc w:val="center"/>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2</w:t>
            </w:r>
          </w:p>
        </w:tc>
        <w:tc>
          <w:tcPr>
            <w:tcW w:w="3690" w:type="dxa"/>
            <w:gridSpan w:val="2"/>
            <w:vAlign w:val="center"/>
          </w:tcPr>
          <w:p w14:paraId="474BDA7F">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规上</w:t>
            </w:r>
            <w:r>
              <w:rPr>
                <w:rFonts w:hint="default" w:ascii="Times New Roman" w:hAnsi="Times New Roman" w:eastAsia="仿宋_GB2312" w:cs="Times New Roman"/>
                <w:color w:val="auto"/>
                <w:sz w:val="24"/>
                <w:szCs w:val="24"/>
                <w:highlight w:val="none"/>
              </w:rPr>
              <w:t>工业总产值（亿元）</w:t>
            </w:r>
          </w:p>
        </w:tc>
        <w:tc>
          <w:tcPr>
            <w:tcW w:w="1601" w:type="dxa"/>
            <w:shd w:val="clear" w:color="auto" w:fill="auto"/>
            <w:vAlign w:val="center"/>
          </w:tcPr>
          <w:p w14:paraId="596C2D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4"/>
                <w:szCs w:val="24"/>
                <w:highlight w:val="none"/>
                <w:u w:val="none"/>
                <w:lang w:val="en-US" w:eastAsia="zh-CN"/>
              </w:rPr>
              <w:t>250</w:t>
            </w:r>
          </w:p>
        </w:tc>
        <w:tc>
          <w:tcPr>
            <w:tcW w:w="1189" w:type="dxa"/>
            <w:vAlign w:val="center"/>
          </w:tcPr>
          <w:p w14:paraId="1B1D77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rPr>
            </w:pPr>
            <w:r>
              <w:rPr>
                <w:rFonts w:hint="default" w:ascii="Times New Roman" w:hAnsi="Times New Roman" w:eastAsia="仿宋_GB2312" w:cs="Times New Roman"/>
                <w:color w:val="auto"/>
                <w:sz w:val="24"/>
                <w:szCs w:val="24"/>
                <w:highlight w:val="none"/>
                <w:lang w:val="en-US" w:eastAsia="zh-CN"/>
              </w:rPr>
              <w:t>&gt;</w:t>
            </w:r>
            <w:r>
              <w:rPr>
                <w:rFonts w:hint="eastAsia" w:ascii="Times New Roman" w:hAnsi="Times New Roman" w:eastAsia="仿宋_GB2312" w:cs="Times New Roman"/>
                <w:i w:val="0"/>
                <w:iCs w:val="0"/>
                <w:color w:val="auto"/>
                <w:kern w:val="0"/>
                <w:sz w:val="24"/>
                <w:szCs w:val="24"/>
                <w:highlight w:val="none"/>
                <w:u w:val="none"/>
                <w:lang w:val="en-US" w:eastAsia="zh-CN"/>
              </w:rPr>
              <w:t>8.1</w:t>
            </w:r>
          </w:p>
        </w:tc>
        <w:tc>
          <w:tcPr>
            <w:tcW w:w="1126" w:type="dxa"/>
            <w:vAlign w:val="center"/>
          </w:tcPr>
          <w:p w14:paraId="36360B5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2B5D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1002" w:hRule="atLeast"/>
          <w:jc w:val="center"/>
        </w:trPr>
        <w:tc>
          <w:tcPr>
            <w:tcW w:w="842" w:type="dxa"/>
            <w:vMerge w:val="continue"/>
            <w:vAlign w:val="center"/>
          </w:tcPr>
          <w:p w14:paraId="7F130BB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36A178A0">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3</w:t>
            </w:r>
          </w:p>
        </w:tc>
        <w:tc>
          <w:tcPr>
            <w:tcW w:w="3690" w:type="dxa"/>
            <w:gridSpan w:val="2"/>
            <w:vAlign w:val="center"/>
          </w:tcPr>
          <w:p w14:paraId="07FFFC06">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制造业增加值占地区生产总值比重（%）</w:t>
            </w:r>
          </w:p>
        </w:tc>
        <w:tc>
          <w:tcPr>
            <w:tcW w:w="1601" w:type="dxa"/>
            <w:shd w:val="clear" w:color="auto" w:fill="auto"/>
            <w:vAlign w:val="center"/>
          </w:tcPr>
          <w:p w14:paraId="779592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25.2</w:t>
            </w:r>
          </w:p>
        </w:tc>
        <w:tc>
          <w:tcPr>
            <w:tcW w:w="1189" w:type="dxa"/>
            <w:shd w:val="clear" w:color="auto" w:fill="auto"/>
            <w:vAlign w:val="center"/>
          </w:tcPr>
          <w:p w14:paraId="2D1A14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094B488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4F28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8" w:hRule="atLeast"/>
          <w:jc w:val="center"/>
        </w:trPr>
        <w:tc>
          <w:tcPr>
            <w:tcW w:w="842" w:type="dxa"/>
            <w:vMerge w:val="continue"/>
            <w:vAlign w:val="center"/>
          </w:tcPr>
          <w:p w14:paraId="5DC39D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15914D61">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4</w:t>
            </w:r>
          </w:p>
        </w:tc>
        <w:tc>
          <w:tcPr>
            <w:tcW w:w="3690" w:type="dxa"/>
            <w:gridSpan w:val="2"/>
            <w:vAlign w:val="center"/>
          </w:tcPr>
          <w:p w14:paraId="0C484AD0">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农产品加工业与农业总产值比</w:t>
            </w:r>
          </w:p>
        </w:tc>
        <w:tc>
          <w:tcPr>
            <w:tcW w:w="1601" w:type="dxa"/>
            <w:shd w:val="clear" w:color="auto" w:fill="auto"/>
            <w:vAlign w:val="center"/>
          </w:tcPr>
          <w:p w14:paraId="0500F2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2.9</w:t>
            </w:r>
          </w:p>
        </w:tc>
        <w:tc>
          <w:tcPr>
            <w:tcW w:w="1189" w:type="dxa"/>
            <w:vAlign w:val="center"/>
          </w:tcPr>
          <w:p w14:paraId="2C0BAE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6DF4CC3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71A6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24" w:hRule="atLeast"/>
          <w:jc w:val="center"/>
        </w:trPr>
        <w:tc>
          <w:tcPr>
            <w:tcW w:w="842" w:type="dxa"/>
            <w:vMerge w:val="continue"/>
            <w:vAlign w:val="center"/>
          </w:tcPr>
          <w:p w14:paraId="03B83C0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179588AE">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5</w:t>
            </w:r>
          </w:p>
        </w:tc>
        <w:tc>
          <w:tcPr>
            <w:tcW w:w="3690" w:type="dxa"/>
            <w:gridSpan w:val="2"/>
            <w:vAlign w:val="center"/>
          </w:tcPr>
          <w:p w14:paraId="72381FF2">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常住人口城镇化率（%）</w:t>
            </w:r>
          </w:p>
        </w:tc>
        <w:tc>
          <w:tcPr>
            <w:tcW w:w="1601" w:type="dxa"/>
            <w:shd w:val="clear" w:color="auto" w:fill="auto"/>
            <w:vAlign w:val="center"/>
          </w:tcPr>
          <w:p w14:paraId="6FDEAB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59</w:t>
            </w:r>
          </w:p>
        </w:tc>
        <w:tc>
          <w:tcPr>
            <w:tcW w:w="1189" w:type="dxa"/>
            <w:shd w:val="clear" w:color="auto" w:fill="auto"/>
            <w:vAlign w:val="center"/>
          </w:tcPr>
          <w:p w14:paraId="74DDDB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42141FB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6DAC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1" w:hRule="atLeast"/>
          <w:jc w:val="center"/>
        </w:trPr>
        <w:tc>
          <w:tcPr>
            <w:tcW w:w="842" w:type="dxa"/>
            <w:vMerge w:val="restart"/>
            <w:vAlign w:val="center"/>
          </w:tcPr>
          <w:p w14:paraId="3444C3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创新</w:t>
            </w:r>
          </w:p>
          <w:p w14:paraId="6ED0FC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驱动</w:t>
            </w:r>
          </w:p>
        </w:tc>
        <w:tc>
          <w:tcPr>
            <w:tcW w:w="510" w:type="dxa"/>
            <w:vAlign w:val="center"/>
          </w:tcPr>
          <w:p w14:paraId="7FAA2D16">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6</w:t>
            </w:r>
          </w:p>
        </w:tc>
        <w:tc>
          <w:tcPr>
            <w:tcW w:w="3690" w:type="dxa"/>
            <w:gridSpan w:val="2"/>
            <w:vAlign w:val="center"/>
          </w:tcPr>
          <w:p w14:paraId="63BF4B7C">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全社会</w:t>
            </w:r>
            <w:r>
              <w:rPr>
                <w:rFonts w:hint="default" w:ascii="Times New Roman" w:hAnsi="Times New Roman" w:eastAsia="仿宋_GB2312" w:cs="Times New Roman"/>
                <w:color w:val="auto"/>
                <w:sz w:val="24"/>
                <w:szCs w:val="24"/>
                <w:highlight w:val="none"/>
              </w:rPr>
              <w:t>研发经费投入增长（%）</w:t>
            </w:r>
          </w:p>
        </w:tc>
        <w:tc>
          <w:tcPr>
            <w:tcW w:w="1601" w:type="dxa"/>
            <w:shd w:val="clear" w:color="auto" w:fill="auto"/>
            <w:vAlign w:val="center"/>
          </w:tcPr>
          <w:p w14:paraId="5834F1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89" w:type="dxa"/>
            <w:shd w:val="clear" w:color="auto" w:fill="auto"/>
            <w:vAlign w:val="center"/>
          </w:tcPr>
          <w:p w14:paraId="4306B0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5</w:t>
            </w:r>
          </w:p>
        </w:tc>
        <w:tc>
          <w:tcPr>
            <w:tcW w:w="1126" w:type="dxa"/>
            <w:vAlign w:val="center"/>
          </w:tcPr>
          <w:p w14:paraId="50DA4BF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33A7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96" w:hRule="atLeast"/>
          <w:jc w:val="center"/>
        </w:trPr>
        <w:tc>
          <w:tcPr>
            <w:tcW w:w="842" w:type="dxa"/>
            <w:vMerge w:val="continue"/>
            <w:vAlign w:val="center"/>
          </w:tcPr>
          <w:p w14:paraId="39D659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AB848EC">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7</w:t>
            </w:r>
          </w:p>
        </w:tc>
        <w:tc>
          <w:tcPr>
            <w:tcW w:w="3690" w:type="dxa"/>
            <w:gridSpan w:val="2"/>
            <w:vAlign w:val="center"/>
          </w:tcPr>
          <w:p w14:paraId="0F72A3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每万人口高价值发明专利拥有量（件）</w:t>
            </w:r>
          </w:p>
        </w:tc>
        <w:tc>
          <w:tcPr>
            <w:tcW w:w="1601" w:type="dxa"/>
            <w:shd w:val="clear" w:color="auto" w:fill="auto"/>
            <w:vAlign w:val="center"/>
          </w:tcPr>
          <w:p w14:paraId="094BB1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3</w:t>
            </w:r>
          </w:p>
        </w:tc>
        <w:tc>
          <w:tcPr>
            <w:tcW w:w="1189" w:type="dxa"/>
            <w:shd w:val="clear" w:color="auto" w:fill="auto"/>
            <w:vAlign w:val="center"/>
          </w:tcPr>
          <w:p w14:paraId="73E97B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1F094A9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62E9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80" w:hRule="atLeast"/>
          <w:jc w:val="center"/>
        </w:trPr>
        <w:tc>
          <w:tcPr>
            <w:tcW w:w="842" w:type="dxa"/>
            <w:vMerge w:val="continue"/>
            <w:vAlign w:val="center"/>
          </w:tcPr>
          <w:p w14:paraId="4FEA4D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491C1860">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8</w:t>
            </w:r>
          </w:p>
        </w:tc>
        <w:tc>
          <w:tcPr>
            <w:tcW w:w="3690" w:type="dxa"/>
            <w:gridSpan w:val="2"/>
            <w:vAlign w:val="center"/>
          </w:tcPr>
          <w:p w14:paraId="7192150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规上</w:t>
            </w:r>
            <w:r>
              <w:rPr>
                <w:rFonts w:hint="eastAsia" w:ascii="Times New Roman" w:hAnsi="Times New Roman" w:eastAsia="仿宋_GB2312" w:cs="Times New Roman"/>
                <w:color w:val="auto"/>
                <w:sz w:val="24"/>
                <w:szCs w:val="24"/>
                <w:highlight w:val="none"/>
                <w:lang w:eastAsia="zh-CN"/>
              </w:rPr>
              <w:t>软件和信息技术服务业营收增速（</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eastAsia="zh-CN"/>
              </w:rPr>
              <w:t>）</w:t>
            </w:r>
          </w:p>
        </w:tc>
        <w:tc>
          <w:tcPr>
            <w:tcW w:w="1601" w:type="dxa"/>
            <w:shd w:val="clear" w:color="auto" w:fill="auto"/>
            <w:vAlign w:val="center"/>
          </w:tcPr>
          <w:p w14:paraId="698218C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89" w:type="dxa"/>
            <w:shd w:val="clear" w:color="auto" w:fill="auto"/>
            <w:vAlign w:val="center"/>
          </w:tcPr>
          <w:p w14:paraId="0B4D17E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15</w:t>
            </w:r>
          </w:p>
        </w:tc>
        <w:tc>
          <w:tcPr>
            <w:tcW w:w="1126" w:type="dxa"/>
            <w:vAlign w:val="center"/>
          </w:tcPr>
          <w:p w14:paraId="0276A48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3F05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31" w:hRule="atLeast"/>
          <w:jc w:val="center"/>
        </w:trPr>
        <w:tc>
          <w:tcPr>
            <w:tcW w:w="842" w:type="dxa"/>
            <w:vMerge w:val="restart"/>
            <w:vAlign w:val="center"/>
          </w:tcPr>
          <w:p w14:paraId="16578E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民生</w:t>
            </w:r>
          </w:p>
          <w:p w14:paraId="2023DB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福祉</w:t>
            </w:r>
          </w:p>
        </w:tc>
        <w:tc>
          <w:tcPr>
            <w:tcW w:w="510" w:type="dxa"/>
            <w:vAlign w:val="center"/>
          </w:tcPr>
          <w:p w14:paraId="210CD3AE">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9</w:t>
            </w:r>
          </w:p>
        </w:tc>
        <w:tc>
          <w:tcPr>
            <w:tcW w:w="3690" w:type="dxa"/>
            <w:gridSpan w:val="2"/>
            <w:vAlign w:val="center"/>
          </w:tcPr>
          <w:p w14:paraId="3BDE0D76">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居民人均可支配收入增长（%）</w:t>
            </w:r>
          </w:p>
        </w:tc>
        <w:tc>
          <w:tcPr>
            <w:tcW w:w="1601" w:type="dxa"/>
            <w:shd w:val="clear" w:color="auto" w:fill="auto"/>
            <w:vAlign w:val="center"/>
          </w:tcPr>
          <w:p w14:paraId="0E1458E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89" w:type="dxa"/>
            <w:shd w:val="clear" w:color="auto" w:fill="auto"/>
            <w:vAlign w:val="center"/>
          </w:tcPr>
          <w:p w14:paraId="6D640A9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5.5</w:t>
            </w:r>
          </w:p>
        </w:tc>
        <w:tc>
          <w:tcPr>
            <w:tcW w:w="1126" w:type="dxa"/>
            <w:vAlign w:val="center"/>
          </w:tcPr>
          <w:p w14:paraId="5487F52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4A8B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99" w:hRule="atLeast"/>
          <w:jc w:val="center"/>
        </w:trPr>
        <w:tc>
          <w:tcPr>
            <w:tcW w:w="842" w:type="dxa"/>
            <w:vMerge w:val="continue"/>
            <w:vAlign w:val="center"/>
          </w:tcPr>
          <w:p w14:paraId="18CF1D7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Merge w:val="restart"/>
            <w:vAlign w:val="center"/>
          </w:tcPr>
          <w:p w14:paraId="43A7FFB9">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10</w:t>
            </w:r>
          </w:p>
        </w:tc>
        <w:tc>
          <w:tcPr>
            <w:tcW w:w="1276" w:type="dxa"/>
            <w:vMerge w:val="restart"/>
            <w:vAlign w:val="center"/>
          </w:tcPr>
          <w:p w14:paraId="4726448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每千人口拥有医护人员数</w:t>
            </w:r>
          </w:p>
        </w:tc>
        <w:tc>
          <w:tcPr>
            <w:tcW w:w="2414" w:type="dxa"/>
            <w:vAlign w:val="center"/>
          </w:tcPr>
          <w:p w14:paraId="06A53927">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执业（助理）医师数（人）</w:t>
            </w:r>
          </w:p>
        </w:tc>
        <w:tc>
          <w:tcPr>
            <w:tcW w:w="1601" w:type="dxa"/>
            <w:vMerge w:val="restart"/>
            <w:shd w:val="clear" w:color="auto" w:fill="auto"/>
            <w:vAlign w:val="center"/>
          </w:tcPr>
          <w:p w14:paraId="19F930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Merge w:val="restart"/>
            <w:shd w:val="clear" w:color="auto" w:fill="auto"/>
            <w:vAlign w:val="center"/>
          </w:tcPr>
          <w:p w14:paraId="26AB80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423A490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2143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78" w:hRule="atLeast"/>
          <w:jc w:val="center"/>
        </w:trPr>
        <w:tc>
          <w:tcPr>
            <w:tcW w:w="842" w:type="dxa"/>
            <w:vMerge w:val="continue"/>
            <w:vAlign w:val="center"/>
          </w:tcPr>
          <w:p w14:paraId="261E85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Merge w:val="continue"/>
            <w:vAlign w:val="center"/>
          </w:tcPr>
          <w:p w14:paraId="561BE5C0">
            <w:pPr>
              <w:keepNext w:val="0"/>
              <w:keepLines w:val="0"/>
              <w:pageBreakBefore w:val="0"/>
              <w:kinsoku/>
              <w:wordWrap/>
              <w:overflowPunct/>
              <w:topLinePunct w:val="0"/>
              <w:autoSpaceDE/>
              <w:autoSpaceDN/>
              <w:bidi w:val="0"/>
              <w:adjustRightInd/>
              <w:snapToGrid/>
              <w:spacing w:line="500" w:lineRule="exact"/>
              <w:jc w:val="center"/>
              <w:rPr>
                <w:rFonts w:hint="eastAsia" w:ascii="Times New Roman" w:hAnsi="Times New Roman" w:eastAsia="仿宋_GB2312" w:cs="Times New Roman"/>
                <w:color w:val="auto"/>
                <w:sz w:val="24"/>
                <w:szCs w:val="24"/>
                <w:highlight w:val="none"/>
                <w:lang w:eastAsia="zh-CN"/>
              </w:rPr>
            </w:pPr>
          </w:p>
        </w:tc>
        <w:tc>
          <w:tcPr>
            <w:tcW w:w="1276" w:type="dxa"/>
            <w:vMerge w:val="continue"/>
            <w:vAlign w:val="center"/>
          </w:tcPr>
          <w:p w14:paraId="1265FE09">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p>
        </w:tc>
        <w:tc>
          <w:tcPr>
            <w:tcW w:w="2414" w:type="dxa"/>
            <w:vAlign w:val="center"/>
          </w:tcPr>
          <w:p w14:paraId="54B55EDB">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注册护士数（人）</w:t>
            </w:r>
          </w:p>
        </w:tc>
        <w:tc>
          <w:tcPr>
            <w:tcW w:w="1601" w:type="dxa"/>
            <w:vMerge w:val="continue"/>
            <w:shd w:val="clear" w:color="auto" w:fill="auto"/>
            <w:vAlign w:val="center"/>
          </w:tcPr>
          <w:p w14:paraId="462090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p>
        </w:tc>
        <w:tc>
          <w:tcPr>
            <w:tcW w:w="1189" w:type="dxa"/>
            <w:vMerge w:val="continue"/>
            <w:shd w:val="clear" w:color="auto" w:fill="auto"/>
            <w:vAlign w:val="center"/>
          </w:tcPr>
          <w:p w14:paraId="455842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p>
        </w:tc>
        <w:tc>
          <w:tcPr>
            <w:tcW w:w="1126" w:type="dxa"/>
            <w:vAlign w:val="center"/>
          </w:tcPr>
          <w:p w14:paraId="1BAC9B8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684E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92" w:hRule="atLeast"/>
          <w:jc w:val="center"/>
        </w:trPr>
        <w:tc>
          <w:tcPr>
            <w:tcW w:w="842" w:type="dxa"/>
            <w:vMerge w:val="continue"/>
            <w:vAlign w:val="center"/>
          </w:tcPr>
          <w:p w14:paraId="679EFA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33EBD341">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11</w:t>
            </w:r>
          </w:p>
        </w:tc>
        <w:tc>
          <w:tcPr>
            <w:tcW w:w="3690" w:type="dxa"/>
            <w:gridSpan w:val="2"/>
            <w:vAlign w:val="center"/>
          </w:tcPr>
          <w:p w14:paraId="0068DBE6">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养老机构护理型床位占比（%）</w:t>
            </w:r>
          </w:p>
        </w:tc>
        <w:tc>
          <w:tcPr>
            <w:tcW w:w="1601" w:type="dxa"/>
            <w:shd w:val="clear" w:color="auto" w:fill="auto"/>
            <w:vAlign w:val="center"/>
          </w:tcPr>
          <w:p w14:paraId="68FC5A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2"/>
                <w:sz w:val="24"/>
                <w:szCs w:val="24"/>
                <w:highlight w:val="none"/>
                <w:u w:val="none"/>
                <w:lang w:val="en-US" w:eastAsia="zh-CN" w:bidi="ar-SA"/>
              </w:rPr>
              <w:t>80</w:t>
            </w:r>
          </w:p>
        </w:tc>
        <w:tc>
          <w:tcPr>
            <w:tcW w:w="1189" w:type="dxa"/>
            <w:shd w:val="clear" w:color="auto" w:fill="auto"/>
            <w:vAlign w:val="center"/>
          </w:tcPr>
          <w:p w14:paraId="4DC584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7D0E5D0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36D8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25" w:hRule="atLeast"/>
          <w:jc w:val="center"/>
        </w:trPr>
        <w:tc>
          <w:tcPr>
            <w:tcW w:w="842" w:type="dxa"/>
            <w:vMerge w:val="continue"/>
            <w:vAlign w:val="center"/>
          </w:tcPr>
          <w:p w14:paraId="685C6F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3B70116B">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12</w:t>
            </w:r>
          </w:p>
        </w:tc>
        <w:tc>
          <w:tcPr>
            <w:tcW w:w="3690" w:type="dxa"/>
            <w:gridSpan w:val="2"/>
            <w:vAlign w:val="center"/>
          </w:tcPr>
          <w:p w14:paraId="039A2D9E">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3岁以下婴幼儿入托率提高（百分点）</w:t>
            </w:r>
          </w:p>
        </w:tc>
        <w:tc>
          <w:tcPr>
            <w:tcW w:w="1601" w:type="dxa"/>
            <w:shd w:val="clear" w:color="auto" w:fill="auto"/>
            <w:vAlign w:val="center"/>
          </w:tcPr>
          <w:p w14:paraId="31F948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shd w:val="clear" w:color="auto" w:fill="auto"/>
            <w:vAlign w:val="center"/>
          </w:tcPr>
          <w:p w14:paraId="6A1FB4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4184271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1748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06" w:hRule="atLeast"/>
          <w:jc w:val="center"/>
        </w:trPr>
        <w:tc>
          <w:tcPr>
            <w:tcW w:w="842" w:type="dxa"/>
            <w:vMerge w:val="continue"/>
            <w:vAlign w:val="center"/>
          </w:tcPr>
          <w:p w14:paraId="249E35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F2F60AD">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13</w:t>
            </w:r>
          </w:p>
        </w:tc>
        <w:tc>
          <w:tcPr>
            <w:tcW w:w="3690" w:type="dxa"/>
            <w:gridSpan w:val="2"/>
            <w:vAlign w:val="center"/>
          </w:tcPr>
          <w:p w14:paraId="3C4AFA42">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人均预期寿命（岁）</w:t>
            </w:r>
          </w:p>
        </w:tc>
        <w:tc>
          <w:tcPr>
            <w:tcW w:w="1601" w:type="dxa"/>
            <w:shd w:val="clear" w:color="auto" w:fill="auto"/>
            <w:vAlign w:val="center"/>
          </w:tcPr>
          <w:p w14:paraId="7685EF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80以上</w:t>
            </w:r>
          </w:p>
        </w:tc>
        <w:tc>
          <w:tcPr>
            <w:tcW w:w="1189" w:type="dxa"/>
            <w:shd w:val="clear" w:color="auto" w:fill="auto"/>
            <w:vAlign w:val="center"/>
          </w:tcPr>
          <w:p w14:paraId="4294A7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7A66005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5E52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64" w:hRule="atLeast"/>
          <w:jc w:val="center"/>
        </w:trPr>
        <w:tc>
          <w:tcPr>
            <w:tcW w:w="842" w:type="dxa"/>
            <w:vMerge w:val="restart"/>
            <w:vAlign w:val="center"/>
          </w:tcPr>
          <w:p w14:paraId="4021A6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绿色</w:t>
            </w:r>
          </w:p>
          <w:p w14:paraId="0C91E2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转型</w:t>
            </w:r>
          </w:p>
        </w:tc>
        <w:tc>
          <w:tcPr>
            <w:tcW w:w="510" w:type="dxa"/>
            <w:vAlign w:val="center"/>
          </w:tcPr>
          <w:p w14:paraId="24CE18A7">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14</w:t>
            </w:r>
          </w:p>
        </w:tc>
        <w:tc>
          <w:tcPr>
            <w:tcW w:w="3690" w:type="dxa"/>
            <w:gridSpan w:val="2"/>
            <w:vAlign w:val="center"/>
          </w:tcPr>
          <w:p w14:paraId="476706FD">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单位地区生产总值</w:t>
            </w:r>
            <w:r>
              <w:rPr>
                <w:rFonts w:hint="eastAsia" w:ascii="Times New Roman" w:hAnsi="Times New Roman" w:eastAsia="仿宋_GB2312" w:cs="Times New Roman"/>
                <w:color w:val="auto"/>
                <w:sz w:val="24"/>
                <w:szCs w:val="24"/>
                <w:highlight w:val="none"/>
                <w:lang w:eastAsia="zh-CN"/>
              </w:rPr>
              <w:t>二氧化碳排放量降低</w:t>
            </w:r>
            <w:r>
              <w:rPr>
                <w:rFonts w:hint="default" w:ascii="Times New Roman" w:hAnsi="Times New Roman" w:eastAsia="仿宋_GB2312" w:cs="Times New Roman"/>
                <w:color w:val="auto"/>
                <w:sz w:val="24"/>
                <w:szCs w:val="24"/>
                <w:highlight w:val="none"/>
              </w:rPr>
              <w:t>（%）</w:t>
            </w:r>
          </w:p>
        </w:tc>
        <w:tc>
          <w:tcPr>
            <w:tcW w:w="1601" w:type="dxa"/>
            <w:vAlign w:val="center"/>
          </w:tcPr>
          <w:p w14:paraId="28CFD19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170EED3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6796953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4D8C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67" w:hRule="atLeast"/>
          <w:jc w:val="center"/>
        </w:trPr>
        <w:tc>
          <w:tcPr>
            <w:tcW w:w="842" w:type="dxa"/>
            <w:vMerge w:val="continue"/>
            <w:vAlign w:val="center"/>
          </w:tcPr>
          <w:p w14:paraId="55ACFA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FE0A45F">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15</w:t>
            </w:r>
          </w:p>
        </w:tc>
        <w:tc>
          <w:tcPr>
            <w:tcW w:w="3690" w:type="dxa"/>
            <w:gridSpan w:val="2"/>
            <w:vAlign w:val="center"/>
          </w:tcPr>
          <w:p w14:paraId="6416B483">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地级及以上城市细颗粒物（</w:t>
            </w:r>
            <w:r>
              <w:rPr>
                <w:rFonts w:hint="eastAsia" w:ascii="Times New Roman" w:hAnsi="Times New Roman" w:eastAsia="仿宋_GB2312" w:cs="Times New Roman"/>
                <w:color w:val="auto"/>
                <w:sz w:val="24"/>
                <w:szCs w:val="24"/>
                <w:highlight w:val="none"/>
                <w:lang w:val="en-US" w:eastAsia="zh-CN"/>
              </w:rPr>
              <w:t>PM</w:t>
            </w:r>
            <w:r>
              <w:rPr>
                <w:rFonts w:hint="eastAsia" w:ascii="Times New Roman" w:hAnsi="Times New Roman" w:eastAsia="仿宋_GB2312" w:cs="Times New Roman"/>
                <w:color w:val="auto"/>
                <w:sz w:val="24"/>
                <w:szCs w:val="24"/>
                <w:highlight w:val="none"/>
                <w:vertAlign w:val="subscript"/>
                <w:lang w:val="en-US" w:eastAsia="zh-CN"/>
              </w:rPr>
              <w:t>2.5</w:t>
            </w:r>
            <w:r>
              <w:rPr>
                <w:rFonts w:hint="eastAsia" w:ascii="Times New Roman" w:hAnsi="Times New Roman" w:eastAsia="仿宋_GB2312" w:cs="Times New Roman"/>
                <w:color w:val="auto"/>
                <w:sz w:val="24"/>
                <w:szCs w:val="24"/>
                <w:highlight w:val="none"/>
                <w:lang w:eastAsia="zh-CN"/>
              </w:rPr>
              <w:t>）浓度（微克</w:t>
            </w:r>
            <w:r>
              <w:rPr>
                <w:rFonts w:hint="eastAsia" w:ascii="Times New Roman" w:hAnsi="Times New Roman" w:eastAsia="仿宋_GB2312" w:cs="Times New Roman"/>
                <w:color w:val="auto"/>
                <w:sz w:val="24"/>
                <w:szCs w:val="24"/>
                <w:highlight w:val="none"/>
                <w:lang w:val="en-US" w:eastAsia="zh-CN"/>
              </w:rPr>
              <w:t>/立方米</w:t>
            </w:r>
            <w:r>
              <w:rPr>
                <w:rFonts w:hint="eastAsia" w:ascii="Times New Roman" w:hAnsi="Times New Roman" w:eastAsia="仿宋_GB2312" w:cs="Times New Roman"/>
                <w:color w:val="auto"/>
                <w:sz w:val="24"/>
                <w:szCs w:val="24"/>
                <w:highlight w:val="none"/>
                <w:lang w:eastAsia="zh-CN"/>
              </w:rPr>
              <w:t>）</w:t>
            </w:r>
          </w:p>
        </w:tc>
        <w:tc>
          <w:tcPr>
            <w:tcW w:w="1601" w:type="dxa"/>
            <w:vAlign w:val="center"/>
          </w:tcPr>
          <w:p w14:paraId="508D15F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3F8F25D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51E5685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5DC4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444" w:hRule="atLeast"/>
          <w:jc w:val="center"/>
        </w:trPr>
        <w:tc>
          <w:tcPr>
            <w:tcW w:w="842" w:type="dxa"/>
            <w:vMerge w:val="continue"/>
            <w:vAlign w:val="center"/>
          </w:tcPr>
          <w:p w14:paraId="01BD1D3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2454929C">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16</w:t>
            </w:r>
          </w:p>
        </w:tc>
        <w:tc>
          <w:tcPr>
            <w:tcW w:w="3690" w:type="dxa"/>
            <w:gridSpan w:val="2"/>
            <w:vAlign w:val="center"/>
          </w:tcPr>
          <w:p w14:paraId="07FE3A5F">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优良水体比例（</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eastAsia="zh-CN"/>
              </w:rPr>
              <w:t>）</w:t>
            </w:r>
          </w:p>
        </w:tc>
        <w:tc>
          <w:tcPr>
            <w:tcW w:w="1601" w:type="dxa"/>
            <w:vAlign w:val="center"/>
          </w:tcPr>
          <w:p w14:paraId="7BCD401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以自治区</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0A8EB44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79AB43B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2872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65" w:hRule="atLeast"/>
          <w:jc w:val="center"/>
        </w:trPr>
        <w:tc>
          <w:tcPr>
            <w:tcW w:w="842" w:type="dxa"/>
            <w:vMerge w:val="continue"/>
            <w:vAlign w:val="center"/>
          </w:tcPr>
          <w:p w14:paraId="0BC42F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196234D1">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17</w:t>
            </w:r>
          </w:p>
        </w:tc>
        <w:tc>
          <w:tcPr>
            <w:tcW w:w="3690" w:type="dxa"/>
            <w:gridSpan w:val="2"/>
            <w:vAlign w:val="center"/>
          </w:tcPr>
          <w:p w14:paraId="6D2F3A77">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森林覆盖率（%）</w:t>
            </w:r>
          </w:p>
        </w:tc>
        <w:tc>
          <w:tcPr>
            <w:tcW w:w="1601" w:type="dxa"/>
            <w:vAlign w:val="center"/>
          </w:tcPr>
          <w:p w14:paraId="5538A7E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5349B97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2813E14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0A06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jc w:val="center"/>
        </w:trPr>
        <w:tc>
          <w:tcPr>
            <w:tcW w:w="842" w:type="dxa"/>
            <w:vMerge w:val="continue"/>
            <w:vAlign w:val="center"/>
          </w:tcPr>
          <w:p w14:paraId="237B65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0C5E9D09">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18</w:t>
            </w:r>
          </w:p>
        </w:tc>
        <w:tc>
          <w:tcPr>
            <w:tcW w:w="3690" w:type="dxa"/>
            <w:gridSpan w:val="2"/>
            <w:vAlign w:val="center"/>
          </w:tcPr>
          <w:p w14:paraId="3FB63A3E">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单位地区生产总值建设用地使用面积（公顷</w:t>
            </w:r>
            <w:r>
              <w:rPr>
                <w:rFonts w:hint="eastAsia" w:ascii="Times New Roman" w:hAnsi="Times New Roman" w:eastAsia="仿宋_GB2312" w:cs="Times New Roman"/>
                <w:color w:val="auto"/>
                <w:sz w:val="24"/>
                <w:szCs w:val="24"/>
                <w:highlight w:val="none"/>
                <w:lang w:val="en-US" w:eastAsia="zh-CN"/>
              </w:rPr>
              <w:t>/亿元</w:t>
            </w:r>
            <w:r>
              <w:rPr>
                <w:rFonts w:hint="eastAsia" w:ascii="Times New Roman" w:hAnsi="Times New Roman" w:eastAsia="仿宋_GB2312" w:cs="Times New Roman"/>
                <w:color w:val="auto"/>
                <w:sz w:val="24"/>
                <w:szCs w:val="24"/>
                <w:highlight w:val="none"/>
                <w:lang w:eastAsia="zh-CN"/>
              </w:rPr>
              <w:t>）</w:t>
            </w:r>
          </w:p>
        </w:tc>
        <w:tc>
          <w:tcPr>
            <w:tcW w:w="1601" w:type="dxa"/>
            <w:vAlign w:val="center"/>
          </w:tcPr>
          <w:p w14:paraId="1B1A969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45.95</w:t>
            </w:r>
          </w:p>
        </w:tc>
        <w:tc>
          <w:tcPr>
            <w:tcW w:w="1189" w:type="dxa"/>
            <w:vAlign w:val="center"/>
          </w:tcPr>
          <w:p w14:paraId="556F7BD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4DB727D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预期性</w:t>
            </w:r>
          </w:p>
        </w:tc>
      </w:tr>
      <w:tr w14:paraId="28A1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48" w:hRule="atLeast"/>
          <w:jc w:val="center"/>
        </w:trPr>
        <w:tc>
          <w:tcPr>
            <w:tcW w:w="842" w:type="dxa"/>
            <w:vAlign w:val="center"/>
          </w:tcPr>
          <w:p w14:paraId="548C6E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安全</w:t>
            </w:r>
          </w:p>
          <w:p w14:paraId="06026E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保障</w:t>
            </w:r>
          </w:p>
        </w:tc>
        <w:tc>
          <w:tcPr>
            <w:tcW w:w="510" w:type="dxa"/>
            <w:vAlign w:val="center"/>
          </w:tcPr>
          <w:p w14:paraId="5BB2B71B">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19</w:t>
            </w:r>
          </w:p>
        </w:tc>
        <w:tc>
          <w:tcPr>
            <w:tcW w:w="3690" w:type="dxa"/>
            <w:gridSpan w:val="2"/>
            <w:vAlign w:val="center"/>
          </w:tcPr>
          <w:p w14:paraId="17B10F07">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粮食综合生产能力（万吨）</w:t>
            </w:r>
          </w:p>
        </w:tc>
        <w:tc>
          <w:tcPr>
            <w:tcW w:w="1601" w:type="dxa"/>
            <w:vAlign w:val="center"/>
          </w:tcPr>
          <w:p w14:paraId="796FA2E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以自治区</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6DE4731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3B1345C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bl>
    <w:tbl>
      <w:tblPr>
        <w:tblStyle w:val="22"/>
        <w:tblpPr w:leftFromText="180" w:rightFromText="180" w:vertAnchor="text" w:tblpX="10597" w:tblpY="-17553"/>
        <w:tblOverlap w:val="never"/>
        <w:tblW w:w="2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1"/>
      </w:tblGrid>
      <w:tr w14:paraId="535F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771" w:type="dxa"/>
          </w:tcPr>
          <w:p w14:paraId="6522FAE7">
            <w:pPr>
              <w:bidi w:val="0"/>
              <w:rPr>
                <w:rStyle w:val="55"/>
                <w:rFonts w:hint="eastAsia" w:ascii="方正小标宋简体" w:hAnsi="方正小标宋简体" w:eastAsia="方正小标宋简体" w:cs="方正小标宋简体"/>
                <w:b w:val="0"/>
                <w:bCs w:val="0"/>
                <w:color w:val="auto"/>
                <w:highlight w:val="none"/>
                <w:vertAlign w:val="baseline"/>
                <w:lang w:val="en-US" w:eastAsia="zh-CN"/>
              </w:rPr>
            </w:pPr>
          </w:p>
        </w:tc>
      </w:tr>
    </w:tbl>
    <w:p w14:paraId="428A6C83">
      <w:pPr>
        <w:rPr>
          <w:rStyle w:val="55"/>
          <w:rFonts w:hint="eastAsia" w:ascii="方正小标宋简体" w:hAnsi="方正小标宋简体" w:eastAsia="方正小标宋简体" w:cs="方正小标宋简体"/>
          <w:b w:val="0"/>
          <w:bCs w:val="0"/>
          <w:color w:val="auto"/>
          <w:highlight w:val="none"/>
          <w:lang w:val="en-US" w:eastAsia="zh-CN"/>
        </w:rPr>
      </w:pPr>
      <w:bookmarkStart w:id="98" w:name="_Toc25689"/>
      <w:r>
        <w:rPr>
          <w:rStyle w:val="55"/>
          <w:rFonts w:hint="eastAsia" w:ascii="方正小标宋简体" w:hAnsi="方正小标宋简体" w:eastAsia="方正小标宋简体" w:cs="方正小标宋简体"/>
          <w:b w:val="0"/>
          <w:bCs w:val="0"/>
          <w:color w:val="auto"/>
          <w:highlight w:val="none"/>
          <w:lang w:val="en-US" w:eastAsia="zh-CN"/>
        </w:rPr>
        <w:br w:type="page"/>
      </w:r>
    </w:p>
    <w:p w14:paraId="5166C25C">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Style w:val="55"/>
          <w:rFonts w:hint="eastAsia" w:ascii="方正小标宋简体" w:hAnsi="方正小标宋简体" w:eastAsia="方正小标宋简体" w:cs="方正小标宋简体"/>
          <w:b w:val="0"/>
          <w:bCs w:val="0"/>
          <w:color w:val="auto"/>
          <w:highlight w:val="none"/>
          <w:lang w:val="en-US" w:eastAsia="zh-CN"/>
        </w:rPr>
      </w:pPr>
      <w:bookmarkStart w:id="99" w:name="_Toc14338"/>
      <w:r>
        <w:rPr>
          <w:rStyle w:val="55"/>
          <w:rFonts w:hint="eastAsia" w:ascii="方正小标宋简体" w:hAnsi="方正小标宋简体" w:eastAsia="方正小标宋简体" w:cs="方正小标宋简体"/>
          <w:b w:val="0"/>
          <w:bCs w:val="0"/>
          <w:color w:val="auto"/>
          <w:highlight w:val="none"/>
          <w:lang w:val="en-US" w:eastAsia="zh-CN"/>
        </w:rPr>
        <w:t>第三章</w:t>
      </w:r>
      <w:bookmarkEnd w:id="95"/>
      <w:bookmarkEnd w:id="96"/>
      <w:bookmarkEnd w:id="97"/>
      <w:bookmarkEnd w:id="98"/>
      <w:bookmarkEnd w:id="99"/>
      <w:bookmarkStart w:id="100" w:name="_Toc22926"/>
      <w:bookmarkStart w:id="101" w:name="_Toc16937"/>
      <w:bookmarkStart w:id="102" w:name="_Toc6099"/>
    </w:p>
    <w:p w14:paraId="27FDB255">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Style w:val="55"/>
          <w:rFonts w:hint="eastAsia" w:ascii="方正小标宋简体" w:hAnsi="方正小标宋简体" w:eastAsia="方正小标宋简体" w:cs="方正小标宋简体"/>
          <w:b w:val="0"/>
          <w:bCs w:val="0"/>
          <w:color w:val="auto"/>
          <w:highlight w:val="none"/>
          <w:lang w:val="en-US" w:eastAsia="zh-CN"/>
        </w:rPr>
      </w:pPr>
      <w:bookmarkStart w:id="103" w:name="_Toc5389"/>
      <w:bookmarkStart w:id="104" w:name="_Toc4124"/>
      <w:r>
        <w:rPr>
          <w:rStyle w:val="55"/>
          <w:rFonts w:hint="eastAsia" w:ascii="方正小标宋简体" w:hAnsi="方正小标宋简体" w:eastAsia="方正小标宋简体" w:cs="方正小标宋简体"/>
          <w:b w:val="0"/>
          <w:bCs w:val="0"/>
          <w:color w:val="auto"/>
          <w:highlight w:val="none"/>
          <w:lang w:val="en-US" w:eastAsia="zh-CN"/>
        </w:rPr>
        <w:t>发展新质生产力  做优做强先进制造业</w:t>
      </w:r>
      <w:bookmarkEnd w:id="100"/>
      <w:bookmarkEnd w:id="101"/>
      <w:bookmarkEnd w:id="102"/>
      <w:bookmarkEnd w:id="103"/>
      <w:bookmarkEnd w:id="104"/>
    </w:p>
    <w:p w14:paraId="26215975">
      <w:pPr>
        <w:pStyle w:val="1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bookmarkStart w:id="105" w:name="_Toc30356"/>
      <w:r>
        <w:rPr>
          <w:rFonts w:hint="eastAsia" w:ascii="仿宋_GB2312" w:hAnsi="仿宋_GB2312" w:eastAsia="仿宋_GB2312" w:cs="仿宋_GB2312"/>
          <w:b w:val="0"/>
          <w:bCs w:val="0"/>
          <w:color w:val="auto"/>
          <w:kern w:val="2"/>
          <w:sz w:val="32"/>
          <w:szCs w:val="32"/>
          <w:highlight w:val="none"/>
          <w:lang w:val="en-US" w:eastAsia="zh-CN" w:bidi="ar-SA"/>
        </w:rPr>
        <w:t>坚持科技创新引领，将发展新质生产力作为核心战略，推动传统产业向智能化、绿色化、融合化方向转型升级。突出做强支柱、做特集群、布局新兴，全面构建创新驱动、结构优化、绿色低碳的现代化工业体系，为区域经济高质量发展注入强劲动力。</w:t>
      </w:r>
    </w:p>
    <w:p w14:paraId="51674FAB">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仿宋_GB2312" w:hAnsi="仿宋_GB2312" w:eastAsia="仿宋_GB2312" w:cs="仿宋_GB2312"/>
          <w:b w:val="0"/>
          <w:bCs/>
          <w:color w:val="auto"/>
          <w:kern w:val="2"/>
          <w:szCs w:val="32"/>
          <w:highlight w:val="none"/>
          <w:lang w:val="en-US" w:eastAsia="zh-CN" w:bidi="ar-SA"/>
        </w:rPr>
      </w:pPr>
      <w:bookmarkStart w:id="106" w:name="_Toc32105"/>
      <w:bookmarkStart w:id="107" w:name="_Toc19963"/>
      <w:bookmarkStart w:id="108" w:name="_Toc16837"/>
      <w:bookmarkStart w:id="109" w:name="_Toc666"/>
      <w:r>
        <w:rPr>
          <w:rFonts w:hint="eastAsia" w:ascii="黑体" w:hAnsi="黑体" w:eastAsia="黑体" w:cs="黑体"/>
          <w:b w:val="0"/>
          <w:bCs/>
          <w:color w:val="auto"/>
          <w:sz w:val="36"/>
          <w:szCs w:val="36"/>
          <w:highlight w:val="none"/>
          <w:lang w:val="en-US" w:eastAsia="zh-CN"/>
        </w:rPr>
        <w:t>第一节</w:t>
      </w:r>
      <w:r>
        <w:rPr>
          <w:rFonts w:hint="eastAsia" w:ascii="黑体" w:hAnsi="黑体" w:cs="黑体"/>
          <w:b w:val="0"/>
          <w:bCs/>
          <w:color w:val="auto"/>
          <w:sz w:val="36"/>
          <w:szCs w:val="36"/>
          <w:highlight w:val="none"/>
          <w:lang w:val="en-US" w:eastAsia="zh-CN"/>
        </w:rPr>
        <w:t xml:space="preserve">  统筹优化</w:t>
      </w:r>
      <w:r>
        <w:rPr>
          <w:rFonts w:hint="eastAsia" w:ascii="黑体" w:hAnsi="黑体" w:eastAsia="黑体" w:cs="黑体"/>
          <w:b w:val="0"/>
          <w:bCs/>
          <w:color w:val="auto"/>
          <w:sz w:val="36"/>
          <w:szCs w:val="36"/>
          <w:highlight w:val="none"/>
          <w:lang w:val="en-US" w:eastAsia="zh-CN"/>
        </w:rPr>
        <w:t>工业发展布局</w:t>
      </w:r>
      <w:bookmarkEnd w:id="106"/>
      <w:bookmarkEnd w:id="107"/>
      <w:bookmarkEnd w:id="108"/>
      <w:bookmarkEnd w:id="109"/>
    </w:p>
    <w:p w14:paraId="68F53A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zh-TW" w:eastAsia="zh-CN"/>
        </w:rPr>
      </w:pPr>
      <w:r>
        <w:rPr>
          <w:rFonts w:hint="default" w:ascii="Times New Roman" w:hAnsi="Times New Roman" w:eastAsia="仿宋_GB2312" w:cs="Times New Roman"/>
          <w:color w:val="auto"/>
          <w:kern w:val="2"/>
          <w:sz w:val="32"/>
          <w:szCs w:val="32"/>
          <w:highlight w:val="none"/>
          <w:u w:val="none"/>
          <w:lang w:val="zh-TW" w:eastAsia="zh-CN" w:bidi="ar-SA"/>
        </w:rPr>
        <w:t>围绕服务国家、自治区及柳州市重大战略部署，紧扣高质量发展首要任务，聚焦构建现代化产业体系，坚</w:t>
      </w:r>
      <w:r>
        <w:rPr>
          <w:rFonts w:hint="eastAsia" w:ascii="仿宋_GB2312" w:hAnsi="仿宋_GB2312" w:eastAsia="仿宋_GB2312" w:cs="仿宋_GB2312"/>
          <w:color w:val="auto"/>
          <w:kern w:val="2"/>
          <w:sz w:val="32"/>
          <w:szCs w:val="32"/>
          <w:highlight w:val="none"/>
          <w:u w:val="none"/>
          <w:lang w:val="zh-TW" w:eastAsia="zh-CN" w:bidi="ar-SA"/>
        </w:rPr>
        <w:t>持“一届接着一届干”</w:t>
      </w:r>
      <w:r>
        <w:rPr>
          <w:rFonts w:hint="default" w:ascii="Times New Roman" w:hAnsi="Times New Roman" w:eastAsia="仿宋_GB2312" w:cs="Times New Roman"/>
          <w:color w:val="auto"/>
          <w:kern w:val="2"/>
          <w:sz w:val="32"/>
          <w:szCs w:val="32"/>
          <w:highlight w:val="none"/>
          <w:u w:val="none"/>
          <w:lang w:val="zh-TW" w:eastAsia="zh-CN" w:bidi="ar-SA"/>
        </w:rPr>
        <w:t>，在保持功能区划总体稳定的基础上，与时俱进深化发展内涵，优化形成</w:t>
      </w:r>
      <w:r>
        <w:rPr>
          <w:rFonts w:hint="eastAsia" w:ascii="仿宋_GB2312" w:hAnsi="仿宋_GB2312" w:eastAsia="仿宋_GB2312" w:cs="仿宋_GB2312"/>
          <w:color w:val="auto"/>
          <w:kern w:val="2"/>
          <w:sz w:val="32"/>
          <w:szCs w:val="32"/>
          <w:highlight w:val="none"/>
          <w:u w:val="none"/>
          <w:lang w:val="zh-TW" w:eastAsia="zh-CN" w:bidi="ar-SA"/>
        </w:rPr>
        <w:t>“一核引领、三带联动、</w:t>
      </w:r>
      <w:r>
        <w:rPr>
          <w:rFonts w:hint="eastAsia" w:ascii="仿宋_GB2312" w:hAnsi="仿宋_GB2312" w:eastAsia="仿宋_GB2312" w:cs="仿宋_GB2312"/>
          <w:color w:val="auto"/>
          <w:kern w:val="2"/>
          <w:sz w:val="32"/>
          <w:szCs w:val="32"/>
          <w:highlight w:val="none"/>
          <w:u w:val="none"/>
          <w:lang w:val="en-US" w:eastAsia="zh-CN" w:bidi="ar-SA"/>
        </w:rPr>
        <w:t>多</w:t>
      </w:r>
      <w:r>
        <w:rPr>
          <w:rFonts w:hint="eastAsia" w:ascii="仿宋_GB2312" w:hAnsi="仿宋_GB2312" w:eastAsia="仿宋_GB2312" w:cs="仿宋_GB2312"/>
          <w:color w:val="auto"/>
          <w:kern w:val="2"/>
          <w:sz w:val="32"/>
          <w:szCs w:val="32"/>
          <w:highlight w:val="none"/>
          <w:u w:val="none"/>
          <w:lang w:val="zh-TW" w:eastAsia="zh-CN" w:bidi="ar-SA"/>
        </w:rPr>
        <w:t>园协同”</w:t>
      </w:r>
      <w:r>
        <w:rPr>
          <w:rFonts w:hint="default" w:ascii="Times New Roman" w:hAnsi="Times New Roman" w:eastAsia="仿宋_GB2312" w:cs="Times New Roman"/>
          <w:color w:val="auto"/>
          <w:kern w:val="2"/>
          <w:sz w:val="32"/>
          <w:szCs w:val="32"/>
          <w:highlight w:val="none"/>
          <w:u w:val="none"/>
          <w:lang w:val="zh-TW" w:eastAsia="zh-CN" w:bidi="ar-SA"/>
        </w:rPr>
        <w:t>的工业发展新格局。</w:t>
      </w:r>
    </w:p>
    <w:p w14:paraId="7957066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val="zh-TW"/>
        </w:rPr>
      </w:pPr>
      <w:r>
        <w:rPr>
          <w:rFonts w:hint="eastAsia" w:ascii="仿宋_GB2312" w:hAnsi="仿宋_GB2312" w:eastAsia="仿宋_GB2312" w:cs="仿宋_GB2312"/>
          <w:b/>
          <w:color w:val="auto"/>
          <w:kern w:val="2"/>
          <w:sz w:val="32"/>
          <w:szCs w:val="32"/>
          <w:highlight w:val="none"/>
          <w:lang w:val="zh-TW" w:eastAsia="zh-CN" w:bidi="ar-SA"/>
        </w:rPr>
        <w:t>一核引领：</w:t>
      </w:r>
      <w:r>
        <w:rPr>
          <w:rFonts w:hint="eastAsia" w:ascii="仿宋_GB2312" w:hAnsi="仿宋_GB2312" w:eastAsia="仿宋_GB2312" w:cs="仿宋_GB2312"/>
          <w:b w:val="0"/>
          <w:bCs/>
          <w:color w:val="auto"/>
          <w:kern w:val="2"/>
          <w:sz w:val="32"/>
          <w:szCs w:val="32"/>
          <w:highlight w:val="none"/>
          <w:lang w:val="en-US" w:eastAsia="zh-CN" w:bidi="ar-SA"/>
        </w:rPr>
        <w:t>即确立</w:t>
      </w:r>
      <w:r>
        <w:rPr>
          <w:rFonts w:hint="eastAsia" w:ascii="仿宋_GB2312" w:hAnsi="仿宋_GB2312" w:eastAsia="仿宋_GB2312" w:cs="仿宋_GB2312"/>
          <w:color w:val="auto"/>
          <w:kern w:val="2"/>
          <w:sz w:val="32"/>
          <w:szCs w:val="32"/>
          <w:highlight w:val="none"/>
          <w:lang w:val="en-US" w:eastAsia="zh-CN" w:bidi="ar-SA"/>
        </w:rPr>
        <w:t>并强化广西鹿寨经济开发区作为统领全县工业发展的核心平台与总引擎的战略地位。全面实施扩区规划，深化“全域统筹”管理机制，构建覆盖所有专业园区的政策协同、统计归一、创新联动的一体化发展格局。探索与柳东新区建立“飞地经济”、收益共享等模式，切实提升经开区对“多园”的资源整合与统筹效能。创新推行“经开区管委会+行业主管部门+专业化运营公司”的三位一体运营管理模式，即经开区管委会负责顶层设计与综合管理，履行总体规划、政策制定、协调服务、监督考核等职能；行业主管部门依据职能提供产业指导、技术支持和行业监管等专业服务；专业化运营公司承担园区开发建设、资本运作、招商运营、企业服务等市场化职能。完善园区服务管理联席会议制度，明确牵头单位、议事规则与决策执行流程，高效协同推进规划、建设、运营、服务等关键环节，凝聚发展合力。致力于将经开区建设成为高新技术产业和先进制造业集聚区、柳州战略性新兴产业协同配套重要基地。</w:t>
      </w:r>
    </w:p>
    <w:p w14:paraId="283558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color w:val="auto"/>
          <w:kern w:val="2"/>
          <w:sz w:val="32"/>
          <w:szCs w:val="32"/>
          <w:highlight w:val="none"/>
          <w:lang w:val="zh-TW" w:eastAsia="zh-CN" w:bidi="ar-SA"/>
        </w:rPr>
      </w:pPr>
      <w:r>
        <w:rPr>
          <w:rFonts w:hint="eastAsia" w:ascii="仿宋_GB2312" w:hAnsi="仿宋_GB2312" w:eastAsia="仿宋_GB2312" w:cs="仿宋_GB2312"/>
          <w:b/>
          <w:color w:val="auto"/>
          <w:kern w:val="2"/>
          <w:sz w:val="32"/>
          <w:szCs w:val="32"/>
          <w:highlight w:val="none"/>
          <w:lang w:val="zh-TW" w:eastAsia="zh-CN" w:bidi="ar-SA"/>
        </w:rPr>
        <w:t>三带联动：</w:t>
      </w:r>
      <w:r>
        <w:rPr>
          <w:rFonts w:hint="eastAsia" w:ascii="仿宋_GB2312" w:hAnsi="仿宋_GB2312" w:eastAsia="仿宋_GB2312" w:cs="仿宋_GB2312"/>
          <w:b w:val="0"/>
          <w:bCs/>
          <w:color w:val="auto"/>
          <w:kern w:val="2"/>
          <w:sz w:val="32"/>
          <w:szCs w:val="32"/>
          <w:highlight w:val="none"/>
          <w:lang w:val="en-US" w:eastAsia="zh-CN" w:bidi="ar-SA"/>
        </w:rPr>
        <w:t>即</w:t>
      </w:r>
      <w:r>
        <w:rPr>
          <w:rFonts w:hint="eastAsia" w:ascii="仿宋_GB2312" w:hAnsi="仿宋_GB2312" w:eastAsia="仿宋_GB2312" w:cs="仿宋_GB2312"/>
          <w:b w:val="0"/>
          <w:bCs/>
          <w:color w:val="auto"/>
          <w:kern w:val="2"/>
          <w:sz w:val="32"/>
          <w:szCs w:val="32"/>
          <w:highlight w:val="none"/>
          <w:lang w:val="zh-TW" w:eastAsia="zh-CN" w:bidi="ar-SA"/>
        </w:rPr>
        <w:t>构筑南北呼应、东西互济的产业空间拓展轴，推动形成功能清晰、协同并进的发展态势。</w:t>
      </w:r>
    </w:p>
    <w:p w14:paraId="721034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zh-TW" w:eastAsia="zh-CN" w:bidi="ar-SA"/>
        </w:rPr>
      </w:pPr>
      <w:r>
        <w:rPr>
          <w:rFonts w:hint="eastAsia" w:ascii="仿宋_GB2312" w:hAnsi="仿宋_GB2312" w:eastAsia="仿宋_GB2312" w:cs="仿宋_GB2312"/>
          <w:b/>
          <w:bCs/>
          <w:color w:val="auto"/>
          <w:sz w:val="32"/>
          <w:szCs w:val="32"/>
          <w:highlight w:val="none"/>
          <w:lang w:val="zh-TW"/>
        </w:rPr>
        <w:t>鹿寨</w:t>
      </w:r>
      <w:r>
        <w:rPr>
          <w:rFonts w:hint="eastAsia" w:ascii="仿宋_GB2312" w:hAnsi="仿宋_GB2312" w:eastAsia="仿宋_GB2312" w:cs="仿宋_GB2312"/>
          <w:b/>
          <w:bCs/>
          <w:color w:val="auto"/>
          <w:sz w:val="32"/>
          <w:szCs w:val="32"/>
          <w:highlight w:val="none"/>
          <w:lang w:val="zh-TW" w:eastAsia="zh-CN"/>
        </w:rPr>
        <w:t>—柳东新区</w:t>
      </w:r>
      <w:r>
        <w:rPr>
          <w:rFonts w:hint="eastAsia" w:ascii="仿宋_GB2312" w:hAnsi="仿宋_GB2312" w:eastAsia="仿宋_GB2312" w:cs="仿宋_GB2312"/>
          <w:b/>
          <w:bCs/>
          <w:color w:val="auto"/>
          <w:sz w:val="32"/>
          <w:szCs w:val="32"/>
          <w:highlight w:val="none"/>
          <w:lang w:val="zh-TW"/>
        </w:rPr>
        <w:t>经济带</w:t>
      </w:r>
      <w:r>
        <w:rPr>
          <w:rFonts w:hint="eastAsia" w:ascii="仿宋_GB2312" w:hAnsi="仿宋_GB2312" w:eastAsia="仿宋_GB2312" w:cs="仿宋_GB2312"/>
          <w:b/>
          <w:bCs/>
          <w:color w:val="auto"/>
          <w:sz w:val="32"/>
          <w:szCs w:val="32"/>
          <w:highlight w:val="none"/>
          <w:lang w:val="zh-TW" w:eastAsia="zh-CN"/>
        </w:rPr>
        <w:t>：</w:t>
      </w:r>
      <w:r>
        <w:rPr>
          <w:rFonts w:hint="eastAsia" w:ascii="仿宋_GB2312" w:hAnsi="仿宋_GB2312" w:eastAsia="仿宋_GB2312" w:cs="仿宋_GB2312"/>
          <w:b w:val="0"/>
          <w:bCs w:val="0"/>
          <w:color w:val="auto"/>
          <w:kern w:val="2"/>
          <w:sz w:val="32"/>
          <w:szCs w:val="32"/>
          <w:highlight w:val="none"/>
          <w:lang w:val="zh-TW" w:eastAsia="zh-CN" w:bidi="ar-SA"/>
        </w:rPr>
        <w:t>依托洛清江生态资源和毗邻柳东新区的区位优势，发挥新胜大桥等联通作用，研究重启鹿寨城北至柳东新区公路建设的可行性。坚持生态优先、绿色发展，主动承接柳州汽车城、柳东新区在新能源汽车零部件、电子信息、智能制造等产业的辐射与配套。</w:t>
      </w:r>
      <w:r>
        <w:rPr>
          <w:rFonts w:hint="eastAsia" w:ascii="仿宋_GB2312" w:hAnsi="仿宋_GB2312" w:eastAsia="仿宋_GB2312" w:cs="仿宋_GB2312"/>
          <w:i w:val="0"/>
          <w:iCs w:val="0"/>
          <w:caps w:val="0"/>
          <w:color w:val="auto"/>
          <w:spacing w:val="0"/>
          <w:sz w:val="32"/>
          <w:szCs w:val="32"/>
          <w:highlight w:val="none"/>
          <w:shd w:val="clear" w:color="auto" w:fill="FFFFFF"/>
        </w:rPr>
        <w:t>培育发展都市型轻工业</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推动产业融合与业态创新，谋划布局与汽车文化、特色民俗、时尚消费相关的展示体验、赛事活动、休闲消费等新业态，建设具有区域特色的产城融合</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发展</w:t>
      </w:r>
      <w:r>
        <w:rPr>
          <w:rFonts w:hint="eastAsia" w:ascii="仿宋_GB2312" w:hAnsi="仿宋_GB2312" w:eastAsia="仿宋_GB2312" w:cs="仿宋_GB2312"/>
          <w:i w:val="0"/>
          <w:iCs w:val="0"/>
          <w:caps w:val="0"/>
          <w:color w:val="auto"/>
          <w:spacing w:val="0"/>
          <w:sz w:val="32"/>
          <w:szCs w:val="32"/>
          <w:highlight w:val="none"/>
          <w:shd w:val="clear" w:color="auto" w:fill="FFFFFF"/>
        </w:rPr>
        <w:t>带</w:t>
      </w:r>
      <w:r>
        <w:rPr>
          <w:rFonts w:ascii="Segoe UI" w:hAnsi="Segoe UI" w:eastAsia="Segoe UI" w:cs="Segoe UI"/>
          <w:i w:val="0"/>
          <w:iCs w:val="0"/>
          <w:caps w:val="0"/>
          <w:color w:val="auto"/>
          <w:spacing w:val="0"/>
          <w:sz w:val="21"/>
          <w:szCs w:val="21"/>
          <w:highlight w:val="none"/>
          <w:shd w:val="clear" w:color="auto" w:fill="FFFFFF"/>
        </w:rPr>
        <w:t>。</w:t>
      </w:r>
    </w:p>
    <w:p w14:paraId="370E87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lang w:val="zh-TW"/>
        </w:rPr>
      </w:pPr>
      <w:r>
        <w:rPr>
          <w:rFonts w:hint="eastAsia" w:ascii="仿宋_GB2312" w:hAnsi="仿宋_GB2312" w:eastAsia="仿宋_GB2312" w:cs="仿宋_GB2312"/>
          <w:b/>
          <w:bCs/>
          <w:color w:val="auto"/>
          <w:sz w:val="32"/>
          <w:szCs w:val="32"/>
          <w:highlight w:val="none"/>
          <w:lang w:val="zh-TW"/>
        </w:rPr>
        <w:t>江口</w:t>
      </w:r>
      <w:r>
        <w:rPr>
          <w:rFonts w:hint="eastAsia" w:ascii="仿宋_GB2312" w:hAnsi="仿宋_GB2312" w:eastAsia="仿宋_GB2312" w:cs="仿宋_GB2312"/>
          <w:b/>
          <w:bCs/>
          <w:color w:val="auto"/>
          <w:sz w:val="32"/>
          <w:szCs w:val="32"/>
          <w:highlight w:val="none"/>
          <w:lang w:val="zh-TW" w:eastAsia="zh-CN"/>
        </w:rPr>
        <w:t>—</w:t>
      </w:r>
      <w:r>
        <w:rPr>
          <w:rFonts w:hint="eastAsia" w:ascii="仿宋_GB2312" w:hAnsi="仿宋_GB2312" w:eastAsia="仿宋_GB2312" w:cs="仿宋_GB2312"/>
          <w:b/>
          <w:bCs/>
          <w:color w:val="auto"/>
          <w:sz w:val="32"/>
          <w:szCs w:val="32"/>
          <w:highlight w:val="none"/>
          <w:lang w:val="zh-TW"/>
        </w:rPr>
        <w:t>导江</w:t>
      </w:r>
      <w:r>
        <w:rPr>
          <w:rFonts w:hint="eastAsia" w:ascii="仿宋_GB2312" w:hAnsi="仿宋_GB2312" w:eastAsia="仿宋_GB2312" w:cs="仿宋_GB2312"/>
          <w:b/>
          <w:bCs/>
          <w:color w:val="auto"/>
          <w:sz w:val="32"/>
          <w:szCs w:val="32"/>
          <w:highlight w:val="none"/>
          <w:lang w:val="zh-TW" w:eastAsia="zh-CN"/>
        </w:rPr>
        <w:t>临港</w:t>
      </w:r>
      <w:r>
        <w:rPr>
          <w:rFonts w:hint="eastAsia" w:ascii="仿宋_GB2312" w:hAnsi="仿宋_GB2312" w:eastAsia="仿宋_GB2312" w:cs="仿宋_GB2312"/>
          <w:b/>
          <w:bCs/>
          <w:color w:val="auto"/>
          <w:sz w:val="32"/>
          <w:szCs w:val="32"/>
          <w:highlight w:val="none"/>
          <w:lang w:val="zh-TW"/>
        </w:rPr>
        <w:t>经济带</w:t>
      </w:r>
      <w:r>
        <w:rPr>
          <w:rFonts w:hint="eastAsia" w:ascii="仿宋_GB2312" w:hAnsi="仿宋_GB2312" w:eastAsia="仿宋_GB2312" w:cs="仿宋_GB2312"/>
          <w:color w:val="auto"/>
          <w:sz w:val="32"/>
          <w:szCs w:val="32"/>
          <w:highlight w:val="none"/>
          <w:lang w:val="zh-TW" w:eastAsia="zh-CN"/>
        </w:rPr>
        <w:t>：</w:t>
      </w:r>
      <w:r>
        <w:rPr>
          <w:rFonts w:hint="eastAsia" w:ascii="仿宋_GB2312" w:hAnsi="仿宋_GB2312" w:eastAsia="仿宋_GB2312" w:cs="仿宋_GB2312"/>
          <w:color w:val="auto"/>
          <w:kern w:val="2"/>
          <w:sz w:val="32"/>
          <w:szCs w:val="32"/>
          <w:highlight w:val="none"/>
          <w:lang w:val="zh-TW" w:eastAsia="zh-CN" w:bidi="ar-SA"/>
        </w:rPr>
        <w:t>坚持向海图强、港产联动。加快推进江口临港功能区、工业集聚区、物流枢纽区建设，同步谋划导江临港特色建材、仓储物流、</w:t>
      </w:r>
      <w:r>
        <w:rPr>
          <w:rFonts w:hint="default" w:ascii="仿宋_GB2312" w:hAnsi="仿宋_GB2312" w:eastAsia="仿宋_GB2312" w:cs="仿宋_GB2312"/>
          <w:color w:val="auto"/>
          <w:kern w:val="2"/>
          <w:sz w:val="32"/>
          <w:szCs w:val="32"/>
          <w:highlight w:val="none"/>
          <w:lang w:val="zh-TW" w:eastAsia="zh-CN" w:bidi="ar-SA"/>
        </w:rPr>
        <w:t>浆纸</w:t>
      </w:r>
      <w:r>
        <w:rPr>
          <w:rFonts w:hint="eastAsia" w:ascii="仿宋_GB2312" w:hAnsi="仿宋_GB2312" w:eastAsia="仿宋_GB2312" w:cs="仿宋_GB2312"/>
          <w:color w:val="auto"/>
          <w:kern w:val="2"/>
          <w:sz w:val="32"/>
          <w:szCs w:val="32"/>
          <w:highlight w:val="none"/>
          <w:lang w:val="zh-TW" w:eastAsia="zh-CN" w:bidi="ar-SA"/>
        </w:rPr>
        <w:t>等产业，</w:t>
      </w:r>
      <w:r>
        <w:rPr>
          <w:rFonts w:hint="eastAsia" w:ascii="仿宋_GB2312" w:hAnsi="仿宋_GB2312" w:eastAsia="仿宋_GB2312" w:cs="仿宋_GB2312"/>
          <w:color w:val="auto"/>
          <w:kern w:val="2"/>
          <w:sz w:val="32"/>
          <w:szCs w:val="32"/>
          <w:highlight w:val="none"/>
          <w:lang w:val="en-US" w:eastAsia="zh-CN" w:bidi="ar-SA"/>
        </w:rPr>
        <w:t>实现</w:t>
      </w:r>
      <w:r>
        <w:rPr>
          <w:rFonts w:hint="eastAsia" w:ascii="仿宋_GB2312" w:hAnsi="仿宋_GB2312" w:eastAsia="仿宋_GB2312" w:cs="仿宋_GB2312"/>
          <w:color w:val="auto"/>
          <w:kern w:val="2"/>
          <w:sz w:val="32"/>
          <w:szCs w:val="32"/>
          <w:highlight w:val="none"/>
          <w:lang w:val="zh-TW" w:eastAsia="zh-CN" w:bidi="ar-SA"/>
        </w:rPr>
        <w:t>功能互补。以柳州港江口作业区能级提升为核心，完善集疏运体系，大力发展临港制造、大宗物流、加工贸易、</w:t>
      </w:r>
      <w:r>
        <w:rPr>
          <w:rFonts w:hint="eastAsia" w:ascii="仿宋_GB2312" w:hAnsi="仿宋_GB2312" w:eastAsia="仿宋_GB2312" w:cs="仿宋_GB2312"/>
          <w:color w:val="auto"/>
          <w:kern w:val="2"/>
          <w:sz w:val="32"/>
          <w:szCs w:val="32"/>
          <w:highlight w:val="none"/>
          <w:lang w:val="en-US" w:eastAsia="zh-CN" w:bidi="ar-SA"/>
        </w:rPr>
        <w:t>新材料</w:t>
      </w:r>
      <w:r>
        <w:rPr>
          <w:rFonts w:hint="eastAsia" w:ascii="仿宋_GB2312" w:hAnsi="仿宋_GB2312" w:eastAsia="仿宋_GB2312" w:cs="仿宋_GB2312"/>
          <w:color w:val="auto"/>
          <w:kern w:val="2"/>
          <w:sz w:val="32"/>
          <w:szCs w:val="32"/>
          <w:highlight w:val="none"/>
          <w:lang w:val="zh-TW" w:eastAsia="zh-CN" w:bidi="ar-SA"/>
        </w:rPr>
        <w:t>及绿色低碳产业，着力打造以</w:t>
      </w:r>
      <w:r>
        <w:rPr>
          <w:rFonts w:hint="eastAsia" w:ascii="仿宋_GB2312" w:hAnsi="仿宋_GB2312" w:eastAsia="仿宋_GB2312" w:cs="仿宋_GB2312"/>
          <w:color w:val="auto"/>
          <w:kern w:val="2"/>
          <w:sz w:val="32"/>
          <w:szCs w:val="32"/>
          <w:highlight w:val="none"/>
          <w:lang w:val="en-US" w:eastAsia="zh-CN" w:bidi="ar-SA"/>
        </w:rPr>
        <w:t>金属加工</w:t>
      </w:r>
      <w:r>
        <w:rPr>
          <w:rFonts w:hint="eastAsia" w:ascii="仿宋_GB2312" w:hAnsi="仿宋_GB2312" w:eastAsia="仿宋_GB2312" w:cs="仿宋_GB2312"/>
          <w:color w:val="auto"/>
          <w:kern w:val="2"/>
          <w:sz w:val="32"/>
          <w:szCs w:val="32"/>
          <w:highlight w:val="none"/>
          <w:lang w:val="zh-TW" w:eastAsia="zh-CN" w:bidi="ar-SA"/>
        </w:rPr>
        <w:t>、装备制造为主导的临港百亿产业集群。</w:t>
      </w:r>
    </w:p>
    <w:p w14:paraId="13988A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kern w:val="2"/>
          <w:sz w:val="32"/>
          <w:szCs w:val="32"/>
          <w:highlight w:val="none"/>
          <w:lang w:val="zh-TW" w:eastAsia="zh-CN" w:bidi="ar-SA"/>
        </w:rPr>
      </w:pPr>
      <w:r>
        <w:rPr>
          <w:rFonts w:hint="eastAsia" w:ascii="仿宋_GB2312" w:hAnsi="仿宋_GB2312" w:eastAsia="仿宋_GB2312" w:cs="仿宋_GB2312"/>
          <w:b/>
          <w:bCs/>
          <w:color w:val="auto"/>
          <w:sz w:val="32"/>
          <w:szCs w:val="32"/>
          <w:highlight w:val="none"/>
          <w:lang w:val="zh-TW"/>
        </w:rPr>
        <w:t>高铁</w:t>
      </w:r>
      <w:r>
        <w:rPr>
          <w:rFonts w:hint="default" w:ascii="Times New Roman" w:hAnsi="Times New Roman" w:eastAsia="仿宋_GB2312" w:cs="Times New Roman"/>
          <w:b/>
          <w:bCs/>
          <w:color w:val="auto"/>
          <w:sz w:val="32"/>
          <w:szCs w:val="32"/>
          <w:highlight w:val="none"/>
          <w:lang w:val="zh-TW"/>
        </w:rPr>
        <w:t>经济带</w:t>
      </w:r>
      <w:r>
        <w:rPr>
          <w:rFonts w:hint="eastAsia" w:ascii="Times New Roman" w:hAnsi="Times New Roman" w:eastAsia="仿宋_GB2312" w:cs="Times New Roman"/>
          <w:color w:val="auto"/>
          <w:sz w:val="32"/>
          <w:szCs w:val="32"/>
          <w:highlight w:val="none"/>
          <w:lang w:val="zh-TW" w:eastAsia="zh-CN"/>
        </w:rPr>
        <w:t>：</w:t>
      </w:r>
      <w:r>
        <w:rPr>
          <w:rFonts w:hint="eastAsia" w:ascii="Times New Roman" w:hAnsi="Times New Roman" w:eastAsia="仿宋_GB2312" w:cs="Times New Roman"/>
          <w:color w:val="auto"/>
          <w:kern w:val="2"/>
          <w:sz w:val="32"/>
          <w:szCs w:val="32"/>
          <w:highlight w:val="none"/>
          <w:lang w:val="zh-TW" w:eastAsia="zh-CN" w:bidi="ar-SA"/>
        </w:rPr>
        <w:t>抢抓高铁时代机遇，推动交通枢纽优势转化为经济优势。加快中渡喀斯特山水古韵小镇建设，</w:t>
      </w:r>
      <w:r>
        <w:rPr>
          <w:rFonts w:hint="eastAsia" w:ascii="Times New Roman" w:hAnsi="Times New Roman" w:eastAsia="仿宋_GB2312" w:cs="Times New Roman"/>
          <w:color w:val="auto"/>
          <w:kern w:val="2"/>
          <w:sz w:val="32"/>
          <w:szCs w:val="32"/>
          <w:highlight w:val="none"/>
          <w:lang w:val="en-US" w:eastAsia="zh-CN" w:bidi="ar-SA"/>
        </w:rPr>
        <w:t>积极打造“低空+文旅”应用场景</w:t>
      </w:r>
      <w:r>
        <w:rPr>
          <w:rFonts w:hint="eastAsia" w:ascii="Times New Roman" w:hAnsi="Times New Roman" w:eastAsia="仿宋_GB2312" w:cs="Times New Roman"/>
          <w:color w:val="auto"/>
          <w:kern w:val="2"/>
          <w:sz w:val="32"/>
          <w:szCs w:val="32"/>
          <w:highlight w:val="none"/>
          <w:lang w:val="zh-TW" w:eastAsia="zh-CN" w:bidi="ar-SA"/>
        </w:rPr>
        <w:t>。前瞻性布局高铁商务、文旅康养、现代物流等高铁经济产业。适时启动高铁鹿寨北站至广西柳州汽车城、东泉的二级公路前期工作，强化区域联动，深度融入柳州北部生态新区及柳东新区一体化发展。</w:t>
      </w:r>
    </w:p>
    <w:p w14:paraId="1FBD19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b/>
          <w:bCs/>
          <w:color w:val="auto"/>
          <w:kern w:val="2"/>
          <w:sz w:val="32"/>
          <w:szCs w:val="32"/>
          <w:highlight w:val="none"/>
          <w:lang w:val="en-US" w:eastAsia="zh-CN" w:bidi="ar-SA"/>
        </w:rPr>
        <w:t>多</w:t>
      </w:r>
      <w:r>
        <w:rPr>
          <w:rFonts w:hint="eastAsia" w:ascii="Times New Roman" w:hAnsi="Times New Roman" w:eastAsia="仿宋_GB2312" w:cs="Times New Roman"/>
          <w:b/>
          <w:bCs/>
          <w:color w:val="auto"/>
          <w:kern w:val="2"/>
          <w:sz w:val="32"/>
          <w:szCs w:val="32"/>
          <w:highlight w:val="none"/>
          <w:lang w:val="zh-TW" w:eastAsia="zh-CN" w:bidi="ar-SA"/>
        </w:rPr>
        <w:t>园协同：</w:t>
      </w:r>
      <w:r>
        <w:rPr>
          <w:rFonts w:hint="eastAsia" w:ascii="Times New Roman" w:hAnsi="Times New Roman" w:eastAsia="仿宋_GB2312" w:cs="Times New Roman"/>
          <w:b w:val="0"/>
          <w:bCs w:val="0"/>
          <w:color w:val="auto"/>
          <w:kern w:val="2"/>
          <w:sz w:val="32"/>
          <w:szCs w:val="32"/>
          <w:highlight w:val="none"/>
          <w:lang w:val="zh-TW" w:eastAsia="zh-CN" w:bidi="ar-SA"/>
        </w:rPr>
        <w:t>即构建定位明确、优势互补的园区发展矩阵，推动建设错位发展、集群成链的专业化产业主阵地。</w:t>
      </w:r>
    </w:p>
    <w:p w14:paraId="4139D7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zh-TW" w:eastAsia="zh-CN" w:bidi="ar-SA"/>
        </w:rPr>
      </w:pPr>
      <w:r>
        <w:rPr>
          <w:rFonts w:hint="eastAsia" w:ascii="仿宋_GB2312" w:hAnsi="仿宋_GB2312" w:eastAsia="仿宋_GB2312" w:cs="仿宋_GB2312"/>
          <w:b/>
          <w:bCs/>
          <w:color w:val="auto"/>
          <w:sz w:val="32"/>
          <w:szCs w:val="32"/>
          <w:highlight w:val="none"/>
          <w:lang w:val="zh-TW" w:eastAsia="zh-CN"/>
        </w:rPr>
        <w:t>鹿寨中心工业园（转型升级与创新核心区）：</w:t>
      </w:r>
      <w:r>
        <w:rPr>
          <w:rFonts w:hint="eastAsia" w:ascii="仿宋_GB2312" w:hAnsi="仿宋_GB2312" w:eastAsia="仿宋_GB2312" w:cs="仿宋_GB2312"/>
          <w:b w:val="0"/>
          <w:bCs w:val="0"/>
          <w:color w:val="auto"/>
          <w:kern w:val="2"/>
          <w:sz w:val="32"/>
          <w:szCs w:val="32"/>
          <w:highlight w:val="none"/>
          <w:lang w:val="en-US" w:eastAsia="zh-CN" w:bidi="ar-SA"/>
        </w:rPr>
        <w:t>抢抓纳入国家</w:t>
      </w:r>
      <w:r>
        <w:rPr>
          <w:rFonts w:hint="eastAsia" w:ascii="仿宋_GB2312" w:hAnsi="仿宋_GB2312" w:eastAsia="仿宋_GB2312" w:cs="仿宋_GB2312"/>
          <w:b w:val="0"/>
          <w:bCs w:val="0"/>
          <w:color w:val="auto"/>
          <w:kern w:val="2"/>
          <w:sz w:val="32"/>
          <w:szCs w:val="32"/>
          <w:highlight w:val="none"/>
          <w:lang w:val="zh-TW" w:eastAsia="zh-CN" w:bidi="ar-SA"/>
        </w:rPr>
        <w:t>级高新技术产业开发区</w:t>
      </w:r>
      <w:r>
        <w:rPr>
          <w:rFonts w:hint="eastAsia" w:ascii="仿宋_GB2312" w:hAnsi="仿宋_GB2312" w:eastAsia="仿宋_GB2312" w:cs="仿宋_GB2312"/>
          <w:b w:val="0"/>
          <w:bCs w:val="0"/>
          <w:color w:val="auto"/>
          <w:kern w:val="2"/>
          <w:sz w:val="32"/>
          <w:szCs w:val="32"/>
          <w:highlight w:val="none"/>
          <w:lang w:val="en-US" w:eastAsia="zh-CN" w:bidi="ar-SA"/>
        </w:rPr>
        <w:t>机遇</w:t>
      </w:r>
      <w:r>
        <w:rPr>
          <w:rFonts w:hint="eastAsia" w:ascii="仿宋_GB2312" w:hAnsi="仿宋_GB2312" w:eastAsia="仿宋_GB2312" w:cs="仿宋_GB2312"/>
          <w:b w:val="0"/>
          <w:bCs w:val="0"/>
          <w:color w:val="auto"/>
          <w:kern w:val="2"/>
          <w:sz w:val="32"/>
          <w:szCs w:val="32"/>
          <w:highlight w:val="none"/>
          <w:lang w:val="zh-TW" w:eastAsia="zh-CN" w:bidi="ar-SA"/>
        </w:rPr>
        <w:t>，聚力发展新质生产力。重点推动绿色化工、汽车零部件等传统产业向高端化、绿色化转型，建设绿色化工、商用车共享零部件等专业化“园中园”。积极培育新能源电池材料、高端装备制造等战略性新兴产业，前瞻布局低空经济、人工智能融合应用等未来产业与场景。加快建设科创孵化器，构建良好的创新生态，全力打造创新驱动、结构优化、集约高效的现代化产业核心集聚区。</w:t>
      </w:r>
    </w:p>
    <w:p w14:paraId="34D004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lang w:val="zh-TW" w:eastAsia="zh-CN"/>
        </w:rPr>
      </w:pPr>
      <w:r>
        <w:rPr>
          <w:rFonts w:hint="eastAsia" w:ascii="仿宋_GB2312" w:hAnsi="仿宋_GB2312" w:eastAsia="仿宋_GB2312" w:cs="仿宋_GB2312"/>
          <w:b/>
          <w:bCs/>
          <w:color w:val="auto"/>
          <w:sz w:val="32"/>
          <w:szCs w:val="32"/>
          <w:highlight w:val="none"/>
          <w:lang w:val="zh-TW" w:eastAsia="zh-CN"/>
        </w:rPr>
        <w:t>广西鹿寨桂中现代林业科技产业园（国家林业产业示范园区）：</w:t>
      </w:r>
      <w:r>
        <w:rPr>
          <w:rFonts w:hint="eastAsia" w:ascii="仿宋_GB2312" w:hAnsi="仿宋_GB2312" w:eastAsia="仿宋_GB2312" w:cs="仿宋_GB2312"/>
          <w:b w:val="0"/>
          <w:bCs w:val="0"/>
          <w:color w:val="auto"/>
          <w:kern w:val="2"/>
          <w:sz w:val="32"/>
          <w:szCs w:val="32"/>
          <w:highlight w:val="none"/>
          <w:lang w:val="zh-TW" w:eastAsia="zh-CN" w:bidi="ar-SA"/>
        </w:rPr>
        <w:t>巩固提升国家林业产业示范园区能级，打造以高端定制家居、智能家具、环保建材为主的百亿级产业集群。实施“品牌引领、设计赋能、智造升级”策略，积极引进国内一线品牌和原创设计机构，设立研发设计中心，提升产品附加值与产业竞争力。深入推进“人工智能+制造”应用，建设智能工厂与柔性产线，构建从研发设计、智能制造到品牌营销、智慧物流的全产业链生态体系。强化园区综合服务功能，集成创新孵化、质量检测、展览展示、供应链金融等专业服务，形成具有全国影响力的现代林业产业创新集聚区。</w:t>
      </w:r>
    </w:p>
    <w:p w14:paraId="7714FB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u w:val="none"/>
          <w:lang w:val="zh-TW" w:eastAsia="zh-CN" w:bidi="ar-SA"/>
        </w:rPr>
      </w:pPr>
      <w:r>
        <w:rPr>
          <w:rFonts w:hint="eastAsia" w:ascii="仿宋_GB2312" w:hAnsi="仿宋_GB2312" w:eastAsia="仿宋_GB2312" w:cs="仿宋_GB2312"/>
          <w:b/>
          <w:bCs/>
          <w:color w:val="auto"/>
          <w:sz w:val="32"/>
          <w:szCs w:val="32"/>
          <w:highlight w:val="none"/>
          <w:lang w:val="zh-TW" w:eastAsia="zh-CN"/>
        </w:rPr>
        <w:t>江口港临港经济产业园（向海经济门户枢纽）</w:t>
      </w:r>
      <w:r>
        <w:rPr>
          <w:rFonts w:hint="eastAsia" w:ascii="仿宋_GB2312" w:hAnsi="仿宋_GB2312" w:eastAsia="仿宋_GB2312" w:cs="仿宋_GB2312"/>
          <w:b w:val="0"/>
          <w:bCs w:val="0"/>
          <w:color w:val="auto"/>
          <w:kern w:val="2"/>
          <w:sz w:val="32"/>
          <w:szCs w:val="32"/>
          <w:highlight w:val="none"/>
          <w:u w:val="none"/>
          <w:lang w:val="zh-TW" w:eastAsia="zh-CN" w:bidi="ar-SA"/>
        </w:rPr>
        <w:t>：立足柳州向海经济发展内河支点定位，以建设区域性多式联运枢纽和临港产业集聚区为目标，加快构建连接粤港澳大湾区、辐射西南地区、衔接“一带一路”的水陆联运大通道。着力提升江口作业区航道等级与集疏运效率，完善大宗散货、集装箱及保税物流服务功能，打造高效便捷的内河港口。坚持绿色、集约、安全发展导向，在强化环保与安全监管的前提下，推动金属表面处理等现有产业绿色化、集聚化升级。重点发展临港先进制造、出口加工、冷链物流和现代航运服务业，配套完善商业居住及公共服务功能，建设成为通江达海、港产城融合发展的现代临港新片区。</w:t>
      </w:r>
    </w:p>
    <w:p w14:paraId="061B29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u w:val="none"/>
          <w:lang w:val="zh-TW" w:eastAsia="zh-CN" w:bidi="ar-SA"/>
        </w:rPr>
      </w:pPr>
      <w:r>
        <w:rPr>
          <w:rFonts w:hint="eastAsia" w:ascii="仿宋_GB2312" w:hAnsi="仿宋_GB2312" w:eastAsia="仿宋_GB2312" w:cs="仿宋_GB2312"/>
          <w:b/>
          <w:bCs/>
          <w:color w:val="auto"/>
          <w:sz w:val="32"/>
          <w:szCs w:val="32"/>
          <w:highlight w:val="none"/>
          <w:lang w:val="zh-TW" w:eastAsia="zh-CN"/>
        </w:rPr>
        <w:t>绿色化工循环产业园（高端化与协同发展区）</w:t>
      </w:r>
      <w:r>
        <w:rPr>
          <w:rFonts w:hint="eastAsia" w:ascii="仿宋_GB2312" w:hAnsi="仿宋_GB2312" w:eastAsia="仿宋_GB2312" w:cs="仿宋_GB2312"/>
          <w:color w:val="auto"/>
          <w:sz w:val="32"/>
          <w:szCs w:val="32"/>
          <w:highlight w:val="none"/>
          <w:u w:val="none"/>
          <w:lang w:val="zh-TW" w:eastAsia="zh-CN"/>
        </w:rPr>
        <w:t>：</w:t>
      </w:r>
      <w:r>
        <w:rPr>
          <w:rFonts w:hint="eastAsia" w:ascii="仿宋_GB2312" w:hAnsi="仿宋_GB2312" w:eastAsia="仿宋_GB2312" w:cs="仿宋_GB2312"/>
          <w:color w:val="auto"/>
          <w:kern w:val="2"/>
          <w:sz w:val="32"/>
          <w:szCs w:val="32"/>
          <w:highlight w:val="none"/>
          <w:u w:val="none"/>
          <w:lang w:val="zh-TW" w:eastAsia="zh-CN" w:bidi="ar-SA"/>
        </w:rPr>
        <w:t>坚持绿色化、精细化、循环化、安全化发展导向，重点发展化工新材料、专用化学品及生物基材料，向下游延伸至高端涂料、电子化学品、车用特种材料等高附加值领域，并积极布局废旧资源再生与综合利用产业。主动嵌入区域产业链，重点承接和发展与新能源汽车、高端装备制造相配套的高性能材料、特种胶</w:t>
      </w:r>
      <w:r>
        <w:rPr>
          <w:rFonts w:hint="eastAsia" w:ascii="仿宋_GB2312" w:hAnsi="仿宋_GB2312" w:eastAsia="仿宋_GB2312" w:cs="仿宋_GB2312"/>
          <w:color w:val="auto"/>
          <w:kern w:val="2"/>
          <w:sz w:val="32"/>
          <w:szCs w:val="32"/>
          <w:highlight w:val="none"/>
          <w:u w:val="none"/>
          <w:lang w:val="en-US" w:eastAsia="zh-CN" w:bidi="ar-SA"/>
        </w:rPr>
        <w:t>黏</w:t>
      </w:r>
      <w:r>
        <w:rPr>
          <w:rFonts w:hint="eastAsia" w:ascii="仿宋_GB2312" w:hAnsi="仿宋_GB2312" w:eastAsia="仿宋_GB2312" w:cs="仿宋_GB2312"/>
          <w:color w:val="auto"/>
          <w:kern w:val="2"/>
          <w:sz w:val="32"/>
          <w:szCs w:val="32"/>
          <w:highlight w:val="none"/>
          <w:u w:val="none"/>
          <w:lang w:val="zh-TW" w:eastAsia="zh-CN" w:bidi="ar-SA"/>
        </w:rPr>
        <w:t>剂、复合材料的研发与生产。强化园区基础设施共建共享和能源梯级利用，构建从研发中试、绿色生产到循环再生的产业生态体系，打造成为柳州市产业协同与绿色转型的重要支撑节点。</w:t>
      </w:r>
    </w:p>
    <w:p w14:paraId="4805FD5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鹿寨</w:t>
      </w:r>
      <w:r>
        <w:rPr>
          <w:rFonts w:hint="eastAsia" w:ascii="仿宋_GB2312" w:hAnsi="仿宋_GB2312" w:eastAsia="仿宋_GB2312" w:cs="仿宋_GB2312"/>
          <w:b/>
          <w:bCs/>
          <w:color w:val="auto"/>
          <w:sz w:val="32"/>
          <w:szCs w:val="32"/>
          <w:highlight w:val="none"/>
          <w:u w:val="none"/>
          <w:lang w:val="zh-TW" w:eastAsia="zh-CN"/>
        </w:rPr>
        <w:t>中药</w:t>
      </w:r>
      <w:r>
        <w:rPr>
          <w:rFonts w:hint="eastAsia" w:ascii="仿宋_GB2312" w:hAnsi="仿宋_GB2312" w:eastAsia="仿宋_GB2312" w:cs="仿宋_GB2312"/>
          <w:b/>
          <w:bCs/>
          <w:color w:val="auto"/>
          <w:sz w:val="32"/>
          <w:szCs w:val="32"/>
          <w:highlight w:val="none"/>
          <w:u w:val="none"/>
          <w:lang w:val="en-US" w:eastAsia="zh-CN"/>
        </w:rPr>
        <w:t>材</w:t>
      </w:r>
      <w:r>
        <w:rPr>
          <w:rFonts w:hint="eastAsia" w:ascii="仿宋_GB2312" w:hAnsi="仿宋_GB2312" w:eastAsia="仿宋_GB2312" w:cs="仿宋_GB2312"/>
          <w:b/>
          <w:bCs/>
          <w:color w:val="auto"/>
          <w:sz w:val="32"/>
          <w:szCs w:val="32"/>
          <w:highlight w:val="none"/>
          <w:u w:val="none"/>
          <w:lang w:val="zh-TW" w:eastAsia="zh-CN"/>
        </w:rPr>
        <w:t>加工产业园（特色资源转化区）：</w:t>
      </w:r>
      <w:r>
        <w:rPr>
          <w:rFonts w:hint="eastAsia" w:ascii="仿宋_GB2312" w:hAnsi="仿宋_GB2312" w:eastAsia="仿宋_GB2312" w:cs="仿宋_GB2312"/>
          <w:b w:val="0"/>
          <w:bCs w:val="0"/>
          <w:color w:val="auto"/>
          <w:sz w:val="32"/>
          <w:szCs w:val="32"/>
          <w:highlight w:val="none"/>
          <w:u w:val="none"/>
          <w:lang w:val="zh-TW" w:eastAsia="zh-CN"/>
        </w:rPr>
        <w:t>依托鹿寨特色中药材种植基础，构建“标准化种植—精深加工—康养文旅”一体化产业体系。重点建设规范化种植示范基地、产地初加工中心、中药饮片与提取物生产线、健康产品开发平台及区域性药材交易市场。强化科技支撑，推动与柳州生物医药企业、科研院所合作，联合开发中药配方颗粒、功能性食品及康养产品。促进业态融合，以</w:t>
      </w:r>
      <w:r>
        <w:rPr>
          <w:rFonts w:hint="eastAsia" w:ascii="仿宋_GB2312" w:hAnsi="仿宋_GB2312" w:eastAsia="仿宋_GB2312" w:cs="仿宋_GB2312"/>
          <w:b w:val="0"/>
          <w:bCs w:val="0"/>
          <w:color w:val="auto"/>
          <w:sz w:val="32"/>
          <w:szCs w:val="32"/>
          <w:highlight w:val="none"/>
          <w:u w:val="none"/>
          <w:lang w:val="en-US" w:eastAsia="zh-CN"/>
        </w:rPr>
        <w:t>拉沟</w:t>
      </w:r>
      <w:r>
        <w:rPr>
          <w:rFonts w:hint="eastAsia" w:ascii="仿宋_GB2312" w:hAnsi="仿宋_GB2312" w:eastAsia="仿宋_GB2312" w:cs="仿宋_GB2312"/>
          <w:b w:val="0"/>
          <w:bCs w:val="0"/>
          <w:color w:val="auto"/>
          <w:sz w:val="32"/>
          <w:szCs w:val="32"/>
          <w:highlight w:val="none"/>
          <w:u w:val="none"/>
          <w:lang w:val="zh-TW" w:eastAsia="zh-CN"/>
        </w:rPr>
        <w:t>“药王谷”为核心载体，推动中医药文化与休闲旅游、健康养生深度融合，建设集生产加工、科技研发、交易会展、文化体验于一体的中医药特色产业集聚区。</w:t>
      </w:r>
    </w:p>
    <w:p w14:paraId="5AA114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u w:val="none"/>
          <w:lang w:val="zh-TW" w:eastAsia="zh-CN"/>
        </w:rPr>
      </w:pPr>
      <w:bookmarkStart w:id="110" w:name="_Toc1509"/>
      <w:bookmarkStart w:id="111" w:name="_Toc5521"/>
      <w:r>
        <w:rPr>
          <w:rFonts w:hint="eastAsia" w:ascii="仿宋_GB2312" w:hAnsi="仿宋_GB2312" w:eastAsia="仿宋_GB2312" w:cs="仿宋_GB2312"/>
          <w:b/>
          <w:bCs/>
          <w:color w:val="auto"/>
          <w:sz w:val="32"/>
          <w:szCs w:val="32"/>
          <w:highlight w:val="none"/>
          <w:u w:val="none"/>
          <w:lang w:val="zh-TW" w:eastAsia="zh-CN"/>
        </w:rPr>
        <w:t>农产品精深加工产业园（三产融合发展区）：</w:t>
      </w:r>
      <w:r>
        <w:rPr>
          <w:rFonts w:hint="eastAsia" w:ascii="仿宋_GB2312" w:hAnsi="仿宋_GB2312" w:eastAsia="仿宋_GB2312" w:cs="仿宋_GB2312"/>
          <w:b w:val="0"/>
          <w:bCs w:val="0"/>
          <w:color w:val="auto"/>
          <w:kern w:val="2"/>
          <w:sz w:val="32"/>
          <w:szCs w:val="32"/>
          <w:highlight w:val="none"/>
          <w:u w:val="none"/>
          <w:lang w:val="zh-TW" w:eastAsia="zh-CN" w:bidi="ar-SA"/>
        </w:rPr>
        <w:t>以建设三产融合发展平台为目标，立足鹿寨优质桑蚕、特色水果、蔬菜、甘蔗、畜禽及粮食等资源优势，实施“以工促农、全链发展”战略。重点构建以桑蚕丝绸、</w:t>
      </w:r>
      <w:r>
        <w:rPr>
          <w:rFonts w:hint="eastAsia" w:ascii="仿宋_GB2312" w:hAnsi="仿宋_GB2312" w:eastAsia="仿宋_GB2312" w:cs="仿宋_GB2312"/>
          <w:b w:val="0"/>
          <w:bCs w:val="0"/>
          <w:color w:val="auto"/>
          <w:kern w:val="2"/>
          <w:sz w:val="32"/>
          <w:szCs w:val="32"/>
          <w:highlight w:val="none"/>
          <w:u w:val="none"/>
          <w:lang w:val="en-US" w:eastAsia="zh-CN" w:bidi="ar-SA"/>
        </w:rPr>
        <w:t>农</w:t>
      </w:r>
      <w:r>
        <w:rPr>
          <w:rFonts w:hint="eastAsia" w:ascii="仿宋_GB2312" w:hAnsi="仿宋_GB2312" w:eastAsia="仿宋_GB2312" w:cs="仿宋_GB2312"/>
          <w:b w:val="0"/>
          <w:bCs w:val="0"/>
          <w:color w:val="auto"/>
          <w:kern w:val="2"/>
          <w:sz w:val="32"/>
          <w:szCs w:val="32"/>
          <w:highlight w:val="none"/>
          <w:u w:val="none"/>
          <w:lang w:val="zh-TW" w:eastAsia="zh-CN" w:bidi="ar-SA"/>
        </w:rPr>
        <w:t>果蔬</w:t>
      </w:r>
      <w:r>
        <w:rPr>
          <w:rFonts w:hint="eastAsia" w:ascii="仿宋_GB2312" w:hAnsi="仿宋_GB2312" w:eastAsia="仿宋_GB2312" w:cs="仿宋_GB2312"/>
          <w:b w:val="0"/>
          <w:bCs w:val="0"/>
          <w:color w:val="auto"/>
          <w:kern w:val="2"/>
          <w:sz w:val="32"/>
          <w:szCs w:val="32"/>
          <w:highlight w:val="none"/>
          <w:u w:val="none"/>
          <w:lang w:val="en-US" w:eastAsia="zh-CN" w:bidi="ar-SA"/>
        </w:rPr>
        <w:t>食品</w:t>
      </w:r>
      <w:r>
        <w:rPr>
          <w:rFonts w:hint="eastAsia" w:ascii="仿宋_GB2312" w:hAnsi="仿宋_GB2312" w:eastAsia="仿宋_GB2312" w:cs="仿宋_GB2312"/>
          <w:b w:val="0"/>
          <w:bCs w:val="0"/>
          <w:color w:val="auto"/>
          <w:kern w:val="2"/>
          <w:sz w:val="32"/>
          <w:szCs w:val="32"/>
          <w:highlight w:val="none"/>
          <w:u w:val="none"/>
          <w:lang w:val="zh-TW" w:eastAsia="zh-CN" w:bidi="ar-SA"/>
        </w:rPr>
        <w:t>、特色粮油、根茎类为主的精深加工体系，配套建设标准化原料基地、冷链物流枢纽、农产品质量检验检测中心和电商直播基地。强化科技赋能与品牌引领，推动“智慧农业+订单生产+精深加工+冷链配送+品牌营销”全链条融合发展，建立“企业+合作社+农户”利益联结机制，提升农产品附加值，促进农业增效与农民增收，打造集生产加工、科技研发、物流集散、体验展示于一体的现代农业产业集聚区。</w:t>
      </w:r>
    </w:p>
    <w:p w14:paraId="72113784">
      <w:pPr>
        <w:pStyle w:val="53"/>
        <w:bidi w:val="0"/>
        <w:spacing w:line="240" w:lineRule="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drawing>
          <wp:inline distT="0" distB="0" distL="114300" distR="114300">
            <wp:extent cx="5411470" cy="4185920"/>
            <wp:effectExtent l="0" t="0" r="17780" b="5080"/>
            <wp:docPr id="1" name="图片 1" descr="工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工业"/>
                    <pic:cNvPicPr>
                      <a:picLocks noChangeAspect="1"/>
                    </pic:cNvPicPr>
                  </pic:nvPicPr>
                  <pic:blipFill>
                    <a:blip r:embed="rId9"/>
                    <a:srcRect t="45" r="5417"/>
                    <a:stretch>
                      <a:fillRect/>
                    </a:stretch>
                  </pic:blipFill>
                  <pic:spPr>
                    <a:xfrm>
                      <a:off x="0" y="0"/>
                      <a:ext cx="5411470" cy="4185920"/>
                    </a:xfrm>
                    <a:prstGeom prst="rect">
                      <a:avLst/>
                    </a:prstGeom>
                  </pic:spPr>
                </pic:pic>
              </a:graphicData>
            </a:graphic>
          </wp:inline>
        </w:drawing>
      </w:r>
    </w:p>
    <w:p w14:paraId="3A7BDD2E">
      <w:pPr>
        <w:pStyle w:val="53"/>
        <w:bidi w:val="0"/>
        <w:rPr>
          <w:rFonts w:hint="default" w:ascii="Times New Roman" w:hAnsi="Times New Roman" w:eastAsia="仿宋_GB2312" w:cs="Times New Roman"/>
          <w:color w:val="auto"/>
          <w:sz w:val="32"/>
          <w:szCs w:val="32"/>
          <w:highlight w:val="none"/>
          <w:lang w:val="en-US" w:eastAsia="zh-CN"/>
        </w:rPr>
      </w:pPr>
    </w:p>
    <w:p w14:paraId="4A08A56B">
      <w:pPr>
        <w:pStyle w:val="53"/>
        <w:bidi w:val="0"/>
        <w:rPr>
          <w:rFonts w:hint="eastAsia"/>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图3-1</w:t>
      </w:r>
      <w:r>
        <w:rPr>
          <w:rFonts w:hint="eastAsia" w:asci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鹿寨县工业发展布局图</w:t>
      </w:r>
    </w:p>
    <w:p w14:paraId="16FA24F3">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仿宋_GB2312" w:hAnsi="仿宋_GB2312" w:eastAsia="仿宋_GB2312" w:cs="仿宋_GB2312"/>
          <w:b w:val="0"/>
          <w:bCs/>
          <w:color w:val="auto"/>
          <w:kern w:val="2"/>
          <w:szCs w:val="32"/>
          <w:highlight w:val="none"/>
          <w:lang w:val="en-US" w:eastAsia="zh-CN" w:bidi="ar-SA"/>
        </w:rPr>
      </w:pPr>
      <w:bookmarkStart w:id="112" w:name="_Toc20003"/>
      <w:bookmarkStart w:id="113" w:name="_Toc23825"/>
      <w:r>
        <w:rPr>
          <w:rFonts w:hint="eastAsia" w:ascii="黑体" w:hAnsi="黑体" w:eastAsia="黑体" w:cs="黑体"/>
          <w:b w:val="0"/>
          <w:bCs/>
          <w:color w:val="auto"/>
          <w:sz w:val="36"/>
          <w:szCs w:val="36"/>
          <w:highlight w:val="none"/>
          <w:lang w:val="en-US" w:eastAsia="zh-CN"/>
        </w:rPr>
        <w:t>第二节</w:t>
      </w:r>
      <w:bookmarkEnd w:id="105"/>
      <w:r>
        <w:rPr>
          <w:rFonts w:hint="eastAsia" w:ascii="黑体" w:hAnsi="黑体" w:eastAsia="黑体" w:cs="黑体"/>
          <w:b w:val="0"/>
          <w:bCs/>
          <w:color w:val="auto"/>
          <w:sz w:val="36"/>
          <w:szCs w:val="36"/>
          <w:highlight w:val="none"/>
          <w:lang w:val="en-US" w:eastAsia="zh-CN"/>
        </w:rPr>
        <w:t xml:space="preserve"> </w:t>
      </w:r>
      <w:r>
        <w:rPr>
          <w:rFonts w:hint="eastAsia" w:ascii="黑体" w:hAnsi="黑体" w:cs="黑体"/>
          <w:b w:val="0"/>
          <w:bCs/>
          <w:color w:val="auto"/>
          <w:sz w:val="36"/>
          <w:szCs w:val="36"/>
          <w:highlight w:val="none"/>
          <w:lang w:val="en-US" w:eastAsia="zh-CN"/>
        </w:rPr>
        <w:t xml:space="preserve"> </w:t>
      </w:r>
      <w:bookmarkEnd w:id="110"/>
      <w:bookmarkEnd w:id="111"/>
      <w:r>
        <w:rPr>
          <w:rFonts w:hint="eastAsia" w:ascii="黑体" w:hAnsi="黑体" w:cs="黑体"/>
          <w:b w:val="0"/>
          <w:bCs/>
          <w:color w:val="auto"/>
          <w:sz w:val="36"/>
          <w:szCs w:val="36"/>
          <w:highlight w:val="none"/>
          <w:lang w:val="en-US" w:eastAsia="zh-CN"/>
        </w:rPr>
        <w:t>构建现代化产业体系</w:t>
      </w:r>
      <w:bookmarkEnd w:id="112"/>
      <w:bookmarkEnd w:id="113"/>
    </w:p>
    <w:p w14:paraId="40A2D0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围绕构建以先进制造业为骨干的“</w:t>
      </w:r>
      <w:r>
        <w:rPr>
          <w:rFonts w:hint="eastAsia" w:ascii="Times New Roman" w:hAnsi="Times New Roman" w:eastAsia="仿宋_GB2312" w:cs="仿宋_GB2312"/>
          <w:b w:val="0"/>
          <w:bCs w:val="0"/>
          <w:color w:val="auto"/>
          <w:kern w:val="2"/>
          <w:sz w:val="32"/>
          <w:szCs w:val="32"/>
          <w:highlight w:val="none"/>
          <w:lang w:val="en-US" w:eastAsia="zh-CN" w:bidi="ar-SA"/>
        </w:rPr>
        <w:t>2311</w:t>
      </w:r>
      <w:r>
        <w:rPr>
          <w:rFonts w:hint="eastAsia" w:ascii="仿宋_GB2312" w:hAnsi="仿宋_GB2312" w:eastAsia="仿宋_GB2312" w:cs="仿宋_GB2312"/>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3"/>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现代化产业体系，统筹推动产业能级跃升、结构优化与开放协同，推动创新链、产业链、供应链深度融合，提升区域产业竞争力。</w:t>
      </w:r>
    </w:p>
    <w:p w14:paraId="7F7E3E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pacing w:val="0"/>
          <w:kern w:val="2"/>
          <w:sz w:val="32"/>
          <w:szCs w:val="32"/>
          <w:highlight w:val="none"/>
          <w:lang w:val="en-US" w:eastAsia="zh-CN" w:bidi="ar-SA"/>
        </w:rPr>
      </w:pPr>
      <w:r>
        <w:rPr>
          <w:rFonts w:hint="eastAsia" w:ascii="楷体_GB2312" w:hAnsi="楷体_GB2312" w:eastAsia="楷体_GB2312" w:cs="楷体_GB2312"/>
          <w:b/>
          <w:bCs/>
          <w:color w:val="auto"/>
          <w:spacing w:val="0"/>
          <w:kern w:val="2"/>
          <w:sz w:val="32"/>
          <w:szCs w:val="32"/>
          <w:highlight w:val="none"/>
          <w:lang w:val="en-US" w:eastAsia="zh-CN" w:bidi="ar-SA"/>
        </w:rPr>
        <w:t>打造</w:t>
      </w:r>
      <w:r>
        <w:rPr>
          <w:rFonts w:hint="eastAsia" w:ascii="Times New Roman" w:hAnsi="Times New Roman" w:eastAsia="楷体_GB2312" w:cs="楷体_GB2312"/>
          <w:b/>
          <w:bCs/>
          <w:color w:val="auto"/>
          <w:spacing w:val="0"/>
          <w:kern w:val="2"/>
          <w:sz w:val="32"/>
          <w:szCs w:val="32"/>
          <w:highlight w:val="none"/>
          <w:lang w:val="en-US" w:eastAsia="zh-CN" w:bidi="ar-SA"/>
        </w:rPr>
        <w:t>2</w:t>
      </w:r>
      <w:r>
        <w:rPr>
          <w:rFonts w:hint="eastAsia" w:ascii="楷体_GB2312" w:hAnsi="楷体_GB2312" w:eastAsia="楷体_GB2312" w:cs="楷体_GB2312"/>
          <w:b/>
          <w:bCs/>
          <w:color w:val="auto"/>
          <w:spacing w:val="0"/>
          <w:kern w:val="2"/>
          <w:sz w:val="32"/>
          <w:szCs w:val="32"/>
          <w:highlight w:val="none"/>
          <w:lang w:val="en-US" w:eastAsia="zh-CN" w:bidi="ar-SA"/>
        </w:rPr>
        <w:t>个百亿级支柱产业集群：</w:t>
      </w:r>
    </w:p>
    <w:p w14:paraId="6C336DF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sz w:val="32"/>
          <w:szCs w:val="32"/>
          <w:highlight w:val="none"/>
          <w:lang w:val="en-US" w:eastAsia="zh-CN"/>
        </w:rPr>
        <w:t>推动</w:t>
      </w:r>
      <w:r>
        <w:rPr>
          <w:rFonts w:hint="eastAsia" w:ascii="仿宋_GB2312" w:hAnsi="仿宋_GB2312" w:eastAsia="仿宋_GB2312" w:cs="仿宋_GB2312"/>
          <w:b/>
          <w:bCs/>
          <w:color w:val="auto"/>
          <w:spacing w:val="0"/>
          <w:sz w:val="32"/>
          <w:szCs w:val="32"/>
          <w:highlight w:val="none"/>
          <w:lang w:eastAsia="zh-CN"/>
        </w:rPr>
        <w:t>高端绿色家居产业</w:t>
      </w:r>
      <w:r>
        <w:rPr>
          <w:rFonts w:hint="eastAsia" w:ascii="仿宋_GB2312" w:hAnsi="仿宋_GB2312" w:eastAsia="仿宋_GB2312" w:cs="仿宋_GB2312"/>
          <w:b/>
          <w:bCs/>
          <w:color w:val="auto"/>
          <w:spacing w:val="0"/>
          <w:sz w:val="32"/>
          <w:szCs w:val="32"/>
          <w:highlight w:val="none"/>
          <w:lang w:val="en-US" w:eastAsia="zh-CN"/>
        </w:rPr>
        <w:t>迈向价值链高端</w:t>
      </w:r>
      <w:r>
        <w:rPr>
          <w:rFonts w:hint="eastAsia" w:ascii="仿宋_GB2312" w:hAnsi="仿宋_GB2312" w:eastAsia="仿宋_GB2312" w:cs="仿宋_GB2312"/>
          <w:b/>
          <w:bCs/>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highlight w:val="none"/>
          <w:lang w:eastAsia="zh-CN"/>
        </w:rPr>
        <w:t>以广西桂中现代林业科技产业园为核心</w:t>
      </w:r>
      <w:r>
        <w:rPr>
          <w:rFonts w:hint="eastAsia" w:ascii="仿宋_GB2312" w:hAnsi="仿宋_GB2312" w:eastAsia="仿宋_GB2312" w:cs="仿宋_GB2312"/>
          <w:b w:val="0"/>
          <w:bCs w:val="0"/>
          <w:color w:val="auto"/>
          <w:spacing w:val="0"/>
          <w:sz w:val="32"/>
          <w:szCs w:val="32"/>
          <w:highlight w:val="none"/>
          <w:lang w:val="en-US" w:eastAsia="zh-CN"/>
        </w:rPr>
        <w:t>载体</w:t>
      </w:r>
      <w:r>
        <w:rPr>
          <w:rFonts w:hint="eastAsia" w:ascii="仿宋_GB2312" w:hAnsi="仿宋_GB2312" w:eastAsia="仿宋_GB2312" w:cs="仿宋_GB2312"/>
          <w:b w:val="0"/>
          <w:bCs w:val="0"/>
          <w:color w:val="auto"/>
          <w:spacing w:val="0"/>
          <w:sz w:val="32"/>
          <w:szCs w:val="32"/>
          <w:highlight w:val="none"/>
          <w:lang w:eastAsia="zh-CN"/>
        </w:rPr>
        <w:t>，</w:t>
      </w:r>
      <w:r>
        <w:rPr>
          <w:rFonts w:hint="eastAsia" w:ascii="仿宋_GB2312" w:hAnsi="仿宋_GB2312" w:eastAsia="仿宋_GB2312" w:cs="仿宋_GB2312"/>
          <w:b w:val="0"/>
          <w:bCs w:val="0"/>
          <w:color w:val="auto"/>
          <w:spacing w:val="0"/>
          <w:kern w:val="2"/>
          <w:sz w:val="32"/>
          <w:szCs w:val="32"/>
          <w:highlight w:val="none"/>
          <w:lang w:val="en-US" w:eastAsia="zh-CN" w:bidi="ar-SA"/>
        </w:rPr>
        <w:t>构建“种植—加工—制造—服务”全产业链条，推动产业从“板材”向“型材”、从“制造”向“智造”全面升级。重点依托与中国林科院共建的“双中试平台”，集中突破桉木改性、环保胶黏剂、高性能木质复合材料等关键技术，推动产品向定制家居、智能家具、木结构建筑等高附加值终端领域延伸。完善从旋切单板到高端家居的全链条供应链体系，建设配套初级加工项目，开展靶向招商，支持龙头企业实施智能化改造与智慧工厂建设。健全产业服务体系，整合“桂中数智木链”等平台资源，打造辐射区域的“互联网+木材”信息与交易平台，加强区域公共品牌与企业品牌培育。全面推进绿色转型，推广低碳工艺与林业剩余物资源化利用，构建绿色循环产业生态，大力推进“以竹代塑”</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endnoteReference w:id="4"/>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，开发竹木复合新材料，重点培育装配式木结构建筑产业，拓展竹木复合新材料市场。积极推进</w:t>
      </w:r>
      <w:r>
        <w:rPr>
          <w:rFonts w:hint="eastAsia" w:ascii="Times New Roman" w:hAnsi="Times New Roman" w:eastAsia="仿宋_GB2312" w:cs="仿宋_GB2312"/>
          <w:b w:val="0"/>
          <w:bCs w:val="0"/>
          <w:color w:val="auto"/>
          <w:spacing w:val="0"/>
          <w:kern w:val="2"/>
          <w:sz w:val="32"/>
          <w:szCs w:val="32"/>
          <w:highlight w:val="none"/>
          <w:lang w:val="en-US" w:eastAsia="zh-CN" w:bidi="ar-SA"/>
        </w:rPr>
        <w:t>FSC</w:t>
      </w:r>
      <w:r>
        <w:rPr>
          <w:rFonts w:hint="eastAsia" w:ascii="仿宋_GB2312" w:hAnsi="仿宋_GB2312" w:eastAsia="仿宋_GB2312" w:cs="仿宋_GB2312"/>
          <w:b w:val="0"/>
          <w:bCs w:val="0"/>
          <w:color w:val="auto"/>
          <w:spacing w:val="0"/>
          <w:kern w:val="2"/>
          <w:sz w:val="32"/>
          <w:szCs w:val="32"/>
          <w:highlight w:val="none"/>
          <w:lang w:val="en-US" w:eastAsia="zh-CN" w:bidi="ar-SA"/>
        </w:rPr>
        <w:t>森林认证</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endnoteReference w:id="5"/>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，将可持续森林经营与国际市场准入相结合，以认证赋能产业链绿色升级。力争到</w:t>
      </w:r>
      <w:r>
        <w:rPr>
          <w:rFonts w:hint="eastAsia" w:ascii="Times New Roman" w:hAnsi="Times New Roman" w:eastAsia="仿宋_GB2312" w:cs="Times New Roman"/>
          <w:b w:val="0"/>
          <w:bCs w:val="0"/>
          <w:color w:val="auto"/>
          <w:spacing w:val="0"/>
          <w:kern w:val="2"/>
          <w:sz w:val="32"/>
          <w:szCs w:val="32"/>
          <w:highlight w:val="none"/>
          <w:lang w:val="en-US" w:eastAsia="zh-CN" w:bidi="ar-SA"/>
        </w:rPr>
        <w:t>2030</w:t>
      </w:r>
      <w:r>
        <w:rPr>
          <w:rFonts w:hint="eastAsia" w:ascii="仿宋_GB2312" w:hAnsi="仿宋_GB2312" w:eastAsia="仿宋_GB2312" w:cs="仿宋_GB2312"/>
          <w:b w:val="0"/>
          <w:bCs w:val="0"/>
          <w:color w:val="auto"/>
          <w:spacing w:val="0"/>
          <w:kern w:val="2"/>
          <w:sz w:val="32"/>
          <w:szCs w:val="32"/>
          <w:highlight w:val="none"/>
          <w:lang w:val="en-US" w:eastAsia="zh-CN" w:bidi="ar-SA"/>
        </w:rPr>
        <w:t>年，培育形成多家链主企业与骨干企业，推动产业集群产值突破百亿元，建成具有全国影响力的高端绿色家居产业集群。</w:t>
      </w:r>
    </w:p>
    <w:p w14:paraId="67DEF8B8">
      <w:pPr>
        <w:pStyle w:val="2"/>
        <w:rPr>
          <w:rFonts w:hint="eastAsia"/>
          <w:color w:val="auto"/>
          <w:highlight w:val="none"/>
          <w:lang w:val="en-US" w:eastAsia="zh-CN"/>
        </w:rPr>
      </w:pPr>
    </w:p>
    <w:tbl>
      <w:tblPr>
        <w:tblStyle w:val="21"/>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9"/>
      </w:tblGrid>
      <w:tr w14:paraId="4937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8769" w:type="dxa"/>
            <w:vAlign w:val="center"/>
          </w:tcPr>
          <w:p w14:paraId="7CFDFEFF">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eastAsia" w:ascii="Times New Roman" w:cs="Times New Roman"/>
                <w:b w:val="0"/>
                <w:bCs w:val="0"/>
                <w:color w:val="auto"/>
                <w:highlight w:val="none"/>
                <w:lang w:val="en-US" w:eastAsia="zh-CN"/>
              </w:rPr>
              <w:t>1：</w:t>
            </w:r>
            <w:r>
              <w:rPr>
                <w:rFonts w:hint="default" w:ascii="Times New Roman" w:hAnsi="Times New Roman" w:eastAsia="方正小标宋简体" w:cs="Times New Roman"/>
                <w:b w:val="0"/>
                <w:bCs w:val="0"/>
                <w:color w:val="auto"/>
                <w:sz w:val="28"/>
                <w:szCs w:val="28"/>
                <w:highlight w:val="none"/>
                <w:lang w:val="en-US" w:eastAsia="zh-CN"/>
              </w:rPr>
              <w:t>高端绿色家居产业重点项目</w:t>
            </w:r>
          </w:p>
        </w:tc>
      </w:tr>
      <w:tr w14:paraId="7984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8769" w:type="dxa"/>
          </w:tcPr>
          <w:p w14:paraId="53FEC73A">
            <w:pPr>
              <w:pStyle w:val="54"/>
              <w:keepNext/>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基础设施</w:t>
            </w:r>
            <w:r>
              <w:rPr>
                <w:rFonts w:hint="eastAsia" w:ascii="仿宋_GB2312" w:hAnsi="仿宋_GB2312" w:eastAsia="仿宋_GB2312" w:cs="仿宋_GB2312"/>
                <w:b/>
                <w:bCs w:val="0"/>
                <w:color w:val="auto"/>
                <w:sz w:val="28"/>
                <w:szCs w:val="28"/>
                <w:highlight w:val="none"/>
                <w:lang w:val="en-US" w:eastAsia="zh-CN"/>
              </w:rPr>
              <w:t>与平台</w:t>
            </w:r>
            <w:r>
              <w:rPr>
                <w:rFonts w:hint="eastAsia" w:ascii="仿宋_GB2312" w:hAnsi="仿宋_GB2312" w:cs="仿宋_GB2312"/>
                <w:b/>
                <w:bCs w:val="0"/>
                <w:color w:val="auto"/>
                <w:sz w:val="28"/>
                <w:szCs w:val="28"/>
                <w:highlight w:val="none"/>
                <w:lang w:val="en-US" w:eastAsia="zh-CN"/>
              </w:rPr>
              <w:t>建设</w:t>
            </w:r>
            <w:r>
              <w:rPr>
                <w:rFonts w:hint="eastAsia" w:ascii="仿宋_GB2312" w:hAnsi="仿宋_GB2312" w:eastAsia="仿宋_GB2312" w:cs="仿宋_GB2312"/>
                <w:b/>
                <w:bCs w:val="0"/>
                <w:color w:val="auto"/>
                <w:sz w:val="28"/>
                <w:szCs w:val="28"/>
                <w:highlight w:val="none"/>
                <w:lang w:val="en-US" w:eastAsia="zh-CN"/>
              </w:rPr>
              <w:t>：</w:t>
            </w:r>
            <w:r>
              <w:rPr>
                <w:rFonts w:hint="eastAsia" w:ascii="仿宋_GB2312" w:hAnsi="仿宋_GB2312" w:cs="仿宋_GB2312"/>
                <w:b w:val="0"/>
                <w:bCs/>
                <w:color w:val="auto"/>
                <w:sz w:val="28"/>
                <w:szCs w:val="28"/>
                <w:highlight w:val="none"/>
                <w:lang w:val="en-US" w:eastAsia="zh-CN"/>
              </w:rPr>
              <w:t>完善林业产业园区经三路、“一纵三横”道路等配套基础设施，推进</w:t>
            </w:r>
            <w:r>
              <w:rPr>
                <w:rFonts w:hint="eastAsia" w:ascii="仿宋_GB2312" w:hAnsi="仿宋_GB2312" w:eastAsia="仿宋_GB2312" w:cs="仿宋_GB2312"/>
                <w:b w:val="0"/>
                <w:bCs/>
                <w:color w:val="auto"/>
                <w:sz w:val="28"/>
                <w:szCs w:val="28"/>
                <w:highlight w:val="none"/>
                <w:lang w:val="en-US" w:eastAsia="zh-CN"/>
              </w:rPr>
              <w:t>智慧林业零碳循环产业园（含交易中心</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信息平台）</w:t>
            </w:r>
            <w:r>
              <w:rPr>
                <w:rFonts w:hint="eastAsia" w:ascii="仿宋_GB2312" w:hAnsi="仿宋_GB2312" w:cs="仿宋_GB2312"/>
                <w:b w:val="0"/>
                <w:bCs/>
                <w:color w:val="auto"/>
                <w:sz w:val="28"/>
                <w:szCs w:val="28"/>
                <w:highlight w:val="none"/>
                <w:lang w:val="en-US" w:eastAsia="zh-CN"/>
              </w:rPr>
              <w:t>、研发中心“双中试”平台等项目；谋划</w:t>
            </w:r>
            <w:r>
              <w:rPr>
                <w:rFonts w:hint="eastAsia" w:ascii="仿宋_GB2312" w:hAnsi="仿宋_GB2312" w:eastAsia="仿宋_GB2312" w:cs="仿宋_GB2312"/>
                <w:b w:val="0"/>
                <w:bCs/>
                <w:color w:val="auto"/>
                <w:sz w:val="28"/>
                <w:szCs w:val="28"/>
                <w:highlight w:val="none"/>
                <w:lang w:val="en-US" w:eastAsia="zh-CN"/>
              </w:rPr>
              <w:t>林业产业园区综合服务平台</w:t>
            </w:r>
            <w:r>
              <w:rPr>
                <w:rFonts w:hint="eastAsia" w:ascii="仿宋_GB2312" w:hAnsi="仿宋_GB2312" w:cs="仿宋_GB2312"/>
                <w:b w:val="0"/>
                <w:bCs/>
                <w:color w:val="auto"/>
                <w:sz w:val="28"/>
                <w:szCs w:val="28"/>
                <w:highlight w:val="none"/>
                <w:lang w:val="en-US" w:eastAsia="zh-CN"/>
              </w:rPr>
              <w:t>、桉木改性窗型材量产线等项目。</w:t>
            </w:r>
          </w:p>
          <w:p w14:paraId="04F703E3">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产业升级与智能制造：</w:t>
            </w:r>
            <w:r>
              <w:rPr>
                <w:rFonts w:hint="eastAsia" w:ascii="仿宋_GB2312" w:hAnsi="仿宋_GB2312" w:cs="仿宋_GB2312"/>
                <w:b w:val="0"/>
                <w:bCs/>
                <w:color w:val="auto"/>
                <w:sz w:val="28"/>
                <w:szCs w:val="28"/>
                <w:highlight w:val="none"/>
                <w:lang w:val="en-US" w:eastAsia="zh-CN"/>
              </w:rPr>
              <w:t>推进</w:t>
            </w:r>
            <w:r>
              <w:rPr>
                <w:rFonts w:hint="eastAsia" w:ascii="仿宋_GB2312" w:hAnsi="仿宋_GB2312" w:eastAsia="仿宋_GB2312" w:cs="仿宋_GB2312"/>
                <w:b w:val="0"/>
                <w:bCs/>
                <w:color w:val="auto"/>
                <w:sz w:val="28"/>
                <w:szCs w:val="28"/>
                <w:highlight w:val="none"/>
                <w:lang w:val="en-US" w:eastAsia="zh-CN"/>
              </w:rPr>
              <w:t>特种纸</w:t>
            </w:r>
            <w:r>
              <w:rPr>
                <w:rFonts w:hint="eastAsia" w:ascii="仿宋_GB2312" w:hAnsi="仿宋_GB2312" w:cs="仿宋_GB2312"/>
                <w:b w:val="0"/>
                <w:bCs/>
                <w:color w:val="auto"/>
                <w:sz w:val="28"/>
                <w:szCs w:val="28"/>
                <w:highlight w:val="none"/>
                <w:lang w:val="en-US" w:eastAsia="zh-CN"/>
              </w:rPr>
              <w:t>业</w:t>
            </w:r>
            <w:r>
              <w:rPr>
                <w:rFonts w:hint="eastAsia" w:ascii="仿宋_GB2312" w:hAnsi="仿宋_GB2312" w:eastAsia="仿宋_GB2312" w:cs="仿宋_GB2312"/>
                <w:b w:val="0"/>
                <w:bCs/>
                <w:color w:val="auto"/>
                <w:sz w:val="28"/>
                <w:szCs w:val="28"/>
                <w:highlight w:val="none"/>
                <w:lang w:val="en-US" w:eastAsia="zh-CN"/>
              </w:rPr>
              <w:t>、</w:t>
            </w:r>
            <w:r>
              <w:rPr>
                <w:rFonts w:hint="eastAsia" w:ascii="仿宋_GB2312" w:hAnsi="仿宋_GB2312" w:cs="仿宋_GB2312"/>
                <w:b w:val="0"/>
                <w:bCs/>
                <w:color w:val="auto"/>
                <w:sz w:val="28"/>
                <w:szCs w:val="28"/>
                <w:highlight w:val="none"/>
                <w:lang w:val="en-US" w:eastAsia="zh-CN"/>
              </w:rPr>
              <w:t>成品家居、</w:t>
            </w:r>
            <w:r>
              <w:rPr>
                <w:rFonts w:hint="eastAsia" w:ascii="仿宋_GB2312" w:hAnsi="仿宋_GB2312" w:eastAsia="仿宋_GB2312" w:cs="仿宋_GB2312"/>
                <w:b w:val="0"/>
                <w:bCs/>
                <w:color w:val="auto"/>
                <w:sz w:val="28"/>
                <w:szCs w:val="28"/>
                <w:highlight w:val="none"/>
                <w:lang w:val="en-US" w:eastAsia="zh-CN"/>
              </w:rPr>
              <w:t>低产林改造与原料保障工程</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人造饰面板项目</w:t>
            </w:r>
            <w:r>
              <w:rPr>
                <w:rFonts w:hint="eastAsia" w:ascii="仿宋_GB2312" w:hAnsi="仿宋_GB2312" w:cs="仿宋_GB2312"/>
                <w:b w:val="0"/>
                <w:bCs/>
                <w:color w:val="auto"/>
                <w:sz w:val="28"/>
                <w:szCs w:val="28"/>
                <w:highlight w:val="none"/>
                <w:lang w:val="en-US" w:eastAsia="zh-CN"/>
              </w:rPr>
              <w:t>、</w:t>
            </w:r>
            <w:r>
              <w:rPr>
                <w:rFonts w:hint="default" w:ascii="Times New Roman" w:hAnsi="Times New Roman" w:eastAsia="仿宋_GB2312" w:cs="Times New Roman"/>
                <w:b w:val="0"/>
                <w:bCs/>
                <w:color w:val="auto"/>
                <w:sz w:val="28"/>
                <w:szCs w:val="28"/>
                <w:highlight w:val="none"/>
                <w:lang w:val="en-US" w:eastAsia="zh-CN"/>
              </w:rPr>
              <w:t>LVL</w:t>
            </w:r>
            <w:r>
              <w:rPr>
                <w:rFonts w:hint="eastAsia" w:ascii="仿宋_GB2312" w:hAnsi="仿宋_GB2312" w:eastAsia="仿宋_GB2312" w:cs="仿宋_GB2312"/>
                <w:b w:val="0"/>
                <w:bCs/>
                <w:color w:val="auto"/>
                <w:sz w:val="28"/>
                <w:szCs w:val="28"/>
                <w:highlight w:val="none"/>
                <w:lang w:val="en-US" w:eastAsia="zh-CN"/>
              </w:rPr>
              <w:t>单板层积材配套项目</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桂中现代林业产业园配套旋切基地</w:t>
            </w:r>
            <w:r>
              <w:rPr>
                <w:rFonts w:hint="eastAsia" w:ascii="仿宋_GB2312" w:hAnsi="仿宋_GB2312" w:cs="仿宋_GB2312"/>
                <w:b w:val="0"/>
                <w:bCs/>
                <w:color w:val="auto"/>
                <w:sz w:val="28"/>
                <w:szCs w:val="28"/>
                <w:highlight w:val="none"/>
                <w:lang w:val="en-US" w:eastAsia="zh-CN"/>
              </w:rPr>
              <w:t>等项目；谋划</w:t>
            </w:r>
            <w:r>
              <w:rPr>
                <w:rFonts w:hint="eastAsia" w:ascii="仿宋_GB2312" w:hAnsi="仿宋_GB2312" w:eastAsia="仿宋_GB2312" w:cs="仿宋_GB2312"/>
                <w:b w:val="0"/>
                <w:bCs/>
                <w:color w:val="auto"/>
                <w:sz w:val="28"/>
                <w:szCs w:val="28"/>
                <w:highlight w:val="none"/>
                <w:lang w:val="en-US" w:eastAsia="zh-CN"/>
              </w:rPr>
              <w:t>龙头企业智慧工厂改造升级</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高端智能家居产品控制电路设计制造</w:t>
            </w:r>
            <w:r>
              <w:rPr>
                <w:rFonts w:hint="eastAsia" w:ascii="仿宋_GB2312" w:hAnsi="仿宋_GB2312" w:cs="仿宋_GB2312"/>
                <w:b w:val="0"/>
                <w:bCs/>
                <w:color w:val="auto"/>
                <w:sz w:val="28"/>
                <w:szCs w:val="28"/>
                <w:highlight w:val="none"/>
                <w:lang w:val="en-US" w:eastAsia="zh-CN"/>
              </w:rPr>
              <w:t>、</w:t>
            </w:r>
            <w:r>
              <w:rPr>
                <w:rFonts w:hint="eastAsia" w:ascii="Times New Roman" w:hAnsi="Times New Roman" w:eastAsia="仿宋_GB2312" w:cs="Times New Roman"/>
                <w:color w:val="auto"/>
                <w:kern w:val="2"/>
                <w:sz w:val="28"/>
                <w:szCs w:val="28"/>
                <w:highlight w:val="none"/>
                <w:lang w:val="en-US" w:eastAsia="zh-CN" w:bidi="th-TH"/>
              </w:rPr>
              <w:t>装配式木结构</w:t>
            </w:r>
            <w:r>
              <w:rPr>
                <w:rFonts w:hint="eastAsia" w:ascii="Times New Roman" w:hAnsi="Times New Roman" w:cs="Times New Roman"/>
                <w:color w:val="auto"/>
                <w:kern w:val="2"/>
                <w:sz w:val="28"/>
                <w:szCs w:val="28"/>
                <w:highlight w:val="none"/>
                <w:lang w:val="en-US" w:eastAsia="zh-CN" w:bidi="th-TH"/>
              </w:rPr>
              <w:t>绿色建材</w:t>
            </w:r>
            <w:r>
              <w:rPr>
                <w:rFonts w:hint="eastAsia" w:ascii="Times New Roman" w:hAnsi="Times New Roman" w:eastAsia="仿宋_GB2312" w:cs="Times New Roman"/>
                <w:color w:val="auto"/>
                <w:kern w:val="2"/>
                <w:sz w:val="28"/>
                <w:szCs w:val="28"/>
                <w:highlight w:val="none"/>
                <w:lang w:val="en-US" w:eastAsia="zh-CN" w:bidi="th-TH"/>
              </w:rPr>
              <w:t>生产基地</w:t>
            </w:r>
            <w:r>
              <w:rPr>
                <w:rFonts w:hint="eastAsia" w:ascii="仿宋_GB2312" w:hAnsi="仿宋_GB2312" w:cs="仿宋_GB2312"/>
                <w:b w:val="0"/>
                <w:bCs/>
                <w:color w:val="auto"/>
                <w:sz w:val="28"/>
                <w:szCs w:val="28"/>
                <w:highlight w:val="none"/>
                <w:lang w:val="en-US" w:eastAsia="zh-CN"/>
              </w:rPr>
              <w:t>等项目。</w:t>
            </w:r>
          </w:p>
        </w:tc>
      </w:tr>
    </w:tbl>
    <w:p w14:paraId="72209DCA">
      <w:pPr>
        <w:rPr>
          <w:rFonts w:hint="eastAsia"/>
          <w:color w:val="auto"/>
          <w:highlight w:val="none"/>
          <w:lang w:val="en-US" w:eastAsia="zh-CN"/>
        </w:rPr>
      </w:pPr>
    </w:p>
    <w:p w14:paraId="2DC7A2A3">
      <w:pPr>
        <w:pStyle w:val="10"/>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发展壮大</w:t>
      </w:r>
      <w:r>
        <w:rPr>
          <w:rFonts w:hint="default" w:ascii="仿宋_GB2312" w:hAnsi="仿宋_GB2312" w:eastAsia="仿宋_GB2312" w:cs="仿宋_GB2312"/>
          <w:b/>
          <w:bCs/>
          <w:color w:val="auto"/>
          <w:spacing w:val="0"/>
          <w:kern w:val="2"/>
          <w:sz w:val="32"/>
          <w:szCs w:val="32"/>
          <w:highlight w:val="none"/>
          <w:lang w:val="en-US" w:eastAsia="zh-CN" w:bidi="ar-SA"/>
        </w:rPr>
        <w:t>绿色化工</w:t>
      </w:r>
      <w:r>
        <w:rPr>
          <w:rFonts w:hint="eastAsia" w:hAnsi="仿宋_GB2312" w:cs="仿宋_GB2312"/>
          <w:b/>
          <w:bCs/>
          <w:color w:val="auto"/>
          <w:spacing w:val="0"/>
          <w:kern w:val="2"/>
          <w:sz w:val="32"/>
          <w:szCs w:val="32"/>
          <w:highlight w:val="none"/>
          <w:lang w:val="en-US" w:eastAsia="zh-CN" w:bidi="ar-SA"/>
        </w:rPr>
        <w:t>及</w:t>
      </w:r>
      <w:r>
        <w:rPr>
          <w:rFonts w:hint="eastAsia" w:ascii="仿宋_GB2312" w:hAnsi="仿宋_GB2312" w:eastAsia="仿宋_GB2312" w:cs="仿宋_GB2312"/>
          <w:b/>
          <w:bCs/>
          <w:color w:val="auto"/>
          <w:spacing w:val="0"/>
          <w:kern w:val="2"/>
          <w:sz w:val="32"/>
          <w:szCs w:val="32"/>
          <w:highlight w:val="none"/>
          <w:lang w:val="en-US" w:eastAsia="zh-CN" w:bidi="ar-SA"/>
        </w:rPr>
        <w:t>新材料</w:t>
      </w:r>
      <w:r>
        <w:rPr>
          <w:rFonts w:hint="default" w:ascii="仿宋_GB2312" w:hAnsi="仿宋_GB2312" w:eastAsia="仿宋_GB2312" w:cs="仿宋_GB2312"/>
          <w:b/>
          <w:bCs/>
          <w:color w:val="auto"/>
          <w:spacing w:val="0"/>
          <w:kern w:val="2"/>
          <w:sz w:val="32"/>
          <w:szCs w:val="32"/>
          <w:highlight w:val="none"/>
          <w:lang w:val="en-US" w:eastAsia="zh-CN" w:bidi="ar-SA"/>
        </w:rPr>
        <w:t>产业集群。</w:t>
      </w:r>
      <w:r>
        <w:rPr>
          <w:rFonts w:hint="default" w:ascii="Times New Roman" w:hAnsi="Times New Roman" w:eastAsia="仿宋_GB2312" w:cs="Times New Roman"/>
          <w:b w:val="0"/>
          <w:bCs w:val="0"/>
          <w:color w:val="auto"/>
          <w:spacing w:val="0"/>
          <w:sz w:val="32"/>
          <w:szCs w:val="32"/>
          <w:highlight w:val="none"/>
          <w:lang w:eastAsia="zh-CN"/>
        </w:rPr>
        <w:t>以D级化工园区为载体，深度融入柳州新能源汽车</w:t>
      </w:r>
      <w:r>
        <w:rPr>
          <w:rFonts w:hint="eastAsia" w:ascii="Times New Roman" w:hAnsi="Times New Roman" w:cs="Times New Roman"/>
          <w:b w:val="0"/>
          <w:bCs w:val="0"/>
          <w:color w:val="auto"/>
          <w:spacing w:val="0"/>
          <w:sz w:val="32"/>
          <w:szCs w:val="32"/>
          <w:highlight w:val="none"/>
          <w:lang w:val="en-US" w:eastAsia="zh-CN"/>
        </w:rPr>
        <w:t>产业生态</w:t>
      </w:r>
      <w:r>
        <w:rPr>
          <w:rFonts w:hint="default" w:ascii="Times New Roman" w:hAnsi="Times New Roman" w:eastAsia="仿宋_GB2312" w:cs="Times New Roman"/>
          <w:b w:val="0"/>
          <w:bCs w:val="0"/>
          <w:color w:val="auto"/>
          <w:spacing w:val="0"/>
          <w:sz w:val="32"/>
          <w:szCs w:val="32"/>
          <w:highlight w:val="none"/>
          <w:lang w:eastAsia="zh-CN"/>
        </w:rPr>
        <w:t>。通过</w:t>
      </w:r>
      <w:r>
        <w:rPr>
          <w:rFonts w:hint="eastAsia" w:ascii="Times New Roman" w:hAnsi="Times New Roman" w:cs="Times New Roman"/>
          <w:b w:val="0"/>
          <w:bCs w:val="0"/>
          <w:color w:val="auto"/>
          <w:spacing w:val="0"/>
          <w:sz w:val="32"/>
          <w:szCs w:val="32"/>
          <w:highlight w:val="none"/>
          <w:lang w:val="en-US" w:eastAsia="zh-CN"/>
        </w:rPr>
        <w:t>扩园补</w:t>
      </w:r>
      <w:r>
        <w:rPr>
          <w:rFonts w:hint="default" w:ascii="Times New Roman" w:hAnsi="Times New Roman" w:eastAsia="仿宋_GB2312" w:cs="Times New Roman"/>
          <w:b w:val="0"/>
          <w:bCs w:val="0"/>
          <w:color w:val="auto"/>
          <w:spacing w:val="0"/>
          <w:sz w:val="32"/>
          <w:szCs w:val="32"/>
          <w:highlight w:val="none"/>
          <w:lang w:eastAsia="zh-CN"/>
        </w:rPr>
        <w:t>链</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集群发展，构建</w:t>
      </w:r>
      <w:r>
        <w:rPr>
          <w:rFonts w:hint="eastAsia" w:ascii="仿宋_GB2312" w:hAnsi="仿宋_GB2312" w:eastAsia="仿宋_GB2312" w:cs="仿宋_GB2312"/>
          <w:b w:val="0"/>
          <w:bCs w:val="0"/>
          <w:color w:val="auto"/>
          <w:spacing w:val="0"/>
          <w:sz w:val="32"/>
          <w:szCs w:val="32"/>
          <w:highlight w:val="none"/>
          <w:lang w:eastAsia="zh-CN"/>
        </w:rPr>
        <w:t>“基础化工</w:t>
      </w:r>
      <w:r>
        <w:rPr>
          <w:rFonts w:hint="eastAsia" w:ascii="仿宋_GB2312" w:hAnsi="仿宋_GB2312" w:eastAsia="仿宋_GB2312" w:cs="仿宋_GB2312"/>
          <w:b w:val="0"/>
          <w:bCs w:val="0"/>
          <w:color w:val="auto"/>
          <w:spacing w:val="0"/>
          <w:kern w:val="2"/>
          <w:sz w:val="32"/>
          <w:szCs w:val="32"/>
          <w:highlight w:val="none"/>
          <w:lang w:val="en-US" w:eastAsia="zh-CN" w:bidi="ar-SA"/>
        </w:rPr>
        <w:t>原料—关键材料—终端应用</w:t>
      </w:r>
      <w:r>
        <w:rPr>
          <w:rFonts w:hint="eastAsia" w:ascii="仿宋_GB2312" w:hAnsi="仿宋_GB2312" w:eastAsia="仿宋_GB2312" w:cs="仿宋_GB2312"/>
          <w:b w:val="0"/>
          <w:bCs w:val="0"/>
          <w:color w:val="auto"/>
          <w:spacing w:val="0"/>
          <w:sz w:val="32"/>
          <w:szCs w:val="32"/>
          <w:highlight w:val="none"/>
          <w:lang w:eastAsia="zh-CN"/>
        </w:rPr>
        <w:t>”</w:t>
      </w:r>
      <w:r>
        <w:rPr>
          <w:rFonts w:hint="eastAsia" w:hAnsi="仿宋_GB2312" w:cs="仿宋_GB2312"/>
          <w:b w:val="0"/>
          <w:bCs w:val="0"/>
          <w:color w:val="auto"/>
          <w:spacing w:val="0"/>
          <w:sz w:val="32"/>
          <w:szCs w:val="32"/>
          <w:highlight w:val="none"/>
          <w:lang w:val="en-US" w:eastAsia="zh-CN"/>
        </w:rPr>
        <w:t>协同体系</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主攻</w:t>
      </w:r>
      <w:r>
        <w:rPr>
          <w:rFonts w:hint="default" w:ascii="Times New Roman" w:hAnsi="Times New Roman" w:eastAsia="仿宋_GB2312" w:cs="Times New Roman"/>
          <w:b w:val="0"/>
          <w:bCs w:val="0"/>
          <w:color w:val="auto"/>
          <w:spacing w:val="0"/>
          <w:sz w:val="32"/>
          <w:szCs w:val="32"/>
          <w:highlight w:val="none"/>
          <w:lang w:eastAsia="zh-CN"/>
        </w:rPr>
        <w:t>新能源关键材料</w:t>
      </w:r>
      <w:r>
        <w:rPr>
          <w:rFonts w:hint="eastAsia" w:ascii="Times New Roman" w:hAnsi="Times New Roman" w:cs="Times New Roman"/>
          <w:b w:val="0"/>
          <w:bCs w:val="0"/>
          <w:color w:val="auto"/>
          <w:spacing w:val="0"/>
          <w:sz w:val="32"/>
          <w:szCs w:val="32"/>
          <w:highlight w:val="none"/>
          <w:lang w:val="en-US" w:eastAsia="zh-CN"/>
        </w:rPr>
        <w:t>配套</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重点推进氯化新材料产业集群项目，构建</w:t>
      </w:r>
      <w:r>
        <w:rPr>
          <w:rFonts w:hint="eastAsia" w:ascii="仿宋_GB2312" w:hAnsi="仿宋_GB2312" w:eastAsia="仿宋_GB2312" w:cs="仿宋_GB2312"/>
          <w:b w:val="0"/>
          <w:bCs w:val="0"/>
          <w:color w:val="auto"/>
          <w:spacing w:val="0"/>
          <w:sz w:val="32"/>
          <w:szCs w:val="32"/>
          <w:highlight w:val="none"/>
          <w:lang w:eastAsia="zh-CN"/>
        </w:rPr>
        <w:t>“盐化工—氯气—五氯化磷—六氟磷酸锂—电解液—新能源电池”产</w:t>
      </w:r>
      <w:r>
        <w:rPr>
          <w:rFonts w:hint="default" w:ascii="Times New Roman" w:hAnsi="Times New Roman" w:eastAsia="仿宋_GB2312" w:cs="Times New Roman"/>
          <w:b w:val="0"/>
          <w:bCs w:val="0"/>
          <w:color w:val="auto"/>
          <w:spacing w:val="0"/>
          <w:sz w:val="32"/>
          <w:szCs w:val="32"/>
          <w:highlight w:val="none"/>
          <w:lang w:eastAsia="zh-CN"/>
        </w:rPr>
        <w:t>业链。加快五氯化磷项目建设</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强化政策支持与服务，同时引导与推动六氟磷酸锂规模化项目</w:t>
      </w:r>
      <w:r>
        <w:rPr>
          <w:rFonts w:hint="eastAsia" w:ascii="Times New Roman" w:hAnsi="Times New Roman" w:cs="Times New Roman"/>
          <w:b w:val="0"/>
          <w:bCs w:val="0"/>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通过招商引资等途径落地</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保障</w:t>
      </w:r>
      <w:r>
        <w:rPr>
          <w:rFonts w:hint="default" w:ascii="Times New Roman" w:hAnsi="Times New Roman" w:eastAsia="仿宋_GB2312" w:cs="Times New Roman"/>
          <w:b w:val="0"/>
          <w:bCs w:val="0"/>
          <w:color w:val="auto"/>
          <w:spacing w:val="0"/>
          <w:sz w:val="32"/>
          <w:szCs w:val="32"/>
          <w:highlight w:val="none"/>
          <w:lang w:eastAsia="zh-CN"/>
        </w:rPr>
        <w:t>电解液产能释放</w:t>
      </w:r>
      <w:r>
        <w:rPr>
          <w:rFonts w:hint="eastAsia" w:ascii="Times New Roman" w:hAnsi="Times New Roman"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推动</w:t>
      </w:r>
      <w:r>
        <w:rPr>
          <w:rFonts w:hint="default" w:ascii="Times New Roman" w:hAnsi="Times New Roman" w:eastAsia="仿宋_GB2312" w:cs="Times New Roman"/>
          <w:b w:val="0"/>
          <w:bCs w:val="0"/>
          <w:color w:val="auto"/>
          <w:spacing w:val="0"/>
          <w:sz w:val="32"/>
          <w:szCs w:val="32"/>
          <w:highlight w:val="none"/>
          <w:lang w:eastAsia="zh-CN"/>
        </w:rPr>
        <w:t>氯碱、环氧氯丙烷、甲醛、过氧化氢等</w:t>
      </w:r>
      <w:r>
        <w:rPr>
          <w:rFonts w:hint="eastAsia" w:ascii="Times New Roman" w:hAnsi="Times New Roman" w:cs="Times New Roman"/>
          <w:b w:val="0"/>
          <w:bCs w:val="0"/>
          <w:color w:val="auto"/>
          <w:spacing w:val="0"/>
          <w:sz w:val="32"/>
          <w:szCs w:val="32"/>
          <w:highlight w:val="none"/>
          <w:lang w:val="en-US" w:eastAsia="zh-CN"/>
        </w:rPr>
        <w:t>基础化工原料</w:t>
      </w:r>
      <w:r>
        <w:rPr>
          <w:rFonts w:hint="default" w:ascii="Times New Roman" w:hAnsi="Times New Roman" w:eastAsia="仿宋_GB2312" w:cs="Times New Roman"/>
          <w:b w:val="0"/>
          <w:bCs w:val="0"/>
          <w:color w:val="auto"/>
          <w:spacing w:val="0"/>
          <w:sz w:val="32"/>
          <w:szCs w:val="32"/>
          <w:highlight w:val="none"/>
          <w:lang w:eastAsia="zh-CN"/>
        </w:rPr>
        <w:t>项目达产</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推进高性能正极材料</w:t>
      </w:r>
      <w:r>
        <w:rPr>
          <w:rFonts w:hint="eastAsia" w:ascii="Times New Roman" w:hAnsi="Times New Roman" w:cs="Times New Roman"/>
          <w:b w:val="0"/>
          <w:bCs w:val="0"/>
          <w:color w:val="auto"/>
          <w:spacing w:val="0"/>
          <w:sz w:val="32"/>
          <w:szCs w:val="32"/>
          <w:highlight w:val="none"/>
          <w:lang w:eastAsia="zh-CN"/>
        </w:rPr>
        <w:t>等</w:t>
      </w:r>
      <w:r>
        <w:rPr>
          <w:rFonts w:hint="default" w:ascii="Times New Roman" w:hAnsi="Times New Roman" w:eastAsia="仿宋_GB2312" w:cs="Times New Roman"/>
          <w:b w:val="0"/>
          <w:bCs w:val="0"/>
          <w:color w:val="auto"/>
          <w:spacing w:val="0"/>
          <w:sz w:val="32"/>
          <w:szCs w:val="32"/>
          <w:highlight w:val="none"/>
          <w:lang w:eastAsia="zh-CN"/>
        </w:rPr>
        <w:t>项目建设，引进PVC膜、电极材料等配套，</w:t>
      </w:r>
      <w:r>
        <w:rPr>
          <w:rFonts w:hint="eastAsia" w:ascii="Times New Roman" w:hAnsi="Times New Roman" w:cs="Times New Roman"/>
          <w:b w:val="0"/>
          <w:bCs w:val="0"/>
          <w:color w:val="auto"/>
          <w:spacing w:val="0"/>
          <w:sz w:val="32"/>
          <w:szCs w:val="32"/>
          <w:highlight w:val="none"/>
          <w:lang w:val="en-US" w:eastAsia="zh-CN"/>
        </w:rPr>
        <w:t>逐步</w:t>
      </w:r>
      <w:r>
        <w:rPr>
          <w:rFonts w:hint="default" w:ascii="Times New Roman" w:hAnsi="Times New Roman" w:eastAsia="仿宋_GB2312" w:cs="Times New Roman"/>
          <w:b w:val="0"/>
          <w:bCs w:val="0"/>
          <w:color w:val="auto"/>
          <w:spacing w:val="0"/>
          <w:sz w:val="32"/>
          <w:szCs w:val="32"/>
          <w:highlight w:val="none"/>
          <w:lang w:eastAsia="zh-CN"/>
        </w:rPr>
        <w:t>形成新能源电池材料</w:t>
      </w:r>
      <w:r>
        <w:rPr>
          <w:rFonts w:hint="eastAsia" w:ascii="Times New Roman" w:hAnsi="Times New Roman" w:cs="Times New Roman"/>
          <w:b w:val="0"/>
          <w:bCs w:val="0"/>
          <w:color w:val="auto"/>
          <w:spacing w:val="0"/>
          <w:sz w:val="32"/>
          <w:szCs w:val="32"/>
          <w:highlight w:val="none"/>
          <w:lang w:val="en-US" w:eastAsia="zh-CN"/>
        </w:rPr>
        <w:t>本地化供应体系</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eastAsia="zh-CN"/>
        </w:rPr>
        <w:t>培育多元</w:t>
      </w:r>
      <w:r>
        <w:rPr>
          <w:rFonts w:hint="eastAsia" w:ascii="Times New Roman" w:hAnsi="Times New Roman" w:cs="Times New Roman"/>
          <w:b w:val="0"/>
          <w:bCs w:val="0"/>
          <w:color w:val="auto"/>
          <w:spacing w:val="0"/>
          <w:sz w:val="32"/>
          <w:szCs w:val="32"/>
          <w:highlight w:val="none"/>
          <w:lang w:val="en-US" w:eastAsia="zh-CN"/>
        </w:rPr>
        <w:t>化</w:t>
      </w:r>
      <w:r>
        <w:rPr>
          <w:rFonts w:hint="eastAsia" w:ascii="Times New Roman" w:hAnsi="Times New Roman" w:cs="Times New Roman"/>
          <w:b w:val="0"/>
          <w:bCs w:val="0"/>
          <w:color w:val="auto"/>
          <w:spacing w:val="0"/>
          <w:sz w:val="32"/>
          <w:szCs w:val="32"/>
          <w:highlight w:val="none"/>
          <w:lang w:eastAsia="zh-CN"/>
        </w:rPr>
        <w:t>新</w:t>
      </w:r>
      <w:r>
        <w:rPr>
          <w:rFonts w:hint="default" w:ascii="Times New Roman" w:hAnsi="Times New Roman" w:eastAsia="仿宋_GB2312" w:cs="Times New Roman"/>
          <w:b w:val="0"/>
          <w:bCs w:val="0"/>
          <w:color w:val="auto"/>
          <w:spacing w:val="0"/>
          <w:sz w:val="32"/>
          <w:szCs w:val="32"/>
          <w:highlight w:val="none"/>
          <w:lang w:eastAsia="zh-CN"/>
        </w:rPr>
        <w:t>材料</w:t>
      </w:r>
      <w:r>
        <w:rPr>
          <w:rFonts w:hint="eastAsia" w:ascii="Times New Roman" w:hAnsi="Times New Roman" w:cs="Times New Roman"/>
          <w:b w:val="0"/>
          <w:bCs w:val="0"/>
          <w:color w:val="auto"/>
          <w:spacing w:val="0"/>
          <w:sz w:val="32"/>
          <w:szCs w:val="32"/>
          <w:highlight w:val="none"/>
          <w:lang w:val="en-US" w:eastAsia="zh-CN"/>
        </w:rPr>
        <w:t>板块</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围绕合成云母珠光材料</w:t>
      </w:r>
      <w:r>
        <w:rPr>
          <w:rFonts w:hint="eastAsia" w:ascii="Times New Roman" w:hAnsi="Times New Roman" w:cs="Times New Roman"/>
          <w:b w:val="0"/>
          <w:bCs w:val="0"/>
          <w:color w:val="auto"/>
          <w:spacing w:val="0"/>
          <w:sz w:val="32"/>
          <w:szCs w:val="32"/>
          <w:highlight w:val="none"/>
          <w:lang w:val="en-US" w:eastAsia="zh-CN"/>
        </w:rPr>
        <w:t>等特色领域</w:t>
      </w:r>
      <w:r>
        <w:rPr>
          <w:rFonts w:hint="default" w:ascii="Times New Roman" w:hAnsi="Times New Roman" w:eastAsia="仿宋_GB2312" w:cs="Times New Roman"/>
          <w:b w:val="0"/>
          <w:bCs w:val="0"/>
          <w:color w:val="auto"/>
          <w:spacing w:val="0"/>
          <w:sz w:val="32"/>
          <w:szCs w:val="32"/>
          <w:highlight w:val="none"/>
          <w:lang w:eastAsia="zh-CN"/>
        </w:rPr>
        <w:t>，引进关键原料、专用设备</w:t>
      </w:r>
      <w:r>
        <w:rPr>
          <w:rFonts w:hint="eastAsia" w:ascii="Times New Roman" w:hAnsi="Times New Roman" w:cs="Times New Roman"/>
          <w:b w:val="0"/>
          <w:bCs w:val="0"/>
          <w:color w:val="auto"/>
          <w:spacing w:val="0"/>
          <w:sz w:val="32"/>
          <w:szCs w:val="32"/>
          <w:highlight w:val="none"/>
          <w:lang w:val="en-US" w:eastAsia="zh-CN"/>
        </w:rPr>
        <w:t>制造等上下游</w:t>
      </w:r>
      <w:r>
        <w:rPr>
          <w:rFonts w:hint="default" w:ascii="Times New Roman" w:hAnsi="Times New Roman" w:eastAsia="仿宋_GB2312" w:cs="Times New Roman"/>
          <w:b w:val="0"/>
          <w:bCs w:val="0"/>
          <w:color w:val="auto"/>
          <w:spacing w:val="0"/>
          <w:sz w:val="32"/>
          <w:szCs w:val="32"/>
          <w:highlight w:val="none"/>
          <w:lang w:eastAsia="zh-CN"/>
        </w:rPr>
        <w:t>项目，建设高端表面性能材料产业园，</w:t>
      </w:r>
      <w:r>
        <w:rPr>
          <w:rFonts w:hint="eastAsia" w:ascii="Times New Roman" w:hAnsi="Times New Roman" w:cs="Times New Roman"/>
          <w:b w:val="0"/>
          <w:bCs w:val="0"/>
          <w:color w:val="auto"/>
          <w:spacing w:val="0"/>
          <w:sz w:val="32"/>
          <w:szCs w:val="32"/>
          <w:highlight w:val="none"/>
          <w:lang w:val="en-US" w:eastAsia="zh-CN"/>
        </w:rPr>
        <w:t>并向</w:t>
      </w:r>
      <w:r>
        <w:rPr>
          <w:rFonts w:hint="default" w:ascii="Times New Roman" w:hAnsi="Times New Roman" w:eastAsia="仿宋_GB2312" w:cs="Times New Roman"/>
          <w:b w:val="0"/>
          <w:bCs w:val="0"/>
          <w:color w:val="auto"/>
          <w:spacing w:val="0"/>
          <w:sz w:val="32"/>
          <w:szCs w:val="32"/>
          <w:highlight w:val="none"/>
          <w:lang w:eastAsia="zh-CN"/>
        </w:rPr>
        <w:t>特种涂层、轻量化复合材料等应用</w:t>
      </w:r>
      <w:r>
        <w:rPr>
          <w:rFonts w:hint="eastAsia" w:ascii="Times New Roman" w:hAnsi="Times New Roman" w:cs="Times New Roman"/>
          <w:b w:val="0"/>
          <w:bCs w:val="0"/>
          <w:color w:val="auto"/>
          <w:spacing w:val="0"/>
          <w:sz w:val="32"/>
          <w:szCs w:val="32"/>
          <w:highlight w:val="none"/>
          <w:lang w:val="en-US" w:eastAsia="zh-CN"/>
        </w:rPr>
        <w:t>领域拓展</w:t>
      </w:r>
      <w:r>
        <w:rPr>
          <w:rFonts w:hint="default" w:ascii="Times New Roman" w:hAnsi="Times New Roman" w:eastAsia="仿宋_GB2312" w:cs="Times New Roman"/>
          <w:b w:val="0"/>
          <w:bCs w:val="0"/>
          <w:color w:val="auto"/>
          <w:spacing w:val="0"/>
          <w:sz w:val="32"/>
          <w:szCs w:val="32"/>
          <w:highlight w:val="none"/>
          <w:lang w:eastAsia="zh-CN"/>
        </w:rPr>
        <w:t>，培育</w:t>
      </w:r>
      <w:r>
        <w:rPr>
          <w:rFonts w:hint="eastAsia" w:ascii="Times New Roman" w:hAnsi="Times New Roman" w:cs="Times New Roman"/>
          <w:b w:val="0"/>
          <w:bCs w:val="0"/>
          <w:color w:val="auto"/>
          <w:spacing w:val="0"/>
          <w:sz w:val="32"/>
          <w:szCs w:val="32"/>
          <w:highlight w:val="none"/>
          <w:lang w:val="en-US" w:eastAsia="zh-CN"/>
        </w:rPr>
        <w:t>具有竞争力的</w:t>
      </w:r>
      <w:r>
        <w:rPr>
          <w:rFonts w:hint="default" w:ascii="Times New Roman" w:hAnsi="Times New Roman" w:eastAsia="仿宋_GB2312" w:cs="Times New Roman"/>
          <w:b w:val="0"/>
          <w:bCs w:val="0"/>
          <w:color w:val="auto"/>
          <w:spacing w:val="0"/>
          <w:sz w:val="32"/>
          <w:szCs w:val="32"/>
          <w:highlight w:val="none"/>
          <w:lang w:eastAsia="zh-CN"/>
        </w:rPr>
        <w:t>表面性能新材料集群。推进高分子材料、醇基燃料</w:t>
      </w:r>
      <w:r>
        <w:rPr>
          <w:rFonts w:hint="eastAsia" w:ascii="Times New Roman" w:hAnsi="Times New Roman" w:cs="Times New Roman"/>
          <w:b w:val="0"/>
          <w:bCs w:val="0"/>
          <w:color w:val="auto"/>
          <w:spacing w:val="0"/>
          <w:sz w:val="32"/>
          <w:szCs w:val="32"/>
          <w:highlight w:val="none"/>
          <w:lang w:eastAsia="zh-CN"/>
        </w:rPr>
        <w:t>等项目</w:t>
      </w:r>
      <w:r>
        <w:rPr>
          <w:rFonts w:hint="default" w:ascii="Times New Roman" w:hAnsi="Times New Roman" w:eastAsia="仿宋_GB2312" w:cs="Times New Roman"/>
          <w:b w:val="0"/>
          <w:bCs w:val="0"/>
          <w:color w:val="auto"/>
          <w:spacing w:val="0"/>
          <w:sz w:val="32"/>
          <w:szCs w:val="32"/>
          <w:highlight w:val="none"/>
          <w:lang w:eastAsia="zh-CN"/>
        </w:rPr>
        <w:t>建设，布局生物可降解材料、电子化学品等前沿领域，</w:t>
      </w:r>
      <w:r>
        <w:rPr>
          <w:rFonts w:hint="eastAsia" w:ascii="Times New Roman" w:hAnsi="Times New Roman" w:cs="Times New Roman"/>
          <w:b w:val="0"/>
          <w:bCs w:val="0"/>
          <w:color w:val="auto"/>
          <w:spacing w:val="0"/>
          <w:sz w:val="32"/>
          <w:szCs w:val="32"/>
          <w:highlight w:val="none"/>
          <w:lang w:val="en-US" w:eastAsia="zh-CN"/>
        </w:rPr>
        <w:t>构建</w:t>
      </w:r>
      <w:r>
        <w:rPr>
          <w:rFonts w:hint="default" w:ascii="Times New Roman" w:hAnsi="Times New Roman" w:eastAsia="仿宋_GB2312" w:cs="Times New Roman"/>
          <w:b w:val="0"/>
          <w:bCs w:val="0"/>
          <w:color w:val="auto"/>
          <w:spacing w:val="0"/>
          <w:sz w:val="32"/>
          <w:szCs w:val="32"/>
          <w:highlight w:val="none"/>
          <w:lang w:eastAsia="zh-CN"/>
        </w:rPr>
        <w:t>多元</w:t>
      </w:r>
      <w:r>
        <w:rPr>
          <w:rFonts w:hint="eastAsia" w:ascii="Times New Roman" w:hAnsi="Times New Roman" w:cs="Times New Roman"/>
          <w:b w:val="0"/>
          <w:bCs w:val="0"/>
          <w:color w:val="auto"/>
          <w:spacing w:val="0"/>
          <w:sz w:val="32"/>
          <w:szCs w:val="32"/>
          <w:highlight w:val="none"/>
          <w:lang w:val="en-US" w:eastAsia="zh-CN"/>
        </w:rPr>
        <w:t>产品矩阵</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提升园区承载与安全绿色水平。</w:t>
      </w:r>
      <w:r>
        <w:rPr>
          <w:rFonts w:hint="eastAsia" w:ascii="Times New Roman" w:hAnsi="Times New Roman" w:eastAsia="仿宋_GB2312" w:cs="Times New Roman"/>
          <w:b w:val="0"/>
          <w:bCs w:val="0"/>
          <w:color w:val="auto"/>
          <w:spacing w:val="0"/>
          <w:sz w:val="32"/>
          <w:szCs w:val="32"/>
          <w:highlight w:val="none"/>
          <w:lang w:eastAsia="zh-CN"/>
        </w:rPr>
        <w:t>加快实施化工园区二、三期开发，</w:t>
      </w:r>
      <w:r>
        <w:rPr>
          <w:rFonts w:hint="eastAsia" w:ascii="Times New Roman" w:hAnsi="Times New Roman" w:cs="Times New Roman"/>
          <w:b w:val="0"/>
          <w:bCs w:val="0"/>
          <w:color w:val="auto"/>
          <w:spacing w:val="0"/>
          <w:sz w:val="32"/>
          <w:szCs w:val="32"/>
          <w:highlight w:val="none"/>
          <w:lang w:val="en-US" w:eastAsia="zh-CN"/>
        </w:rPr>
        <w:t>完善</w:t>
      </w:r>
      <w:r>
        <w:rPr>
          <w:rFonts w:hint="eastAsia" w:ascii="Times New Roman" w:hAnsi="Times New Roman" w:eastAsia="仿宋_GB2312" w:cs="Times New Roman"/>
          <w:b w:val="0"/>
          <w:bCs w:val="0"/>
          <w:color w:val="auto"/>
          <w:spacing w:val="0"/>
          <w:sz w:val="32"/>
          <w:szCs w:val="32"/>
          <w:highlight w:val="none"/>
          <w:lang w:eastAsia="zh-CN"/>
        </w:rPr>
        <w:t>污水处理、消防站等基础设施，建设智慧安监与风险管控平台，实现风险实时监测预警。</w:t>
      </w:r>
      <w:r>
        <w:rPr>
          <w:rFonts w:hint="default" w:ascii="Times New Roman" w:hAnsi="Times New Roman" w:eastAsia="仿宋_GB2312" w:cs="Times New Roman"/>
          <w:b w:val="0"/>
          <w:bCs w:val="0"/>
          <w:color w:val="auto"/>
          <w:spacing w:val="0"/>
          <w:sz w:val="32"/>
          <w:szCs w:val="32"/>
          <w:highlight w:val="none"/>
          <w:lang w:eastAsia="zh-CN"/>
        </w:rPr>
        <w:t>深</w:t>
      </w:r>
      <w:r>
        <w:rPr>
          <w:rFonts w:hint="eastAsia" w:ascii="仿宋_GB2312" w:hAnsi="仿宋_GB2312" w:eastAsia="仿宋_GB2312" w:cs="仿宋_GB2312"/>
          <w:b w:val="0"/>
          <w:bCs w:val="0"/>
          <w:color w:val="auto"/>
          <w:spacing w:val="0"/>
          <w:sz w:val="32"/>
          <w:szCs w:val="32"/>
          <w:highlight w:val="none"/>
          <w:lang w:eastAsia="zh-CN"/>
        </w:rPr>
        <w:t>化“政产学研用”合</w:t>
      </w:r>
      <w:r>
        <w:rPr>
          <w:rFonts w:hint="default" w:ascii="Times New Roman" w:hAnsi="Times New Roman" w:eastAsia="仿宋_GB2312" w:cs="Times New Roman"/>
          <w:b w:val="0"/>
          <w:bCs w:val="0"/>
          <w:color w:val="auto"/>
          <w:spacing w:val="0"/>
          <w:sz w:val="32"/>
          <w:szCs w:val="32"/>
          <w:highlight w:val="none"/>
          <w:lang w:eastAsia="zh-CN"/>
        </w:rPr>
        <w:t>作，共建</w:t>
      </w:r>
      <w:r>
        <w:rPr>
          <w:rFonts w:hint="eastAsia" w:ascii="Times New Roman" w:hAnsi="Times New Roman" w:cs="Times New Roman"/>
          <w:b w:val="0"/>
          <w:bCs w:val="0"/>
          <w:color w:val="auto"/>
          <w:spacing w:val="0"/>
          <w:sz w:val="32"/>
          <w:szCs w:val="32"/>
          <w:highlight w:val="none"/>
          <w:lang w:val="en-US" w:eastAsia="zh-CN"/>
        </w:rPr>
        <w:t>研发</w:t>
      </w:r>
      <w:r>
        <w:rPr>
          <w:rFonts w:hint="default" w:ascii="Times New Roman" w:hAnsi="Times New Roman" w:eastAsia="仿宋_GB2312" w:cs="Times New Roman"/>
          <w:b w:val="0"/>
          <w:bCs w:val="0"/>
          <w:color w:val="auto"/>
          <w:spacing w:val="0"/>
          <w:sz w:val="32"/>
          <w:szCs w:val="32"/>
          <w:highlight w:val="none"/>
          <w:lang w:eastAsia="zh-CN"/>
        </w:rPr>
        <w:t>和中试</w:t>
      </w:r>
      <w:r>
        <w:rPr>
          <w:rFonts w:hint="eastAsia" w:ascii="Times New Roman" w:hAnsi="Times New Roman" w:cs="Times New Roman"/>
          <w:b w:val="0"/>
          <w:bCs w:val="0"/>
          <w:color w:val="auto"/>
          <w:spacing w:val="0"/>
          <w:sz w:val="32"/>
          <w:szCs w:val="32"/>
          <w:highlight w:val="none"/>
          <w:lang w:val="en-US" w:eastAsia="zh-CN"/>
        </w:rPr>
        <w:t>平台</w:t>
      </w:r>
      <w:r>
        <w:rPr>
          <w:rFonts w:hint="default" w:ascii="Times New Roman" w:hAnsi="Times New Roman" w:eastAsia="仿宋_GB2312" w:cs="Times New Roman"/>
          <w:b w:val="0"/>
          <w:bCs w:val="0"/>
          <w:color w:val="auto"/>
          <w:spacing w:val="0"/>
          <w:sz w:val="32"/>
          <w:szCs w:val="32"/>
          <w:highlight w:val="none"/>
          <w:lang w:eastAsia="zh-CN"/>
        </w:rPr>
        <w:t>，攻关绿色化工</w:t>
      </w:r>
      <w:r>
        <w:rPr>
          <w:rFonts w:hint="eastAsia" w:ascii="Times New Roman" w:hAnsi="Times New Roman" w:cs="Times New Roman"/>
          <w:b w:val="0"/>
          <w:bCs w:val="0"/>
          <w:color w:val="auto"/>
          <w:spacing w:val="0"/>
          <w:sz w:val="32"/>
          <w:szCs w:val="32"/>
          <w:highlight w:val="none"/>
          <w:lang w:eastAsia="zh-CN"/>
        </w:rPr>
        <w:t>与</w:t>
      </w:r>
      <w:r>
        <w:rPr>
          <w:rFonts w:hint="default" w:ascii="Times New Roman" w:hAnsi="Times New Roman" w:eastAsia="仿宋_GB2312" w:cs="Times New Roman"/>
          <w:b w:val="0"/>
          <w:bCs w:val="0"/>
          <w:color w:val="auto"/>
          <w:spacing w:val="0"/>
          <w:sz w:val="32"/>
          <w:szCs w:val="32"/>
          <w:highlight w:val="none"/>
          <w:lang w:eastAsia="zh-CN"/>
        </w:rPr>
        <w:t>新材料技术。</w:t>
      </w:r>
      <w:r>
        <w:rPr>
          <w:rFonts w:hint="eastAsia" w:ascii="Times New Roman" w:hAnsi="Times New Roman" w:cs="Times New Roman"/>
          <w:b w:val="0"/>
          <w:bCs w:val="0"/>
          <w:color w:val="auto"/>
          <w:spacing w:val="0"/>
          <w:sz w:val="32"/>
          <w:szCs w:val="32"/>
          <w:highlight w:val="none"/>
          <w:lang w:eastAsia="zh-CN"/>
        </w:rPr>
        <w:t>推动</w:t>
      </w:r>
      <w:r>
        <w:rPr>
          <w:rFonts w:hint="default" w:ascii="Times New Roman" w:hAnsi="Times New Roman" w:eastAsia="仿宋_GB2312" w:cs="Times New Roman"/>
          <w:b w:val="0"/>
          <w:bCs w:val="0"/>
          <w:color w:val="auto"/>
          <w:spacing w:val="0"/>
          <w:sz w:val="32"/>
          <w:szCs w:val="32"/>
          <w:highlight w:val="none"/>
          <w:lang w:eastAsia="zh-CN"/>
        </w:rPr>
        <w:t>企业清洁生产，</w:t>
      </w:r>
      <w:r>
        <w:rPr>
          <w:rFonts w:hint="default" w:ascii="Times New Roman" w:hAnsi="Times New Roman" w:eastAsia="仿宋_GB2312" w:cs="Times New Roman"/>
          <w:b w:val="0"/>
          <w:bCs w:val="0"/>
          <w:color w:val="auto"/>
          <w:spacing w:val="0"/>
          <w:kern w:val="2"/>
          <w:sz w:val="32"/>
          <w:szCs w:val="32"/>
          <w:highlight w:val="none"/>
          <w:lang w:val="en-US" w:eastAsia="zh-CN" w:bidi="ar-SA"/>
        </w:rPr>
        <w:t>促进产业循环链接与低碳发展</w:t>
      </w:r>
      <w:r>
        <w:rPr>
          <w:rFonts w:hint="default" w:ascii="Times New Roman" w:hAnsi="Times New Roman" w:eastAsia="仿宋_GB2312" w:cs="Times New Roman"/>
          <w:b w:val="0"/>
          <w:bCs w:val="0"/>
          <w:color w:val="auto"/>
          <w:spacing w:val="0"/>
          <w:sz w:val="32"/>
          <w:szCs w:val="32"/>
          <w:highlight w:val="none"/>
          <w:lang w:eastAsia="zh-CN"/>
        </w:rPr>
        <w:t>。</w:t>
      </w:r>
      <w:bookmarkStart w:id="114" w:name="_Toc6838"/>
      <w:bookmarkStart w:id="115" w:name="_Toc15297"/>
      <w:r>
        <w:rPr>
          <w:rFonts w:hint="eastAsia" w:ascii="Times New Roman" w:hAnsi="Times New Roman" w:cs="Times New Roman"/>
          <w:b w:val="0"/>
          <w:bCs w:val="0"/>
          <w:color w:val="auto"/>
          <w:spacing w:val="0"/>
          <w:sz w:val="32"/>
          <w:szCs w:val="32"/>
          <w:highlight w:val="none"/>
          <w:lang w:val="en-US" w:eastAsia="zh-CN"/>
        </w:rPr>
        <w:t>力争</w:t>
      </w:r>
      <w:r>
        <w:rPr>
          <w:rFonts w:hint="eastAsia" w:ascii="Times New Roman" w:hAnsi="Times New Roman" w:cs="Times New Roman"/>
          <w:b w:val="0"/>
          <w:bCs w:val="0"/>
          <w:color w:val="auto"/>
          <w:spacing w:val="0"/>
          <w:sz w:val="32"/>
          <w:szCs w:val="32"/>
          <w:highlight w:val="none"/>
          <w:lang w:eastAsia="zh-CN"/>
        </w:rPr>
        <w:t>到</w:t>
      </w:r>
      <w:r>
        <w:rPr>
          <w:rFonts w:hint="eastAsia" w:ascii="Times New Roman" w:hAnsi="Times New Roman" w:cs="Times New Roman"/>
          <w:b w:val="0"/>
          <w:bCs w:val="0"/>
          <w:color w:val="auto"/>
          <w:spacing w:val="0"/>
          <w:sz w:val="32"/>
          <w:szCs w:val="32"/>
          <w:highlight w:val="none"/>
          <w:lang w:val="en-US" w:eastAsia="zh-CN"/>
        </w:rPr>
        <w:t>2030年，</w:t>
      </w:r>
      <w:r>
        <w:rPr>
          <w:rFonts w:hint="default" w:ascii="Times New Roman" w:hAnsi="Times New Roman" w:eastAsia="仿宋_GB2312" w:cs="Times New Roman"/>
          <w:b w:val="0"/>
          <w:bCs w:val="0"/>
          <w:color w:val="auto"/>
          <w:spacing w:val="0"/>
          <w:sz w:val="32"/>
          <w:szCs w:val="32"/>
          <w:highlight w:val="none"/>
          <w:lang w:eastAsia="zh-CN"/>
        </w:rPr>
        <w:t>产业集群产值突破百亿元，</w:t>
      </w:r>
      <w:r>
        <w:rPr>
          <w:rFonts w:hint="default" w:ascii="仿宋_GB2312" w:hAnsi="仿宋_GB2312" w:eastAsia="仿宋_GB2312" w:cs="仿宋_GB2312"/>
          <w:b w:val="0"/>
          <w:bCs/>
          <w:color w:val="auto"/>
          <w:kern w:val="2"/>
          <w:sz w:val="32"/>
          <w:szCs w:val="32"/>
          <w:highlight w:val="none"/>
          <w:lang w:val="en-US" w:eastAsia="zh-CN" w:bidi="ar-SA"/>
        </w:rPr>
        <w:t>建成西南地区重要的氯碱深加工与特色化工新材料</w:t>
      </w:r>
      <w:r>
        <w:rPr>
          <w:rFonts w:hint="eastAsia" w:hAnsi="仿宋_GB2312" w:cs="仿宋_GB2312"/>
          <w:b w:val="0"/>
          <w:bCs/>
          <w:color w:val="auto"/>
          <w:kern w:val="2"/>
          <w:sz w:val="32"/>
          <w:szCs w:val="32"/>
          <w:highlight w:val="none"/>
          <w:lang w:val="en-US" w:eastAsia="zh-CN" w:bidi="ar-SA"/>
        </w:rPr>
        <w:t>产业承载区</w:t>
      </w:r>
      <w:r>
        <w:rPr>
          <w:rFonts w:hint="default" w:ascii="仿宋_GB2312" w:hAnsi="仿宋_GB2312" w:eastAsia="仿宋_GB2312" w:cs="仿宋_GB2312"/>
          <w:b w:val="0"/>
          <w:bCs/>
          <w:color w:val="auto"/>
          <w:kern w:val="2"/>
          <w:sz w:val="32"/>
          <w:szCs w:val="32"/>
          <w:highlight w:val="none"/>
          <w:lang w:val="en-US" w:eastAsia="zh-CN" w:bidi="ar-SA"/>
        </w:rPr>
        <w:t>，打造绿色化工循环产业园。</w:t>
      </w:r>
    </w:p>
    <w:p w14:paraId="66010700">
      <w:pPr>
        <w:rPr>
          <w:rFonts w:hint="default"/>
          <w:color w:val="auto"/>
          <w:highlight w:val="none"/>
          <w:lang w:eastAsia="zh-CN"/>
        </w:rPr>
      </w:pPr>
    </w:p>
    <w:tbl>
      <w:tblPr>
        <w:tblStyle w:val="21"/>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9"/>
      </w:tblGrid>
      <w:tr w14:paraId="071E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8769" w:type="dxa"/>
            <w:vAlign w:val="center"/>
          </w:tcPr>
          <w:p w14:paraId="50AA202A">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sz w:val="28"/>
                <w:szCs w:val="28"/>
                <w:highlight w:val="none"/>
                <w:lang w:val="en-US" w:eastAsia="zh-CN"/>
              </w:rPr>
              <w:t>专栏3-2</w:t>
            </w:r>
            <w:r>
              <w:rPr>
                <w:rFonts w:hint="eastAsia" w:ascii="Times New Roman" w:cs="Times New Roman"/>
                <w:b w:val="0"/>
                <w:bCs w:val="0"/>
                <w:color w:val="auto"/>
                <w:sz w:val="28"/>
                <w:szCs w:val="28"/>
                <w:highlight w:val="none"/>
                <w:lang w:val="en-US" w:eastAsia="zh-CN"/>
              </w:rPr>
              <w:t>：</w:t>
            </w:r>
            <w:r>
              <w:rPr>
                <w:rFonts w:hint="eastAsia" w:ascii="Times New Roman" w:hAnsi="Times New Roman" w:cs="Times New Roman"/>
                <w:b w:val="0"/>
                <w:bCs w:val="0"/>
                <w:color w:val="auto"/>
                <w:sz w:val="28"/>
                <w:szCs w:val="28"/>
                <w:highlight w:val="none"/>
                <w:lang w:val="en-US" w:eastAsia="zh-CN"/>
              </w:rPr>
              <w:t>绿色化工及新材料</w:t>
            </w:r>
            <w:r>
              <w:rPr>
                <w:rFonts w:hint="default" w:ascii="Times New Roman" w:hAnsi="Times New Roman" w:eastAsia="方正小标宋简体" w:cs="Times New Roman"/>
                <w:b w:val="0"/>
                <w:bCs w:val="0"/>
                <w:color w:val="auto"/>
                <w:sz w:val="28"/>
                <w:szCs w:val="28"/>
                <w:highlight w:val="none"/>
                <w:lang w:val="en-US" w:eastAsia="zh-CN"/>
              </w:rPr>
              <w:t>产业重点项目</w:t>
            </w:r>
          </w:p>
        </w:tc>
      </w:tr>
      <w:tr w14:paraId="2019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jc w:val="center"/>
        </w:trPr>
        <w:tc>
          <w:tcPr>
            <w:tcW w:w="8769" w:type="dxa"/>
          </w:tcPr>
          <w:p w14:paraId="0A52C03F">
            <w:pPr>
              <w:pStyle w:val="54"/>
              <w:keepNext/>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cs="仿宋_GB2312"/>
                <w:b/>
                <w:bCs w:val="0"/>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绿色化工：</w:t>
            </w:r>
            <w:r>
              <w:rPr>
                <w:rFonts w:hint="eastAsia" w:ascii="仿宋_GB2312" w:hAnsi="仿宋_GB2312" w:cs="仿宋_GB2312"/>
                <w:b w:val="0"/>
                <w:bCs/>
                <w:color w:val="auto"/>
                <w:sz w:val="28"/>
                <w:szCs w:val="28"/>
                <w:highlight w:val="none"/>
                <w:lang w:val="en-US" w:eastAsia="zh-CN"/>
              </w:rPr>
              <w:t>推进年产</w:t>
            </w:r>
            <w:r>
              <w:rPr>
                <w:rFonts w:hint="eastAsia" w:ascii="Times New Roman" w:hAnsi="Times New Roman" w:cs="Times New Roman"/>
                <w:b w:val="0"/>
                <w:bCs/>
                <w:color w:val="auto"/>
                <w:sz w:val="28"/>
                <w:szCs w:val="28"/>
                <w:highlight w:val="none"/>
                <w:lang w:val="en-US" w:eastAsia="zh-CN"/>
              </w:rPr>
              <w:t>32</w:t>
            </w:r>
            <w:r>
              <w:rPr>
                <w:rFonts w:hint="default" w:ascii="Times New Roman" w:hAnsi="Times New Roman" w:cs="Times New Roman"/>
                <w:b w:val="0"/>
                <w:bCs/>
                <w:color w:val="auto"/>
                <w:sz w:val="28"/>
                <w:szCs w:val="28"/>
                <w:highlight w:val="none"/>
                <w:lang w:val="en-US" w:eastAsia="zh-CN"/>
              </w:rPr>
              <w:t>万</w:t>
            </w:r>
            <w:r>
              <w:rPr>
                <w:rFonts w:hint="eastAsia" w:ascii="仿宋_GB2312" w:hAnsi="仿宋_GB2312" w:cs="仿宋_GB2312"/>
                <w:b w:val="0"/>
                <w:bCs/>
                <w:color w:val="auto"/>
                <w:sz w:val="28"/>
                <w:szCs w:val="28"/>
                <w:highlight w:val="none"/>
                <w:lang w:val="en-US" w:eastAsia="zh-CN"/>
              </w:rPr>
              <w:t>吨氯化新材料产业集群、</w:t>
            </w:r>
            <w:r>
              <w:rPr>
                <w:rFonts w:hint="eastAsia" w:ascii="仿宋_GB2312" w:hAnsi="仿宋_GB2312" w:eastAsia="仿宋_GB2312" w:cs="仿宋_GB2312"/>
                <w:b w:val="0"/>
                <w:bCs/>
                <w:color w:val="auto"/>
                <w:sz w:val="28"/>
                <w:szCs w:val="28"/>
                <w:highlight w:val="none"/>
                <w:lang w:eastAsia="zh-CN"/>
              </w:rPr>
              <w:t>高性能</w:t>
            </w:r>
            <w:r>
              <w:rPr>
                <w:rFonts w:hint="eastAsia" w:ascii="仿宋_GB2312" w:hAnsi="仿宋_GB2312" w:eastAsia="仿宋_GB2312" w:cs="仿宋_GB2312"/>
                <w:b w:val="0"/>
                <w:bCs/>
                <w:color w:val="auto"/>
                <w:sz w:val="28"/>
                <w:szCs w:val="28"/>
                <w:highlight w:val="none"/>
                <w:lang w:val="en-US" w:eastAsia="zh-CN"/>
              </w:rPr>
              <w:t>电池正极材料、</w:t>
            </w:r>
            <w:r>
              <w:rPr>
                <w:rFonts w:hint="default" w:ascii="Times New Roman" w:hAnsi="Times New Roman" w:eastAsia="仿宋_GB2312" w:cs="Times New Roman"/>
                <w:b w:val="0"/>
                <w:bCs/>
                <w:color w:val="auto"/>
                <w:sz w:val="28"/>
                <w:szCs w:val="28"/>
                <w:highlight w:val="none"/>
                <w:lang w:val="en-US" w:eastAsia="zh-CN"/>
              </w:rPr>
              <w:t>30</w:t>
            </w:r>
            <w:r>
              <w:rPr>
                <w:rFonts w:hint="eastAsia" w:ascii="仿宋_GB2312" w:hAnsi="仿宋_GB2312" w:eastAsia="仿宋_GB2312" w:cs="仿宋_GB2312"/>
                <w:b w:val="0"/>
                <w:bCs/>
                <w:color w:val="auto"/>
                <w:sz w:val="28"/>
                <w:szCs w:val="28"/>
                <w:highlight w:val="none"/>
                <w:lang w:val="en-US" w:eastAsia="zh-CN"/>
              </w:rPr>
              <w:t>万吨/年全酸性流化床过氧化氢、</w:t>
            </w:r>
            <w:r>
              <w:rPr>
                <w:rFonts w:hint="default" w:ascii="Times New Roman" w:hAnsi="Times New Roman" w:eastAsia="仿宋_GB2312" w:cs="Times New Roman"/>
                <w:b w:val="0"/>
                <w:bCs/>
                <w:color w:val="auto"/>
                <w:sz w:val="28"/>
                <w:szCs w:val="28"/>
                <w:highlight w:val="none"/>
                <w:lang w:val="en-US" w:eastAsia="zh-CN"/>
              </w:rPr>
              <w:t>2</w:t>
            </w:r>
            <w:r>
              <w:rPr>
                <w:rFonts w:hint="eastAsia" w:ascii="仿宋_GB2312" w:hAnsi="仿宋_GB2312" w:eastAsia="仿宋_GB2312" w:cs="仿宋_GB2312"/>
                <w:b w:val="0"/>
                <w:bCs/>
                <w:color w:val="auto"/>
                <w:sz w:val="28"/>
                <w:szCs w:val="28"/>
                <w:highlight w:val="none"/>
                <w:lang w:val="en-US" w:eastAsia="zh-CN"/>
              </w:rPr>
              <w:t>万吨级电解二氧化锰等基础化工项目</w:t>
            </w:r>
            <w:r>
              <w:rPr>
                <w:rFonts w:hint="eastAsia" w:ascii="仿宋_GB2312" w:hAnsi="仿宋_GB2312" w:cs="仿宋_GB2312"/>
                <w:b w:val="0"/>
                <w:bCs/>
                <w:color w:val="auto"/>
                <w:sz w:val="28"/>
                <w:szCs w:val="28"/>
                <w:highlight w:val="none"/>
                <w:lang w:val="en-US" w:eastAsia="zh-CN"/>
              </w:rPr>
              <w:t>；新建</w:t>
            </w:r>
            <w:r>
              <w:rPr>
                <w:rFonts w:hint="eastAsia" w:ascii="仿宋_GB2312" w:hAnsi="仿宋_GB2312" w:eastAsia="仿宋_GB2312" w:cs="仿宋_GB2312"/>
                <w:b w:val="0"/>
                <w:bCs/>
                <w:color w:val="auto"/>
                <w:sz w:val="28"/>
                <w:szCs w:val="28"/>
                <w:highlight w:val="none"/>
                <w:lang w:val="en-US" w:eastAsia="zh-CN"/>
              </w:rPr>
              <w:t>化工园区</w:t>
            </w:r>
            <w:r>
              <w:rPr>
                <w:rFonts w:hint="eastAsia" w:ascii="仿宋_GB2312" w:hAnsi="仿宋_GB2312" w:cs="仿宋_GB2312"/>
                <w:b w:val="0"/>
                <w:bCs/>
                <w:color w:val="auto"/>
                <w:sz w:val="28"/>
                <w:szCs w:val="28"/>
                <w:highlight w:val="none"/>
                <w:lang w:val="en-US" w:eastAsia="zh-CN"/>
              </w:rPr>
              <w:t>纵十七路，完善西环路改造、智慧安监与风险管控平台等配套设施；谋划氯碱产业链合作与延伸、农药中间体等项目，适时启动</w:t>
            </w:r>
            <w:r>
              <w:rPr>
                <w:rFonts w:hint="eastAsia" w:ascii="仿宋_GB2312" w:hAnsi="仿宋_GB2312" w:eastAsia="仿宋_GB2312" w:cs="仿宋_GB2312"/>
                <w:b w:val="0"/>
                <w:bCs/>
                <w:color w:val="auto"/>
                <w:sz w:val="28"/>
                <w:szCs w:val="28"/>
                <w:highlight w:val="none"/>
                <w:lang w:val="en-US" w:eastAsia="zh-CN"/>
              </w:rPr>
              <w:t>化工园区二三期</w:t>
            </w:r>
            <w:r>
              <w:rPr>
                <w:rFonts w:hint="eastAsia" w:ascii="仿宋_GB2312" w:hAnsi="仿宋_GB2312" w:cs="仿宋_GB2312"/>
                <w:b w:val="0"/>
                <w:bCs/>
                <w:color w:val="auto"/>
                <w:sz w:val="28"/>
                <w:szCs w:val="28"/>
                <w:highlight w:val="none"/>
                <w:lang w:val="en-US" w:eastAsia="zh-CN"/>
              </w:rPr>
              <w:t>整体</w:t>
            </w:r>
            <w:r>
              <w:rPr>
                <w:rFonts w:hint="eastAsia" w:ascii="仿宋_GB2312" w:hAnsi="仿宋_GB2312" w:eastAsia="仿宋_GB2312" w:cs="仿宋_GB2312"/>
                <w:b w:val="0"/>
                <w:bCs/>
                <w:color w:val="auto"/>
                <w:sz w:val="28"/>
                <w:szCs w:val="28"/>
                <w:highlight w:val="none"/>
                <w:lang w:val="en-US" w:eastAsia="zh-CN"/>
              </w:rPr>
              <w:t>开发</w:t>
            </w:r>
            <w:r>
              <w:rPr>
                <w:rFonts w:hint="eastAsia" w:ascii="仿宋_GB2312" w:hAnsi="仿宋_GB2312" w:cs="仿宋_GB2312"/>
                <w:b w:val="0"/>
                <w:bCs/>
                <w:color w:val="auto"/>
                <w:sz w:val="28"/>
                <w:szCs w:val="28"/>
                <w:highlight w:val="none"/>
                <w:lang w:val="en-US" w:eastAsia="zh-CN"/>
              </w:rPr>
              <w:t>，引进电子极化工产品及高附加值产品。</w:t>
            </w:r>
          </w:p>
          <w:p w14:paraId="07AE1524">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新材料：</w:t>
            </w:r>
            <w:r>
              <w:rPr>
                <w:rFonts w:hint="eastAsia" w:ascii="仿宋_GB2312" w:hAnsi="仿宋_GB2312" w:cs="仿宋_GB2312"/>
                <w:b w:val="0"/>
                <w:bCs/>
                <w:color w:val="auto"/>
                <w:sz w:val="28"/>
                <w:szCs w:val="28"/>
                <w:highlight w:val="none"/>
                <w:lang w:val="en-US" w:eastAsia="zh-CN"/>
              </w:rPr>
              <w:t>推进</w:t>
            </w:r>
            <w:r>
              <w:rPr>
                <w:rFonts w:hint="eastAsia" w:ascii="仿宋_GB2312" w:hAnsi="仿宋_GB2312" w:eastAsia="仿宋_GB2312" w:cs="仿宋_GB2312"/>
                <w:b w:val="0"/>
                <w:bCs/>
                <w:color w:val="auto"/>
                <w:sz w:val="28"/>
                <w:szCs w:val="28"/>
                <w:highlight w:val="none"/>
                <w:lang w:val="en-US" w:eastAsia="zh-CN"/>
              </w:rPr>
              <w:t>高端表面性能材料产业园</w:t>
            </w:r>
            <w:r>
              <w:rPr>
                <w:rFonts w:hint="eastAsia" w:ascii="仿宋_GB2312" w:hAnsi="仿宋_GB2312" w:cs="仿宋_GB2312"/>
                <w:b w:val="0"/>
                <w:bCs/>
                <w:color w:val="auto"/>
                <w:sz w:val="28"/>
                <w:szCs w:val="28"/>
                <w:highlight w:val="none"/>
                <w:lang w:val="en-US" w:eastAsia="zh-CN"/>
              </w:rPr>
              <w:t>、水处理高分子材料生产基地、</w:t>
            </w:r>
            <w:r>
              <w:rPr>
                <w:rFonts w:hint="eastAsia" w:ascii="仿宋_GB2312" w:hAnsi="仿宋_GB2312" w:eastAsia="仿宋_GB2312" w:cs="仿宋_GB2312"/>
                <w:b w:val="0"/>
                <w:bCs/>
                <w:color w:val="auto"/>
                <w:sz w:val="28"/>
                <w:szCs w:val="28"/>
                <w:highlight w:val="none"/>
                <w:lang w:val="en-US" w:eastAsia="zh-CN"/>
              </w:rPr>
              <w:t>醇基燃料生产基地</w:t>
            </w:r>
            <w:r>
              <w:rPr>
                <w:rFonts w:hint="eastAsia" w:ascii="仿宋_GB2312" w:hAnsi="仿宋_GB2312" w:cs="仿宋_GB2312"/>
                <w:b w:val="0"/>
                <w:bCs/>
                <w:color w:val="auto"/>
                <w:sz w:val="28"/>
                <w:szCs w:val="28"/>
                <w:highlight w:val="none"/>
                <w:lang w:val="en-US" w:eastAsia="zh-CN"/>
              </w:rPr>
              <w:t>等项目；依托合成云母珠光新材料引进全产业链项目打造新材料产业园区。</w:t>
            </w:r>
          </w:p>
        </w:tc>
      </w:tr>
    </w:tbl>
    <w:p w14:paraId="4BE4CB4C">
      <w:pPr>
        <w:rPr>
          <w:rFonts w:hint="eastAsia"/>
          <w:color w:val="auto"/>
          <w:highlight w:val="none"/>
          <w:lang w:val="en-US" w:eastAsia="zh-CN"/>
        </w:rPr>
      </w:pPr>
    </w:p>
    <w:bookmarkEnd w:id="114"/>
    <w:bookmarkEnd w:id="115"/>
    <w:p w14:paraId="24B189DC">
      <w:pPr>
        <w:pStyle w:val="2"/>
        <w:keepNext w:val="0"/>
        <w:keepLines w:val="0"/>
        <w:pageBreakBefore w:val="0"/>
        <w:widowControl w:val="0"/>
        <w:numPr>
          <w:ilvl w:val="0"/>
          <w:numId w:val="0"/>
        </w:numPr>
        <w:kinsoku/>
        <w:wordWrap/>
        <w:overflowPunct/>
        <w:topLinePunct w:val="0"/>
        <w:bidi w:val="0"/>
        <w:snapToGrid/>
        <w:spacing w:after="0" w:line="560" w:lineRule="exact"/>
        <w:ind w:left="0" w:leftChars="0" w:firstLine="643" w:firstLineChars="200"/>
        <w:jc w:val="both"/>
        <w:textAlignment w:val="auto"/>
        <w:rPr>
          <w:rFonts w:hint="default" w:ascii="Times New Roman" w:hAnsi="Times New Roman" w:eastAsia="楷体_GB2312" w:cs="Times New Roman"/>
          <w:b/>
          <w:bCs/>
          <w:color w:val="auto"/>
          <w:spacing w:val="0"/>
          <w:kern w:val="2"/>
          <w:sz w:val="32"/>
          <w:szCs w:val="32"/>
          <w:highlight w:val="none"/>
          <w:lang w:val="en-US" w:eastAsia="zh-CN" w:bidi="ar-SA"/>
        </w:rPr>
      </w:pPr>
      <w:r>
        <w:rPr>
          <w:rFonts w:hint="default" w:ascii="Times New Roman" w:hAnsi="Times New Roman" w:eastAsia="楷体_GB2312" w:cs="Times New Roman"/>
          <w:b/>
          <w:bCs/>
          <w:color w:val="auto"/>
          <w:spacing w:val="0"/>
          <w:kern w:val="2"/>
          <w:sz w:val="32"/>
          <w:szCs w:val="32"/>
          <w:highlight w:val="none"/>
          <w:lang w:val="en-US" w:eastAsia="zh-CN" w:bidi="ar-SA"/>
        </w:rPr>
        <w:t>形成3个五十亿级特色产业集群：</w:t>
      </w:r>
    </w:p>
    <w:p w14:paraId="0C53E898">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2"/>
          <w:sz w:val="32"/>
          <w:szCs w:val="32"/>
          <w:highlight w:val="none"/>
          <w:lang w:val="en-US" w:eastAsia="zh-CN" w:bidi="ar-SA"/>
        </w:rPr>
      </w:pPr>
      <w:r>
        <w:rPr>
          <w:rFonts w:hint="eastAsia" w:ascii="Times New Roman" w:hAnsi="Times New Roman" w:eastAsia="仿宋_GB2312" w:cs="Times New Roman"/>
          <w:b/>
          <w:bCs/>
          <w:color w:val="auto"/>
          <w:spacing w:val="0"/>
          <w:kern w:val="2"/>
          <w:sz w:val="32"/>
          <w:szCs w:val="32"/>
          <w:highlight w:val="none"/>
          <w:lang w:val="en-US" w:eastAsia="zh-CN" w:bidi="ar-SA"/>
        </w:rPr>
        <w:t>推进高端装备制造产业集群化发展与价值链提升。</w:t>
      </w:r>
      <w:r>
        <w:rPr>
          <w:rFonts w:hint="eastAsia" w:ascii="Times New Roman" w:hAnsi="Times New Roman" w:eastAsia="仿宋_GB2312" w:cs="Times New Roman"/>
          <w:b w:val="0"/>
          <w:bCs w:val="0"/>
          <w:color w:val="auto"/>
          <w:spacing w:val="0"/>
          <w:kern w:val="2"/>
          <w:sz w:val="32"/>
          <w:szCs w:val="32"/>
          <w:highlight w:val="none"/>
          <w:lang w:val="en-US" w:eastAsia="zh-CN" w:bidi="ar-SA"/>
        </w:rPr>
        <w:t>依托钧达汽车等龙头企业，大力实施“智改数转”</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endnoteReference w:id="6"/>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eastAsia" w:ascii="Times New Roman" w:hAnsi="Times New Roman" w:eastAsia="仿宋_GB2312" w:cs="Times New Roman"/>
          <w:b w:val="0"/>
          <w:bCs w:val="0"/>
          <w:color w:val="auto"/>
          <w:spacing w:val="0"/>
          <w:kern w:val="2"/>
          <w:sz w:val="32"/>
          <w:szCs w:val="32"/>
          <w:highlight w:val="none"/>
          <w:lang w:val="en-US" w:eastAsia="zh-CN" w:bidi="ar-SA"/>
        </w:rPr>
        <w:t>标杆项目，广泛引进工业机器人、自动化生产线，深入应用智能管理系统与工业互联网平台，建设一批智能工厂和数字化车间，实现生产全过程的精准化、可视化与可预测。强化工业数据在全产业链的采集、融通与深度应用，推动研发设计、生产制造、经营管理等环节的集成互联与协同优化。在巩固汽车发动机、变速箱、车身及底盘等传统关键零部件优势的基础上，重点布局电池包、驱动电机、电控系统等新能源汽车核心部件，强化产业链关键环节。推进鹿寨汽车零部件生产加工产业园、新能源汽车高性能材料生产等项目建设。高水平建设智能网联零部件孵化园，完善精密铸造、高端机加工等关键共性技术环节，提升园区综合承载与协同创新能力。同时，积极培育特色装备板块，重点发展高端智能林业机械、智能穿戴设备等产业，支持一批“专精特新”中小企业在园区集聚发展。延伸配套光电信息产业，</w:t>
      </w:r>
      <w:r>
        <w:rPr>
          <w:rFonts w:hint="eastAsia" w:ascii="Times New Roman" w:hAnsi="Times New Roman" w:eastAsia="仿宋_GB2312" w:cs="Times New Roman"/>
          <w:b w:val="0"/>
          <w:bCs w:val="0"/>
          <w:color w:val="auto"/>
          <w:kern w:val="2"/>
          <w:sz w:val="32"/>
          <w:szCs w:val="32"/>
          <w:highlight w:val="none"/>
          <w:lang w:val="en-US" w:eastAsia="zh-CN" w:bidi="th-TH"/>
        </w:rPr>
        <w:t>重点引进电子元器件制造、智能终端生产、软件开发等企业，培育发展封装测试、半导体器件等细分领域。推进脉冲磁场杀菌研发、深紫外半导体器件封装等项目建设，</w:t>
      </w:r>
      <w:r>
        <w:rPr>
          <w:rFonts w:hint="eastAsia" w:ascii="Times New Roman" w:hAnsi="Times New Roman" w:eastAsia="仿宋_GB2312" w:cs="Times New Roman"/>
          <w:b w:val="0"/>
          <w:bCs w:val="0"/>
          <w:color w:val="auto"/>
          <w:spacing w:val="0"/>
          <w:kern w:val="2"/>
          <w:sz w:val="32"/>
          <w:szCs w:val="32"/>
          <w:highlight w:val="none"/>
          <w:lang w:val="en-US" w:eastAsia="zh-CN" w:bidi="ar-SA"/>
        </w:rPr>
        <w:t>为装备智能化提供关键支撑，打造区域影响力突出、配套体系完善的智能装备产业基地。力争到2030年，高端装备制造产业产值突破50亿元，关键工序数控化率、数字化研发设计工具普及率显著提升。</w:t>
      </w:r>
    </w:p>
    <w:p w14:paraId="0C5205C0">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2C65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9071" w:type="dxa"/>
            <w:vAlign w:val="center"/>
          </w:tcPr>
          <w:p w14:paraId="45F9908D">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sz w:val="28"/>
                <w:szCs w:val="28"/>
                <w:highlight w:val="none"/>
                <w:lang w:val="en-US" w:eastAsia="zh-CN"/>
              </w:rPr>
              <w:t>专栏3-3</w:t>
            </w:r>
            <w:r>
              <w:rPr>
                <w:rFonts w:hint="eastAsia" w:ascii="Times New Roman" w:cs="Times New Roman"/>
                <w:b w:val="0"/>
                <w:bCs w:val="0"/>
                <w:color w:val="auto"/>
                <w:sz w:val="28"/>
                <w:szCs w:val="28"/>
                <w:highlight w:val="none"/>
                <w:lang w:val="en-US" w:eastAsia="zh-CN"/>
              </w:rPr>
              <w:t>：</w:t>
            </w:r>
            <w:r>
              <w:rPr>
                <w:rFonts w:hint="default" w:ascii="Times New Roman" w:hAnsi="Times New Roman" w:eastAsia="方正小标宋简体" w:cs="Times New Roman"/>
                <w:b w:val="0"/>
                <w:bCs w:val="0"/>
                <w:color w:val="auto"/>
                <w:sz w:val="28"/>
                <w:szCs w:val="28"/>
                <w:highlight w:val="none"/>
                <w:lang w:val="en-US" w:eastAsia="zh-CN"/>
              </w:rPr>
              <w:t>高端装备制造产业重点项目</w:t>
            </w:r>
          </w:p>
        </w:tc>
      </w:tr>
      <w:tr w14:paraId="4EF9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9071" w:type="dxa"/>
          </w:tcPr>
          <w:p w14:paraId="35429D05">
            <w:pPr>
              <w:pStyle w:val="54"/>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b/>
                <w:bCs w:val="0"/>
                <w:color w:val="auto"/>
                <w:sz w:val="28"/>
                <w:szCs w:val="28"/>
                <w:highlight w:val="none"/>
                <w:lang w:val="en-US" w:eastAsia="zh-CN"/>
              </w:rPr>
            </w:pPr>
            <w:r>
              <w:rPr>
                <w:rFonts w:hint="eastAsia"/>
                <w:b w:val="0"/>
                <w:bCs/>
                <w:color w:val="auto"/>
                <w:sz w:val="28"/>
                <w:szCs w:val="28"/>
                <w:highlight w:val="none"/>
                <w:lang w:val="en-US" w:eastAsia="zh-CN"/>
              </w:rPr>
              <w:t>推进汽车零部件生产加工产业园（含新能源汽车核心部件布局）、</w:t>
            </w:r>
            <w:r>
              <w:rPr>
                <w:rFonts w:hint="eastAsia" w:ascii="Times New Roman" w:hAnsi="Times New Roman" w:eastAsia="仿宋_GB2312" w:cs="Times New Roman"/>
                <w:b w:val="0"/>
                <w:bCs w:val="0"/>
                <w:color w:val="auto"/>
                <w:spacing w:val="0"/>
                <w:kern w:val="2"/>
                <w:sz w:val="28"/>
                <w:szCs w:val="28"/>
                <w:highlight w:val="none"/>
                <w:lang w:val="en-US" w:eastAsia="zh-CN" w:bidi="ar-SA"/>
              </w:rPr>
              <w:t>新能源汽车高性能材料生产</w:t>
            </w:r>
            <w:r>
              <w:rPr>
                <w:rFonts w:hint="eastAsia" w:cs="Times New Roman"/>
                <w:b w:val="0"/>
                <w:bCs w:val="0"/>
                <w:color w:val="auto"/>
                <w:spacing w:val="0"/>
                <w:kern w:val="2"/>
                <w:sz w:val="28"/>
                <w:szCs w:val="28"/>
                <w:highlight w:val="none"/>
                <w:lang w:val="en-US" w:eastAsia="zh-CN" w:bidi="ar-SA"/>
              </w:rPr>
              <w:t>基地、</w:t>
            </w:r>
            <w:r>
              <w:rPr>
                <w:rFonts w:hint="eastAsia"/>
                <w:b w:val="0"/>
                <w:bCs/>
                <w:color w:val="auto"/>
                <w:sz w:val="28"/>
                <w:szCs w:val="28"/>
                <w:highlight w:val="none"/>
                <w:lang w:val="en-US" w:eastAsia="zh-CN"/>
              </w:rPr>
              <w:t>脉冲磁场杀菌研发、液晶显示及触控一体化配套、</w:t>
            </w:r>
            <w:r>
              <w:rPr>
                <w:rFonts w:hint="eastAsia" w:ascii="Times New Roman" w:hAnsi="Times New Roman"/>
                <w:b w:val="0"/>
                <w:bCs/>
                <w:color w:val="auto"/>
                <w:sz w:val="28"/>
                <w:szCs w:val="28"/>
                <w:highlight w:val="none"/>
                <w:lang w:val="en-US" w:eastAsia="zh-CN"/>
              </w:rPr>
              <w:t>LED</w:t>
            </w:r>
            <w:r>
              <w:rPr>
                <w:rFonts w:hint="eastAsia"/>
                <w:b w:val="0"/>
                <w:bCs/>
                <w:color w:val="auto"/>
                <w:sz w:val="28"/>
                <w:szCs w:val="28"/>
                <w:highlight w:val="none"/>
                <w:lang w:val="en-US" w:eastAsia="zh-CN"/>
              </w:rPr>
              <w:t>半导体生产等</w:t>
            </w:r>
            <w:r>
              <w:rPr>
                <w:rFonts w:hint="eastAsia" w:cs="Times New Roman"/>
                <w:b w:val="0"/>
                <w:bCs w:val="0"/>
                <w:color w:val="auto"/>
                <w:spacing w:val="0"/>
                <w:kern w:val="2"/>
                <w:sz w:val="28"/>
                <w:szCs w:val="28"/>
                <w:highlight w:val="none"/>
                <w:lang w:val="en-US" w:eastAsia="zh-CN" w:bidi="ar-SA"/>
              </w:rPr>
              <w:t>项目；谋划智能网联零部件孵化园（共性技术平台）等项目</w:t>
            </w:r>
            <w:r>
              <w:rPr>
                <w:rFonts w:hint="eastAsia" w:ascii="Times New Roman" w:hAnsi="Times New Roman" w:cs="Times New Roman"/>
                <w:b w:val="0"/>
                <w:bCs w:val="0"/>
                <w:color w:val="auto"/>
                <w:spacing w:val="0"/>
                <w:kern w:val="2"/>
                <w:sz w:val="28"/>
                <w:szCs w:val="28"/>
                <w:highlight w:val="none"/>
                <w:lang w:val="en-US" w:eastAsia="zh-CN" w:bidi="ar-SA"/>
              </w:rPr>
              <w:t>。</w:t>
            </w:r>
          </w:p>
        </w:tc>
      </w:tr>
    </w:tbl>
    <w:p w14:paraId="6CD2E8CE">
      <w:pPr>
        <w:pStyle w:val="29"/>
        <w:keepNext w:val="0"/>
        <w:keepLines w:val="0"/>
        <w:pageBreakBefore w:val="0"/>
        <w:widowControl w:val="0"/>
        <w:kinsoku/>
        <w:wordWrap w:val="0"/>
        <w:overflowPunct/>
        <w:topLinePunct w:val="0"/>
        <w:autoSpaceDE/>
        <w:autoSpaceDN/>
        <w:bidi w:val="0"/>
        <w:adjustRightInd/>
        <w:snapToGrid/>
        <w:spacing w:before="0" w:after="0"/>
        <w:ind w:left="0" w:leftChars="0" w:right="0" w:firstLine="0" w:firstLineChars="0"/>
        <w:jc w:val="both"/>
        <w:textAlignment w:val="auto"/>
        <w:rPr>
          <w:rFonts w:hint="eastAsia"/>
          <w:color w:val="auto"/>
          <w:highlight w:val="none"/>
          <w:lang w:val="en-US" w:eastAsia="zh-CN"/>
        </w:rPr>
      </w:pPr>
    </w:p>
    <w:p w14:paraId="7557EF34">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推动智慧轻工及大健康产业融合跃升。</w:t>
      </w:r>
      <w:r>
        <w:rPr>
          <w:rFonts w:hint="eastAsia" w:ascii="仿宋_GB2312" w:hAnsi="仿宋_GB2312" w:eastAsia="仿宋_GB2312" w:cs="仿宋_GB2312"/>
          <w:b w:val="0"/>
          <w:bCs w:val="0"/>
          <w:color w:val="auto"/>
          <w:kern w:val="2"/>
          <w:sz w:val="32"/>
          <w:szCs w:val="32"/>
          <w:highlight w:val="none"/>
          <w:lang w:val="en-US" w:eastAsia="zh-CN" w:bidi="ar-SA"/>
        </w:rPr>
        <w:t>聚焦“智能化、绿色化、融合化、品牌化”，推动传统轻工业向价值链高端跃升。巩固提升农副食品精深加工，推动制糖产业绿色转型，支持龙头企业研发蔗糖衍生物、功能性低聚糖等高附加值产品，推广蔗渣发电、滤泥制肥等资源化利用技术。依托桑蚕资源，鼓励研发高端生丝、蚕丝蛋白生物材料及化妆品，推广绿色缫丝与副产品全量利用技术改造，构建“蔗叶—生物质燃料”“蚕沙—有机肥”等高效循环链条，打造区域性循环经济供应基地。壮大医药大健康产业，发挥中药材种植优势，推广生态套种模式，加强精深加工与新药研发，构建“龙头企业+专业合作社+基地+农户”联动发展格局。推动“中医药+健康”深度融合，建设药王谷康养产业园。挖掘瑶医药文化，开发瑶浴包、药膳、特色药妆等健康产品，延伸产业链价值。强化与科研院所合作，培育康养旅游、健康食品、医疗美容等新业态。</w:t>
      </w:r>
      <w:r>
        <w:rPr>
          <w:rFonts w:hint="eastAsia" w:ascii="Times New Roman" w:hAnsi="Times New Roman" w:eastAsia="仿宋_GB2312" w:cs="Times New Roman"/>
          <w:b w:val="0"/>
          <w:bCs w:val="0"/>
          <w:color w:val="auto"/>
          <w:spacing w:val="0"/>
          <w:kern w:val="2"/>
          <w:sz w:val="32"/>
          <w:szCs w:val="32"/>
          <w:highlight w:val="none"/>
          <w:lang w:val="en-US" w:eastAsia="zh-CN" w:bidi="ar-SA"/>
        </w:rPr>
        <w:t>力争到2030年，</w:t>
      </w:r>
      <w:r>
        <w:rPr>
          <w:rFonts w:hint="default" w:ascii="Times New Roman" w:hAnsi="Times New Roman" w:eastAsia="仿宋_GB2312" w:cs="Times New Roman"/>
          <w:b w:val="0"/>
          <w:bCs w:val="0"/>
          <w:color w:val="auto"/>
          <w:spacing w:val="0"/>
          <w:kern w:val="2"/>
          <w:sz w:val="32"/>
          <w:szCs w:val="32"/>
          <w:highlight w:val="none"/>
          <w:lang w:val="en-US" w:eastAsia="zh-CN" w:bidi="ar-SA"/>
        </w:rPr>
        <w:t>智慧轻工及大健康产业产值</w:t>
      </w:r>
      <w:r>
        <w:rPr>
          <w:rFonts w:hint="eastAsia" w:ascii="Times New Roman" w:hAnsi="Times New Roman" w:eastAsia="仿宋_GB2312" w:cs="Times New Roman"/>
          <w:b w:val="0"/>
          <w:bCs w:val="0"/>
          <w:color w:val="auto"/>
          <w:spacing w:val="0"/>
          <w:kern w:val="2"/>
          <w:sz w:val="32"/>
          <w:szCs w:val="32"/>
          <w:highlight w:val="none"/>
          <w:lang w:val="en-US" w:eastAsia="zh-CN" w:bidi="ar-SA"/>
        </w:rPr>
        <w:t>突破</w:t>
      </w:r>
      <w:r>
        <w:rPr>
          <w:rFonts w:hint="default" w:ascii="Times New Roman" w:hAnsi="Times New Roman" w:eastAsia="仿宋_GB2312" w:cs="Times New Roman"/>
          <w:b w:val="0"/>
          <w:bCs w:val="0"/>
          <w:color w:val="auto"/>
          <w:spacing w:val="0"/>
          <w:kern w:val="2"/>
          <w:sz w:val="32"/>
          <w:szCs w:val="32"/>
          <w:highlight w:val="none"/>
          <w:lang w:val="en-US" w:eastAsia="zh-CN" w:bidi="ar-SA"/>
        </w:rPr>
        <w:t>50亿元</w:t>
      </w:r>
      <w:r>
        <w:rPr>
          <w:rFonts w:hint="eastAsia" w:ascii="Times New Roman" w:hAnsi="Times New Roman" w:eastAsia="仿宋_GB2312" w:cs="Times New Roman"/>
          <w:b w:val="0"/>
          <w:bCs w:val="0"/>
          <w:color w:val="auto"/>
          <w:spacing w:val="0"/>
          <w:kern w:val="2"/>
          <w:sz w:val="32"/>
          <w:szCs w:val="32"/>
          <w:highlight w:val="none"/>
          <w:lang w:val="en-US" w:eastAsia="zh-CN" w:bidi="ar-SA"/>
        </w:rPr>
        <w:t>，绿色制造水平和品牌影响力大幅提升。</w:t>
      </w:r>
    </w:p>
    <w:p w14:paraId="399EF153">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3DD4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9071" w:type="dxa"/>
            <w:vAlign w:val="center"/>
          </w:tcPr>
          <w:p w14:paraId="0691B594">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sz w:val="28"/>
                <w:szCs w:val="28"/>
                <w:highlight w:val="none"/>
                <w:lang w:val="en-US" w:eastAsia="zh-CN"/>
              </w:rPr>
              <w:t>专栏3-</w:t>
            </w:r>
            <w:r>
              <w:rPr>
                <w:rFonts w:hint="eastAsia" w:ascii="Times New Roman" w:cs="Times New Roman"/>
                <w:b w:val="0"/>
                <w:bCs w:val="0"/>
                <w:color w:val="auto"/>
                <w:sz w:val="28"/>
                <w:szCs w:val="28"/>
                <w:highlight w:val="none"/>
                <w:lang w:val="en-US" w:eastAsia="zh-CN"/>
              </w:rPr>
              <w:t>4：</w:t>
            </w:r>
            <w:r>
              <w:rPr>
                <w:rFonts w:hint="default" w:ascii="Times New Roman" w:hAnsi="Times New Roman" w:eastAsia="方正小标宋简体" w:cs="Times New Roman"/>
                <w:b w:val="0"/>
                <w:bCs w:val="0"/>
                <w:color w:val="auto"/>
                <w:sz w:val="28"/>
                <w:szCs w:val="28"/>
                <w:highlight w:val="none"/>
                <w:lang w:val="en-US" w:eastAsia="zh-CN"/>
              </w:rPr>
              <w:t>智慧轻工及大健康产业重点项目</w:t>
            </w:r>
          </w:p>
        </w:tc>
      </w:tr>
      <w:tr w14:paraId="7F71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9071" w:type="dxa"/>
          </w:tcPr>
          <w:p w14:paraId="2DA14395">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cs="Times New Roman"/>
                <w:b w:val="0"/>
                <w:bCs w:val="0"/>
                <w:color w:val="auto"/>
                <w:spacing w:val="0"/>
                <w:kern w:val="2"/>
                <w:sz w:val="28"/>
                <w:szCs w:val="28"/>
                <w:highlight w:val="none"/>
                <w:lang w:val="en-US" w:eastAsia="zh-CN" w:bidi="ar-SA"/>
              </w:rPr>
            </w:pPr>
            <w:r>
              <w:rPr>
                <w:rFonts w:hint="eastAsia" w:cs="Times New Roman"/>
                <w:b/>
                <w:bCs/>
                <w:color w:val="auto"/>
                <w:spacing w:val="0"/>
                <w:kern w:val="2"/>
                <w:sz w:val="28"/>
                <w:szCs w:val="28"/>
                <w:highlight w:val="none"/>
                <w:lang w:val="en-US" w:eastAsia="zh-CN" w:bidi="ar-SA"/>
              </w:rPr>
              <w:t>智慧轻工：</w:t>
            </w:r>
            <w:r>
              <w:rPr>
                <w:rFonts w:hint="eastAsia" w:cs="Times New Roman"/>
                <w:b w:val="0"/>
                <w:bCs w:val="0"/>
                <w:color w:val="auto"/>
                <w:spacing w:val="0"/>
                <w:kern w:val="2"/>
                <w:sz w:val="28"/>
                <w:szCs w:val="28"/>
                <w:highlight w:val="none"/>
                <w:lang w:val="en-US" w:eastAsia="zh-CN" w:bidi="ar-SA"/>
              </w:rPr>
              <w:t>推进蔗糖衍生物与功能性低聚糖研发产业化、绿色缫丝与蚕桑高值化利用技术改造、蓝莓种植深加工、</w:t>
            </w:r>
            <w:r>
              <w:rPr>
                <w:rFonts w:hint="eastAsia" w:cs="Times New Roman"/>
                <w:color w:val="auto"/>
                <w:kern w:val="2"/>
                <w:sz w:val="28"/>
                <w:szCs w:val="28"/>
                <w:highlight w:val="none"/>
                <w:lang w:val="en-US" w:eastAsia="zh-CN" w:bidi="th-TH"/>
              </w:rPr>
              <w:t>漓源饲料三期等项目；谋划水奶牛乳制品加工、果蔬种植加工基地</w:t>
            </w:r>
            <w:r>
              <w:rPr>
                <w:rFonts w:hint="eastAsia" w:cs="Times New Roman"/>
                <w:b w:val="0"/>
                <w:bCs w:val="0"/>
                <w:color w:val="auto"/>
                <w:spacing w:val="0"/>
                <w:kern w:val="2"/>
                <w:sz w:val="28"/>
                <w:szCs w:val="28"/>
                <w:highlight w:val="none"/>
                <w:lang w:val="en-US" w:eastAsia="zh-CN" w:bidi="ar-SA"/>
              </w:rPr>
              <w:t>、桑蚕循环经济产业园等项目。</w:t>
            </w:r>
          </w:p>
          <w:p w14:paraId="6FF06338">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b/>
                <w:bCs w:val="0"/>
                <w:color w:val="auto"/>
                <w:sz w:val="28"/>
                <w:szCs w:val="28"/>
                <w:highlight w:val="none"/>
                <w:lang w:val="en-US" w:eastAsia="zh-CN"/>
              </w:rPr>
            </w:pPr>
            <w:r>
              <w:rPr>
                <w:rFonts w:hint="eastAsia" w:cs="Times New Roman"/>
                <w:b/>
                <w:bCs/>
                <w:color w:val="auto"/>
                <w:spacing w:val="0"/>
                <w:kern w:val="2"/>
                <w:sz w:val="28"/>
                <w:szCs w:val="28"/>
                <w:highlight w:val="none"/>
                <w:lang w:val="en-US" w:eastAsia="zh-CN" w:bidi="ar-SA"/>
              </w:rPr>
              <w:t>大健康：</w:t>
            </w:r>
            <w:r>
              <w:rPr>
                <w:rFonts w:hint="eastAsia" w:ascii="Times New Roman" w:hAnsi="Times New Roman" w:cs="Times New Roman"/>
                <w:b w:val="0"/>
                <w:bCs/>
                <w:color w:val="auto"/>
                <w:sz w:val="28"/>
                <w:szCs w:val="28"/>
                <w:highlight w:val="none"/>
                <w:lang w:val="en-US" w:eastAsia="zh-CN"/>
              </w:rPr>
              <w:t>推进药王谷</w:t>
            </w:r>
            <w:r>
              <w:rPr>
                <w:rFonts w:hint="eastAsia" w:cs="Times New Roman"/>
                <w:b w:val="0"/>
                <w:bCs/>
                <w:color w:val="auto"/>
                <w:sz w:val="28"/>
                <w:szCs w:val="28"/>
                <w:highlight w:val="none"/>
                <w:lang w:val="en-US" w:eastAsia="zh-CN"/>
              </w:rPr>
              <w:t>康养</w:t>
            </w:r>
            <w:r>
              <w:rPr>
                <w:rFonts w:hint="eastAsia" w:ascii="Times New Roman" w:hAnsi="Times New Roman" w:cs="Times New Roman"/>
                <w:b w:val="0"/>
                <w:bCs/>
                <w:color w:val="auto"/>
                <w:sz w:val="28"/>
                <w:szCs w:val="28"/>
                <w:highlight w:val="none"/>
                <w:lang w:val="en-US" w:eastAsia="zh-CN"/>
              </w:rPr>
              <w:t>产业园</w:t>
            </w:r>
            <w:r>
              <w:rPr>
                <w:rFonts w:hint="eastAsia" w:cs="Times New Roman"/>
                <w:b w:val="0"/>
                <w:bCs/>
                <w:color w:val="auto"/>
                <w:sz w:val="28"/>
                <w:szCs w:val="28"/>
                <w:highlight w:val="none"/>
                <w:lang w:val="en-US" w:eastAsia="zh-CN"/>
              </w:rPr>
              <w:t>、中药材（广地龙、草珊瑚等）种植及趁鲜加工基地、茉莉花植物芳香多肽融合等项目。</w:t>
            </w:r>
          </w:p>
        </w:tc>
      </w:tr>
    </w:tbl>
    <w:p w14:paraId="4764EDE7">
      <w:pPr>
        <w:pStyle w:val="29"/>
        <w:keepNext w:val="0"/>
        <w:keepLines w:val="0"/>
        <w:pageBreakBefore w:val="0"/>
        <w:widowControl w:val="0"/>
        <w:kinsoku/>
        <w:wordWrap w:val="0"/>
        <w:overflowPunct/>
        <w:topLinePunct w:val="0"/>
        <w:autoSpaceDE/>
        <w:autoSpaceDN/>
        <w:bidi w:val="0"/>
        <w:adjustRightInd/>
        <w:snapToGrid/>
        <w:spacing w:before="0" w:after="0"/>
        <w:ind w:left="0" w:leftChars="0" w:right="0" w:firstLine="0" w:firstLineChars="0"/>
        <w:jc w:val="both"/>
        <w:textAlignment w:val="auto"/>
        <w:rPr>
          <w:rFonts w:hint="eastAsia"/>
          <w:color w:val="auto"/>
          <w:highlight w:val="none"/>
          <w:lang w:val="en-US" w:eastAsia="zh-CN"/>
        </w:rPr>
      </w:pPr>
    </w:p>
    <w:p w14:paraId="7E9FBF54">
      <w:pPr>
        <w:keepNext w:val="0"/>
        <w:keepLines w:val="0"/>
        <w:pageBreakBefore w:val="0"/>
        <w:kinsoku/>
        <w:wordWrap/>
        <w:overflowPunct/>
        <w:topLinePunct w:val="0"/>
        <w:autoSpaceDE/>
        <w:autoSpaceDN/>
        <w:bidi w:val="0"/>
        <w:adjustRightInd/>
        <w:spacing w:line="560" w:lineRule="exact"/>
        <w:ind w:left="0" w:leftChars="0" w:firstLine="643"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val="0"/>
          <w:color w:val="auto"/>
          <w:sz w:val="32"/>
          <w:szCs w:val="32"/>
          <w:highlight w:val="none"/>
          <w:lang w:val="en-US" w:eastAsia="zh-CN"/>
        </w:rPr>
        <w:t>做强新能源产业。</w:t>
      </w:r>
      <w:r>
        <w:rPr>
          <w:rFonts w:hint="eastAsia" w:ascii="仿宋_GB2312" w:hAnsi="仿宋_GB2312" w:eastAsia="仿宋_GB2312" w:cs="仿宋_GB2312"/>
          <w:b w:val="0"/>
          <w:bCs/>
          <w:color w:val="auto"/>
          <w:kern w:val="2"/>
          <w:sz w:val="32"/>
          <w:szCs w:val="32"/>
          <w:highlight w:val="none"/>
          <w:lang w:val="en-US" w:eastAsia="zh-CN" w:bidi="ar-SA"/>
        </w:rPr>
        <w:t>大力推进光伏、风电等清洁能源集中式开发，重点加快四堡风电场等项目建设，推动风电规模化并网发电。因地制宜发展屋顶光伏、分散式风电等分布式能源项目，推广农业大棚屋顶光伏、农光互补、渔光互补等“光伏+”融合发展模式，探索清洁能源与农业生产协同发展新路径。合理推进生物质发电、供热及固体废物能源化利用，拓展清洁能源应用场景。着力补链强链，补齐新能源电池配件等关键环节，大力发展风电机组、光伏组件、智能充电设施等整机制造，布局电池“回收—拆解—再生—利用”循环产业体系，提升产业集群可持续发展能力。抢抓氢能产业发展机遇，前瞻布局“制、储、运、加、用”完整产业链，推进加氢站建设，支持氢能重卡等整车制造以及电解槽、储氢瓶等装备研发生产。积极探索氢能在交通、工业等领域的应用，拓展重卡运输等应用场景，推动钢铁、化工等领域“氢替代”应用。加快构建以“新能源发电+新型储能”为核心的多能互补能源供应体系，积极推进抽水蓄能、空气压缩储能、对亭水电站等调节性储能设施建设。支持社会资本参与新型储能、虚拟电厂项目，鼓励有条件的企业开展源网荷储一体化</w:t>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Style w:val="25"/>
          <w:rFonts w:hint="default" w:ascii="Times New Roman" w:hAnsi="Times New Roman" w:eastAsia="仿宋_GB2312" w:cs="Times New Roman"/>
          <w:b w:val="0"/>
          <w:bCs/>
          <w:color w:val="auto"/>
          <w:kern w:val="2"/>
          <w:sz w:val="32"/>
          <w:szCs w:val="32"/>
          <w:highlight w:val="none"/>
          <w:lang w:val="en-US" w:eastAsia="zh-CN" w:bidi="ar-SA"/>
        </w:rPr>
        <w:endnoteReference w:id="7"/>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、绿电直连</w:t>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Style w:val="25"/>
          <w:rFonts w:hint="default" w:ascii="Times New Roman" w:hAnsi="Times New Roman" w:eastAsia="仿宋_GB2312" w:cs="Times New Roman"/>
          <w:b w:val="0"/>
          <w:bCs/>
          <w:color w:val="auto"/>
          <w:kern w:val="2"/>
          <w:sz w:val="32"/>
          <w:szCs w:val="32"/>
          <w:highlight w:val="none"/>
          <w:lang w:val="en-US" w:eastAsia="zh-CN" w:bidi="ar-SA"/>
        </w:rPr>
        <w:endnoteReference w:id="8"/>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、智能微电网等设施建设，提升绿电消费比重与供电保障能力，推动国能广投等骨干企业绿色转型。力争到</w:t>
      </w:r>
      <w:r>
        <w:rPr>
          <w:rFonts w:hint="eastAsia" w:ascii="Times New Roman" w:hAnsi="Times New Roman" w:eastAsia="仿宋_GB2312" w:cs="Times New Roman"/>
          <w:b w:val="0"/>
          <w:bCs w:val="0"/>
          <w:color w:val="auto"/>
          <w:spacing w:val="0"/>
          <w:kern w:val="2"/>
          <w:sz w:val="32"/>
          <w:szCs w:val="32"/>
          <w:highlight w:val="none"/>
          <w:lang w:val="en-US" w:eastAsia="zh-CN" w:bidi="ar-SA"/>
        </w:rPr>
        <w:t>2030</w:t>
      </w:r>
      <w:r>
        <w:rPr>
          <w:rFonts w:hint="eastAsia" w:ascii="仿宋_GB2312" w:hAnsi="仿宋_GB2312" w:eastAsia="仿宋_GB2312" w:cs="仿宋_GB2312"/>
          <w:b w:val="0"/>
          <w:bCs/>
          <w:color w:val="auto"/>
          <w:kern w:val="2"/>
          <w:sz w:val="32"/>
          <w:szCs w:val="32"/>
          <w:highlight w:val="none"/>
          <w:lang w:val="en-US" w:eastAsia="zh-CN" w:bidi="ar-SA"/>
        </w:rPr>
        <w:t>年，新能源产业集群产值突破</w:t>
      </w:r>
      <w:r>
        <w:rPr>
          <w:rFonts w:hint="eastAsia" w:ascii="Times New Roman" w:hAnsi="Times New Roman" w:eastAsia="仿宋_GB2312" w:cs="Times New Roman"/>
          <w:b w:val="0"/>
          <w:bCs w:val="0"/>
          <w:color w:val="auto"/>
          <w:spacing w:val="0"/>
          <w:kern w:val="2"/>
          <w:sz w:val="32"/>
          <w:szCs w:val="32"/>
          <w:highlight w:val="none"/>
          <w:lang w:val="en-US" w:eastAsia="zh-CN" w:bidi="ar-SA"/>
        </w:rPr>
        <w:t>50</w:t>
      </w:r>
      <w:r>
        <w:rPr>
          <w:rFonts w:hint="eastAsia" w:ascii="仿宋_GB2312" w:hAnsi="仿宋_GB2312" w:eastAsia="仿宋_GB2312" w:cs="仿宋_GB2312"/>
          <w:b w:val="0"/>
          <w:bCs/>
          <w:color w:val="auto"/>
          <w:kern w:val="2"/>
          <w:sz w:val="32"/>
          <w:szCs w:val="32"/>
          <w:highlight w:val="none"/>
          <w:lang w:val="en-US" w:eastAsia="zh-CN" w:bidi="ar-SA"/>
        </w:rPr>
        <w:t>亿元，绿电供给占比显著提高，初步建成支撑本地制造业绿色转型的清洁能源基地。</w:t>
      </w:r>
    </w:p>
    <w:p w14:paraId="12F4B471">
      <w:pPr>
        <w:pStyle w:val="27"/>
        <w:rPr>
          <w:rFonts w:hint="eastAsia" w:ascii="仿宋_GB2312" w:hAnsi="仿宋_GB2312" w:eastAsia="仿宋_GB2312" w:cs="仿宋_GB2312"/>
          <w:b w:val="0"/>
          <w:bCs/>
          <w:color w:val="auto"/>
          <w:kern w:val="2"/>
          <w:sz w:val="32"/>
          <w:szCs w:val="32"/>
          <w:highlight w:val="none"/>
          <w:lang w:val="en-US" w:eastAsia="zh-CN" w:bidi="ar-SA"/>
        </w:rPr>
      </w:pPr>
    </w:p>
    <w:p w14:paraId="1F9A9620">
      <w:pPr>
        <w:pStyle w:val="8"/>
        <w:rPr>
          <w:rFonts w:hint="eastAsia" w:ascii="仿宋_GB2312" w:hAnsi="仿宋_GB2312" w:eastAsia="仿宋_GB2312" w:cs="仿宋_GB2312"/>
          <w:b w:val="0"/>
          <w:bCs/>
          <w:color w:val="auto"/>
          <w:kern w:val="2"/>
          <w:sz w:val="32"/>
          <w:szCs w:val="32"/>
          <w:highlight w:val="none"/>
          <w:lang w:val="en-US" w:eastAsia="zh-CN" w:bidi="ar-SA"/>
        </w:rPr>
      </w:pPr>
    </w:p>
    <w:p w14:paraId="7A6D5E9E">
      <w:pPr>
        <w:rPr>
          <w:rFonts w:hint="eastAsia" w:ascii="仿宋_GB2312" w:hAnsi="仿宋_GB2312" w:eastAsia="仿宋_GB2312" w:cs="仿宋_GB2312"/>
          <w:b w:val="0"/>
          <w:bCs/>
          <w:color w:val="auto"/>
          <w:kern w:val="2"/>
          <w:sz w:val="32"/>
          <w:szCs w:val="32"/>
          <w:highlight w:val="none"/>
          <w:lang w:val="en-US" w:eastAsia="zh-CN" w:bidi="ar-SA"/>
        </w:rPr>
      </w:pPr>
    </w:p>
    <w:p w14:paraId="3A8334F7">
      <w:pPr>
        <w:pStyle w:val="27"/>
        <w:rPr>
          <w:rFonts w:hint="eastAsia"/>
          <w:lang w:val="en-US" w:eastAsia="zh-CN"/>
        </w:rPr>
      </w:pPr>
    </w:p>
    <w:p w14:paraId="67E9094E">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81C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9071" w:type="dxa"/>
            <w:vAlign w:val="center"/>
          </w:tcPr>
          <w:p w14:paraId="342FA559">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5</w:t>
            </w:r>
            <w:r>
              <w:rPr>
                <w:rFonts w:hint="eastAsia" w:ascii="Times New Roman" w:cs="Times New Roman"/>
                <w:b w:val="0"/>
                <w:bCs w:val="0"/>
                <w:color w:val="auto"/>
                <w:highlight w:val="none"/>
                <w:lang w:eastAsia="zh-CN"/>
              </w:rPr>
              <w:t>：</w:t>
            </w:r>
            <w:r>
              <w:rPr>
                <w:rFonts w:hint="default" w:ascii="Times New Roman" w:hAnsi="Times New Roman" w:eastAsia="方正小标宋简体" w:cs="Times New Roman"/>
                <w:b w:val="0"/>
                <w:bCs w:val="0"/>
                <w:color w:val="auto"/>
                <w:highlight w:val="none"/>
                <w:lang w:val="en-US" w:eastAsia="zh-CN"/>
              </w:rPr>
              <w:t>新能源产业重点项目</w:t>
            </w:r>
          </w:p>
        </w:tc>
      </w:tr>
      <w:tr w14:paraId="526D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9071" w:type="dxa"/>
          </w:tcPr>
          <w:p w14:paraId="3C303BE2">
            <w:pPr>
              <w:pStyle w:val="54"/>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b/>
                <w:bCs w:val="0"/>
                <w:color w:val="auto"/>
                <w:sz w:val="28"/>
                <w:szCs w:val="28"/>
                <w:highlight w:val="none"/>
                <w:lang w:val="en-US" w:eastAsia="zh-CN"/>
              </w:rPr>
            </w:pPr>
            <w:r>
              <w:rPr>
                <w:rFonts w:hint="eastAsia" w:ascii="Times New Roman" w:hAnsi="Times New Roman" w:cs="Times New Roman"/>
                <w:b w:val="0"/>
                <w:bCs/>
                <w:color w:val="auto"/>
                <w:sz w:val="28"/>
                <w:szCs w:val="28"/>
                <w:highlight w:val="none"/>
                <w:lang w:val="en-US" w:eastAsia="zh-CN"/>
              </w:rPr>
              <w:t>推进集中式</w:t>
            </w:r>
            <w:r>
              <w:rPr>
                <w:rFonts w:hint="eastAsia" w:cs="Times New Roman"/>
                <w:b w:val="0"/>
                <w:bCs/>
                <w:color w:val="auto"/>
                <w:sz w:val="28"/>
                <w:szCs w:val="28"/>
                <w:highlight w:val="none"/>
                <w:lang w:val="en-US" w:eastAsia="zh-CN"/>
              </w:rPr>
              <w:t>风光（</w:t>
            </w:r>
            <w:r>
              <w:rPr>
                <w:rFonts w:hint="eastAsia" w:ascii="Times New Roman" w:hAnsi="Times New Roman" w:cs="Times New Roman"/>
                <w:b w:val="0"/>
                <w:bCs/>
                <w:color w:val="auto"/>
                <w:sz w:val="28"/>
                <w:szCs w:val="28"/>
                <w:highlight w:val="none"/>
                <w:lang w:val="en-US" w:eastAsia="zh-CN"/>
              </w:rPr>
              <w:t>中渡光伏、四堡风电、中渡风电、板江风电、龙江风电</w:t>
            </w:r>
            <w:r>
              <w:rPr>
                <w:rFonts w:hint="eastAsia" w:cs="Times New Roman"/>
                <w:b w:val="0"/>
                <w:bCs/>
                <w:color w:val="auto"/>
                <w:sz w:val="28"/>
                <w:szCs w:val="28"/>
                <w:highlight w:val="none"/>
                <w:lang w:val="en-US" w:eastAsia="zh-CN"/>
              </w:rPr>
              <w:t>）</w:t>
            </w:r>
            <w:r>
              <w:rPr>
                <w:rFonts w:hint="eastAsia" w:ascii="Times New Roman" w:hAnsi="Times New Roman" w:cs="Times New Roman"/>
                <w:b w:val="0"/>
                <w:bCs/>
                <w:color w:val="auto"/>
                <w:sz w:val="28"/>
                <w:szCs w:val="28"/>
                <w:highlight w:val="none"/>
                <w:lang w:val="en-US" w:eastAsia="zh-CN"/>
              </w:rPr>
              <w:t>与分布式风光发电、新型储能（压缩空气储能电站、电化学储能等）、</w:t>
            </w:r>
            <w:r>
              <w:rPr>
                <w:rFonts w:hint="eastAsia" w:cs="Times New Roman"/>
                <w:b w:val="0"/>
                <w:bCs/>
                <w:color w:val="auto"/>
                <w:sz w:val="28"/>
                <w:szCs w:val="28"/>
                <w:highlight w:val="none"/>
                <w:lang w:val="en-US" w:eastAsia="zh-CN"/>
              </w:rPr>
              <w:t>中房联合绿电直连、</w:t>
            </w:r>
            <w:r>
              <w:rPr>
                <w:rFonts w:hint="eastAsia" w:ascii="Times New Roman" w:hAnsi="Times New Roman" w:cs="Times New Roman"/>
                <w:b w:val="0"/>
                <w:bCs/>
                <w:color w:val="auto"/>
                <w:sz w:val="28"/>
                <w:szCs w:val="28"/>
                <w:highlight w:val="none"/>
                <w:lang w:val="en-US" w:eastAsia="zh-CN"/>
              </w:rPr>
              <w:t>能源数字化管理与虚拟电厂平台</w:t>
            </w:r>
            <w:r>
              <w:rPr>
                <w:rFonts w:hint="eastAsia" w:cs="Times New Roman"/>
                <w:b w:val="0"/>
                <w:bCs/>
                <w:color w:val="auto"/>
                <w:sz w:val="28"/>
                <w:szCs w:val="28"/>
                <w:highlight w:val="none"/>
                <w:lang w:val="en-US" w:eastAsia="zh-CN"/>
              </w:rPr>
              <w:t>、热电联产热力管网二期及老旧管网改造等项目；</w:t>
            </w:r>
            <w:r>
              <w:rPr>
                <w:rFonts w:hint="eastAsia" w:ascii="Times New Roman" w:hAnsi="Times New Roman" w:cs="Times New Roman"/>
                <w:b w:val="0"/>
                <w:bCs/>
                <w:color w:val="auto"/>
                <w:sz w:val="28"/>
                <w:szCs w:val="28"/>
                <w:highlight w:val="none"/>
                <w:lang w:val="en-US" w:eastAsia="zh-CN"/>
              </w:rPr>
              <w:t>谋划鹿寨抽水蓄能电站、鹿寨绿色新能源（氢能）产业园、化工循环经济园源网荷储一体化、生物质发电与供热综合利用</w:t>
            </w:r>
            <w:r>
              <w:rPr>
                <w:rFonts w:hint="eastAsia" w:cs="Times New Roman"/>
                <w:b w:val="0"/>
                <w:bCs/>
                <w:color w:val="auto"/>
                <w:sz w:val="28"/>
                <w:szCs w:val="28"/>
                <w:highlight w:val="none"/>
                <w:lang w:val="en-US" w:eastAsia="zh-CN"/>
              </w:rPr>
              <w:t>等</w:t>
            </w:r>
            <w:r>
              <w:rPr>
                <w:rFonts w:hint="eastAsia" w:ascii="Times New Roman" w:hAnsi="Times New Roman" w:cs="Times New Roman"/>
                <w:b w:val="0"/>
                <w:bCs/>
                <w:color w:val="auto"/>
                <w:sz w:val="28"/>
                <w:szCs w:val="28"/>
                <w:highlight w:val="none"/>
                <w:lang w:val="en-US" w:eastAsia="zh-CN"/>
              </w:rPr>
              <w:t>项目。</w:t>
            </w:r>
          </w:p>
        </w:tc>
      </w:tr>
    </w:tbl>
    <w:p w14:paraId="18B395D5">
      <w:pPr>
        <w:rPr>
          <w:rFonts w:hint="eastAsia"/>
          <w:color w:val="auto"/>
          <w:highlight w:val="none"/>
          <w:lang w:val="en-US" w:eastAsia="zh-CN"/>
        </w:rPr>
      </w:pPr>
    </w:p>
    <w:p w14:paraId="70A858D4">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楷体_GB2312" w:hAnsi="楷体_GB2312" w:eastAsia="楷体_GB2312" w:cs="楷体_GB2312"/>
          <w:b/>
          <w:bCs/>
          <w:color w:val="auto"/>
          <w:spacing w:val="0"/>
          <w:kern w:val="2"/>
          <w:sz w:val="32"/>
          <w:szCs w:val="32"/>
          <w:highlight w:val="none"/>
          <w:lang w:val="en-US" w:eastAsia="zh-CN" w:bidi="ar-SA"/>
        </w:rPr>
      </w:pPr>
      <w:r>
        <w:rPr>
          <w:rFonts w:hint="eastAsia" w:ascii="楷体_GB2312" w:hAnsi="楷体_GB2312" w:eastAsia="楷体_GB2312" w:cs="楷体_GB2312"/>
          <w:b/>
          <w:bCs/>
          <w:color w:val="auto"/>
          <w:spacing w:val="0"/>
          <w:kern w:val="2"/>
          <w:sz w:val="32"/>
          <w:szCs w:val="32"/>
          <w:highlight w:val="none"/>
          <w:lang w:val="en-US" w:eastAsia="zh-CN" w:bidi="ar-SA"/>
        </w:rPr>
        <w:t>布局</w:t>
      </w:r>
      <w:r>
        <w:rPr>
          <w:rFonts w:hint="eastAsia" w:ascii="Times New Roman" w:hAnsi="Times New Roman" w:eastAsia="楷体_GB2312" w:cs="楷体_GB2312"/>
          <w:b/>
          <w:bCs/>
          <w:color w:val="auto"/>
          <w:spacing w:val="0"/>
          <w:kern w:val="2"/>
          <w:sz w:val="32"/>
          <w:szCs w:val="32"/>
          <w:highlight w:val="none"/>
          <w:lang w:val="en-US" w:eastAsia="zh-CN" w:bidi="ar-SA"/>
        </w:rPr>
        <w:t>1</w:t>
      </w:r>
      <w:r>
        <w:rPr>
          <w:rFonts w:hint="eastAsia" w:ascii="楷体_GB2312" w:hAnsi="楷体_GB2312" w:eastAsia="楷体_GB2312" w:cs="楷体_GB2312"/>
          <w:b/>
          <w:bCs/>
          <w:color w:val="auto"/>
          <w:spacing w:val="0"/>
          <w:kern w:val="2"/>
          <w:sz w:val="32"/>
          <w:szCs w:val="32"/>
          <w:highlight w:val="none"/>
          <w:lang w:val="en-US" w:eastAsia="zh-CN" w:bidi="ar-SA"/>
        </w:rPr>
        <w:t>个百亿级新兴产业新赛道：</w:t>
      </w:r>
    </w:p>
    <w:p w14:paraId="37C54A02">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US" w:eastAsia="zh-CN" w:bidi="ar-SA"/>
        </w:rPr>
        <w:t>打造低空经济产业新赛道。</w:t>
      </w:r>
      <w:r>
        <w:rPr>
          <w:rFonts w:hint="eastAsia" w:ascii="仿宋_GB2312" w:hAnsi="仿宋_GB2312" w:eastAsia="仿宋_GB2312" w:cs="仿宋_GB2312"/>
          <w:b w:val="0"/>
          <w:bCs/>
          <w:color w:val="auto"/>
          <w:kern w:val="2"/>
          <w:sz w:val="32"/>
          <w:szCs w:val="32"/>
          <w:highlight w:val="none"/>
          <w:lang w:val="en-US" w:eastAsia="zh-CN" w:bidi="ar-SA"/>
        </w:rPr>
        <w:t>以技术创新为核心驱动力，以场景开放、政策协同为支撑，系统谋划低空经济发展路径，</w:t>
      </w:r>
      <w:r>
        <w:rPr>
          <w:rFonts w:hint="default" w:ascii="Times New Roman" w:hAnsi="Times New Roman" w:eastAsia="仿宋_GB2312" w:cs="Times New Roman"/>
          <w:color w:val="auto"/>
          <w:sz w:val="32"/>
          <w:szCs w:val="32"/>
          <w:highlight w:val="none"/>
          <w:lang w:val="en-US" w:eastAsia="zh-CN"/>
        </w:rPr>
        <w:t>构建</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1159N</w:t>
      </w:r>
      <w:r>
        <w:rPr>
          <w:rFonts w:hint="eastAsia" w:ascii="仿宋_GB2312" w:hAnsi="仿宋_GB2312" w:eastAsia="仿宋_GB2312" w:cs="仿宋_GB2312"/>
          <w:color w:val="auto"/>
          <w:sz w:val="32"/>
          <w:szCs w:val="32"/>
          <w:highlight w:val="none"/>
          <w:lang w:val="en-US" w:eastAsia="zh-CN"/>
        </w:rPr>
        <w:t>”低</w:t>
      </w:r>
      <w:r>
        <w:rPr>
          <w:rFonts w:hint="default" w:ascii="Times New Roman" w:hAnsi="Times New Roman" w:eastAsia="仿宋_GB2312" w:cs="Times New Roman"/>
          <w:color w:val="auto"/>
          <w:sz w:val="32"/>
          <w:szCs w:val="32"/>
          <w:highlight w:val="none"/>
          <w:lang w:val="en-US" w:eastAsia="zh-CN"/>
        </w:rPr>
        <w:t>空产业生态体系</w:t>
      </w:r>
      <w:r>
        <w:rPr>
          <w:rFonts w:hint="eastAsia" w:ascii="Times New Roman" w:hAnsi="Times New Roman" w:eastAsia="仿宋_GB2312" w:cs="Times New Roman"/>
          <w:color w:val="auto"/>
          <w:sz w:val="32"/>
          <w:szCs w:val="32"/>
          <w:highlight w:val="none"/>
          <w:lang w:val="en-US" w:eastAsia="zh-CN"/>
        </w:rPr>
        <w:t>。</w:t>
      </w:r>
      <w:r>
        <w:rPr>
          <w:rFonts w:hint="eastAsia" w:ascii="仿宋_GB2312" w:hAnsi="仿宋_GB2312" w:eastAsia="仿宋_GB2312" w:cs="仿宋_GB2312"/>
          <w:b w:val="0"/>
          <w:bCs/>
          <w:color w:val="auto"/>
          <w:kern w:val="2"/>
          <w:sz w:val="32"/>
          <w:szCs w:val="32"/>
          <w:highlight w:val="none"/>
          <w:lang w:val="en-US" w:eastAsia="zh-CN" w:bidi="ar-SA"/>
        </w:rPr>
        <w:t>建立健全多部门联动机制，强化政策集成与优化营商环境，推动低空经济规模化、体系化发展。</w:t>
      </w:r>
      <w:r>
        <w:rPr>
          <w:rFonts w:hint="eastAsia" w:ascii="仿宋_GB2312" w:hAnsi="仿宋_GB2312" w:eastAsia="仿宋_GB2312" w:cs="仿宋_GB2312"/>
          <w:b w:val="0"/>
          <w:bCs/>
          <w:color w:val="auto"/>
          <w:kern w:val="2"/>
          <w:sz w:val="32"/>
          <w:szCs w:val="32"/>
          <w:highlight w:val="none"/>
          <w:u w:val="none"/>
          <w:lang w:val="en-US" w:eastAsia="zh-CN" w:bidi="ar-SA"/>
        </w:rPr>
        <w:t>加快基础设施建设，</w:t>
      </w:r>
      <w:r>
        <w:rPr>
          <w:rFonts w:hint="eastAsia" w:ascii="仿宋_GB2312" w:hAnsi="仿宋_GB2312" w:eastAsia="仿宋_GB2312" w:cs="仿宋_GB2312"/>
          <w:b w:val="0"/>
          <w:bCs/>
          <w:color w:val="auto"/>
          <w:kern w:val="2"/>
          <w:sz w:val="32"/>
          <w:szCs w:val="32"/>
          <w:highlight w:val="none"/>
          <w:lang w:val="en-US" w:eastAsia="zh-CN" w:bidi="ar-SA"/>
        </w:rPr>
        <w:t>推进通用机场、起降点及导航通信网络布局，构建覆盖县域的无人机起降网络、充电设施及能源微网，搭建低空飞行服务子平台。</w:t>
      </w:r>
      <w:r>
        <w:rPr>
          <w:rFonts w:hint="eastAsia" w:ascii="仿宋_GB2312" w:hAnsi="仿宋_GB2312" w:eastAsia="仿宋_GB2312" w:cs="仿宋_GB2312"/>
          <w:b w:val="0"/>
          <w:bCs/>
          <w:color w:val="auto"/>
          <w:kern w:val="2"/>
          <w:sz w:val="32"/>
          <w:szCs w:val="32"/>
          <w:highlight w:val="none"/>
          <w:u w:val="none"/>
          <w:lang w:val="en-US" w:eastAsia="zh-CN" w:bidi="ar-SA"/>
        </w:rPr>
        <w:t>拓展多元应用场景，</w:t>
      </w:r>
      <w:r>
        <w:rPr>
          <w:rFonts w:hint="eastAsia" w:ascii="仿宋_GB2312" w:hAnsi="仿宋_GB2312" w:eastAsia="仿宋_GB2312" w:cs="仿宋_GB2312"/>
          <w:b w:val="0"/>
          <w:bCs/>
          <w:color w:val="auto"/>
          <w:kern w:val="2"/>
          <w:sz w:val="32"/>
          <w:szCs w:val="32"/>
          <w:highlight w:val="none"/>
          <w:lang w:val="en-US" w:eastAsia="zh-CN" w:bidi="ar-SA"/>
        </w:rPr>
        <w:t>串联香桥岩溶国家地质公园、中渡古镇等核心景区，开发无人机观光航线与热气球体验项目，打造“空中看鹿寨”文旅品牌。依托国家储备林基地，推广农林无人机规模植保、巡护等作业。发展县域至柳州的区域低空物流，实现高效双向配送。加强应急救援能力，组建无人机应急分队，参与防汛救灾、森林防灭火、物资投送等任务，探索无人机在行政执法领域的创新应用，积极创建广西低空政务飞行试点城市。</w:t>
      </w:r>
      <w:r>
        <w:rPr>
          <w:rFonts w:hint="eastAsia" w:ascii="仿宋_GB2312" w:hAnsi="仿宋_GB2312" w:eastAsia="仿宋_GB2312" w:cs="仿宋_GB2312"/>
          <w:b w:val="0"/>
          <w:bCs/>
          <w:color w:val="auto"/>
          <w:kern w:val="2"/>
          <w:sz w:val="32"/>
          <w:szCs w:val="32"/>
          <w:highlight w:val="none"/>
          <w:u w:val="none"/>
          <w:lang w:val="en-US" w:eastAsia="zh-CN" w:bidi="ar-SA"/>
        </w:rPr>
        <w:t>强化产业链关键环节，</w:t>
      </w:r>
      <w:r>
        <w:rPr>
          <w:rFonts w:hint="eastAsia" w:ascii="仿宋_GB2312" w:hAnsi="仿宋_GB2312" w:eastAsia="仿宋_GB2312" w:cs="仿宋_GB2312"/>
          <w:b w:val="0"/>
          <w:bCs/>
          <w:color w:val="auto"/>
          <w:kern w:val="2"/>
          <w:sz w:val="32"/>
          <w:szCs w:val="32"/>
          <w:highlight w:val="none"/>
          <w:lang w:val="en-US" w:eastAsia="zh-CN" w:bidi="ar-SA"/>
        </w:rPr>
        <w:t>深化校企合作，共建低空技术实训基地与应用创新平台，推动人才联合培养与项目孵化。出台专项招商政策，吸引通航制造、运营服务、无人机研发及应用等领域企业集聚。</w:t>
      </w:r>
      <w:r>
        <w:rPr>
          <w:rFonts w:hint="eastAsia" w:ascii="仿宋_GB2312" w:hAnsi="仿宋_GB2312" w:eastAsia="仿宋_GB2312" w:cs="仿宋_GB2312"/>
          <w:b w:val="0"/>
          <w:bCs/>
          <w:color w:val="auto"/>
          <w:kern w:val="2"/>
          <w:sz w:val="32"/>
          <w:szCs w:val="32"/>
          <w:highlight w:val="none"/>
          <w:u w:val="none"/>
          <w:lang w:val="en-US" w:eastAsia="zh-CN" w:bidi="ar-SA"/>
        </w:rPr>
        <w:t>构建产业协同生态，</w:t>
      </w:r>
      <w:r>
        <w:rPr>
          <w:rFonts w:hint="eastAsia" w:ascii="仿宋_GB2312" w:hAnsi="仿宋_GB2312" w:eastAsia="仿宋_GB2312" w:cs="仿宋_GB2312"/>
          <w:b w:val="0"/>
          <w:bCs/>
          <w:color w:val="auto"/>
          <w:kern w:val="2"/>
          <w:sz w:val="32"/>
          <w:szCs w:val="32"/>
          <w:highlight w:val="none"/>
          <w:lang w:val="en-US" w:eastAsia="zh-CN" w:bidi="ar-SA"/>
        </w:rPr>
        <w:t>积极争取上级政策支持，完善安全监管体系，形成“北上广研发</w:t>
      </w:r>
      <w:r>
        <w:rPr>
          <w:rFonts w:hint="default" w:ascii="Times New Roman" w:hAnsi="Times New Roman" w:eastAsia="仿宋_GB2312" w:cs="Times New Roman"/>
          <w:b w:val="0"/>
          <w:bCs/>
          <w:color w:val="auto"/>
          <w:kern w:val="2"/>
          <w:sz w:val="32"/>
          <w:szCs w:val="32"/>
          <w:highlight w:val="none"/>
          <w:lang w:val="en-US" w:eastAsia="zh-CN" w:bidi="ar-SA"/>
        </w:rPr>
        <w:t>+广西集成+东</w:t>
      </w:r>
      <w:r>
        <w:rPr>
          <w:rFonts w:hint="eastAsia" w:ascii="仿宋_GB2312" w:hAnsi="仿宋_GB2312" w:eastAsia="仿宋_GB2312" w:cs="仿宋_GB2312"/>
          <w:b w:val="0"/>
          <w:bCs/>
          <w:color w:val="auto"/>
          <w:kern w:val="2"/>
          <w:sz w:val="32"/>
          <w:szCs w:val="32"/>
          <w:highlight w:val="none"/>
          <w:lang w:val="en-US" w:eastAsia="zh-CN" w:bidi="ar-SA"/>
        </w:rPr>
        <w:t>盟应用”跨区域协同格局。力争到</w:t>
      </w:r>
      <w:r>
        <w:rPr>
          <w:rFonts w:hint="default" w:ascii="Times New Roman" w:hAnsi="Times New Roman" w:eastAsia="仿宋_GB2312" w:cs="Times New Roman"/>
          <w:b w:val="0"/>
          <w:bCs/>
          <w:color w:val="auto"/>
          <w:kern w:val="2"/>
          <w:sz w:val="32"/>
          <w:szCs w:val="32"/>
          <w:highlight w:val="none"/>
          <w:lang w:val="en-US" w:eastAsia="zh-CN" w:bidi="ar-SA"/>
        </w:rPr>
        <w:t>2030</w:t>
      </w:r>
      <w:r>
        <w:rPr>
          <w:rFonts w:hint="eastAsia" w:ascii="仿宋_GB2312" w:hAnsi="仿宋_GB2312" w:eastAsia="仿宋_GB2312" w:cs="仿宋_GB2312"/>
          <w:b w:val="0"/>
          <w:bCs/>
          <w:color w:val="auto"/>
          <w:kern w:val="2"/>
          <w:sz w:val="32"/>
          <w:szCs w:val="32"/>
          <w:highlight w:val="none"/>
          <w:lang w:val="en-US" w:eastAsia="zh-CN" w:bidi="ar-SA"/>
        </w:rPr>
        <w:t>年，低空经济产业集群规模突破百亿元，建成集基础设施、运营服务、研发制造于一体的区域性低空经济产业集聚区。</w:t>
      </w:r>
    </w:p>
    <w:p w14:paraId="04C4236C">
      <w:pPr>
        <w:pStyle w:val="27"/>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EC7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jc w:val="center"/>
        </w:trPr>
        <w:tc>
          <w:tcPr>
            <w:tcW w:w="9071" w:type="dxa"/>
            <w:vAlign w:val="center"/>
          </w:tcPr>
          <w:p w14:paraId="5DE6E1BC">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6</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低空经济</w:t>
            </w:r>
            <w:r>
              <w:rPr>
                <w:rFonts w:hint="default" w:ascii="Times New Roman" w:hAnsi="Times New Roman" w:eastAsia="方正小标宋简体" w:cs="Times New Roman"/>
                <w:b w:val="0"/>
                <w:bCs w:val="0"/>
                <w:color w:val="auto"/>
                <w:highlight w:val="none"/>
                <w:lang w:eastAsia="zh-CN"/>
              </w:rPr>
              <w:t>产业</w:t>
            </w:r>
            <w:r>
              <w:rPr>
                <w:rFonts w:hint="default" w:ascii="Times New Roman" w:hAnsi="Times New Roman" w:eastAsia="方正小标宋简体" w:cs="Times New Roman"/>
                <w:b w:val="0"/>
                <w:bCs w:val="0"/>
                <w:color w:val="auto"/>
                <w:highlight w:val="none"/>
                <w:lang w:val="en-US" w:eastAsia="zh-CN"/>
              </w:rPr>
              <w:t>重点项目</w:t>
            </w:r>
          </w:p>
        </w:tc>
      </w:tr>
      <w:tr w14:paraId="167D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9071" w:type="dxa"/>
            <w:vAlign w:val="center"/>
          </w:tcPr>
          <w:p w14:paraId="31916C7E">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eastAsia" w:ascii="Times New Roman" w:hAnsi="Times New Roman"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w:t>
            </w:r>
            <w:r>
              <w:rPr>
                <w:rFonts w:hint="default" w:ascii="Times New Roman" w:hAnsi="Times New Roman" w:cs="Times New Roman"/>
                <w:b/>
                <w:bCs w:val="0"/>
                <w:color w:val="auto"/>
                <w:sz w:val="28"/>
                <w:szCs w:val="28"/>
                <w:highlight w:val="none"/>
                <w:lang w:val="en-US" w:eastAsia="zh-CN"/>
              </w:rPr>
              <w:t>1159N</w:t>
            </w:r>
            <w:r>
              <w:rPr>
                <w:rFonts w:hint="eastAsia" w:ascii="仿宋_GB2312" w:hAnsi="仿宋_GB2312" w:cs="仿宋_GB2312"/>
                <w:b/>
                <w:bCs w:val="0"/>
                <w:color w:val="auto"/>
                <w:sz w:val="28"/>
                <w:szCs w:val="28"/>
                <w:highlight w:val="none"/>
                <w:lang w:val="en-US" w:eastAsia="zh-CN"/>
              </w:rPr>
              <w:t>”低空产业生态体系：</w:t>
            </w:r>
            <w:r>
              <w:rPr>
                <w:rFonts w:hint="eastAsia" w:ascii="Times New Roman" w:hAnsi="Times New Roman" w:cs="Times New Roman"/>
                <w:b w:val="0"/>
                <w:bCs/>
                <w:color w:val="auto"/>
                <w:sz w:val="28"/>
                <w:szCs w:val="28"/>
                <w:highlight w:val="none"/>
                <w:lang w:val="en-US" w:eastAsia="zh-CN"/>
              </w:rPr>
              <w:t>1套工作机制，1套顶层设计，5类平台设施，9</w:t>
            </w:r>
            <w:r>
              <w:rPr>
                <w:rFonts w:hint="eastAsia" w:cs="Times New Roman"/>
                <w:b w:val="0"/>
                <w:bCs/>
                <w:color w:val="auto"/>
                <w:sz w:val="28"/>
                <w:szCs w:val="28"/>
                <w:highlight w:val="none"/>
                <w:lang w:val="en-US" w:eastAsia="zh-CN"/>
              </w:rPr>
              <w:t>项</w:t>
            </w:r>
            <w:r>
              <w:rPr>
                <w:rFonts w:hint="eastAsia" w:ascii="Times New Roman" w:hAnsi="Times New Roman" w:cs="Times New Roman"/>
                <w:b w:val="0"/>
                <w:bCs/>
                <w:color w:val="auto"/>
                <w:sz w:val="28"/>
                <w:szCs w:val="28"/>
                <w:highlight w:val="none"/>
                <w:lang w:val="en-US" w:eastAsia="zh-CN"/>
              </w:rPr>
              <w:t>重点项目，N个应用场景。</w:t>
            </w:r>
          </w:p>
          <w:p w14:paraId="0EEA52A1">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eastAsia" w:ascii="Times New Roman" w:hAnsi="Times New Roman"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基础设施建设：</w:t>
            </w:r>
            <w:r>
              <w:rPr>
                <w:rFonts w:hint="eastAsia" w:ascii="Times New Roman" w:hAnsi="Times New Roman" w:cs="Times New Roman"/>
                <w:b w:val="0"/>
                <w:bCs/>
                <w:color w:val="auto"/>
                <w:sz w:val="28"/>
                <w:szCs w:val="28"/>
                <w:highlight w:val="none"/>
                <w:lang w:val="en-US" w:eastAsia="zh-CN"/>
              </w:rPr>
              <w:t>建设升降平台、服务监管平台、陆空一体测试场、</w:t>
            </w:r>
            <w:r>
              <w:rPr>
                <w:rFonts w:hint="eastAsia" w:cs="Times New Roman"/>
                <w:b w:val="0"/>
                <w:bCs/>
                <w:color w:val="auto"/>
                <w:sz w:val="28"/>
                <w:szCs w:val="28"/>
                <w:highlight w:val="none"/>
                <w:lang w:val="en-US" w:eastAsia="zh-CN"/>
              </w:rPr>
              <w:t>“一带一路”</w:t>
            </w:r>
            <w:r>
              <w:rPr>
                <w:rFonts w:hint="eastAsia" w:ascii="Times New Roman" w:hAnsi="Times New Roman" w:cs="Times New Roman"/>
                <w:b w:val="0"/>
                <w:bCs/>
                <w:color w:val="auto"/>
                <w:sz w:val="28"/>
                <w:szCs w:val="28"/>
                <w:highlight w:val="none"/>
                <w:lang w:val="en-US" w:eastAsia="zh-CN"/>
              </w:rPr>
              <w:t>东盟合作国际（广西）培训中心等</w:t>
            </w:r>
            <w:r>
              <w:rPr>
                <w:rFonts w:hint="eastAsia" w:cs="Times New Roman"/>
                <w:b w:val="0"/>
                <w:bCs/>
                <w:color w:val="auto"/>
                <w:sz w:val="28"/>
                <w:szCs w:val="28"/>
                <w:highlight w:val="none"/>
                <w:lang w:val="en-US" w:eastAsia="zh-CN"/>
              </w:rPr>
              <w:t>项目</w:t>
            </w:r>
            <w:r>
              <w:rPr>
                <w:rFonts w:hint="eastAsia" w:ascii="Times New Roman" w:hAnsi="Times New Roman" w:cs="Times New Roman"/>
                <w:b w:val="0"/>
                <w:bCs/>
                <w:color w:val="auto"/>
                <w:sz w:val="28"/>
                <w:szCs w:val="28"/>
                <w:highlight w:val="none"/>
                <w:lang w:val="en-US" w:eastAsia="zh-CN"/>
              </w:rPr>
              <w:t>。</w:t>
            </w:r>
          </w:p>
          <w:p w14:paraId="786C35D3">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eastAsia" w:ascii="Times New Roman" w:hAnsi="Times New Roman"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中小型无人机及零部件配套设备制造：</w:t>
            </w:r>
            <w:r>
              <w:rPr>
                <w:rFonts w:hint="eastAsia" w:ascii="Times New Roman" w:hAnsi="Times New Roman" w:cs="Times New Roman"/>
                <w:b w:val="0"/>
                <w:bCs/>
                <w:color w:val="auto"/>
                <w:sz w:val="28"/>
                <w:szCs w:val="28"/>
                <w:highlight w:val="none"/>
                <w:lang w:val="en-US" w:eastAsia="zh-CN"/>
              </w:rPr>
              <w:t>谋划电池、电机、eVTOL（电动垂直起降飞行器）、无人机整机制造</w:t>
            </w:r>
            <w:r>
              <w:rPr>
                <w:rFonts w:hint="eastAsia" w:cs="Times New Roman"/>
                <w:b w:val="0"/>
                <w:bCs/>
                <w:color w:val="auto"/>
                <w:sz w:val="28"/>
                <w:szCs w:val="28"/>
                <w:highlight w:val="none"/>
                <w:lang w:val="en-US" w:eastAsia="zh-CN"/>
              </w:rPr>
              <w:t>等项目</w:t>
            </w:r>
            <w:r>
              <w:rPr>
                <w:rFonts w:hint="eastAsia" w:ascii="Times New Roman" w:hAnsi="Times New Roman" w:cs="Times New Roman"/>
                <w:b w:val="0"/>
                <w:bCs/>
                <w:color w:val="auto"/>
                <w:sz w:val="28"/>
                <w:szCs w:val="28"/>
                <w:highlight w:val="none"/>
                <w:lang w:val="en-US" w:eastAsia="zh-CN"/>
              </w:rPr>
              <w:t>。</w:t>
            </w:r>
          </w:p>
          <w:p w14:paraId="4B985A1A">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场景应用：</w:t>
            </w:r>
            <w:r>
              <w:rPr>
                <w:rFonts w:hint="eastAsia" w:ascii="仿宋_GB2312" w:hAnsi="仿宋_GB2312" w:cs="仿宋_GB2312"/>
                <w:b w:val="0"/>
                <w:bCs/>
                <w:color w:val="auto"/>
                <w:sz w:val="28"/>
                <w:szCs w:val="28"/>
                <w:highlight w:val="none"/>
                <w:lang w:val="en-US" w:eastAsia="zh-CN"/>
              </w:rPr>
              <w:t>实施</w:t>
            </w:r>
            <w:r>
              <w:rPr>
                <w:rFonts w:hint="eastAsia" w:ascii="Times New Roman" w:hAnsi="Times New Roman" w:cs="Times New Roman"/>
                <w:b w:val="0"/>
                <w:bCs/>
                <w:color w:val="auto"/>
                <w:sz w:val="28"/>
                <w:szCs w:val="28"/>
                <w:highlight w:val="none"/>
                <w:lang w:val="en-US" w:eastAsia="zh-CN"/>
              </w:rPr>
              <w:t>低空政务飞行示范项目，</w:t>
            </w:r>
            <w:r>
              <w:rPr>
                <w:rFonts w:hint="eastAsia" w:cs="Times New Roman"/>
                <w:b w:val="0"/>
                <w:bCs/>
                <w:color w:val="auto"/>
                <w:sz w:val="28"/>
                <w:szCs w:val="28"/>
                <w:highlight w:val="none"/>
                <w:lang w:val="en-US" w:eastAsia="zh-CN"/>
              </w:rPr>
              <w:t>开发</w:t>
            </w:r>
            <w:r>
              <w:rPr>
                <w:rFonts w:hint="eastAsia" w:ascii="Times New Roman" w:hAnsi="Times New Roman" w:cs="Times New Roman"/>
                <w:b w:val="0"/>
                <w:bCs/>
                <w:color w:val="auto"/>
                <w:sz w:val="28"/>
                <w:szCs w:val="28"/>
                <w:highlight w:val="none"/>
                <w:lang w:val="en-US" w:eastAsia="zh-CN"/>
              </w:rPr>
              <w:t>智慧农林（林业巡检、作物植保）、低空物流（多式联运、冷链配送）、文旅融合（景区低空观光）、应急公共服务（灾害勘察、物资投送）等</w:t>
            </w:r>
            <w:r>
              <w:rPr>
                <w:rFonts w:hint="eastAsia" w:cs="Times New Roman"/>
                <w:b w:val="0"/>
                <w:bCs/>
                <w:color w:val="auto"/>
                <w:sz w:val="28"/>
                <w:szCs w:val="28"/>
                <w:highlight w:val="none"/>
                <w:lang w:val="en-US" w:eastAsia="zh-CN"/>
              </w:rPr>
              <w:t>应用场景</w:t>
            </w:r>
            <w:r>
              <w:rPr>
                <w:rFonts w:hint="eastAsia" w:ascii="Times New Roman" w:hAnsi="Times New Roman" w:cs="Times New Roman"/>
                <w:b w:val="0"/>
                <w:bCs/>
                <w:color w:val="auto"/>
                <w:sz w:val="28"/>
                <w:szCs w:val="28"/>
                <w:highlight w:val="none"/>
                <w:lang w:val="en-US" w:eastAsia="zh-CN"/>
              </w:rPr>
              <w:t>。</w:t>
            </w:r>
          </w:p>
        </w:tc>
      </w:tr>
    </w:tbl>
    <w:p w14:paraId="14D57F47">
      <w:pPr>
        <w:rPr>
          <w:rFonts w:hint="eastAsia"/>
          <w:color w:val="auto"/>
          <w:highlight w:val="none"/>
          <w:lang w:val="en-US" w:eastAsia="zh-CN"/>
        </w:rPr>
      </w:pPr>
    </w:p>
    <w:p w14:paraId="3D6D78F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60" w:lineRule="exact"/>
        <w:ind w:left="0" w:leftChars="0" w:firstLine="643" w:firstLineChars="200"/>
        <w:jc w:val="both"/>
        <w:textAlignment w:val="auto"/>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培育</w:t>
      </w:r>
      <w:r>
        <w:rPr>
          <w:rFonts w:hint="eastAsia" w:ascii="Times New Roman" w:hAnsi="Times New Roman" w:eastAsia="楷体_GB2312" w:cs="楷体_GB2312"/>
          <w:b/>
          <w:bCs/>
          <w:i w:val="0"/>
          <w:iCs w:val="0"/>
          <w:caps w:val="0"/>
          <w:color w:val="auto"/>
          <w:spacing w:val="0"/>
          <w:kern w:val="2"/>
          <w:sz w:val="32"/>
          <w:szCs w:val="32"/>
          <w:highlight w:val="none"/>
          <w:shd w:val="clear" w:color="auto" w:fill="FFFFFF"/>
          <w:lang w:val="en-US" w:eastAsia="zh-CN" w:bidi="ar-SA"/>
        </w:rPr>
        <w:t>1</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个百亿级产业带：</w:t>
      </w:r>
    </w:p>
    <w:p w14:paraId="57120B68">
      <w:pPr>
        <w:keepNext w:val="0"/>
        <w:keepLines w:val="0"/>
        <w:pageBreakBefore w:val="0"/>
        <w:widowControl w:val="0"/>
        <w:kinsoku/>
        <w:wordWrap/>
        <w:overflowPunct/>
        <w:topLinePunct w:val="0"/>
        <w:autoSpaceDE w:val="0"/>
        <w:autoSpaceDN/>
        <w:bidi w:val="0"/>
        <w:adjustRightInd/>
        <w:snapToGrid/>
        <w:spacing w:line="560" w:lineRule="exact"/>
        <w:ind w:firstLine="643" w:firstLineChars="200"/>
        <w:textAlignment w:val="auto"/>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highlight w:val="none"/>
          <w:shd w:val="clear" w:color="auto" w:fill="FFFFFF"/>
          <w:lang w:val="en-US" w:eastAsia="zh-CN" w:bidi="ar-SA"/>
        </w:rPr>
        <w:t>聚力打造临港沿江产业带。</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立足江口、导江两地岸线与港口资源禀赋，构建集港口物流、临港制造、现代服务与生态文旅于一体的多功能复合型经济带。优化“一核一园三区”产业空间布局：以江口港为核心枢纽，依托柳州表面处理产业园（电镀产业园），重点围绕汽车、电子、高端装备等产业需求，布局专业化电镀配套加工，延伸发展原辅材料供应和深加工环节，打造特色临港电镀产业集群；同步培育壮大金属精深加工、绿色建材、船舶制造等临港制造业，提升港口物流、冷链仓储、出口加工等枢纽型产业能级；积极发展加工贸易、保税商贸、供应链金融等现代港口服务业；结合滨江生态资源，嵌入式发展滨江文旅、生态康养、水上运动、特色养殖等亲水业态，推动大藤峡库区导江乡集镇风貌改造与功能提升，形成产业协同、功能互补的沿江产业生态体系。强化枢纽与通道能级，加快推进江口港二期工程建设，完善“公铁水”多式联运体系，规划建设进港铁路专用线、进港一级公路、水上加油站等关键配套设施。积极融入平陆运河经济带，加密至粤港澳大湾区集装箱班轮航线，推动常态化运营</w:t>
      </w:r>
      <w:r>
        <w:rPr>
          <w:rFonts w:hint="default"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拓展外贸与保税功能</w:t>
      </w:r>
      <w:r>
        <w:rPr>
          <w:rFonts w:hint="default"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加速推进江口保税仓储物流园建设，全力申报内河口岸保税作业区。创新开放发展机制，深化“柳州货走柳州港”政企协同模式，研究出台“公转水”等专项扶持政策，吸引本地及周边货源向港口集聚。力争</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到2030</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年，建成规模超百亿元、服务功能完善、运营高效的综合物流枢纽和陆海联动向海经济枢纽。</w:t>
      </w:r>
    </w:p>
    <w:p w14:paraId="5EA77AB9">
      <w:pPr>
        <w:pStyle w:val="27"/>
        <w:rPr>
          <w:rFonts w:hint="eastAsia"/>
          <w:color w:val="auto"/>
          <w:highlight w:val="none"/>
          <w:lang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7232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8834" w:type="dxa"/>
            <w:vAlign w:val="center"/>
          </w:tcPr>
          <w:p w14:paraId="3E840B7A">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7</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临港沿江产业重点项目</w:t>
            </w:r>
          </w:p>
        </w:tc>
      </w:tr>
      <w:tr w14:paraId="61B5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8834" w:type="dxa"/>
            <w:vAlign w:val="center"/>
          </w:tcPr>
          <w:p w14:paraId="4799CDD9">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default"/>
                <w:b w:val="0"/>
                <w:bCs/>
                <w:color w:val="auto"/>
                <w:sz w:val="28"/>
                <w:szCs w:val="28"/>
                <w:highlight w:val="none"/>
                <w:lang w:val="en-US" w:eastAsia="zh-CN"/>
              </w:rPr>
            </w:pPr>
            <w:r>
              <w:rPr>
                <w:rFonts w:hint="eastAsia"/>
                <w:b/>
                <w:bCs w:val="0"/>
                <w:color w:val="auto"/>
                <w:sz w:val="28"/>
                <w:szCs w:val="28"/>
                <w:highlight w:val="none"/>
                <w:lang w:val="en-US" w:eastAsia="zh-CN"/>
              </w:rPr>
              <w:t>港口基础设施与临港制造：</w:t>
            </w:r>
            <w:r>
              <w:rPr>
                <w:rFonts w:hint="eastAsia"/>
                <w:b w:val="0"/>
                <w:bCs/>
                <w:color w:val="auto"/>
                <w:sz w:val="28"/>
                <w:szCs w:val="28"/>
                <w:highlight w:val="none"/>
                <w:lang w:val="en-US" w:eastAsia="zh-CN"/>
              </w:rPr>
              <w:t>推进江口</w:t>
            </w:r>
            <w:r>
              <w:rPr>
                <w:rFonts w:hint="eastAsia" w:ascii="Times New Roman" w:hAnsi="Times New Roman" w:cs="Times New Roman"/>
                <w:b w:val="0"/>
                <w:bCs/>
                <w:color w:val="auto"/>
                <w:sz w:val="28"/>
                <w:szCs w:val="28"/>
                <w:highlight w:val="none"/>
                <w:lang w:val="en-US" w:eastAsia="zh-CN"/>
              </w:rPr>
              <w:t>港铁路专用线、</w:t>
            </w:r>
            <w:r>
              <w:rPr>
                <w:rFonts w:hint="eastAsia" w:cs="Times New Roman"/>
                <w:b w:val="0"/>
                <w:bCs/>
                <w:color w:val="auto"/>
                <w:sz w:val="28"/>
                <w:szCs w:val="28"/>
                <w:highlight w:val="none"/>
                <w:lang w:val="en-US" w:eastAsia="zh-CN"/>
              </w:rPr>
              <w:t>进港一级公路、</w:t>
            </w:r>
            <w:r>
              <w:rPr>
                <w:rFonts w:hint="eastAsia"/>
                <w:b w:val="0"/>
                <w:bCs/>
                <w:color w:val="auto"/>
                <w:sz w:val="28"/>
                <w:szCs w:val="28"/>
                <w:highlight w:val="none"/>
                <w:lang w:val="en-US" w:eastAsia="zh-CN"/>
              </w:rPr>
              <w:t>江口港二期、江口乡工业园产业及配套基础设施、</w:t>
            </w:r>
            <w:r>
              <w:rPr>
                <w:rFonts w:hint="eastAsia" w:ascii="Times New Roman" w:hAnsi="Times New Roman" w:cs="Times New Roman"/>
                <w:b w:val="0"/>
                <w:bCs/>
                <w:color w:val="auto"/>
                <w:sz w:val="28"/>
                <w:szCs w:val="28"/>
                <w:highlight w:val="none"/>
                <w:lang w:val="en-US" w:eastAsia="zh-CN"/>
              </w:rPr>
              <w:t>水上加油站及港口配套服务设施</w:t>
            </w:r>
            <w:r>
              <w:rPr>
                <w:rFonts w:hint="eastAsia" w:cs="Times New Roman"/>
                <w:b w:val="0"/>
                <w:bCs/>
                <w:color w:val="auto"/>
                <w:sz w:val="28"/>
                <w:szCs w:val="28"/>
                <w:highlight w:val="none"/>
                <w:lang w:val="en-US" w:eastAsia="zh-CN"/>
              </w:rPr>
              <w:t>等项目；谋划</w:t>
            </w:r>
            <w:r>
              <w:rPr>
                <w:rFonts w:hint="eastAsia"/>
                <w:b w:val="0"/>
                <w:bCs/>
                <w:color w:val="auto"/>
                <w:sz w:val="28"/>
                <w:szCs w:val="28"/>
                <w:highlight w:val="none"/>
                <w:lang w:val="en-US" w:eastAsia="zh-CN"/>
              </w:rPr>
              <w:t>船舶制造基地、江口港相思作业区、导江作业区</w:t>
            </w:r>
            <w:r>
              <w:rPr>
                <w:rFonts w:hint="eastAsia" w:ascii="Times New Roman" w:hAnsi="Times New Roman" w:cs="Times New Roman"/>
                <w:b w:val="0"/>
                <w:bCs/>
                <w:color w:val="auto"/>
                <w:sz w:val="28"/>
                <w:szCs w:val="28"/>
                <w:highlight w:val="none"/>
                <w:lang w:val="en-US" w:eastAsia="zh-CN"/>
              </w:rPr>
              <w:t>等项目。</w:t>
            </w:r>
          </w:p>
          <w:p w14:paraId="43C372B5">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default"/>
                <w:b w:val="0"/>
                <w:bCs/>
                <w:color w:val="auto"/>
                <w:sz w:val="28"/>
                <w:szCs w:val="28"/>
                <w:highlight w:val="none"/>
                <w:lang w:val="en-US" w:eastAsia="zh-CN"/>
              </w:rPr>
            </w:pPr>
            <w:r>
              <w:rPr>
                <w:rFonts w:hint="eastAsia"/>
                <w:b/>
                <w:bCs w:val="0"/>
                <w:color w:val="auto"/>
                <w:sz w:val="28"/>
                <w:szCs w:val="28"/>
                <w:highlight w:val="none"/>
                <w:lang w:val="en-US" w:eastAsia="zh-CN"/>
              </w:rPr>
              <w:t>物流枢纽与增值服务：</w:t>
            </w:r>
            <w:r>
              <w:rPr>
                <w:rFonts w:hint="eastAsia"/>
                <w:b w:val="0"/>
                <w:bCs/>
                <w:color w:val="auto"/>
                <w:sz w:val="28"/>
                <w:szCs w:val="28"/>
                <w:highlight w:val="none"/>
                <w:lang w:val="en-US" w:eastAsia="zh-CN"/>
              </w:rPr>
              <w:t>推进柳州港鹿寨港区江口作业区保税仓储物流等项目，谋划冷链物流中心升级及配套基础设施、</w:t>
            </w:r>
            <w:r>
              <w:rPr>
                <w:rFonts w:hint="eastAsia" w:ascii="Times New Roman" w:hAnsi="Times New Roman" w:cs="Times New Roman"/>
                <w:b w:val="0"/>
                <w:bCs/>
                <w:color w:val="auto"/>
                <w:sz w:val="28"/>
                <w:szCs w:val="28"/>
                <w:highlight w:val="none"/>
                <w:lang w:val="en-US" w:eastAsia="zh-CN"/>
              </w:rPr>
              <w:t>临港物流园区及配套设施</w:t>
            </w:r>
            <w:r>
              <w:rPr>
                <w:rFonts w:hint="eastAsia" w:cs="Times New Roman"/>
                <w:b w:val="0"/>
                <w:bCs/>
                <w:color w:val="auto"/>
                <w:sz w:val="28"/>
                <w:szCs w:val="28"/>
                <w:highlight w:val="none"/>
                <w:lang w:val="en-US" w:eastAsia="zh-CN"/>
              </w:rPr>
              <w:t>等项目</w:t>
            </w:r>
            <w:r>
              <w:rPr>
                <w:rFonts w:hint="eastAsia" w:ascii="Times New Roman" w:hAnsi="Times New Roman" w:cs="Times New Roman"/>
                <w:b w:val="0"/>
                <w:bCs/>
                <w:color w:val="auto"/>
                <w:sz w:val="28"/>
                <w:szCs w:val="28"/>
                <w:highlight w:val="none"/>
                <w:lang w:val="en-US" w:eastAsia="zh-CN"/>
              </w:rPr>
              <w:t>。</w:t>
            </w:r>
          </w:p>
        </w:tc>
      </w:tr>
    </w:tbl>
    <w:p w14:paraId="2D4306A8">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116" w:name="_Toc28245"/>
      <w:bookmarkStart w:id="117" w:name="_Toc17517"/>
      <w:bookmarkStart w:id="118" w:name="_Toc18729"/>
      <w:bookmarkStart w:id="119" w:name="_Toc28988"/>
      <w:r>
        <w:rPr>
          <w:rFonts w:hint="eastAsia"/>
          <w:b w:val="0"/>
          <w:bCs/>
          <w:color w:val="auto"/>
          <w:sz w:val="36"/>
          <w:szCs w:val="36"/>
          <w:highlight w:val="none"/>
          <w:lang w:val="en-US" w:eastAsia="zh-CN"/>
        </w:rPr>
        <w:t>第三节  深化人工智能赋能</w:t>
      </w:r>
      <w:bookmarkEnd w:id="116"/>
      <w:bookmarkEnd w:id="117"/>
    </w:p>
    <w:p w14:paraId="61F0B3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把握人工智能发展机遇，坚持把人工智能作为推动县域产业转型升级、塑造高质量发展新优势的战略性抓手。全面落实自治区、柳州市关于“人工智能</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的决策部署，以制造业为智能化转型主战场，全面推进人工智能在林木加工、农业生产、现代服务业及社会治理等领域的渗透应用。依托鹿鸣数据云谷算力中心、工业大数据平台等核心基础设施，促进人工智能技术与实体经济深度融合，为柳州建设国家人工智能创新应用先导区提供有力支撑。</w:t>
      </w:r>
    </w:p>
    <w:p w14:paraId="405EF3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深化人工智能赋能制造升级</w:t>
      </w:r>
      <w:r>
        <w:rPr>
          <w:rFonts w:hint="eastAsia" w:ascii="仿宋_GB2312" w:hAnsi="仿宋_GB2312" w:eastAsia="仿宋_GB2312" w:cs="仿宋_GB2312"/>
          <w:color w:val="auto"/>
          <w:kern w:val="2"/>
          <w:sz w:val="32"/>
          <w:szCs w:val="32"/>
          <w:highlight w:val="none"/>
          <w:lang w:val="en-US" w:eastAsia="zh-CN" w:bidi="ar-SA"/>
        </w:rPr>
        <w:t>。深入实施“人工智能</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制造”专项行动，围绕高端绿色家居、绿色化工新材料两大“双百亿”产业集群培育目标，推动人工智能技术在林木加工、机械制造、绿色化工、生物医药等主导产业全流程深度渗透。推广应用机器视觉分拣、智能质量控制、预测性维护、安全生产监控等解决方案，重点在智能工厂、数字化车间、工业质检等领域开展行业级或企业级应用推广。依托一家美人造板、柳化氯碱等链主企业，建设木材加工</w:t>
      </w:r>
      <w:r>
        <w:rPr>
          <w:rFonts w:hint="default" w:ascii="Times New Roman" w:hAnsi="Times New Roman" w:eastAsia="仿宋_GB2312" w:cs="Times New Roman"/>
          <w:color w:val="auto"/>
          <w:kern w:val="2"/>
          <w:sz w:val="32"/>
          <w:szCs w:val="32"/>
          <w:highlight w:val="none"/>
          <w:lang w:val="en-US" w:eastAsia="zh-CN" w:bidi="ar-SA"/>
        </w:rPr>
        <w:t>AI质</w:t>
      </w:r>
      <w:r>
        <w:rPr>
          <w:rFonts w:hint="eastAsia" w:ascii="仿宋_GB2312" w:hAnsi="仿宋_GB2312" w:eastAsia="仿宋_GB2312" w:cs="仿宋_GB2312"/>
          <w:color w:val="auto"/>
          <w:kern w:val="2"/>
          <w:sz w:val="32"/>
          <w:szCs w:val="32"/>
          <w:highlight w:val="none"/>
          <w:lang w:val="en-US" w:eastAsia="zh-CN" w:bidi="ar-SA"/>
        </w:rPr>
        <w:t>量检测与分拣示范线，探索化工新材料生产过程智能控制与安全预警系统，全面提升生产效率和产品附加值。</w:t>
      </w:r>
    </w:p>
    <w:p w14:paraId="6945673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拓展“人工智能</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”赋能千行百业应用场景。</w:t>
      </w:r>
      <w:r>
        <w:rPr>
          <w:rFonts w:hint="eastAsia" w:ascii="仿宋_GB2312" w:hAnsi="仿宋_GB2312" w:eastAsia="仿宋_GB2312" w:cs="仿宋_GB2312"/>
          <w:color w:val="auto"/>
          <w:kern w:val="2"/>
          <w:sz w:val="32"/>
          <w:szCs w:val="32"/>
          <w:highlight w:val="none"/>
          <w:lang w:val="en-US" w:eastAsia="zh-CN" w:bidi="ar-SA"/>
        </w:rPr>
        <w:t>推动人工智能同金融科技、文化建设、民生保障、社会治理等相结合，形成多领域协同发展的应用格局。在社会治理领域，总结推广“鹿警智讯”</w:t>
      </w:r>
      <w:r>
        <w:rPr>
          <w:rFonts w:hint="default" w:ascii="Times New Roman" w:hAnsi="Times New Roman" w:eastAsia="仿宋_GB2312" w:cs="Times New Roman"/>
          <w:color w:val="auto"/>
          <w:kern w:val="2"/>
          <w:sz w:val="32"/>
          <w:szCs w:val="32"/>
          <w:highlight w:val="none"/>
          <w:lang w:val="en-US" w:eastAsia="zh-CN" w:bidi="ar-SA"/>
        </w:rPr>
        <w:t>AI</w:t>
      </w:r>
      <w:r>
        <w:rPr>
          <w:rFonts w:hint="eastAsia" w:ascii="仿宋_GB2312" w:hAnsi="仿宋_GB2312" w:eastAsia="仿宋_GB2312" w:cs="仿宋_GB2312"/>
          <w:color w:val="auto"/>
          <w:kern w:val="2"/>
          <w:sz w:val="32"/>
          <w:szCs w:val="32"/>
          <w:highlight w:val="none"/>
          <w:lang w:val="en-US" w:eastAsia="zh-CN" w:bidi="ar-SA"/>
        </w:rPr>
        <w:t>辅助办案系统建设经验，深化人工智能在矛盾纠纷化解、行政执法规范化等场景应用，提升县域治理智能化水平。在智慧农业领域，依托拉沟乡古茶树数字化管护示范样板，推广“</w:t>
      </w:r>
      <w:r>
        <w:rPr>
          <w:rFonts w:hint="default" w:ascii="Times New Roman" w:hAnsi="Times New Roman" w:eastAsia="仿宋_GB2312" w:cs="Times New Roman"/>
          <w:color w:val="auto"/>
          <w:kern w:val="2"/>
          <w:sz w:val="32"/>
          <w:szCs w:val="32"/>
          <w:highlight w:val="none"/>
          <w:lang w:val="en-US" w:eastAsia="zh-CN" w:bidi="ar-SA"/>
        </w:rPr>
        <w:t>3D</w:t>
      </w:r>
      <w:r>
        <w:rPr>
          <w:rFonts w:hint="eastAsia" w:ascii="仿宋_GB2312" w:hAnsi="仿宋_GB2312" w:eastAsia="仿宋_GB2312" w:cs="仿宋_GB2312"/>
          <w:color w:val="auto"/>
          <w:kern w:val="2"/>
          <w:sz w:val="32"/>
          <w:szCs w:val="32"/>
          <w:highlight w:val="none"/>
          <w:lang w:val="en-US" w:eastAsia="zh-CN" w:bidi="ar-SA"/>
        </w:rPr>
        <w:t>建模</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物联网</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AI</w:t>
      </w:r>
      <w:r>
        <w:rPr>
          <w:rFonts w:hint="eastAsia" w:ascii="仿宋_GB2312" w:hAnsi="仿宋_GB2312" w:eastAsia="仿宋_GB2312" w:cs="仿宋_GB2312"/>
          <w:color w:val="auto"/>
          <w:kern w:val="2"/>
          <w:sz w:val="32"/>
          <w:szCs w:val="32"/>
          <w:highlight w:val="none"/>
          <w:lang w:val="en-US" w:eastAsia="zh-CN" w:bidi="ar-SA"/>
        </w:rPr>
        <w:t>算法”的精准管护模式，辐射带动精品水果、中药材等特色农业数字化转型，实现农业生产提质增效。在智慧康养领域，结合鹿寨良好的生态环境和老龄化服务需求，探索智能穿戴设备、远程健康监测等应用，培育“人工智能</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康养”新业态。</w:t>
      </w:r>
    </w:p>
    <w:p w14:paraId="59999D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夯实人工智能产业基础设施</w:t>
      </w:r>
      <w:r>
        <w:rPr>
          <w:rFonts w:hint="eastAsia" w:ascii="仿宋_GB2312" w:hAnsi="仿宋_GB2312" w:eastAsia="仿宋_GB2312" w:cs="仿宋_GB2312"/>
          <w:color w:val="auto"/>
          <w:kern w:val="2"/>
          <w:sz w:val="32"/>
          <w:szCs w:val="32"/>
          <w:highlight w:val="none"/>
          <w:lang w:val="en-US" w:eastAsia="zh-CN" w:bidi="ar-SA"/>
        </w:rPr>
        <w:t>。谋划建设鹿鸣数据云谷算力中心产业园，打造集算力供给、数据存储、算法开发、技术孵化于一体的区域性人工智能基础设施枢纽。同步建设覆盖木材加工、化工新材料、高端装备制造等主导产业的鹿寨工业大数据平台（中心），为产业智能化升级提供精准数据要素支撑。依托广西鹿寨经济开发区已建成的</w:t>
      </w:r>
      <w:r>
        <w:rPr>
          <w:rFonts w:hint="default" w:ascii="Times New Roman" w:hAnsi="Times New Roman" w:eastAsia="仿宋_GB2312" w:cs="Times New Roman"/>
          <w:color w:val="auto"/>
          <w:kern w:val="2"/>
          <w:sz w:val="32"/>
          <w:szCs w:val="32"/>
          <w:highlight w:val="none"/>
          <w:lang w:val="en-US" w:eastAsia="zh-CN" w:bidi="ar-SA"/>
        </w:rPr>
        <w:t>超20万</w:t>
      </w:r>
      <w:r>
        <w:rPr>
          <w:rFonts w:hint="eastAsia" w:ascii="仿宋_GB2312" w:hAnsi="仿宋_GB2312" w:eastAsia="仿宋_GB2312" w:cs="仿宋_GB2312"/>
          <w:color w:val="auto"/>
          <w:kern w:val="2"/>
          <w:sz w:val="32"/>
          <w:szCs w:val="32"/>
          <w:highlight w:val="none"/>
          <w:lang w:val="en-US" w:eastAsia="zh-CN" w:bidi="ar-SA"/>
        </w:rPr>
        <w:t>平方米高标准厂房，积极探索“园中园”共建模式，聚</w:t>
      </w:r>
      <w:r>
        <w:rPr>
          <w:rFonts w:hint="default" w:ascii="Times New Roman" w:hAnsi="Times New Roman" w:eastAsia="仿宋_GB2312" w:cs="Times New Roman"/>
          <w:color w:val="auto"/>
          <w:kern w:val="2"/>
          <w:sz w:val="32"/>
          <w:szCs w:val="32"/>
          <w:highlight w:val="none"/>
          <w:lang w:val="en-US" w:eastAsia="zh-CN" w:bidi="ar-SA"/>
        </w:rPr>
        <w:t>焦AI</w:t>
      </w:r>
      <w:r>
        <w:rPr>
          <w:rFonts w:hint="eastAsia" w:ascii="仿宋_GB2312" w:hAnsi="仿宋_GB2312" w:eastAsia="仿宋_GB2312" w:cs="仿宋_GB2312"/>
          <w:color w:val="auto"/>
          <w:kern w:val="2"/>
          <w:sz w:val="32"/>
          <w:szCs w:val="32"/>
          <w:highlight w:val="none"/>
          <w:lang w:val="en-US" w:eastAsia="zh-CN" w:bidi="ar-SA"/>
        </w:rPr>
        <w:t>智能机器人集成应用、智能穿戴设备、智能家居等方向，着力构建从基础层、技术层到应用层</w:t>
      </w:r>
      <w:r>
        <w:rPr>
          <w:rFonts w:hint="default" w:ascii="Times New Roman" w:hAnsi="Times New Roman" w:eastAsia="仿宋_GB2312" w:cs="Times New Roman"/>
          <w:color w:val="auto"/>
          <w:kern w:val="2"/>
          <w:sz w:val="32"/>
          <w:szCs w:val="32"/>
          <w:highlight w:val="none"/>
          <w:lang w:val="en-US" w:eastAsia="zh-CN" w:bidi="ar-SA"/>
        </w:rPr>
        <w:t>的AI</w:t>
      </w:r>
      <w:r>
        <w:rPr>
          <w:rFonts w:hint="eastAsia" w:ascii="仿宋_GB2312" w:hAnsi="仿宋_GB2312" w:eastAsia="仿宋_GB2312" w:cs="仿宋_GB2312"/>
          <w:color w:val="auto"/>
          <w:kern w:val="2"/>
          <w:sz w:val="32"/>
          <w:szCs w:val="32"/>
          <w:highlight w:val="none"/>
          <w:lang w:val="en-US" w:eastAsia="zh-CN" w:bidi="ar-SA"/>
        </w:rPr>
        <w:t>产业生态。重点推动与深度国际数据科技、泓芯茂光电、深圳新思路机器人等企业合作项目落地，加快深紫外半导体器件封装、年</w:t>
      </w:r>
      <w:r>
        <w:rPr>
          <w:rFonts w:hint="default" w:ascii="Times New Roman" w:hAnsi="Times New Roman" w:eastAsia="仿宋_GB2312" w:cs="Times New Roman"/>
          <w:color w:val="auto"/>
          <w:kern w:val="2"/>
          <w:sz w:val="32"/>
          <w:szCs w:val="32"/>
          <w:highlight w:val="none"/>
          <w:lang w:val="en-US" w:eastAsia="zh-CN" w:bidi="ar-SA"/>
        </w:rPr>
        <w:t>产1500万片</w:t>
      </w:r>
      <w:r>
        <w:rPr>
          <w:rFonts w:hint="eastAsia" w:ascii="仿宋_GB2312" w:hAnsi="仿宋_GB2312" w:eastAsia="仿宋_GB2312" w:cs="仿宋_GB2312"/>
          <w:color w:val="auto"/>
          <w:kern w:val="2"/>
          <w:sz w:val="32"/>
          <w:szCs w:val="32"/>
          <w:highlight w:val="none"/>
          <w:lang w:val="en-US" w:eastAsia="zh-CN" w:bidi="ar-SA"/>
        </w:rPr>
        <w:t>主板元器件封装及智能穿戴生产基地等项目建设，打造专业化电子信息产业园。</w:t>
      </w:r>
    </w:p>
    <w:p w14:paraId="0E7C80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推动园区数字化、绿色化、智能化融合发展。</w:t>
      </w:r>
      <w:r>
        <w:rPr>
          <w:rFonts w:hint="eastAsia" w:ascii="仿宋_GB2312" w:hAnsi="仿宋_GB2312" w:eastAsia="仿宋_GB2312" w:cs="仿宋_GB2312"/>
          <w:color w:val="auto"/>
          <w:kern w:val="2"/>
          <w:sz w:val="32"/>
          <w:szCs w:val="32"/>
          <w:highlight w:val="none"/>
          <w:lang w:val="en-US" w:eastAsia="zh-CN" w:bidi="ar-SA"/>
        </w:rPr>
        <w:t>立足鹿寨产业基础，深化与数字化服务商合作，推广数智工业平台轻量化模块，探索建设县级园区轻量级人工智能模型，普及智能安防、数字办公等成熟应用场景。加快工业互联网标识解析市级节点接入与物联网感知设施布局，推动数字孪生、</w:t>
      </w:r>
      <w:r>
        <w:rPr>
          <w:rFonts w:hint="default" w:ascii="Times New Roman" w:hAnsi="Times New Roman" w:eastAsia="仿宋_GB2312" w:cs="Times New Roman"/>
          <w:color w:val="auto"/>
          <w:kern w:val="2"/>
          <w:sz w:val="32"/>
          <w:szCs w:val="32"/>
          <w:highlight w:val="none"/>
          <w:lang w:val="en-US" w:eastAsia="zh-CN" w:bidi="ar-SA"/>
        </w:rPr>
        <w:t>AI</w:t>
      </w:r>
      <w:r>
        <w:rPr>
          <w:rFonts w:hint="eastAsia" w:ascii="仿宋_GB2312" w:hAnsi="仿宋_GB2312" w:eastAsia="仿宋_GB2312" w:cs="仿宋_GB2312"/>
          <w:color w:val="auto"/>
          <w:kern w:val="2"/>
          <w:sz w:val="32"/>
          <w:szCs w:val="32"/>
          <w:highlight w:val="none"/>
          <w:lang w:val="en-US" w:eastAsia="zh-CN" w:bidi="ar-SA"/>
        </w:rPr>
        <w:t>辅助设计、虚拟仿真等技术在研发生产环节应用，提升企业创新效能。提升园区安全环保、能源管理、物流调度、设施运维智能化管控水平。依托县级统筹能力，通过项目对接、场景试点、示范培育等方式，引导企业、高校及科研机构共建智慧场景，培育县域特色人工智能应用生态，全面推进园区提升园区智慧绿色水平。</w:t>
      </w:r>
    </w:p>
    <w:p w14:paraId="166DF816">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E4A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071" w:type="dxa"/>
            <w:vAlign w:val="center"/>
          </w:tcPr>
          <w:p w14:paraId="04801818">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8</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人工智能产业重点项目</w:t>
            </w:r>
          </w:p>
        </w:tc>
      </w:tr>
      <w:tr w14:paraId="7CB5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9071" w:type="dxa"/>
            <w:vAlign w:val="center"/>
          </w:tcPr>
          <w:p w14:paraId="741C99A0">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default"/>
                <w:b w:val="0"/>
                <w:bCs/>
                <w:color w:val="auto"/>
                <w:sz w:val="28"/>
                <w:szCs w:val="28"/>
                <w:highlight w:val="none"/>
                <w:lang w:val="en-US" w:eastAsia="zh-CN"/>
              </w:rPr>
            </w:pPr>
            <w:r>
              <w:rPr>
                <w:rFonts w:hint="eastAsia" w:cs="Times New Roman"/>
                <w:b w:val="0"/>
                <w:bCs w:val="0"/>
                <w:color w:val="auto"/>
                <w:spacing w:val="0"/>
                <w:kern w:val="2"/>
                <w:sz w:val="28"/>
                <w:szCs w:val="28"/>
                <w:highlight w:val="none"/>
                <w:lang w:val="en-US" w:eastAsia="zh-CN" w:bidi="ar-SA"/>
              </w:rPr>
              <w:t>推进深紫外半导体器件封装及模组生产、年产1500万片主板元器件封装及智能穿戴生产基地、智能终端及机器人、</w:t>
            </w:r>
            <w:r>
              <w:rPr>
                <w:rFonts w:hint="eastAsia"/>
                <w:b w:val="0"/>
                <w:bCs/>
                <w:color w:val="auto"/>
                <w:sz w:val="28"/>
                <w:szCs w:val="28"/>
                <w:highlight w:val="none"/>
                <w:lang w:val="en-US" w:eastAsia="zh-CN"/>
              </w:rPr>
              <w:t>智慧工厂和数字化车间等项目；谋划建设</w:t>
            </w:r>
            <w:r>
              <w:rPr>
                <w:rFonts w:hint="default"/>
                <w:b w:val="0"/>
                <w:bCs/>
                <w:color w:val="auto"/>
                <w:sz w:val="28"/>
                <w:szCs w:val="28"/>
                <w:highlight w:val="none"/>
                <w:lang w:val="en-US" w:eastAsia="zh-CN"/>
              </w:rPr>
              <w:t>鹿鸣数据云谷算力中心产业园</w:t>
            </w:r>
            <w:r>
              <w:rPr>
                <w:rFonts w:hint="eastAsia"/>
                <w:b w:val="0"/>
                <w:bCs/>
                <w:color w:val="auto"/>
                <w:sz w:val="28"/>
                <w:szCs w:val="28"/>
                <w:highlight w:val="none"/>
                <w:lang w:val="en-US" w:eastAsia="zh-CN"/>
              </w:rPr>
              <w:t>、</w:t>
            </w:r>
            <w:r>
              <w:rPr>
                <w:rFonts w:hint="default"/>
                <w:b w:val="0"/>
                <w:bCs/>
                <w:color w:val="auto"/>
                <w:sz w:val="28"/>
                <w:szCs w:val="28"/>
                <w:highlight w:val="none"/>
                <w:lang w:val="en-US" w:eastAsia="zh-CN"/>
              </w:rPr>
              <w:t>无节材桉木抚育机器人</w:t>
            </w:r>
            <w:r>
              <w:rPr>
                <w:rFonts w:hint="eastAsia"/>
                <w:b w:val="0"/>
                <w:bCs/>
                <w:color w:val="auto"/>
                <w:sz w:val="28"/>
                <w:szCs w:val="28"/>
                <w:highlight w:val="none"/>
                <w:lang w:val="en-US" w:eastAsia="zh-CN"/>
              </w:rPr>
              <w:t>等</w:t>
            </w:r>
            <w:r>
              <w:rPr>
                <w:rFonts w:hint="default"/>
                <w:b w:val="0"/>
                <w:bCs/>
                <w:color w:val="auto"/>
                <w:sz w:val="28"/>
                <w:szCs w:val="28"/>
                <w:highlight w:val="none"/>
                <w:lang w:val="en-US" w:eastAsia="zh-CN"/>
              </w:rPr>
              <w:t>项目</w:t>
            </w:r>
            <w:r>
              <w:rPr>
                <w:rFonts w:hint="eastAsia"/>
                <w:b w:val="0"/>
                <w:bCs/>
                <w:color w:val="auto"/>
                <w:sz w:val="28"/>
                <w:szCs w:val="28"/>
                <w:highlight w:val="none"/>
                <w:lang w:val="en-US" w:eastAsia="zh-CN"/>
              </w:rPr>
              <w:t>。</w:t>
            </w:r>
          </w:p>
        </w:tc>
      </w:tr>
    </w:tbl>
    <w:p w14:paraId="32F19F47">
      <w:pPr>
        <w:rPr>
          <w:rFonts w:hint="eastAsia" w:ascii="方正小标宋简体" w:hAnsi="方正小标宋简体" w:eastAsia="方正小标宋简体" w:cs="方正小标宋简体"/>
          <w:b w:val="0"/>
          <w:bCs/>
          <w:color w:val="auto"/>
          <w:highlight w:val="none"/>
          <w:lang w:val="en-US" w:eastAsia="zh-CN"/>
        </w:rPr>
      </w:pPr>
      <w:bookmarkStart w:id="120" w:name="_Toc20754"/>
      <w:r>
        <w:rPr>
          <w:rFonts w:hint="eastAsia" w:ascii="方正小标宋简体" w:hAnsi="方正小标宋简体" w:eastAsia="方正小标宋简体" w:cs="方正小标宋简体"/>
          <w:b w:val="0"/>
          <w:bCs/>
          <w:color w:val="auto"/>
          <w:highlight w:val="none"/>
          <w:lang w:val="en-US" w:eastAsia="zh-CN"/>
        </w:rPr>
        <w:br w:type="page"/>
      </w:r>
    </w:p>
    <w:p w14:paraId="561C85EF">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21" w:name="_Toc31364"/>
      <w:r>
        <w:rPr>
          <w:rFonts w:hint="eastAsia" w:ascii="方正小标宋简体" w:hAnsi="方正小标宋简体" w:eastAsia="方正小标宋简体" w:cs="方正小标宋简体"/>
          <w:b w:val="0"/>
          <w:bCs/>
          <w:color w:val="auto"/>
          <w:highlight w:val="none"/>
          <w:lang w:val="en-US" w:eastAsia="zh-CN"/>
        </w:rPr>
        <w:t>第四章</w:t>
      </w:r>
      <w:bookmarkEnd w:id="118"/>
      <w:bookmarkEnd w:id="119"/>
      <w:bookmarkEnd w:id="120"/>
      <w:bookmarkEnd w:id="121"/>
    </w:p>
    <w:p w14:paraId="3A468FA1">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highlight w:val="none"/>
          <w:lang w:val="en-US" w:eastAsia="zh-CN"/>
        </w:rPr>
      </w:pPr>
      <w:bookmarkStart w:id="122" w:name="_Toc2970"/>
      <w:bookmarkStart w:id="123" w:name="_Toc27071"/>
      <w:bookmarkStart w:id="124" w:name="_Toc22412"/>
      <w:bookmarkStart w:id="125" w:name="_Toc25590"/>
      <w:r>
        <w:rPr>
          <w:rFonts w:hint="eastAsia" w:ascii="方正小标宋简体" w:hAnsi="方正小标宋简体" w:eastAsia="方正小标宋简体" w:cs="方正小标宋简体"/>
          <w:b w:val="0"/>
          <w:bCs/>
          <w:color w:val="auto"/>
          <w:highlight w:val="none"/>
          <w:lang w:val="en-US" w:eastAsia="zh-CN"/>
        </w:rPr>
        <w:t>强化科技创新引领  全面塑造发展新</w:t>
      </w:r>
      <w:bookmarkEnd w:id="122"/>
      <w:bookmarkEnd w:id="123"/>
      <w:r>
        <w:rPr>
          <w:rFonts w:hint="eastAsia" w:ascii="方正小标宋简体" w:hAnsi="方正小标宋简体" w:eastAsia="方正小标宋简体" w:cs="方正小标宋简体"/>
          <w:b w:val="0"/>
          <w:bCs/>
          <w:color w:val="auto"/>
          <w:highlight w:val="none"/>
          <w:lang w:val="en-US" w:eastAsia="zh-CN"/>
        </w:rPr>
        <w:t>优势</w:t>
      </w:r>
      <w:bookmarkEnd w:id="124"/>
      <w:bookmarkEnd w:id="125"/>
    </w:p>
    <w:p w14:paraId="62A2EA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抢抓新一轮科技革命和产业变革重大机遇，全面提升创新体系效能，推动科技创新和产业创新深度融合，因地制宜发展新质生产力</w:t>
      </w:r>
      <w:r>
        <w:rPr>
          <w:rFonts w:hint="eastAsia" w:ascii="Times New Roman" w:hAnsi="Times New Roman" w:eastAsia="仿宋_GB2312" w:cs="仿宋_GB2312"/>
          <w:color w:val="auto"/>
          <w:sz w:val="32"/>
          <w:szCs w:val="32"/>
          <w:highlight w:val="none"/>
          <w:lang w:eastAsia="zh-CN"/>
        </w:rPr>
        <w:t>，为奋力谱写中国式现代化鹿寨篇章提供强劲动能。</w:t>
      </w:r>
    </w:p>
    <w:p w14:paraId="36A2463B">
      <w:pPr>
        <w:pStyle w:val="5"/>
        <w:bidi w:val="0"/>
        <w:jc w:val="center"/>
        <w:outlineLvl w:val="0"/>
        <w:rPr>
          <w:rFonts w:hint="eastAsia" w:ascii="Times New Roman" w:hAnsi="Times New Roman" w:eastAsia="仿宋_GB2312" w:cs="仿宋_GB2312"/>
          <w:color w:val="auto"/>
          <w:sz w:val="36"/>
          <w:szCs w:val="36"/>
          <w:highlight w:val="none"/>
        </w:rPr>
      </w:pPr>
      <w:bookmarkStart w:id="126" w:name="_Toc31624"/>
      <w:bookmarkStart w:id="127" w:name="_Toc8944"/>
      <w:bookmarkStart w:id="128" w:name="_Toc21455"/>
      <w:bookmarkStart w:id="129" w:name="_Toc3598"/>
      <w:r>
        <w:rPr>
          <w:rFonts w:hint="eastAsia" w:ascii="Times New Roman" w:hAnsi="Times New Roman" w:eastAsia="黑体" w:cs="黑体"/>
          <w:b w:val="0"/>
          <w:bCs w:val="0"/>
          <w:color w:val="auto"/>
          <w:sz w:val="36"/>
          <w:szCs w:val="36"/>
          <w:highlight w:val="none"/>
        </w:rPr>
        <w:t xml:space="preserve">第一节 </w:t>
      </w:r>
      <w:r>
        <w:rPr>
          <w:rFonts w:hint="eastAsia" w:ascii="Times New Roman" w:hAnsi="Times New Roman" w:eastAsia="黑体" w:cs="黑体"/>
          <w:b w:val="0"/>
          <w:bCs w:val="0"/>
          <w:color w:val="auto"/>
          <w:sz w:val="36"/>
          <w:szCs w:val="36"/>
          <w:highlight w:val="none"/>
          <w:lang w:val="en-US" w:eastAsia="zh-CN"/>
        </w:rPr>
        <w:t xml:space="preserve"> </w:t>
      </w:r>
      <w:r>
        <w:rPr>
          <w:rFonts w:hint="eastAsia" w:ascii="Times New Roman" w:hAnsi="Times New Roman" w:eastAsia="黑体" w:cs="黑体"/>
          <w:b w:val="0"/>
          <w:bCs w:val="0"/>
          <w:color w:val="auto"/>
          <w:sz w:val="36"/>
          <w:szCs w:val="36"/>
          <w:highlight w:val="none"/>
        </w:rPr>
        <w:t>健全</w:t>
      </w:r>
      <w:r>
        <w:rPr>
          <w:rFonts w:hint="eastAsia" w:ascii="Times New Roman" w:hAnsi="Times New Roman" w:eastAsia="黑体" w:cs="黑体"/>
          <w:b w:val="0"/>
          <w:bCs w:val="0"/>
          <w:color w:val="auto"/>
          <w:sz w:val="36"/>
          <w:szCs w:val="36"/>
          <w:highlight w:val="none"/>
          <w:lang w:eastAsia="zh-CN"/>
        </w:rPr>
        <w:t>以</w:t>
      </w:r>
      <w:r>
        <w:rPr>
          <w:rFonts w:hint="eastAsia" w:ascii="Times New Roman" w:hAnsi="Times New Roman" w:eastAsia="黑体" w:cs="黑体"/>
          <w:b w:val="0"/>
          <w:bCs w:val="0"/>
          <w:color w:val="auto"/>
          <w:sz w:val="36"/>
          <w:szCs w:val="36"/>
          <w:highlight w:val="none"/>
        </w:rPr>
        <w:t>企业</w:t>
      </w:r>
      <w:r>
        <w:rPr>
          <w:rFonts w:hint="eastAsia" w:ascii="Times New Roman" w:hAnsi="Times New Roman" w:eastAsia="黑体" w:cs="黑体"/>
          <w:b w:val="0"/>
          <w:bCs w:val="0"/>
          <w:color w:val="auto"/>
          <w:sz w:val="36"/>
          <w:szCs w:val="36"/>
          <w:highlight w:val="none"/>
          <w:lang w:eastAsia="zh-CN"/>
        </w:rPr>
        <w:t>为</w:t>
      </w:r>
      <w:r>
        <w:rPr>
          <w:rFonts w:hint="eastAsia" w:ascii="Times New Roman" w:hAnsi="Times New Roman" w:eastAsia="黑体" w:cs="黑体"/>
          <w:b w:val="0"/>
          <w:bCs w:val="0"/>
          <w:color w:val="auto"/>
          <w:sz w:val="36"/>
          <w:szCs w:val="36"/>
          <w:highlight w:val="none"/>
        </w:rPr>
        <w:t>主</w:t>
      </w:r>
      <w:r>
        <w:rPr>
          <w:rFonts w:hint="eastAsia" w:ascii="Times New Roman" w:hAnsi="Times New Roman" w:eastAsia="黑体" w:cs="黑体"/>
          <w:b w:val="0"/>
          <w:bCs w:val="0"/>
          <w:color w:val="auto"/>
          <w:sz w:val="36"/>
          <w:szCs w:val="36"/>
          <w:highlight w:val="none"/>
          <w:lang w:eastAsia="zh-CN"/>
        </w:rPr>
        <w:t>体</w:t>
      </w:r>
      <w:r>
        <w:rPr>
          <w:rFonts w:hint="eastAsia" w:ascii="Times New Roman" w:hAnsi="Times New Roman" w:eastAsia="黑体" w:cs="黑体"/>
          <w:b w:val="0"/>
          <w:bCs w:val="0"/>
          <w:color w:val="auto"/>
          <w:sz w:val="36"/>
          <w:szCs w:val="36"/>
          <w:highlight w:val="none"/>
        </w:rPr>
        <w:t>的产业技术创新体系</w:t>
      </w:r>
      <w:bookmarkEnd w:id="126"/>
      <w:bookmarkEnd w:id="127"/>
      <w:bookmarkEnd w:id="128"/>
      <w:bookmarkEnd w:id="129"/>
    </w:p>
    <w:p w14:paraId="479064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bookmarkStart w:id="130" w:name="_Toc32752"/>
      <w:r>
        <w:rPr>
          <w:rFonts w:hint="eastAsia" w:ascii="Times New Roman" w:hAnsi="Times New Roman" w:eastAsia="仿宋_GB2312" w:cs="仿宋_GB2312"/>
          <w:color w:val="auto"/>
          <w:sz w:val="32"/>
          <w:szCs w:val="32"/>
          <w:highlight w:val="none"/>
          <w:lang w:val="en-US" w:eastAsia="zh-CN"/>
        </w:rPr>
        <w:t>坚持改革引领，推动各类创新资源向企业集聚，提升企业科技创新驱动力和竞争力，加快推动鹿寨高水平创新型社会建设。</w:t>
      </w:r>
    </w:p>
    <w:p w14:paraId="28EF7C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着力打造高能级创新研发平台。</w:t>
      </w:r>
      <w:r>
        <w:rPr>
          <w:rFonts w:hint="eastAsia" w:ascii="Times New Roman" w:hAnsi="Times New Roman" w:eastAsia="仿宋_GB2312" w:cs="仿宋_GB2312"/>
          <w:color w:val="auto"/>
          <w:sz w:val="32"/>
          <w:szCs w:val="32"/>
          <w:highlight w:val="none"/>
          <w:lang w:val="en-US" w:eastAsia="zh-CN"/>
        </w:rPr>
        <w:t>把握广西鹿寨经济开发区纳入柳州市高新技术产业开发区范畴契机，积极布局人工智能等未来产业与低空经济等战略性新兴产业，建设专业化科技产业园区，促进高端产业、科技人才资源与金融资本向园区集聚，持续提升园区企业创新能力。鼓励支持有条件的企业建设重点实验室、技术创新中心、工程技术研究中心等高水平创新平台，围绕全县高新技术企业、战略性新兴产业、生产性服务业、现代农业及生态环境保护等重点领域，加快培育一批高能级科创平台与载体，打造区域创新发展的策源地和主阵地。</w:t>
      </w:r>
      <w:r>
        <w:rPr>
          <w:rFonts w:hint="eastAsia" w:ascii="Times New Roman" w:hAnsi="Times New Roman" w:eastAsia="仿宋_GB2312" w:cs="Times New Roman"/>
          <w:color w:val="auto"/>
          <w:sz w:val="32"/>
          <w:szCs w:val="32"/>
          <w:highlight w:val="none"/>
          <w:lang w:val="en-US" w:eastAsia="zh-CN"/>
        </w:rPr>
        <w:t>引导新材料、工程制造、智慧林业等领域创新主体创建自治区级科技创新平台</w:t>
      </w:r>
      <w:r>
        <w:rPr>
          <w:rFonts w:hint="eastAsia" w:ascii="Times New Roman" w:hAnsi="Times New Roman" w:eastAsia="仿宋_GB2312" w:cs="仿宋_GB2312"/>
          <w:color w:val="auto"/>
          <w:sz w:val="32"/>
          <w:szCs w:val="32"/>
          <w:highlight w:val="none"/>
          <w:lang w:val="en-US" w:eastAsia="zh-CN"/>
        </w:rPr>
        <w:t>。围绕主导产业和战略性新兴产业发展需求，鼓励技术转移、科技咨询、知识产权等各类“政产学研金服”主体共同参与，建设产业技术研发公共服务平台，为中小微企业提供技术研发、成果转化等服务。</w:t>
      </w:r>
    </w:p>
    <w:p w14:paraId="2097FE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强化</w:t>
      </w:r>
      <w:r>
        <w:rPr>
          <w:rFonts w:hint="eastAsia" w:ascii="Times New Roman" w:hAnsi="Times New Roman" w:eastAsia="仿宋_GB2312" w:cs="仿宋_GB2312"/>
          <w:b/>
          <w:bCs/>
          <w:color w:val="auto"/>
          <w:sz w:val="32"/>
          <w:szCs w:val="32"/>
          <w:highlight w:val="none"/>
          <w:lang w:eastAsia="zh-CN"/>
        </w:rPr>
        <w:t>企业</w:t>
      </w:r>
      <w:r>
        <w:rPr>
          <w:rFonts w:hint="eastAsia" w:ascii="Times New Roman" w:hAnsi="Times New Roman" w:eastAsia="仿宋_GB2312" w:cs="仿宋_GB2312"/>
          <w:b/>
          <w:bCs/>
          <w:color w:val="auto"/>
          <w:sz w:val="32"/>
          <w:szCs w:val="32"/>
          <w:highlight w:val="none"/>
          <w:lang w:val="en-US" w:eastAsia="zh-CN"/>
        </w:rPr>
        <w:t>科技</w:t>
      </w:r>
      <w:r>
        <w:rPr>
          <w:rFonts w:hint="eastAsia" w:ascii="Times New Roman" w:hAnsi="Times New Roman" w:eastAsia="仿宋_GB2312" w:cs="仿宋_GB2312"/>
          <w:b/>
          <w:bCs/>
          <w:color w:val="auto"/>
          <w:sz w:val="32"/>
          <w:szCs w:val="32"/>
          <w:highlight w:val="none"/>
          <w:lang w:eastAsia="zh-CN"/>
        </w:rPr>
        <w:t>创新主体地位。</w:t>
      </w:r>
      <w:r>
        <w:rPr>
          <w:rFonts w:hint="eastAsia" w:ascii="Times New Roman" w:hAnsi="Times New Roman" w:eastAsia="仿宋_GB2312" w:cs="仿宋_GB2312"/>
          <w:color w:val="auto"/>
          <w:sz w:val="32"/>
          <w:szCs w:val="32"/>
          <w:highlight w:val="none"/>
          <w:lang w:val="en-US" w:eastAsia="zh-CN"/>
        </w:rPr>
        <w:t>推动企业税收优惠政策落实，</w:t>
      </w:r>
      <w:r>
        <w:rPr>
          <w:rFonts w:hint="eastAsia" w:ascii="Times New Roman" w:hAnsi="Times New Roman" w:eastAsia="仿宋_GB2312" w:cs="仿宋_GB2312"/>
          <w:b w:val="0"/>
          <w:bCs w:val="0"/>
          <w:color w:val="auto"/>
          <w:sz w:val="32"/>
          <w:szCs w:val="32"/>
          <w:highlight w:val="none"/>
          <w:lang w:val="en-US" w:eastAsia="zh-CN"/>
        </w:rPr>
        <w:t>鼓励企业持续加大研发投入，</w:t>
      </w:r>
      <w:r>
        <w:rPr>
          <w:rFonts w:hint="eastAsia" w:ascii="Times New Roman" w:hAnsi="Times New Roman" w:eastAsia="仿宋_GB2312" w:cs="Times New Roman"/>
          <w:color w:val="auto"/>
          <w:sz w:val="32"/>
          <w:szCs w:val="32"/>
          <w:highlight w:val="none"/>
          <w:lang w:val="en-US" w:eastAsia="zh-CN"/>
        </w:rPr>
        <w:t>发挥企业科技创新主体地位</w:t>
      </w:r>
      <w:r>
        <w:rPr>
          <w:rFonts w:hint="eastAsia" w:ascii="Times New Roman" w:hAnsi="Times New Roman" w:eastAsia="仿宋_GB2312" w:cs="仿宋_GB2312"/>
          <w:b w:val="0"/>
          <w:bCs w:val="0"/>
          <w:color w:val="auto"/>
          <w:sz w:val="32"/>
          <w:szCs w:val="32"/>
          <w:highlight w:val="none"/>
          <w:lang w:val="en-US" w:eastAsia="zh-CN"/>
        </w:rPr>
        <w:t>，围绕高端绿色家居、绿色化工、汽车零部件、珠光新材料、农产品精深加工等重点领域开展关键核心技术攻坚，以科技创新引领新质生产力发展。</w:t>
      </w:r>
      <w:r>
        <w:rPr>
          <w:rFonts w:hint="eastAsia" w:ascii="Times New Roman" w:hAnsi="Times New Roman" w:eastAsia="仿宋_GB2312" w:cs="仿宋_GB2312"/>
          <w:color w:val="auto"/>
          <w:sz w:val="32"/>
          <w:szCs w:val="32"/>
          <w:highlight w:val="none"/>
          <w:lang w:val="en-US" w:eastAsia="zh-CN"/>
        </w:rPr>
        <w:t>支持企业全面参与技术创新决策、科研组织全过程，</w:t>
      </w:r>
      <w:r>
        <w:rPr>
          <w:rFonts w:hint="eastAsia" w:ascii="Times New Roman" w:hAnsi="Times New Roman" w:eastAsia="仿宋_GB2312" w:cs="仿宋_GB2312"/>
          <w:b w:val="0"/>
          <w:bCs w:val="0"/>
          <w:color w:val="auto"/>
          <w:sz w:val="32"/>
          <w:szCs w:val="32"/>
          <w:highlight w:val="none"/>
          <w:lang w:val="en-US" w:eastAsia="zh-CN"/>
        </w:rPr>
        <w:t>提升企业科技创新决策话语权。</w:t>
      </w:r>
      <w:r>
        <w:rPr>
          <w:rFonts w:hint="eastAsia" w:ascii="Times New Roman" w:hAnsi="Times New Roman" w:eastAsia="仿宋_GB2312" w:cs="仿宋_GB2312"/>
          <w:b w:val="0"/>
          <w:bCs w:val="0"/>
          <w:color w:val="auto"/>
          <w:sz w:val="32"/>
          <w:szCs w:val="32"/>
          <w:highlight w:val="none"/>
          <w:u w:val="none"/>
          <w:lang w:val="en-US" w:eastAsia="zh-CN"/>
        </w:rPr>
        <w:t>建立健全研发机构的运营管理和扶持政策机制，</w:t>
      </w:r>
      <w:r>
        <w:rPr>
          <w:rFonts w:hint="eastAsia" w:ascii="Times New Roman" w:hAnsi="Times New Roman" w:eastAsia="仿宋_GB2312" w:cs="仿宋_GB2312"/>
          <w:b w:val="0"/>
          <w:bCs w:val="0"/>
          <w:color w:val="auto"/>
          <w:sz w:val="32"/>
          <w:szCs w:val="32"/>
          <w:highlight w:val="none"/>
          <w:lang w:val="en-US" w:eastAsia="zh-CN"/>
        </w:rPr>
        <w:t>支持开展新产品研发、企业战略咨询等各类创新活动，鼓励企业争取国家、自治区、柳州市各级科技计划项目，提高企业自主研发能力。支持企业与高校院所共建联合实验室等载体，增强企业在合作中的主导权。</w:t>
      </w:r>
    </w:p>
    <w:p w14:paraId="2EF39E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大力培育发展创新型企业。</w:t>
      </w:r>
      <w:r>
        <w:rPr>
          <w:rFonts w:hint="eastAsia" w:ascii="Times New Roman" w:hAnsi="Times New Roman" w:eastAsia="仿宋_GB2312" w:cs="仿宋_GB2312"/>
          <w:b w:val="0"/>
          <w:bCs w:val="0"/>
          <w:color w:val="auto"/>
          <w:sz w:val="32"/>
          <w:szCs w:val="32"/>
          <w:highlight w:val="none"/>
          <w:lang w:val="en-US" w:eastAsia="zh-CN"/>
        </w:rPr>
        <w:t>坚持全产业链发展思路，推动优势产业补链强链延链，培育拓展新兴产业链，推动林木深加工、绿色化工、机械汽配、建材、制糖产业向智能化、绿色化、融合化升级。建立健全</w:t>
      </w:r>
      <w:r>
        <w:rPr>
          <w:rFonts w:hint="eastAsia" w:ascii="Times New Roman" w:hAnsi="Times New Roman" w:eastAsia="仿宋_GB2312" w:cs="Times New Roman"/>
          <w:color w:val="auto"/>
          <w:sz w:val="32"/>
          <w:szCs w:val="32"/>
          <w:highlight w:val="none"/>
          <w:lang w:val="en-US" w:eastAsia="zh-CN"/>
        </w:rPr>
        <w:t>“科技型中小企业—高新技术企业—瞪羚企业—科技领军企业”梯度培育机制</w:t>
      </w:r>
      <w:r>
        <w:rPr>
          <w:rFonts w:hint="eastAsia" w:ascii="Times New Roman" w:hAnsi="Times New Roman" w:eastAsia="仿宋_GB2312" w:cs="仿宋_GB2312"/>
          <w:b w:val="0"/>
          <w:bCs w:val="0"/>
          <w:color w:val="auto"/>
          <w:sz w:val="32"/>
          <w:szCs w:val="32"/>
          <w:highlight w:val="none"/>
          <w:lang w:val="en-US" w:eastAsia="zh-CN"/>
        </w:rPr>
        <w:t>，通过招商引入和本地培育等方式，提高高新技术企业数量和质量。培育壮大科技领军企业，围绕化工新材料、高端绿色家居等特色产业，支持企业组建创新联合体，培育打造一批具有持续创新能力、自主知识产权、引领行业发展的</w:t>
      </w:r>
      <w:r>
        <w:rPr>
          <w:rFonts w:hint="eastAsia" w:ascii="Times New Roman" w:hAnsi="Times New Roman" w:eastAsia="仿宋_GB2312" w:cs="仿宋_GB2312"/>
          <w:b w:val="0"/>
          <w:bCs w:val="0"/>
          <w:color w:val="auto"/>
          <w:sz w:val="32"/>
          <w:szCs w:val="32"/>
          <w:highlight w:val="none"/>
          <w:lang w:eastAsia="zh-CN"/>
        </w:rPr>
        <w:t>高新技术企业。</w:t>
      </w:r>
      <w:r>
        <w:rPr>
          <w:rFonts w:hint="eastAsia" w:ascii="Times New Roman" w:hAnsi="Times New Roman" w:eastAsia="仿宋_GB2312" w:cs="仿宋_GB2312"/>
          <w:b w:val="0"/>
          <w:bCs w:val="0"/>
          <w:color w:val="auto"/>
          <w:sz w:val="32"/>
          <w:szCs w:val="32"/>
          <w:highlight w:val="none"/>
          <w:lang w:val="en-US" w:eastAsia="zh-CN"/>
        </w:rPr>
        <w:t>深化大中小企业融通创新，支持中小企业针对大企业配套需求开展技术攻关，开展科技创新、模式创新与应用场景创新。培育高新技术企业和专精特新企业，在用地审批、融资支持与市场对接等方面提供精准服务，加快孵化、挖掘、引进一批独角兽企业和“</w:t>
      </w:r>
      <w:r>
        <w:rPr>
          <w:rFonts w:hint="eastAsia" w:ascii="Times New Roman" w:hAnsi="Times New Roman" w:eastAsia="仿宋_GB2312" w:cs="仿宋_GB2312"/>
          <w:b w:val="0"/>
          <w:bCs w:val="0"/>
          <w:color w:val="auto"/>
          <w:sz w:val="32"/>
          <w:szCs w:val="32"/>
          <w:highlight w:val="none"/>
          <w:lang w:eastAsia="zh-CN"/>
        </w:rPr>
        <w:t>小巨人</w:t>
      </w:r>
      <w:r>
        <w:rPr>
          <w:rFonts w:hint="eastAsia" w:ascii="Times New Roman" w:hAnsi="Times New Roman" w:eastAsia="仿宋_GB2312" w:cs="仿宋_GB2312"/>
          <w:b w:val="0"/>
          <w:bCs w:val="0"/>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lang w:eastAsia="zh-CN"/>
        </w:rPr>
        <w:t>企业</w:t>
      </w:r>
      <w:r>
        <w:rPr>
          <w:rFonts w:hint="eastAsia" w:ascii="Times New Roman" w:hAnsi="Times New Roman" w:eastAsia="仿宋_GB2312" w:cs="仿宋_GB2312"/>
          <w:b w:val="0"/>
          <w:bCs w:val="0"/>
          <w:color w:val="auto"/>
          <w:sz w:val="32"/>
          <w:szCs w:val="32"/>
          <w:highlight w:val="none"/>
          <w:lang w:val="en-US" w:eastAsia="zh-CN"/>
        </w:rPr>
        <w:t>，培育发展瞪羚企业。</w:t>
      </w:r>
    </w:p>
    <w:p w14:paraId="62191370">
      <w:pPr>
        <w:pStyle w:val="5"/>
        <w:bidi w:val="0"/>
        <w:jc w:val="center"/>
        <w:outlineLvl w:val="0"/>
        <w:rPr>
          <w:rFonts w:hint="eastAsia"/>
          <w:b w:val="0"/>
          <w:bCs/>
          <w:color w:val="auto"/>
          <w:sz w:val="36"/>
          <w:szCs w:val="36"/>
          <w:highlight w:val="none"/>
        </w:rPr>
      </w:pPr>
      <w:bookmarkStart w:id="131" w:name="_Toc15652"/>
      <w:bookmarkStart w:id="132" w:name="_Toc24355"/>
      <w:bookmarkStart w:id="133" w:name="_Toc328"/>
      <w:r>
        <w:rPr>
          <w:rFonts w:hint="eastAsia"/>
          <w:b w:val="0"/>
          <w:bCs/>
          <w:color w:val="auto"/>
          <w:sz w:val="36"/>
          <w:szCs w:val="36"/>
          <w:highlight w:val="none"/>
        </w:rPr>
        <w:t xml:space="preserve">第二节 </w:t>
      </w:r>
      <w:r>
        <w:rPr>
          <w:rFonts w:hint="eastAsia"/>
          <w:b w:val="0"/>
          <w:bCs/>
          <w:color w:val="auto"/>
          <w:sz w:val="36"/>
          <w:szCs w:val="36"/>
          <w:highlight w:val="none"/>
          <w:lang w:val="en-US" w:eastAsia="zh-CN"/>
        </w:rPr>
        <w:t xml:space="preserve"> </w:t>
      </w:r>
      <w:r>
        <w:rPr>
          <w:rFonts w:hint="eastAsia"/>
          <w:b w:val="0"/>
          <w:bCs/>
          <w:color w:val="auto"/>
          <w:sz w:val="36"/>
          <w:szCs w:val="36"/>
          <w:highlight w:val="none"/>
        </w:rPr>
        <w:t>推动科技创新和产业创新深度融合</w:t>
      </w:r>
      <w:bookmarkEnd w:id="130"/>
      <w:bookmarkEnd w:id="131"/>
      <w:bookmarkEnd w:id="132"/>
      <w:bookmarkEnd w:id="133"/>
    </w:p>
    <w:p w14:paraId="06130F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着眼建设现代化产业体系，搭平台、建机制，推进协同创新与成果转化，促进科技创新和产业创新深度融合、双向赋能，将创新势能转化为产业动能。</w:t>
      </w:r>
    </w:p>
    <w:p w14:paraId="622B2C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创新政产学研融合机制。</w:t>
      </w:r>
      <w:r>
        <w:rPr>
          <w:rFonts w:hint="eastAsia" w:ascii="Times New Roman" w:hAnsi="Times New Roman" w:eastAsia="仿宋_GB2312" w:cs="仿宋_GB2312"/>
          <w:b w:val="0"/>
          <w:bCs w:val="0"/>
          <w:color w:val="auto"/>
          <w:sz w:val="32"/>
          <w:szCs w:val="32"/>
          <w:highlight w:val="none"/>
          <w:lang w:val="en-US" w:eastAsia="zh-CN"/>
        </w:rPr>
        <w:t>鼓励支持高校科研院所到鹿寨设立创新中心、技术转移机构等，支持其科技成果在本地落地转化。发挥</w:t>
      </w:r>
      <w:r>
        <w:rPr>
          <w:rFonts w:hint="eastAsia" w:ascii="Times New Roman" w:hAnsi="Times New Roman" w:eastAsia="仿宋_GB2312" w:cs="仿宋_GB2312"/>
          <w:color w:val="auto"/>
          <w:sz w:val="32"/>
          <w:szCs w:val="32"/>
          <w:highlight w:val="none"/>
          <w:lang w:val="en-US" w:eastAsia="zh-CN"/>
        </w:rPr>
        <w:t>鹿寨农林资源丰富等优势，探索与长三角、粤港澳大湾区等开展“创新飞地”“中试平台”建设的科技合作新模式，促进创新链和产业链无缝对接。</w:t>
      </w:r>
      <w:r>
        <w:rPr>
          <w:rFonts w:hint="eastAsia" w:ascii="Times New Roman" w:hAnsi="Times New Roman" w:eastAsia="仿宋_GB2312" w:cs="仿宋_GB2312"/>
          <w:b w:val="0"/>
          <w:bCs w:val="0"/>
          <w:color w:val="auto"/>
          <w:sz w:val="32"/>
          <w:szCs w:val="32"/>
          <w:highlight w:val="none"/>
          <w:lang w:val="en-US" w:eastAsia="zh-CN"/>
        </w:rPr>
        <w:t>鼓励</w:t>
      </w:r>
      <w:r>
        <w:rPr>
          <w:rFonts w:hint="eastAsia" w:ascii="Times New Roman" w:hAnsi="Times New Roman" w:eastAsia="仿宋_GB2312" w:cs="仿宋_GB2312"/>
          <w:color w:val="auto"/>
          <w:sz w:val="32"/>
          <w:szCs w:val="32"/>
          <w:highlight w:val="none"/>
          <w:u w:val="none"/>
          <w:lang w:val="en-US" w:eastAsia="zh-CN"/>
        </w:rPr>
        <w:t>企业</w:t>
      </w:r>
      <w:r>
        <w:rPr>
          <w:rFonts w:hint="eastAsia" w:ascii="Times New Roman" w:hAnsi="Times New Roman" w:eastAsia="仿宋_GB2312" w:cs="仿宋_GB2312"/>
          <w:color w:val="auto"/>
          <w:sz w:val="32"/>
          <w:szCs w:val="32"/>
          <w:highlight w:val="none"/>
          <w:lang w:val="en-US" w:eastAsia="zh-CN"/>
        </w:rPr>
        <w:t>对标行业先进</w:t>
      </w:r>
      <w:r>
        <w:rPr>
          <w:rFonts w:hint="eastAsia" w:ascii="Times New Roman" w:hAnsi="Times New Roman" w:eastAsia="仿宋_GB2312" w:cs="仿宋_GB2312"/>
          <w:b w:val="0"/>
          <w:bCs w:val="0"/>
          <w:color w:val="auto"/>
          <w:sz w:val="32"/>
          <w:szCs w:val="32"/>
          <w:highlight w:val="none"/>
          <w:lang w:val="en-US" w:eastAsia="zh-CN"/>
        </w:rPr>
        <w:t>开展产学研用合作创新，</w:t>
      </w:r>
      <w:r>
        <w:rPr>
          <w:rFonts w:hint="eastAsia" w:ascii="Times New Roman" w:hAnsi="Times New Roman" w:eastAsia="仿宋_GB2312" w:cs="仿宋_GB2312"/>
          <w:color w:val="auto"/>
          <w:sz w:val="32"/>
          <w:szCs w:val="32"/>
          <w:highlight w:val="none"/>
          <w:lang w:val="en-US" w:eastAsia="zh-CN"/>
        </w:rPr>
        <w:t>支持开展“高校</w:t>
      </w:r>
      <w:r>
        <w:rPr>
          <w:rFonts w:hint="default" w:ascii="Times New Roman" w:hAnsi="Times New Roman" w:eastAsia="仿宋_GB2312" w:cs="Times New Roman"/>
          <w:color w:val="auto"/>
          <w:sz w:val="32"/>
          <w:szCs w:val="32"/>
          <w:highlight w:val="none"/>
          <w:lang w:val="en-US" w:eastAsia="zh-CN"/>
        </w:rPr>
        <w:t>+平台+企业+</w:t>
      </w:r>
      <w:r>
        <w:rPr>
          <w:rFonts w:hint="eastAsia" w:ascii="Times New Roman" w:hAnsi="Times New Roman" w:eastAsia="仿宋_GB2312" w:cs="仿宋_GB2312"/>
          <w:color w:val="auto"/>
          <w:sz w:val="32"/>
          <w:szCs w:val="32"/>
          <w:highlight w:val="none"/>
          <w:lang w:val="en-US" w:eastAsia="zh-CN"/>
        </w:rPr>
        <w:t>产业链”共建互建，鼓励和引导高校、科研院所采取“先使用后付费”</w:t>
      </w:r>
      <w:r>
        <w:rPr>
          <w:rFonts w:hint="eastAsia" w:ascii="Times New Roman" w:hAnsi="Times New Roman" w:eastAsia="仿宋_GB2312" w:cs="仿宋_GB2312"/>
          <w:b w:val="0"/>
          <w:bCs w:val="0"/>
          <w:color w:val="auto"/>
          <w:sz w:val="32"/>
          <w:szCs w:val="32"/>
          <w:highlight w:val="none"/>
          <w:lang w:val="en-US" w:eastAsia="zh-CN"/>
        </w:rPr>
        <w:t>或“赋权</w:t>
      </w:r>
      <w:r>
        <w:rPr>
          <w:rFonts w:hint="default" w:ascii="Times New Roman" w:hAnsi="Times New Roman" w:eastAsia="仿宋_GB2312" w:cs="Times New Roman"/>
          <w:b w:val="0"/>
          <w:bCs w:val="0"/>
          <w:color w:val="auto"/>
          <w:sz w:val="32"/>
          <w:szCs w:val="32"/>
          <w:highlight w:val="none"/>
          <w:lang w:val="en-US" w:eastAsia="zh-CN"/>
        </w:rPr>
        <w:t>+转让+约</w:t>
      </w:r>
      <w:r>
        <w:rPr>
          <w:rFonts w:hint="eastAsia" w:ascii="Times New Roman" w:hAnsi="Times New Roman" w:eastAsia="仿宋_GB2312" w:cs="仿宋_GB2312"/>
          <w:b w:val="0"/>
          <w:bCs w:val="0"/>
          <w:color w:val="auto"/>
          <w:sz w:val="32"/>
          <w:szCs w:val="32"/>
          <w:highlight w:val="none"/>
          <w:lang w:val="en-US" w:eastAsia="zh-CN"/>
        </w:rPr>
        <w:t>定收益”等</w:t>
      </w:r>
      <w:r>
        <w:rPr>
          <w:rFonts w:hint="eastAsia" w:ascii="Times New Roman" w:hAnsi="Times New Roman" w:eastAsia="仿宋_GB2312" w:cs="仿宋_GB2312"/>
          <w:color w:val="auto"/>
          <w:sz w:val="32"/>
          <w:szCs w:val="32"/>
          <w:highlight w:val="none"/>
          <w:lang w:val="en-US" w:eastAsia="zh-CN"/>
        </w:rPr>
        <w:t>方式，</w:t>
      </w:r>
      <w:r>
        <w:rPr>
          <w:rFonts w:hint="eastAsia" w:ascii="Times New Roman" w:hAnsi="Times New Roman" w:eastAsia="仿宋_GB2312" w:cs="仿宋_GB2312"/>
          <w:b w:val="0"/>
          <w:bCs w:val="0"/>
          <w:color w:val="auto"/>
          <w:sz w:val="32"/>
          <w:szCs w:val="32"/>
          <w:highlight w:val="none"/>
          <w:lang w:val="en-US" w:eastAsia="zh-CN"/>
        </w:rPr>
        <w:t>降低企业科技创新资金压力。</w:t>
      </w:r>
    </w:p>
    <w:p w14:paraId="15272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bCs/>
          <w:color w:val="auto"/>
          <w:sz w:val="32"/>
          <w:szCs w:val="32"/>
          <w:highlight w:val="none"/>
          <w:lang w:val="en-US" w:eastAsia="zh-CN"/>
        </w:rPr>
        <w:t>完善成果转化服务体系。</w:t>
      </w:r>
      <w:r>
        <w:rPr>
          <w:rFonts w:hint="eastAsia" w:ascii="Times New Roman" w:hAnsi="Times New Roman" w:eastAsia="仿宋_GB2312" w:cs="仿宋_GB2312"/>
          <w:b w:val="0"/>
          <w:bCs w:val="0"/>
          <w:color w:val="auto"/>
          <w:sz w:val="32"/>
          <w:szCs w:val="32"/>
          <w:highlight w:val="none"/>
          <w:lang w:val="en-US" w:eastAsia="zh-CN"/>
        </w:rPr>
        <w:t>加强鹿寨中小科技企业创业孵化基地建设，打造专业化技术服务大市场，以高质量服务效能推动更多产学研用创新成果落地孵化。支持珠光新材料企业技术中心、中国科学院华南植物园博士工作站（黄冕林场）等科研平台提质发展。深化与清华大学等战略合作，着力提升清华紫荆（柳州）技术转移中心科创能效与成果转化应用。</w:t>
      </w:r>
      <w:r>
        <w:rPr>
          <w:rFonts w:hint="eastAsia" w:ascii="Times New Roman" w:hAnsi="Times New Roman" w:eastAsia="仿宋_GB2312" w:cs="仿宋_GB2312"/>
          <w:b w:val="0"/>
          <w:bCs w:val="0"/>
          <w:color w:val="auto"/>
          <w:sz w:val="32"/>
          <w:szCs w:val="32"/>
          <w:highlight w:val="none"/>
          <w:u w:val="none"/>
          <w:lang w:val="en-US" w:eastAsia="zh-CN"/>
        </w:rPr>
        <w:t>深化“小升规”科创型企业培育行动，加强支持科技型中小企业融资，加快初创型项目产业化，推动科技型中小企业扩大规模、快速发展。</w:t>
      </w:r>
    </w:p>
    <w:p w14:paraId="64D711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bookmarkStart w:id="134" w:name="_Toc22415"/>
      <w:bookmarkStart w:id="135" w:name="_Toc22212"/>
      <w:bookmarkStart w:id="136" w:name="_Toc12837"/>
      <w:r>
        <w:rPr>
          <w:rFonts w:hint="eastAsia" w:ascii="Times New Roman" w:hAnsi="Times New Roman" w:eastAsia="仿宋_GB2312" w:cs="仿宋_GB2312"/>
          <w:b/>
          <w:bCs/>
          <w:color w:val="auto"/>
          <w:sz w:val="32"/>
          <w:szCs w:val="32"/>
          <w:highlight w:val="none"/>
          <w:lang w:val="en-US" w:eastAsia="zh-CN"/>
        </w:rPr>
        <w:t>培育发展经济社会应用场景。</w:t>
      </w:r>
      <w:r>
        <w:rPr>
          <w:rFonts w:hint="eastAsia" w:ascii="Times New Roman" w:hAnsi="Times New Roman" w:eastAsia="仿宋_GB2312" w:cs="仿宋_GB2312"/>
          <w:b w:val="0"/>
          <w:bCs w:val="0"/>
          <w:color w:val="auto"/>
          <w:sz w:val="32"/>
          <w:szCs w:val="32"/>
          <w:highlight w:val="none"/>
          <w:lang w:val="en-US" w:eastAsia="zh-CN"/>
        </w:rPr>
        <w:t>以前沿领域与现实需求、民生愿景为导向，建立“场景机会清单”与“揭榜挂帅”机制，强化招商引资与招才引智，以新场景应用赋能高质量发展。培育新领域新赛道场景。支持发展“人工智能+”在产业、消费、民生、治理等领域的融合应用，打造办公社交、消费、娱乐等数字场景，拓展全空间无人系统、低空经济应用，推动清洁能源在公交、环卫、农机、绿电直供、虚拟电厂等场景落地。培育产业转型升级场景。发展智能制造、零碳园区等制造业场景，工业设计、检验检测等生产性服务业场景，智慧交通管理、智能调度、智慧物流联运等交通运输场景，以及育种育苗、种植养殖、食品加工全链条等现代农业场景。培育行业领域应用场景。建设数字化救援等应急管理场景，智能化矿山安全监控场景，“天空地水工”一体化感知监测等智慧水利林业场景，以及智慧工地等施工安全场景。创新社会治理服务场景。推动智慧政务与就业服务场景，建设智慧社区、城市运行管理与民生服务场景，实施数字乡村、和美乡村等乡村建设场景。丰富民生领域应用场景。推进医疗健康领域大数据、物联网、智能设备集成应用，拓展养老助残托育生活服务场景，加快数字技术在文旅领域的沉浸式、互动式应用推广。</w:t>
      </w:r>
      <w:bookmarkEnd w:id="134"/>
    </w:p>
    <w:p w14:paraId="6D9EFBCB">
      <w:pPr>
        <w:pStyle w:val="5"/>
        <w:bidi w:val="0"/>
        <w:jc w:val="center"/>
        <w:outlineLvl w:val="0"/>
        <w:rPr>
          <w:rFonts w:hint="eastAsia"/>
          <w:b w:val="0"/>
          <w:bCs/>
          <w:color w:val="auto"/>
          <w:sz w:val="36"/>
          <w:szCs w:val="36"/>
          <w:highlight w:val="none"/>
          <w:lang w:val="en-US" w:eastAsia="zh-CN"/>
        </w:rPr>
      </w:pPr>
      <w:bookmarkStart w:id="137" w:name="_Toc24122"/>
      <w:r>
        <w:rPr>
          <w:rFonts w:hint="eastAsia"/>
          <w:b w:val="0"/>
          <w:bCs/>
          <w:color w:val="auto"/>
          <w:sz w:val="36"/>
          <w:szCs w:val="36"/>
          <w:highlight w:val="none"/>
          <w:lang w:val="en-US" w:eastAsia="zh-CN"/>
        </w:rPr>
        <w:t>第三节  强化科技创新要素保障</w:t>
      </w:r>
      <w:bookmarkEnd w:id="135"/>
      <w:bookmarkEnd w:id="136"/>
      <w:bookmarkEnd w:id="137"/>
    </w:p>
    <w:p w14:paraId="6F4354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val="0"/>
          <w:bCs w:val="0"/>
          <w:color w:val="auto"/>
          <w:sz w:val="32"/>
          <w:szCs w:val="32"/>
          <w:highlight w:val="none"/>
          <w:u w:val="none"/>
          <w:lang w:val="en-US" w:eastAsia="zh-CN"/>
        </w:rPr>
        <w:t>认真贯彻落实《广西壮族自治区科技创新条例》，营造崇尚科学、鼓励探索、敢于创新、宽松包容的社会氛围，健全完善各项科技政策制度，不断优化科技创新生态环境，为全县经济社会高质量发展提供有力的科技支撑。</w:t>
      </w:r>
    </w:p>
    <w:p w14:paraId="03C3101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bCs/>
          <w:color w:val="auto"/>
          <w:kern w:val="2"/>
          <w:sz w:val="32"/>
          <w:szCs w:val="32"/>
          <w:highlight w:val="none"/>
          <w:u w:val="none"/>
          <w:lang w:val="en-US" w:eastAsia="zh-CN" w:bidi="ar-SA"/>
        </w:rPr>
        <w:t>营造良好的科技创新生态。</w:t>
      </w:r>
      <w:r>
        <w:rPr>
          <w:rFonts w:hint="eastAsia" w:ascii="Times New Roman" w:hAnsi="Times New Roman" w:eastAsia="仿宋_GB2312" w:cs="仿宋_GB2312"/>
          <w:b w:val="0"/>
          <w:bCs w:val="0"/>
          <w:color w:val="auto"/>
          <w:sz w:val="32"/>
          <w:szCs w:val="32"/>
          <w:highlight w:val="none"/>
          <w:u w:val="none"/>
          <w:lang w:val="en-US" w:eastAsia="zh-CN"/>
        </w:rPr>
        <w:t>加强科学技术普及资源开发和基础设施建设，提升科学技术普及服务能力。建立健全科技创新决策咨询机制，提高科技创新决策咨询运行力。完善激励机制，</w:t>
      </w:r>
      <w:r>
        <w:rPr>
          <w:rFonts w:hint="eastAsia" w:ascii="Times New Roman" w:hAnsi="Times New Roman" w:eastAsia="仿宋_GB2312" w:cs="仿宋_GB2312"/>
          <w:b w:val="0"/>
          <w:bCs w:val="0"/>
          <w:color w:val="auto"/>
          <w:kern w:val="2"/>
          <w:sz w:val="32"/>
          <w:szCs w:val="32"/>
          <w:highlight w:val="none"/>
          <w:u w:val="none"/>
          <w:lang w:val="en-US" w:eastAsia="zh-CN" w:bidi="ar-SA"/>
        </w:rPr>
        <w:t>鼓励支持和保障企事业单位、社会组织和个人开展科技创新活动，依法保护各类创新主体合法权益。</w:t>
      </w:r>
      <w:r>
        <w:rPr>
          <w:rFonts w:hint="eastAsia" w:ascii="Times New Roman" w:hAnsi="Times New Roman" w:eastAsia="仿宋_GB2312" w:cs="仿宋_GB2312"/>
          <w:b w:val="0"/>
          <w:bCs w:val="0"/>
          <w:color w:val="auto"/>
          <w:sz w:val="32"/>
          <w:szCs w:val="32"/>
          <w:highlight w:val="none"/>
          <w:u w:val="none"/>
          <w:lang w:val="en-US" w:eastAsia="zh-CN"/>
        </w:rPr>
        <w:t>加强知识产权保护，积极营造鼓励创新、容错纠错的良好氛围。强化科技法治、科技伦理、科研诚信、科技安全体系建设，完善市场准入、监管、联合惩戒等机制，营造</w:t>
      </w:r>
      <w:r>
        <w:rPr>
          <w:rFonts w:hint="eastAsia" w:ascii="Times New Roman" w:hAnsi="Times New Roman" w:eastAsia="仿宋_GB2312" w:cs="仿宋_GB2312"/>
          <w:b w:val="0"/>
          <w:bCs w:val="0"/>
          <w:color w:val="auto"/>
          <w:sz w:val="32"/>
          <w:szCs w:val="32"/>
          <w:highlight w:val="none"/>
          <w:u w:val="none"/>
          <w:lang w:val="zh-TW" w:eastAsia="zh-CN"/>
        </w:rPr>
        <w:t>公开、公平、公正的竞争环境</w:t>
      </w:r>
      <w:r>
        <w:rPr>
          <w:rFonts w:hint="eastAsia" w:ascii="Times New Roman" w:hAnsi="Times New Roman" w:eastAsia="仿宋_GB2312" w:cs="仿宋_GB2312"/>
          <w:b w:val="0"/>
          <w:bCs w:val="0"/>
          <w:color w:val="auto"/>
          <w:sz w:val="32"/>
          <w:szCs w:val="32"/>
          <w:highlight w:val="none"/>
          <w:u w:val="none"/>
          <w:lang w:val="en-US" w:eastAsia="zh-CN"/>
        </w:rPr>
        <w:t>。</w:t>
      </w:r>
    </w:p>
    <w:p w14:paraId="4A4557D9">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bCs/>
          <w:color w:val="auto"/>
          <w:sz w:val="32"/>
          <w:szCs w:val="32"/>
          <w:highlight w:val="none"/>
          <w:u w:val="none"/>
          <w:lang w:val="en-US" w:eastAsia="zh-CN"/>
        </w:rPr>
        <w:t>强化科技创新政策保障机制。</w:t>
      </w:r>
      <w:r>
        <w:rPr>
          <w:rFonts w:hint="eastAsia" w:ascii="Times New Roman" w:hAnsi="Times New Roman" w:eastAsia="仿宋_GB2312" w:cs="仿宋_GB2312"/>
          <w:b w:val="0"/>
          <w:bCs w:val="0"/>
          <w:color w:val="auto"/>
          <w:sz w:val="32"/>
          <w:szCs w:val="32"/>
          <w:highlight w:val="none"/>
          <w:u w:val="none"/>
          <w:lang w:val="zh-TW" w:eastAsia="zh-CN"/>
        </w:rPr>
        <w:t>推进科技项目、经费、评价和奖励等管理体制改革，</w:t>
      </w:r>
      <w:r>
        <w:rPr>
          <w:rFonts w:hint="eastAsia" w:ascii="Times New Roman" w:hAnsi="Times New Roman" w:eastAsia="仿宋_GB2312" w:cs="仿宋_GB2312"/>
          <w:b w:val="0"/>
          <w:bCs w:val="0"/>
          <w:color w:val="auto"/>
          <w:sz w:val="32"/>
          <w:szCs w:val="32"/>
          <w:highlight w:val="none"/>
          <w:u w:val="none"/>
          <w:lang w:val="en-US" w:eastAsia="zh-CN"/>
        </w:rPr>
        <w:t>营造大众参与科技创新的良好氛围</w:t>
      </w:r>
      <w:r>
        <w:rPr>
          <w:rFonts w:hint="eastAsia" w:ascii="Times New Roman" w:hAnsi="Times New Roman" w:eastAsia="仿宋_GB2312" w:cs="仿宋_GB2312"/>
          <w:b w:val="0"/>
          <w:bCs w:val="0"/>
          <w:color w:val="auto"/>
          <w:sz w:val="32"/>
          <w:szCs w:val="32"/>
          <w:highlight w:val="none"/>
          <w:u w:val="none"/>
          <w:lang w:val="zh-TW" w:eastAsia="zh-CN"/>
        </w:rPr>
        <w:t>。加大财政科技投入，</w:t>
      </w:r>
      <w:r>
        <w:rPr>
          <w:rFonts w:hint="eastAsia" w:ascii="Times New Roman" w:hAnsi="Times New Roman" w:eastAsia="仿宋_GB2312" w:cs="仿宋_GB2312"/>
          <w:b w:val="0"/>
          <w:bCs w:val="0"/>
          <w:color w:val="auto"/>
          <w:sz w:val="32"/>
          <w:szCs w:val="32"/>
          <w:highlight w:val="none"/>
          <w:u w:val="none"/>
          <w:lang w:val="en-US" w:eastAsia="zh-CN"/>
        </w:rPr>
        <w:t>稳步</w:t>
      </w:r>
      <w:r>
        <w:rPr>
          <w:rFonts w:hint="eastAsia" w:ascii="Times New Roman" w:hAnsi="Times New Roman" w:eastAsia="仿宋_GB2312" w:cs="仿宋_GB2312"/>
          <w:b w:val="0"/>
          <w:bCs w:val="0"/>
          <w:color w:val="auto"/>
          <w:sz w:val="32"/>
          <w:szCs w:val="32"/>
          <w:highlight w:val="none"/>
          <w:u w:val="none"/>
          <w:lang w:val="zh-TW" w:eastAsia="zh-CN"/>
        </w:rPr>
        <w:t>提</w:t>
      </w:r>
      <w:r>
        <w:rPr>
          <w:rFonts w:hint="eastAsia" w:ascii="Times New Roman" w:hAnsi="Times New Roman" w:eastAsia="仿宋_GB2312" w:cs="仿宋_GB2312"/>
          <w:b w:val="0"/>
          <w:bCs w:val="0"/>
          <w:color w:val="auto"/>
          <w:sz w:val="32"/>
          <w:szCs w:val="32"/>
          <w:highlight w:val="none"/>
          <w:u w:val="none"/>
          <w:lang w:val="en-US" w:eastAsia="zh-CN"/>
        </w:rPr>
        <w:t>升</w:t>
      </w:r>
      <w:r>
        <w:rPr>
          <w:rFonts w:hint="eastAsia" w:ascii="Times New Roman" w:hAnsi="Times New Roman" w:eastAsia="仿宋_GB2312" w:cs="仿宋_GB2312"/>
          <w:b w:val="0"/>
          <w:bCs w:val="0"/>
          <w:color w:val="auto"/>
          <w:sz w:val="32"/>
          <w:szCs w:val="32"/>
          <w:highlight w:val="none"/>
          <w:u w:val="none"/>
          <w:lang w:val="zh-TW" w:eastAsia="zh-CN"/>
        </w:rPr>
        <w:t>全县科技经费总体水平。发挥政府资金</w:t>
      </w:r>
      <w:r>
        <w:rPr>
          <w:rFonts w:hint="eastAsia" w:ascii="Times New Roman" w:hAnsi="Times New Roman" w:eastAsia="仿宋_GB2312" w:cs="仿宋_GB2312"/>
          <w:b w:val="0"/>
          <w:bCs w:val="0"/>
          <w:color w:val="auto"/>
          <w:sz w:val="32"/>
          <w:szCs w:val="32"/>
          <w:highlight w:val="none"/>
          <w:u w:val="none"/>
          <w:lang w:val="en-US" w:eastAsia="zh-CN"/>
        </w:rPr>
        <w:t>引导</w:t>
      </w:r>
      <w:r>
        <w:rPr>
          <w:rFonts w:hint="eastAsia" w:ascii="Times New Roman" w:hAnsi="Times New Roman" w:eastAsia="仿宋_GB2312" w:cs="仿宋_GB2312"/>
          <w:b w:val="0"/>
          <w:bCs w:val="0"/>
          <w:color w:val="auto"/>
          <w:sz w:val="32"/>
          <w:szCs w:val="32"/>
          <w:highlight w:val="none"/>
          <w:u w:val="none"/>
          <w:lang w:val="zh-TW" w:eastAsia="zh-CN"/>
        </w:rPr>
        <w:t>作用，</w:t>
      </w:r>
      <w:r>
        <w:rPr>
          <w:rFonts w:hint="eastAsia" w:ascii="Times New Roman" w:hAnsi="Times New Roman" w:eastAsia="仿宋_GB2312" w:cs="仿宋_GB2312"/>
          <w:b w:val="0"/>
          <w:bCs w:val="0"/>
          <w:color w:val="auto"/>
          <w:sz w:val="32"/>
          <w:szCs w:val="32"/>
          <w:highlight w:val="none"/>
          <w:u w:val="none"/>
          <w:lang w:val="en-US" w:eastAsia="zh-CN"/>
        </w:rPr>
        <w:t>通过争取</w:t>
      </w:r>
      <w:r>
        <w:rPr>
          <w:rFonts w:hint="eastAsia" w:ascii="Times New Roman" w:hAnsi="Times New Roman" w:eastAsia="仿宋_GB2312" w:cs="仿宋_GB2312"/>
          <w:b w:val="0"/>
          <w:bCs w:val="0"/>
          <w:color w:val="auto"/>
          <w:sz w:val="32"/>
          <w:szCs w:val="32"/>
          <w:highlight w:val="none"/>
          <w:u w:val="none"/>
          <w:lang w:val="zh-TW" w:eastAsia="zh-CN"/>
        </w:rPr>
        <w:t>上级</w:t>
      </w:r>
      <w:r>
        <w:rPr>
          <w:rFonts w:hint="eastAsia" w:ascii="Times New Roman" w:hAnsi="Times New Roman" w:eastAsia="仿宋_GB2312" w:cs="仿宋_GB2312"/>
          <w:b w:val="0"/>
          <w:bCs w:val="0"/>
          <w:color w:val="auto"/>
          <w:sz w:val="32"/>
          <w:szCs w:val="32"/>
          <w:highlight w:val="none"/>
          <w:u w:val="none"/>
          <w:lang w:val="en-US" w:eastAsia="zh-CN"/>
        </w:rPr>
        <w:t>支持</w:t>
      </w:r>
      <w:r>
        <w:rPr>
          <w:rFonts w:hint="eastAsia" w:ascii="Times New Roman" w:hAnsi="Times New Roman" w:eastAsia="仿宋_GB2312" w:cs="仿宋_GB2312"/>
          <w:b w:val="0"/>
          <w:bCs w:val="0"/>
          <w:color w:val="auto"/>
          <w:sz w:val="32"/>
          <w:szCs w:val="32"/>
          <w:highlight w:val="none"/>
          <w:u w:val="none"/>
          <w:lang w:val="zh-TW" w:eastAsia="zh-CN"/>
        </w:rPr>
        <w:t>、财政奖补、创业投资等方式，带动企业</w:t>
      </w:r>
      <w:r>
        <w:rPr>
          <w:rFonts w:hint="eastAsia" w:ascii="Times New Roman" w:hAnsi="Times New Roman" w:eastAsia="仿宋_GB2312" w:cs="仿宋_GB2312"/>
          <w:b w:val="0"/>
          <w:bCs w:val="0"/>
          <w:color w:val="auto"/>
          <w:sz w:val="32"/>
          <w:szCs w:val="32"/>
          <w:highlight w:val="none"/>
          <w:u w:val="none"/>
          <w:lang w:val="en-US" w:eastAsia="zh-CN"/>
        </w:rPr>
        <w:t>和</w:t>
      </w:r>
      <w:r>
        <w:rPr>
          <w:rFonts w:hint="eastAsia" w:ascii="Times New Roman" w:hAnsi="Times New Roman" w:eastAsia="仿宋_GB2312" w:cs="仿宋_GB2312"/>
          <w:b w:val="0"/>
          <w:bCs w:val="0"/>
          <w:color w:val="auto"/>
          <w:sz w:val="32"/>
          <w:szCs w:val="32"/>
          <w:highlight w:val="none"/>
          <w:u w:val="none"/>
          <w:lang w:val="zh-TW" w:eastAsia="zh-CN"/>
        </w:rPr>
        <w:t>社会</w:t>
      </w:r>
      <w:r>
        <w:rPr>
          <w:rFonts w:hint="eastAsia" w:ascii="Times New Roman" w:hAnsi="Times New Roman" w:eastAsia="仿宋_GB2312" w:cs="仿宋_GB2312"/>
          <w:b w:val="0"/>
          <w:bCs w:val="0"/>
          <w:color w:val="auto"/>
          <w:sz w:val="32"/>
          <w:szCs w:val="32"/>
          <w:highlight w:val="none"/>
          <w:u w:val="none"/>
          <w:lang w:val="en-US" w:eastAsia="zh-CN"/>
        </w:rPr>
        <w:t>力量</w:t>
      </w:r>
      <w:r>
        <w:rPr>
          <w:rFonts w:hint="eastAsia" w:ascii="Times New Roman" w:hAnsi="Times New Roman" w:eastAsia="仿宋_GB2312" w:cs="仿宋_GB2312"/>
          <w:b w:val="0"/>
          <w:bCs w:val="0"/>
          <w:color w:val="auto"/>
          <w:sz w:val="32"/>
          <w:szCs w:val="32"/>
          <w:highlight w:val="none"/>
          <w:u w:val="none"/>
          <w:lang w:val="zh-TW" w:eastAsia="zh-CN"/>
        </w:rPr>
        <w:t>增加科技投入，</w:t>
      </w:r>
      <w:r>
        <w:rPr>
          <w:rFonts w:hint="eastAsia" w:ascii="Times New Roman" w:hAnsi="Times New Roman" w:eastAsia="仿宋_GB2312" w:cs="仿宋_GB2312"/>
          <w:b w:val="0"/>
          <w:bCs w:val="0"/>
          <w:color w:val="auto"/>
          <w:sz w:val="32"/>
          <w:szCs w:val="32"/>
          <w:highlight w:val="none"/>
          <w:u w:val="none"/>
          <w:lang w:val="en-US" w:eastAsia="zh-CN"/>
        </w:rPr>
        <w:t>构建</w:t>
      </w:r>
      <w:r>
        <w:rPr>
          <w:rFonts w:hint="eastAsia" w:ascii="Times New Roman" w:hAnsi="Times New Roman" w:eastAsia="仿宋_GB2312" w:cs="仿宋_GB2312"/>
          <w:b w:val="0"/>
          <w:bCs w:val="0"/>
          <w:color w:val="auto"/>
          <w:sz w:val="32"/>
          <w:szCs w:val="32"/>
          <w:highlight w:val="none"/>
          <w:u w:val="none"/>
          <w:lang w:val="zh-TW" w:eastAsia="zh-CN"/>
        </w:rPr>
        <w:t>多元化、多渠道、多层次的科技投入体系。</w:t>
      </w:r>
      <w:r>
        <w:rPr>
          <w:rFonts w:hint="eastAsia" w:ascii="Times New Roman" w:hAnsi="Times New Roman" w:eastAsia="仿宋_GB2312" w:cs="仿宋_GB2312"/>
          <w:b w:val="0"/>
          <w:bCs w:val="0"/>
          <w:color w:val="auto"/>
          <w:sz w:val="32"/>
          <w:szCs w:val="32"/>
          <w:highlight w:val="none"/>
          <w:u w:val="none"/>
          <w:lang w:val="en-US" w:eastAsia="zh-CN"/>
        </w:rPr>
        <w:t>强化要素保障，在建设用地供应中，充分保障科技创新产业用地空间需求。</w:t>
      </w:r>
    </w:p>
    <w:p w14:paraId="20E3E44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color w:val="auto"/>
          <w:highlight w:val="none"/>
          <w:lang w:val="en-US" w:eastAsia="zh-CN"/>
        </w:rPr>
      </w:pPr>
      <w:r>
        <w:rPr>
          <w:rFonts w:hint="eastAsia" w:ascii="Times New Roman" w:hAnsi="Times New Roman" w:eastAsia="仿宋_GB2312" w:cs="仿宋_GB2312"/>
          <w:b/>
          <w:bCs/>
          <w:color w:val="auto"/>
          <w:sz w:val="32"/>
          <w:szCs w:val="32"/>
          <w:highlight w:val="none"/>
          <w:u w:val="none"/>
          <w:lang w:val="en-US" w:eastAsia="zh-CN"/>
        </w:rPr>
        <w:t>保障科技创新成果转化运用。</w:t>
      </w:r>
      <w:r>
        <w:rPr>
          <w:rFonts w:hint="eastAsia" w:ascii="Times New Roman" w:hAnsi="Times New Roman" w:eastAsia="仿宋_GB2312" w:cs="仿宋_GB2312"/>
          <w:b w:val="0"/>
          <w:bCs w:val="0"/>
          <w:color w:val="auto"/>
          <w:sz w:val="32"/>
          <w:szCs w:val="32"/>
          <w:highlight w:val="none"/>
          <w:lang w:val="en-US" w:eastAsia="zh-CN"/>
        </w:rPr>
        <w:t>健全科技成果转化体系，推进以企业需求为牵引、产学研深度融合的协同机制，打通从源头创新到转化应用各环节的创新循环。</w:t>
      </w:r>
      <w:r>
        <w:rPr>
          <w:rFonts w:hint="eastAsia" w:ascii="Times New Roman" w:hAnsi="Times New Roman" w:eastAsia="仿宋_GB2312" w:cs="仿宋_GB2312"/>
          <w:b w:val="0"/>
          <w:bCs w:val="0"/>
          <w:color w:val="auto"/>
          <w:sz w:val="32"/>
          <w:szCs w:val="32"/>
          <w:highlight w:val="none"/>
          <w:u w:val="none"/>
          <w:lang w:val="en-US" w:eastAsia="zh-CN"/>
        </w:rPr>
        <w:t>加强科技孵化器建设，</w:t>
      </w:r>
      <w:r>
        <w:rPr>
          <w:rFonts w:hint="eastAsia" w:ascii="Times New Roman" w:hAnsi="Times New Roman" w:eastAsia="仿宋_GB2312" w:cs="仿宋_GB2312"/>
          <w:b w:val="0"/>
          <w:bCs w:val="0"/>
          <w:color w:val="auto"/>
          <w:sz w:val="32"/>
          <w:szCs w:val="32"/>
          <w:highlight w:val="none"/>
          <w:u w:val="none"/>
          <w:lang w:val="zh-TW" w:eastAsia="zh-CN"/>
        </w:rPr>
        <w:t>健全科技企业孵化补助机制、风险补偿与激励机制，</w:t>
      </w:r>
      <w:r>
        <w:rPr>
          <w:rFonts w:hint="eastAsia" w:ascii="Times New Roman" w:hAnsi="Times New Roman" w:eastAsia="仿宋_GB2312" w:cs="仿宋_GB2312"/>
          <w:b w:val="0"/>
          <w:bCs w:val="0"/>
          <w:color w:val="auto"/>
          <w:sz w:val="32"/>
          <w:szCs w:val="32"/>
          <w:highlight w:val="none"/>
          <w:u w:val="none"/>
          <w:lang w:val="en-US" w:eastAsia="zh-CN"/>
        </w:rPr>
        <w:t>加速科技成果在全县产业中转化落地。</w:t>
      </w:r>
      <w:r>
        <w:rPr>
          <w:rFonts w:hint="eastAsia" w:ascii="Times New Roman" w:hAnsi="Times New Roman" w:eastAsia="仿宋_GB2312" w:cs="仿宋_GB2312"/>
          <w:b w:val="0"/>
          <w:bCs w:val="0"/>
          <w:color w:val="auto"/>
          <w:sz w:val="32"/>
          <w:szCs w:val="32"/>
          <w:highlight w:val="none"/>
          <w:lang w:val="en-US" w:eastAsia="zh-CN"/>
        </w:rPr>
        <w:t>强化政银企常态化对接，</w:t>
      </w:r>
      <w:r>
        <w:rPr>
          <w:rFonts w:hint="eastAsia" w:ascii="Times New Roman" w:hAnsi="Times New Roman" w:eastAsia="仿宋_GB2312" w:cs="仿宋_GB2312"/>
          <w:b w:val="0"/>
          <w:bCs w:val="0"/>
          <w:color w:val="auto"/>
          <w:sz w:val="32"/>
          <w:szCs w:val="32"/>
          <w:highlight w:val="none"/>
          <w:u w:val="none"/>
          <w:lang w:val="en-US" w:eastAsia="zh-CN"/>
        </w:rPr>
        <w:t>支持金融机构开发特色金融产品与服务，聚焦科技企业</w:t>
      </w:r>
      <w:r>
        <w:rPr>
          <w:rFonts w:hint="eastAsia" w:ascii="Times New Roman" w:hAnsi="Times New Roman" w:eastAsia="仿宋_GB2312" w:cs="仿宋_GB2312"/>
          <w:b w:val="0"/>
          <w:bCs w:val="0"/>
          <w:color w:val="auto"/>
          <w:sz w:val="32"/>
          <w:szCs w:val="32"/>
          <w:highlight w:val="none"/>
          <w:lang w:val="en-US" w:eastAsia="zh-CN"/>
        </w:rPr>
        <w:t>创业投资、</w:t>
      </w:r>
      <w:r>
        <w:rPr>
          <w:rFonts w:hint="eastAsia" w:ascii="Times New Roman" w:hAnsi="Times New Roman" w:eastAsia="仿宋_GB2312" w:cs="仿宋_GB2312"/>
          <w:b w:val="0"/>
          <w:bCs w:val="0"/>
          <w:color w:val="auto"/>
          <w:sz w:val="32"/>
          <w:szCs w:val="32"/>
          <w:highlight w:val="none"/>
          <w:u w:val="none"/>
          <w:lang w:val="en-US" w:eastAsia="zh-CN"/>
        </w:rPr>
        <w:t>技术研发、生产制造、市场拓展全链条，提供融资授信、保险担保等综合金融支持</w:t>
      </w:r>
      <w:r>
        <w:rPr>
          <w:rFonts w:hint="eastAsia" w:ascii="Times New Roman" w:hAnsi="Times New Roman" w:eastAsia="仿宋_GB2312" w:cs="仿宋_GB2312"/>
          <w:b w:val="0"/>
          <w:bCs w:val="0"/>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u w:val="none"/>
          <w:lang w:val="en-US" w:eastAsia="zh-CN"/>
        </w:rPr>
        <w:t>健全科技创新公共法律服务机制，为科技企业和科研人员的创新活动提供专业化法律服务，以法治保障护航科技创新成果。</w:t>
      </w:r>
      <w:bookmarkStart w:id="138" w:name="_Toc5424"/>
    </w:p>
    <w:p w14:paraId="5CD7D78C">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39" w:name="_Toc3238"/>
      <w:r>
        <w:rPr>
          <w:rFonts w:hint="eastAsia" w:ascii="方正小标宋简体" w:hAnsi="方正小标宋简体" w:eastAsia="方正小标宋简体" w:cs="方正小标宋简体"/>
          <w:b w:val="0"/>
          <w:bCs/>
          <w:color w:val="auto"/>
          <w:highlight w:val="none"/>
          <w:lang w:val="en-US" w:eastAsia="zh-CN"/>
        </w:rPr>
        <w:t>第五章</w:t>
      </w:r>
      <w:bookmarkEnd w:id="138"/>
      <w:bookmarkEnd w:id="139"/>
    </w:p>
    <w:p w14:paraId="13B96B53">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highlight w:val="none"/>
          <w:lang w:val="en-US" w:eastAsia="zh-CN"/>
        </w:rPr>
      </w:pPr>
      <w:bookmarkStart w:id="140" w:name="_Toc4485"/>
      <w:bookmarkStart w:id="141" w:name="_Toc30770"/>
      <w:r>
        <w:rPr>
          <w:rFonts w:hint="eastAsia" w:ascii="方正小标宋简体" w:hAnsi="方正小标宋简体" w:eastAsia="方正小标宋简体" w:cs="方正小标宋简体"/>
          <w:b w:val="0"/>
          <w:bCs/>
          <w:color w:val="auto"/>
          <w:highlight w:val="none"/>
          <w:lang w:val="en-US" w:eastAsia="zh-CN"/>
        </w:rPr>
        <w:t>加快现代服务业融合创新  增强经济发展动能</w:t>
      </w:r>
      <w:bookmarkEnd w:id="140"/>
      <w:bookmarkEnd w:id="141"/>
    </w:p>
    <w:p w14:paraId="0C06121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zh-TW" w:eastAsia="zh-CN" w:bidi="ar-SA"/>
        </w:rPr>
        <w:t>坚持先进制造业与现代服务业“两手抓”，构建以生产性服务业为重点、生活性服务业为支撑的现代服务业体系，加快形成企业引领、项目带动、集聚融合、特色创新的现代服务业发展新格局。</w:t>
      </w:r>
    </w:p>
    <w:p w14:paraId="19721C6D">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黑体" w:hAnsi="黑体" w:eastAsia="黑体" w:cs="黑体"/>
          <w:b w:val="0"/>
          <w:bCs/>
          <w:color w:val="auto"/>
          <w:sz w:val="36"/>
          <w:szCs w:val="36"/>
          <w:highlight w:val="none"/>
          <w:lang w:val="zh-TW"/>
        </w:rPr>
      </w:pPr>
      <w:bookmarkStart w:id="142" w:name="_Toc17140"/>
      <w:bookmarkStart w:id="143" w:name="_Toc2505"/>
      <w:r>
        <w:rPr>
          <w:rFonts w:hint="eastAsia" w:ascii="黑体" w:hAnsi="黑体" w:eastAsia="黑体" w:cs="黑体"/>
          <w:b w:val="0"/>
          <w:bCs/>
          <w:color w:val="auto"/>
          <w:sz w:val="36"/>
          <w:szCs w:val="36"/>
          <w:highlight w:val="none"/>
          <w:lang w:val="en-US" w:eastAsia="zh-CN"/>
        </w:rPr>
        <w:t xml:space="preserve">第一节 </w:t>
      </w:r>
      <w:r>
        <w:rPr>
          <w:rFonts w:hint="eastAsia" w:ascii="黑体" w:hAnsi="黑体" w:cs="黑体"/>
          <w:b w:val="0"/>
          <w:bCs/>
          <w:color w:val="auto"/>
          <w:sz w:val="36"/>
          <w:szCs w:val="36"/>
          <w:highlight w:val="none"/>
          <w:lang w:val="en-US" w:eastAsia="zh-CN"/>
        </w:rPr>
        <w:t xml:space="preserve"> 优化</w:t>
      </w:r>
      <w:r>
        <w:rPr>
          <w:rFonts w:hint="eastAsia" w:ascii="黑体" w:hAnsi="黑体" w:eastAsia="黑体" w:cs="黑体"/>
          <w:b w:val="0"/>
          <w:bCs/>
          <w:color w:val="auto"/>
          <w:sz w:val="36"/>
          <w:szCs w:val="36"/>
          <w:highlight w:val="none"/>
          <w:lang w:val="zh-TW"/>
        </w:rPr>
        <w:t>现代服务业发展布局</w:t>
      </w:r>
      <w:bookmarkEnd w:id="142"/>
      <w:bookmarkEnd w:id="143"/>
    </w:p>
    <w:p w14:paraId="6116B8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zh-TW" w:eastAsia="zh-CN"/>
        </w:rPr>
      </w:pPr>
      <w:r>
        <w:rPr>
          <w:rFonts w:hint="eastAsia" w:ascii="仿宋_GB2312" w:hAnsi="仿宋_GB2312" w:eastAsia="仿宋_GB2312" w:cs="仿宋_GB2312"/>
          <w:color w:val="auto"/>
          <w:kern w:val="2"/>
          <w:sz w:val="32"/>
          <w:szCs w:val="32"/>
          <w:highlight w:val="none"/>
          <w:lang w:val="zh-TW" w:eastAsia="zh-CN" w:bidi="ar-SA"/>
        </w:rPr>
        <w:t>紧扣产业转型升级与城乡品质提升需求，以服务实体、赋能城乡、促进融合为导向，构建</w:t>
      </w:r>
      <w:r>
        <w:rPr>
          <w:rFonts w:hint="eastAsia" w:ascii="仿宋_GB2312" w:hAnsi="仿宋_GB2312" w:eastAsia="仿宋_GB2312" w:cs="仿宋_GB2312"/>
          <w:color w:val="auto"/>
          <w:sz w:val="32"/>
          <w:szCs w:val="32"/>
          <w:highlight w:val="none"/>
          <w:lang w:val="zh-TW" w:eastAsia="zh-CN"/>
        </w:rPr>
        <w:t>“</w:t>
      </w:r>
      <w:r>
        <w:rPr>
          <w:rFonts w:hint="eastAsia" w:ascii="仿宋_GB2312" w:hAnsi="仿宋_GB2312" w:eastAsia="仿宋_GB2312" w:cs="仿宋_GB2312"/>
          <w:color w:val="auto"/>
          <w:kern w:val="2"/>
          <w:sz w:val="32"/>
          <w:szCs w:val="32"/>
          <w:highlight w:val="none"/>
          <w:lang w:val="zh-TW" w:eastAsia="zh-CN" w:bidi="ar-SA"/>
        </w:rPr>
        <w:t>一中心引领、三组团驱动、多节点支撑</w:t>
      </w:r>
      <w:r>
        <w:rPr>
          <w:rFonts w:hint="eastAsia" w:ascii="仿宋_GB2312" w:hAnsi="仿宋_GB2312" w:eastAsia="仿宋_GB2312" w:cs="仿宋_GB2312"/>
          <w:color w:val="auto"/>
          <w:sz w:val="32"/>
          <w:szCs w:val="32"/>
          <w:highlight w:val="none"/>
          <w:lang w:val="zh-TW" w:eastAsia="zh-CN"/>
        </w:rPr>
        <w:t>”的空间发展格局，推动现代服务业从配套支撑向战略引领转变，深度嵌入并赋能先进制造业产业链与现代农业价值链，实现从“服务本地”到“辐射区域”的功能升级。</w:t>
      </w:r>
    </w:p>
    <w:p w14:paraId="574003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color w:val="auto"/>
          <w:sz w:val="32"/>
          <w:szCs w:val="32"/>
          <w:highlight w:val="none"/>
          <w:lang w:val="zh-TW" w:eastAsia="zh-CN"/>
        </w:rPr>
      </w:pPr>
      <w:r>
        <w:rPr>
          <w:rFonts w:hint="eastAsia" w:ascii="仿宋_GB2312" w:hAnsi="仿宋_GB2312" w:eastAsia="仿宋_GB2312" w:cs="仿宋_GB2312"/>
          <w:b/>
          <w:color w:val="auto"/>
          <w:kern w:val="2"/>
          <w:sz w:val="32"/>
          <w:szCs w:val="32"/>
          <w:highlight w:val="none"/>
          <w:lang w:val="zh-TW" w:eastAsia="zh-CN" w:bidi="ar-SA"/>
        </w:rPr>
        <w:t>一中心引领：强化县城综合服务主中心</w:t>
      </w:r>
    </w:p>
    <w:p w14:paraId="3F78CD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lang w:val="zh-TW" w:eastAsia="zh-CN"/>
        </w:rPr>
      </w:pPr>
      <w:r>
        <w:rPr>
          <w:rFonts w:hint="eastAsia" w:ascii="仿宋_GB2312" w:hAnsi="仿宋_GB2312" w:eastAsia="仿宋_GB2312" w:cs="仿宋_GB2312"/>
          <w:b w:val="0"/>
          <w:bCs w:val="0"/>
          <w:color w:val="auto"/>
          <w:sz w:val="32"/>
          <w:szCs w:val="32"/>
          <w:highlight w:val="none"/>
          <w:lang w:val="zh-TW"/>
        </w:rPr>
        <w:t>以县城为</w:t>
      </w:r>
      <w:r>
        <w:rPr>
          <w:rFonts w:hint="eastAsia" w:ascii="仿宋_GB2312" w:hAnsi="仿宋_GB2312" w:eastAsia="仿宋_GB2312" w:cs="仿宋_GB2312"/>
          <w:b w:val="0"/>
          <w:bCs w:val="0"/>
          <w:color w:val="auto"/>
          <w:sz w:val="32"/>
          <w:szCs w:val="32"/>
          <w:highlight w:val="none"/>
          <w:lang w:val="zh-TW" w:eastAsia="zh-CN"/>
        </w:rPr>
        <w:t>核</w:t>
      </w:r>
      <w:r>
        <w:rPr>
          <w:rFonts w:hint="eastAsia" w:ascii="仿宋_GB2312" w:hAnsi="仿宋_GB2312" w:eastAsia="仿宋_GB2312" w:cs="仿宋_GB2312"/>
          <w:b w:val="0"/>
          <w:bCs w:val="0"/>
          <w:color w:val="auto"/>
          <w:sz w:val="32"/>
          <w:szCs w:val="32"/>
          <w:highlight w:val="none"/>
          <w:lang w:val="zh-TW"/>
        </w:rPr>
        <w:t>心</w:t>
      </w:r>
      <w:r>
        <w:rPr>
          <w:rFonts w:hint="eastAsia" w:ascii="仿宋_GB2312" w:hAnsi="仿宋_GB2312" w:eastAsia="仿宋_GB2312" w:cs="仿宋_GB2312"/>
          <w:b w:val="0"/>
          <w:bCs w:val="0"/>
          <w:color w:val="auto"/>
          <w:sz w:val="32"/>
          <w:szCs w:val="32"/>
          <w:highlight w:val="none"/>
          <w:lang w:val="zh-TW" w:eastAsia="zh-CN"/>
        </w:rPr>
        <w:t>，</w:t>
      </w:r>
      <w:r>
        <w:rPr>
          <w:rFonts w:hint="eastAsia" w:ascii="仿宋_GB2312" w:hAnsi="仿宋_GB2312" w:eastAsia="仿宋_GB2312" w:cs="仿宋_GB2312"/>
          <w:b w:val="0"/>
          <w:bCs w:val="0"/>
          <w:color w:val="auto"/>
          <w:kern w:val="2"/>
          <w:sz w:val="32"/>
          <w:szCs w:val="32"/>
          <w:highlight w:val="none"/>
          <w:lang w:val="zh-TW" w:eastAsia="zh-CN" w:bidi="ar-SA"/>
        </w:rPr>
        <w:t>打造辐射带动全县及周边区域的综合服务业增长极，强化资源要素配置与高端服务功能。重点发展知识密集、辐射力强的生产性服务业，为制造业升级提供核心支撑。优先发展与本地化工、林业、汽配等产业紧密相关的研发设计、供应链管理、专业咨询、检验检测等服务。做大做强工业物流，积极培育低空经济服务、</w:t>
      </w:r>
      <w:r>
        <w:rPr>
          <w:rFonts w:hint="default" w:ascii="Times New Roman" w:hAnsi="Times New Roman" w:eastAsia="仿宋_GB2312" w:cs="Times New Roman"/>
          <w:b w:val="0"/>
          <w:bCs w:val="0"/>
          <w:color w:val="auto"/>
          <w:kern w:val="2"/>
          <w:sz w:val="32"/>
          <w:szCs w:val="32"/>
          <w:highlight w:val="none"/>
          <w:lang w:val="zh-TW" w:eastAsia="zh-CN" w:bidi="ar-SA"/>
        </w:rPr>
        <w:t>AI</w:t>
      </w:r>
      <w:r>
        <w:rPr>
          <w:rFonts w:hint="eastAsia" w:ascii="仿宋_GB2312" w:hAnsi="仿宋_GB2312" w:eastAsia="仿宋_GB2312" w:cs="仿宋_GB2312"/>
          <w:b w:val="0"/>
          <w:bCs w:val="0"/>
          <w:color w:val="auto"/>
          <w:kern w:val="2"/>
          <w:sz w:val="32"/>
          <w:szCs w:val="32"/>
          <w:highlight w:val="none"/>
          <w:lang w:val="zh-TW" w:eastAsia="zh-CN" w:bidi="ar-SA"/>
        </w:rPr>
        <w:t>与数据全链条服务、数字经济等新兴业态。重点发展现代物流、文旅、商贸服务、电子商务、低空经济等服务业，进一步强化县城综合服务功能。全面提升生活性服务业品质与活力，提质发展商贸服务、文化休闲、教育培训、健康养老等业态，精心打造美食餐饮、娱乐休闲、文化体验、体育健身等多元消费场景，塑造高品质县城生活典范，增强人口集聚与消费吸附能力。</w:t>
      </w:r>
    </w:p>
    <w:p w14:paraId="72308E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color w:val="auto"/>
          <w:kern w:val="2"/>
          <w:sz w:val="32"/>
          <w:szCs w:val="32"/>
          <w:highlight w:val="none"/>
          <w:lang w:val="zh-TW" w:eastAsia="zh-CN" w:bidi="ar-SA"/>
        </w:rPr>
        <w:t>三组团驱动：</w:t>
      </w:r>
      <w:r>
        <w:rPr>
          <w:rFonts w:hint="eastAsia" w:ascii="仿宋_GB2312" w:hAnsi="仿宋_GB2312" w:eastAsia="仿宋_GB2312" w:cs="仿宋_GB2312"/>
          <w:b w:val="0"/>
          <w:bCs/>
          <w:color w:val="auto"/>
          <w:kern w:val="2"/>
          <w:sz w:val="32"/>
          <w:szCs w:val="32"/>
          <w:highlight w:val="none"/>
          <w:lang w:val="zh-TW" w:eastAsia="zh-CN" w:bidi="ar-SA"/>
        </w:rPr>
        <w:t>即建设三大特色鲜明、驱动有力的特色服务业功能组团，与“一</w:t>
      </w:r>
      <w:r>
        <w:rPr>
          <w:rFonts w:hint="eastAsia" w:ascii="仿宋_GB2312" w:hAnsi="仿宋_GB2312" w:eastAsia="仿宋_GB2312" w:cs="仿宋_GB2312"/>
          <w:b w:val="0"/>
          <w:bCs/>
          <w:color w:val="auto"/>
          <w:kern w:val="2"/>
          <w:sz w:val="32"/>
          <w:szCs w:val="32"/>
          <w:highlight w:val="none"/>
          <w:lang w:val="en-US" w:eastAsia="zh-CN" w:bidi="ar-SA"/>
        </w:rPr>
        <w:t>中</w:t>
      </w:r>
      <w:r>
        <w:rPr>
          <w:rFonts w:hint="eastAsia" w:ascii="仿宋_GB2312" w:hAnsi="仿宋_GB2312" w:eastAsia="仿宋_GB2312" w:cs="仿宋_GB2312"/>
          <w:b w:val="0"/>
          <w:bCs/>
          <w:color w:val="auto"/>
          <w:kern w:val="2"/>
          <w:sz w:val="32"/>
          <w:szCs w:val="32"/>
          <w:highlight w:val="none"/>
          <w:lang w:val="zh-TW" w:eastAsia="zh-CN" w:bidi="ar-SA"/>
        </w:rPr>
        <w:t>心”功能互补、协同联动。</w:t>
      </w:r>
    </w:p>
    <w:p w14:paraId="04F162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bCs w:val="0"/>
          <w:color w:val="auto"/>
          <w:kern w:val="2"/>
          <w:sz w:val="32"/>
          <w:szCs w:val="32"/>
          <w:highlight w:val="none"/>
          <w:lang w:val="zh-TW" w:eastAsia="zh-CN" w:bidi="ar-SA"/>
        </w:rPr>
        <w:t>江口—导江临港物流与商贸组团。</w:t>
      </w:r>
      <w:r>
        <w:rPr>
          <w:rFonts w:hint="eastAsia" w:ascii="仿宋_GB2312" w:hAnsi="仿宋_GB2312" w:eastAsia="仿宋_GB2312" w:cs="仿宋_GB2312"/>
          <w:b w:val="0"/>
          <w:bCs/>
          <w:color w:val="auto"/>
          <w:kern w:val="2"/>
          <w:sz w:val="32"/>
          <w:szCs w:val="32"/>
          <w:highlight w:val="none"/>
          <w:lang w:val="zh-TW" w:eastAsia="zh-CN" w:bidi="ar-SA"/>
        </w:rPr>
        <w:t>依托</w:t>
      </w:r>
      <w:r>
        <w:rPr>
          <w:rFonts w:hint="eastAsia" w:ascii="仿宋_GB2312" w:hAnsi="仿宋_GB2312" w:eastAsia="仿宋_GB2312" w:cs="仿宋_GB2312"/>
          <w:b w:val="0"/>
          <w:bCs/>
          <w:color w:val="auto"/>
          <w:kern w:val="2"/>
          <w:sz w:val="32"/>
          <w:szCs w:val="32"/>
          <w:highlight w:val="none"/>
          <w:lang w:val="en-US" w:eastAsia="zh-CN" w:bidi="ar-SA"/>
        </w:rPr>
        <w:t>作为</w:t>
      </w:r>
      <w:r>
        <w:rPr>
          <w:rFonts w:hint="eastAsia" w:ascii="仿宋_GB2312" w:hAnsi="仿宋_GB2312" w:eastAsia="仿宋_GB2312" w:cs="仿宋_GB2312"/>
          <w:b w:val="0"/>
          <w:bCs/>
          <w:color w:val="auto"/>
          <w:kern w:val="2"/>
          <w:sz w:val="32"/>
          <w:szCs w:val="32"/>
          <w:highlight w:val="none"/>
          <w:lang w:val="zh-TW" w:eastAsia="zh-CN" w:bidi="ar-SA"/>
        </w:rPr>
        <w:t>柳州港重要板块的区位优势，</w:t>
      </w:r>
      <w:r>
        <w:rPr>
          <w:rFonts w:hint="eastAsia" w:ascii="仿宋_GB2312" w:hAnsi="仿宋_GB2312" w:eastAsia="仿宋_GB2312" w:cs="仿宋_GB2312"/>
          <w:b w:val="0"/>
          <w:bCs/>
          <w:color w:val="auto"/>
          <w:kern w:val="2"/>
          <w:sz w:val="32"/>
          <w:szCs w:val="32"/>
          <w:highlight w:val="none"/>
          <w:lang w:val="en-US" w:eastAsia="zh-CN" w:bidi="ar-SA"/>
        </w:rPr>
        <w:t>加快</w:t>
      </w:r>
      <w:r>
        <w:rPr>
          <w:rFonts w:hint="eastAsia" w:ascii="仿宋_GB2312" w:hAnsi="仿宋_GB2312" w:eastAsia="仿宋_GB2312" w:cs="仿宋_GB2312"/>
          <w:b w:val="0"/>
          <w:bCs/>
          <w:color w:val="auto"/>
          <w:kern w:val="2"/>
          <w:sz w:val="32"/>
          <w:szCs w:val="32"/>
          <w:highlight w:val="none"/>
          <w:lang w:val="zh-TW" w:eastAsia="zh-CN" w:bidi="ar-SA"/>
        </w:rPr>
        <w:t>建设临港经济服务平台。完善以港口为载体的现代物流综合体及供应链配套体系，发展大宗物流、多式联运和智慧物流。积极培育工业原料、建材</w:t>
      </w:r>
      <w:r>
        <w:rPr>
          <w:rFonts w:hint="eastAsia" w:ascii="仿宋_GB2312" w:hAnsi="仿宋_GB2312" w:eastAsia="仿宋_GB2312" w:cs="仿宋_GB2312"/>
          <w:b w:val="0"/>
          <w:bCs/>
          <w:color w:val="auto"/>
          <w:kern w:val="2"/>
          <w:sz w:val="32"/>
          <w:szCs w:val="32"/>
          <w:highlight w:val="none"/>
          <w:lang w:val="en-US" w:eastAsia="zh-CN" w:bidi="ar-SA"/>
        </w:rPr>
        <w:t>等</w:t>
      </w:r>
      <w:r>
        <w:rPr>
          <w:rFonts w:hint="eastAsia" w:ascii="仿宋_GB2312" w:hAnsi="仿宋_GB2312" w:eastAsia="仿宋_GB2312" w:cs="仿宋_GB2312"/>
          <w:b w:val="0"/>
          <w:bCs/>
          <w:color w:val="auto"/>
          <w:kern w:val="2"/>
          <w:sz w:val="32"/>
          <w:szCs w:val="32"/>
          <w:highlight w:val="none"/>
          <w:lang w:val="zh-TW" w:eastAsia="zh-CN" w:bidi="ar-SA"/>
        </w:rPr>
        <w:t>专业交易市场与集散中心，强化与阳和开发区、</w:t>
      </w:r>
      <w:r>
        <w:rPr>
          <w:rFonts w:hint="eastAsia" w:ascii="仿宋_GB2312" w:hAnsi="仿宋_GB2312" w:eastAsia="仿宋_GB2312" w:cs="仿宋_GB2312"/>
          <w:b w:val="0"/>
          <w:bCs/>
          <w:color w:val="auto"/>
          <w:kern w:val="2"/>
          <w:sz w:val="32"/>
          <w:szCs w:val="32"/>
          <w:highlight w:val="none"/>
          <w:lang w:val="en-US" w:eastAsia="zh-CN" w:bidi="ar-SA"/>
        </w:rPr>
        <w:t>柳州高</w:t>
      </w:r>
      <w:r>
        <w:rPr>
          <w:rFonts w:hint="eastAsia" w:ascii="仿宋_GB2312" w:hAnsi="仿宋_GB2312" w:eastAsia="仿宋_GB2312" w:cs="仿宋_GB2312"/>
          <w:b w:val="0"/>
          <w:bCs/>
          <w:color w:val="auto"/>
          <w:kern w:val="2"/>
          <w:sz w:val="32"/>
          <w:szCs w:val="32"/>
          <w:highlight w:val="none"/>
          <w:lang w:val="zh-TW" w:eastAsia="zh-CN" w:bidi="ar-SA"/>
        </w:rPr>
        <w:t>新</w:t>
      </w:r>
      <w:r>
        <w:rPr>
          <w:rFonts w:hint="eastAsia" w:ascii="仿宋_GB2312" w:hAnsi="仿宋_GB2312" w:eastAsia="仿宋_GB2312" w:cs="仿宋_GB2312"/>
          <w:b w:val="0"/>
          <w:bCs/>
          <w:color w:val="auto"/>
          <w:kern w:val="2"/>
          <w:sz w:val="32"/>
          <w:szCs w:val="32"/>
          <w:highlight w:val="none"/>
          <w:lang w:val="en-US" w:eastAsia="zh-CN" w:bidi="ar-SA"/>
        </w:rPr>
        <w:t>技术开发</w:t>
      </w:r>
      <w:r>
        <w:rPr>
          <w:rFonts w:hint="eastAsia" w:ascii="仿宋_GB2312" w:hAnsi="仿宋_GB2312" w:eastAsia="仿宋_GB2312" w:cs="仿宋_GB2312"/>
          <w:b w:val="0"/>
          <w:bCs/>
          <w:color w:val="auto"/>
          <w:kern w:val="2"/>
          <w:sz w:val="32"/>
          <w:szCs w:val="32"/>
          <w:highlight w:val="none"/>
          <w:lang w:val="zh-TW" w:eastAsia="zh-CN" w:bidi="ar-SA"/>
        </w:rPr>
        <w:t>区、鹿寨工业园的快速连通与产业协同，承接相关物流配套及供应链服务功能。</w:t>
      </w:r>
    </w:p>
    <w:p w14:paraId="726B34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bCs w:val="0"/>
          <w:color w:val="auto"/>
          <w:kern w:val="2"/>
          <w:sz w:val="32"/>
          <w:szCs w:val="32"/>
          <w:highlight w:val="none"/>
          <w:lang w:val="zh-TW" w:eastAsia="zh-CN" w:bidi="ar-SA"/>
        </w:rPr>
        <w:t>中渡—平山农文旅融合组团。</w:t>
      </w:r>
      <w:r>
        <w:rPr>
          <w:rFonts w:hint="eastAsia" w:ascii="仿宋_GB2312" w:hAnsi="仿宋_GB2312" w:eastAsia="仿宋_GB2312" w:cs="仿宋_GB2312"/>
          <w:b w:val="0"/>
          <w:bCs/>
          <w:color w:val="auto"/>
          <w:kern w:val="2"/>
          <w:sz w:val="32"/>
          <w:szCs w:val="32"/>
          <w:highlight w:val="none"/>
          <w:lang w:val="zh-TW" w:eastAsia="zh-CN" w:bidi="ar-SA"/>
        </w:rPr>
        <w:t>以中渡喀斯特山水古镇与平山高铁枢纽为核心，联动黄冕特色农业片区，构建农文旅深度融合的区域服务平台。中渡镇着力提升古镇旅游配套品质，发展精品民宿集群、文化主题餐饮与非遗工坊体验，依托喀斯特地貌资源开发徒步、骑行、攀岩等户外休闲</w:t>
      </w:r>
      <w:r>
        <w:rPr>
          <w:rFonts w:hint="eastAsia" w:ascii="仿宋_GB2312" w:hAnsi="仿宋_GB2312" w:eastAsia="仿宋_GB2312" w:cs="仿宋_GB2312"/>
          <w:b w:val="0"/>
          <w:bCs/>
          <w:color w:val="auto"/>
          <w:kern w:val="2"/>
          <w:sz w:val="32"/>
          <w:szCs w:val="32"/>
          <w:highlight w:val="none"/>
          <w:lang w:val="en-US" w:eastAsia="zh-CN" w:bidi="ar-SA"/>
        </w:rPr>
        <w:t>项目</w:t>
      </w:r>
      <w:r>
        <w:rPr>
          <w:rFonts w:hint="eastAsia" w:ascii="仿宋_GB2312" w:hAnsi="仿宋_GB2312" w:eastAsia="仿宋_GB2312" w:cs="仿宋_GB2312"/>
          <w:b w:val="0"/>
          <w:bCs/>
          <w:color w:val="auto"/>
          <w:kern w:val="2"/>
          <w:sz w:val="32"/>
          <w:szCs w:val="32"/>
          <w:highlight w:val="none"/>
          <w:lang w:val="zh-TW" w:eastAsia="zh-CN" w:bidi="ar-SA"/>
        </w:rPr>
        <w:t>，建设生态研学基地，推动旅游体验从观光向深度互动转型。平山镇积极承接高铁站点客流与区域辐射效应，在高铁站周边合理布局冷链仓储、特色农产品展销、电商前置仓</w:t>
      </w:r>
      <w:r>
        <w:rPr>
          <w:rFonts w:hint="eastAsia" w:ascii="仿宋_GB2312" w:hAnsi="仿宋_GB2312" w:eastAsia="仿宋_GB2312" w:cs="仿宋_GB2312"/>
          <w:b w:val="0"/>
          <w:bCs/>
          <w:color w:val="auto"/>
          <w:kern w:val="2"/>
          <w:sz w:val="32"/>
          <w:szCs w:val="32"/>
          <w:highlight w:val="none"/>
          <w:lang w:val="en-US" w:eastAsia="zh-CN" w:bidi="ar-SA"/>
        </w:rPr>
        <w:t>与</w:t>
      </w:r>
      <w:r>
        <w:rPr>
          <w:rFonts w:hint="eastAsia" w:ascii="仿宋_GB2312" w:hAnsi="仿宋_GB2312" w:eastAsia="仿宋_GB2312" w:cs="仿宋_GB2312"/>
          <w:b w:val="0"/>
          <w:bCs/>
          <w:color w:val="auto"/>
          <w:kern w:val="2"/>
          <w:sz w:val="32"/>
          <w:szCs w:val="32"/>
          <w:highlight w:val="none"/>
          <w:lang w:val="zh-TW" w:eastAsia="zh-CN" w:bidi="ar-SA"/>
        </w:rPr>
        <w:t>低空经济应用场景，引导发展满足商务</w:t>
      </w:r>
      <w:r>
        <w:rPr>
          <w:rFonts w:hint="eastAsia" w:ascii="仿宋_GB2312" w:hAnsi="仿宋_GB2312" w:eastAsia="仿宋_GB2312" w:cs="仿宋_GB2312"/>
          <w:b w:val="0"/>
          <w:bCs/>
          <w:color w:val="auto"/>
          <w:kern w:val="2"/>
          <w:sz w:val="32"/>
          <w:szCs w:val="32"/>
          <w:highlight w:val="none"/>
          <w:lang w:val="en-US" w:eastAsia="zh-CN" w:bidi="ar-SA"/>
        </w:rPr>
        <w:t>及</w:t>
      </w:r>
      <w:r>
        <w:rPr>
          <w:rFonts w:hint="eastAsia" w:ascii="仿宋_GB2312" w:hAnsi="仿宋_GB2312" w:eastAsia="仿宋_GB2312" w:cs="仿宋_GB2312"/>
          <w:b w:val="0"/>
          <w:bCs/>
          <w:color w:val="auto"/>
          <w:kern w:val="2"/>
          <w:sz w:val="32"/>
          <w:szCs w:val="32"/>
          <w:highlight w:val="none"/>
          <w:lang w:val="zh-TW" w:eastAsia="zh-CN" w:bidi="ar-SA"/>
        </w:rPr>
        <w:t>游客需求的品质民宿，强化与中渡、黄冕的交通接驳与旅游线路组织，打造串联北部组团的枢纽门户。黄冕镇深耕“桑蚕+”产业链，推动产业从单一生产向“生产—加工—体验—文化”全链融合升级，开发桑果采摘、蚕桑科普、丝绸手作、桑主题餐饮等体验项目，与中渡古镇联动设计跨镇主题旅游线路，促进农业资源向可体验、可消费的文旅产品转化。</w:t>
      </w:r>
    </w:p>
    <w:p w14:paraId="27970D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bCs w:val="0"/>
          <w:color w:val="auto"/>
          <w:kern w:val="2"/>
          <w:sz w:val="32"/>
          <w:szCs w:val="32"/>
          <w:highlight w:val="none"/>
          <w:lang w:val="zh-TW" w:eastAsia="zh-CN" w:bidi="ar-SA"/>
        </w:rPr>
        <w:t>寨沙—四排农商一体与集散组团。</w:t>
      </w:r>
      <w:r>
        <w:rPr>
          <w:rFonts w:hint="eastAsia" w:ascii="仿宋_GB2312" w:hAnsi="仿宋_GB2312" w:eastAsia="仿宋_GB2312" w:cs="仿宋_GB2312"/>
          <w:b w:val="0"/>
          <w:bCs/>
          <w:color w:val="auto"/>
          <w:kern w:val="2"/>
          <w:sz w:val="32"/>
          <w:szCs w:val="32"/>
          <w:highlight w:val="none"/>
          <w:lang w:val="zh-TW" w:eastAsia="zh-CN" w:bidi="ar-SA"/>
        </w:rPr>
        <w:t>立足县域</w:t>
      </w:r>
      <w:r>
        <w:rPr>
          <w:rFonts w:hint="eastAsia" w:ascii="仿宋_GB2312" w:hAnsi="仿宋_GB2312" w:eastAsia="仿宋_GB2312" w:cs="仿宋_GB2312"/>
          <w:b w:val="0"/>
          <w:bCs/>
          <w:color w:val="auto"/>
          <w:kern w:val="2"/>
          <w:sz w:val="32"/>
          <w:szCs w:val="32"/>
          <w:highlight w:val="none"/>
          <w:lang w:val="en-US" w:eastAsia="zh-CN" w:bidi="ar-SA"/>
        </w:rPr>
        <w:t>东</w:t>
      </w:r>
      <w:r>
        <w:rPr>
          <w:rFonts w:hint="eastAsia" w:ascii="仿宋_GB2312" w:hAnsi="仿宋_GB2312" w:eastAsia="仿宋_GB2312" w:cs="仿宋_GB2312"/>
          <w:b w:val="0"/>
          <w:bCs/>
          <w:color w:val="auto"/>
          <w:kern w:val="2"/>
          <w:sz w:val="32"/>
          <w:szCs w:val="32"/>
          <w:highlight w:val="none"/>
          <w:lang w:val="zh-TW" w:eastAsia="zh-CN" w:bidi="ar-SA"/>
        </w:rPr>
        <w:t>部交通枢纽与农产品资源优势，建设区域性农产品流通集散枢纽。重点升级改造或新建现代化农贸专业市场、冷链物流中心，大幅提升集疏运能力。联动拉沟乡，依托其生态与瑶族文化资源，协同发展中药材种植加工与瑶医药健康文化旅游，形成农商文旅联动发展的特色板块。</w:t>
      </w:r>
    </w:p>
    <w:p w14:paraId="7DE58F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color w:val="auto"/>
          <w:highlight w:val="none"/>
          <w:lang w:val="en-US" w:eastAsia="zh-CN"/>
        </w:rPr>
      </w:pPr>
      <w:r>
        <w:rPr>
          <w:rFonts w:hint="eastAsia" w:ascii="仿宋_GB2312" w:hAnsi="仿宋_GB2312" w:eastAsia="仿宋_GB2312" w:cs="仿宋_GB2312"/>
          <w:b/>
          <w:bCs w:val="0"/>
          <w:color w:val="auto"/>
          <w:kern w:val="2"/>
          <w:sz w:val="32"/>
          <w:szCs w:val="32"/>
          <w:highlight w:val="none"/>
          <w:lang w:val="zh-TW" w:eastAsia="zh-CN" w:bidi="ar-SA"/>
        </w:rPr>
        <w:t>多节点支撑：</w:t>
      </w:r>
      <w:r>
        <w:rPr>
          <w:rFonts w:hint="eastAsia" w:ascii="仿宋_GB2312" w:hAnsi="仿宋_GB2312" w:eastAsia="仿宋_GB2312" w:cs="仿宋_GB2312"/>
          <w:b w:val="0"/>
          <w:bCs/>
          <w:color w:val="auto"/>
          <w:kern w:val="2"/>
          <w:sz w:val="32"/>
          <w:szCs w:val="32"/>
          <w:highlight w:val="none"/>
          <w:lang w:val="zh-TW" w:eastAsia="zh-CN" w:bidi="ar-SA"/>
        </w:rPr>
        <w:t>即以深化供销合作社综合改革、完善县、乡、村三级流通体系为抓手，构建产销协同、高效顺畅的农产品供应链与现代流通服务网络。加快完善县、乡、村物流体系，加强县级配送中心和乡镇快递服务站点的建设与升级，拓展村级物流服务网点，畅通工业品下乡、农产品进城的双向流通渠道。支持各乡镇立足自身区位、产业与资源特点，因地制宜建设特色商贸中心、产地冷链仓储设施、乡村旅游服务驿站等各类服务业节点。鼓励发展面向农村的新型商贸服务、特色专业市场</w:t>
      </w:r>
      <w:r>
        <w:rPr>
          <w:rFonts w:hint="eastAsia" w:ascii="仿宋_GB2312" w:hAnsi="仿宋_GB2312" w:eastAsia="仿宋_GB2312" w:cs="仿宋_GB2312"/>
          <w:b w:val="0"/>
          <w:bCs/>
          <w:color w:val="auto"/>
          <w:kern w:val="2"/>
          <w:sz w:val="32"/>
          <w:szCs w:val="32"/>
          <w:highlight w:val="none"/>
          <w:lang w:val="en-US" w:eastAsia="zh-CN" w:bidi="ar-SA"/>
        </w:rPr>
        <w:t>和</w:t>
      </w:r>
      <w:r>
        <w:rPr>
          <w:rFonts w:hint="eastAsia" w:ascii="仿宋_GB2312" w:hAnsi="仿宋_GB2312" w:eastAsia="仿宋_GB2312" w:cs="仿宋_GB2312"/>
          <w:b w:val="0"/>
          <w:bCs/>
          <w:color w:val="auto"/>
          <w:kern w:val="2"/>
          <w:sz w:val="32"/>
          <w:szCs w:val="32"/>
          <w:highlight w:val="none"/>
          <w:lang w:val="zh-TW" w:eastAsia="zh-CN" w:bidi="ar-SA"/>
        </w:rPr>
        <w:t>电商服务网点等，形成遍布全域、联动“一</w:t>
      </w:r>
      <w:r>
        <w:rPr>
          <w:rFonts w:hint="eastAsia" w:ascii="仿宋_GB2312" w:hAnsi="仿宋_GB2312" w:eastAsia="仿宋_GB2312" w:cs="仿宋_GB2312"/>
          <w:b w:val="0"/>
          <w:bCs/>
          <w:color w:val="auto"/>
          <w:kern w:val="2"/>
          <w:sz w:val="32"/>
          <w:szCs w:val="32"/>
          <w:highlight w:val="none"/>
          <w:lang w:val="en-US" w:eastAsia="zh-CN" w:bidi="ar-SA"/>
        </w:rPr>
        <w:t>中</w:t>
      </w:r>
      <w:r>
        <w:rPr>
          <w:rFonts w:hint="eastAsia" w:ascii="仿宋_GB2312" w:hAnsi="仿宋_GB2312" w:eastAsia="仿宋_GB2312" w:cs="仿宋_GB2312"/>
          <w:b w:val="0"/>
          <w:bCs/>
          <w:color w:val="auto"/>
          <w:kern w:val="2"/>
          <w:sz w:val="32"/>
          <w:szCs w:val="32"/>
          <w:highlight w:val="none"/>
          <w:lang w:val="zh-TW" w:eastAsia="zh-CN" w:bidi="ar-SA"/>
        </w:rPr>
        <w:t>心三组团”的现代服务业终端网络，全面提升服务业对乡村振兴的支撑保障能力。</w:t>
      </w:r>
    </w:p>
    <w:p w14:paraId="08C04C08">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drawing>
          <wp:inline distT="0" distB="0" distL="114300" distR="114300">
            <wp:extent cx="5306060" cy="4808220"/>
            <wp:effectExtent l="0" t="0" r="8890" b="11430"/>
            <wp:docPr id="3" name="图片 3" descr="127328625c8c2d9332e348e4fb1e3a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27328625c8c2d9332e348e4fb1e3afb"/>
                    <pic:cNvPicPr>
                      <a:picLocks noChangeAspect="1"/>
                    </pic:cNvPicPr>
                  </pic:nvPicPr>
                  <pic:blipFill>
                    <a:blip r:embed="rId10"/>
                    <a:srcRect l="14949" t="5177" r="12237" b="793"/>
                    <a:stretch>
                      <a:fillRect/>
                    </a:stretch>
                  </pic:blipFill>
                  <pic:spPr>
                    <a:xfrm>
                      <a:off x="0" y="0"/>
                      <a:ext cx="5306060" cy="4808220"/>
                    </a:xfrm>
                    <a:prstGeom prst="rect">
                      <a:avLst/>
                    </a:prstGeom>
                  </pic:spPr>
                </pic:pic>
              </a:graphicData>
            </a:graphic>
          </wp:inline>
        </w:drawing>
      </w:r>
    </w:p>
    <w:p w14:paraId="76C12145">
      <w:pPr>
        <w:pStyle w:val="53"/>
        <w:bidi w:val="0"/>
        <w:rPr>
          <w:rFonts w:hint="default" w:ascii="Times New Roman" w:hAnsi="Times New Roman" w:eastAsia="仿宋_GB2312" w:cs="Times New Roman"/>
          <w:color w:val="auto"/>
          <w:sz w:val="32"/>
          <w:szCs w:val="32"/>
          <w:highlight w:val="none"/>
          <w:lang w:val="en-US" w:eastAsia="zh-CN"/>
        </w:rPr>
      </w:pPr>
    </w:p>
    <w:p w14:paraId="73F0E011">
      <w:pPr>
        <w:pStyle w:val="53"/>
        <w:bidi w:val="0"/>
        <w:rPr>
          <w:rFonts w:hint="eastAsia" w:ascii="仿宋_GB2312" w:hAnsi="仿宋_GB2312" w:eastAsia="仿宋_GB2312" w:cs="仿宋_GB2312"/>
          <w:b w:val="0"/>
          <w:bCs/>
          <w:color w:val="auto"/>
          <w:kern w:val="2"/>
          <w:sz w:val="32"/>
          <w:szCs w:val="32"/>
          <w:highlight w:val="none"/>
          <w:lang w:val="zh-TW" w:eastAsia="zh-CN" w:bidi="ar-SA"/>
        </w:rPr>
      </w:pPr>
      <w:r>
        <w:rPr>
          <w:rFonts w:hint="default" w:ascii="Times New Roman" w:hAnsi="Times New Roman" w:eastAsia="仿宋_GB2312" w:cs="Times New Roman"/>
          <w:color w:val="auto"/>
          <w:sz w:val="32"/>
          <w:szCs w:val="32"/>
          <w:highlight w:val="none"/>
          <w:lang w:val="en-US" w:eastAsia="zh-CN"/>
        </w:rPr>
        <w:t>图</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鹿寨县</w:t>
      </w:r>
      <w:r>
        <w:rPr>
          <w:rFonts w:hint="eastAsia" w:ascii="Times New Roman" w:eastAsia="仿宋_GB2312" w:cs="Times New Roman"/>
          <w:color w:val="auto"/>
          <w:sz w:val="32"/>
          <w:szCs w:val="32"/>
          <w:highlight w:val="none"/>
          <w:lang w:val="en-US" w:eastAsia="zh-CN"/>
        </w:rPr>
        <w:t>服务</w:t>
      </w:r>
      <w:r>
        <w:rPr>
          <w:rFonts w:hint="eastAsia" w:ascii="Times New Roman" w:hAnsi="Times New Roman" w:eastAsia="仿宋_GB2312" w:cs="Times New Roman"/>
          <w:color w:val="auto"/>
          <w:sz w:val="32"/>
          <w:szCs w:val="32"/>
          <w:highlight w:val="none"/>
          <w:lang w:val="en-US" w:eastAsia="zh-CN"/>
        </w:rPr>
        <w:t>业发展布局图</w:t>
      </w:r>
    </w:p>
    <w:p w14:paraId="777B1A7D">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b w:val="0"/>
          <w:bCs/>
          <w:color w:val="auto"/>
          <w:sz w:val="36"/>
          <w:szCs w:val="36"/>
          <w:highlight w:val="none"/>
          <w:lang w:val="en-US" w:eastAsia="zh-CN"/>
        </w:rPr>
      </w:pPr>
      <w:bookmarkStart w:id="144" w:name="_Toc23858"/>
      <w:bookmarkStart w:id="145" w:name="_Toc9440"/>
      <w:r>
        <w:rPr>
          <w:rFonts w:hint="eastAsia" w:ascii="黑体" w:hAnsi="黑体" w:eastAsia="黑体" w:cs="黑体"/>
          <w:b w:val="0"/>
          <w:bCs/>
          <w:color w:val="auto"/>
          <w:sz w:val="36"/>
          <w:szCs w:val="36"/>
          <w:highlight w:val="none"/>
          <w:lang w:val="en-US" w:eastAsia="zh-CN"/>
        </w:rPr>
        <w:t>第二节  促进生产性服务业</w:t>
      </w:r>
      <w:r>
        <w:rPr>
          <w:rFonts w:hint="eastAsia" w:ascii="黑体" w:hAnsi="黑体" w:cs="黑体"/>
          <w:b w:val="0"/>
          <w:bCs/>
          <w:color w:val="auto"/>
          <w:sz w:val="36"/>
          <w:szCs w:val="36"/>
          <w:highlight w:val="none"/>
          <w:lang w:val="en-US" w:eastAsia="zh-CN"/>
        </w:rPr>
        <w:t>专业化</w:t>
      </w:r>
      <w:r>
        <w:rPr>
          <w:rFonts w:hint="eastAsia" w:ascii="黑体" w:hAnsi="黑体" w:eastAsia="黑体" w:cs="黑体"/>
          <w:b w:val="0"/>
          <w:bCs/>
          <w:color w:val="auto"/>
          <w:sz w:val="36"/>
          <w:szCs w:val="36"/>
          <w:highlight w:val="none"/>
          <w:lang w:val="en-US" w:eastAsia="zh-CN"/>
        </w:rPr>
        <w:t>发展</w:t>
      </w:r>
      <w:bookmarkEnd w:id="144"/>
      <w:bookmarkEnd w:id="145"/>
    </w:p>
    <w:p w14:paraId="0F0674CF">
      <w:pPr>
        <w:pStyle w:val="7"/>
        <w:pageBreakBefore w:val="0"/>
        <w:kinsoku/>
        <w:wordWrap/>
        <w:overflowPunct/>
        <w:topLinePunct w:val="0"/>
        <w:bidi w:val="0"/>
        <w:spacing w:line="560" w:lineRule="exact"/>
        <w:ind w:firstLine="643"/>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聚焦物流、金融、科技服务等重点领域，通过促进技术创新与数字化转型、培育专业人才、构建公共服务平台，提升生产性服务业附加值和专业化水平，推动向价值链高端延伸，形成一批高端服务品牌，增强产业支撑能力。</w:t>
      </w:r>
    </w:p>
    <w:p w14:paraId="3C34A974">
      <w:pPr>
        <w:pStyle w:val="7"/>
        <w:pageBreakBefore w:val="0"/>
        <w:kinsoku/>
        <w:wordWrap/>
        <w:overflowPunct/>
        <w:topLinePunct w:val="0"/>
        <w:bidi w:val="0"/>
        <w:spacing w:line="560" w:lineRule="exact"/>
        <w:ind w:firstLine="643"/>
        <w:textAlignment w:val="auto"/>
        <w:rPr>
          <w:rFonts w:hint="eastAsia" w:ascii="Times New Roman" w:hAnsi="Times New Roman" w:eastAsia="仿宋_GB2312" w:cs="Times New Roman"/>
          <w:b w:val="0"/>
          <w:bCs w:val="0"/>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构建高效现代物流体系。</w:t>
      </w:r>
      <w:r>
        <w:rPr>
          <w:rFonts w:hint="eastAsia" w:ascii="Times New Roman" w:hAnsi="Times New Roman" w:eastAsia="仿宋_GB2312" w:cs="Times New Roman"/>
          <w:b w:val="0"/>
          <w:bCs w:val="0"/>
          <w:color w:val="auto"/>
          <w:kern w:val="2"/>
          <w:sz w:val="32"/>
          <w:szCs w:val="32"/>
          <w:highlight w:val="none"/>
          <w:lang w:val="en-US" w:eastAsia="zh-CN" w:bidi="th-TH"/>
        </w:rPr>
        <w:t>以江口港为核心，依托“公铁水”多式联运优势，建设区域性物流枢纽。深化与北部湾国际港务集团柳州西江港务合作，提升港口航运能力，重点吸引钢材、汽车、机械等大宗货物集聚，完善江口港综合交通运输体系，形成完整的临港产业生态圈。加快推进汇智综合物流仓储园等重点项目，整合鹿寨数智木链数字化平台与糖仓项目仓储资源，构建“枢纽+平台+仓储”一体化服务体系，为蔗糖、林木等特色产业提供专业化供应链管理服务。合理布局林业产业专业物流园、农业冷链配送物流园，强化中蔬联·鹿寨智慧农商产业园的集聚效应。完善县、乡、村三级物流配送网络，通过整合快递资源、建设共同配送中心、开通客货邮融合线路等措施，打通农村物流“最后一公里”。支持制造企业将内部物流业务剥离，成立专业物流公司独立运营。推进智慧物流园区建设，打造“数字物流”服务平台，提升物流运营效率和服务质量，有效降低社会物流成本。</w:t>
      </w:r>
    </w:p>
    <w:p w14:paraId="7CC6AC58">
      <w:pPr>
        <w:pStyle w:val="7"/>
        <w:pageBreakBefore w:val="0"/>
        <w:kinsoku/>
        <w:wordWrap/>
        <w:overflowPunct/>
        <w:topLinePunct w:val="0"/>
        <w:bidi w:val="0"/>
        <w:spacing w:line="560" w:lineRule="exact"/>
        <w:ind w:firstLine="643"/>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发展专业科技服务。</w:t>
      </w:r>
      <w:r>
        <w:rPr>
          <w:rFonts w:hint="eastAsia" w:ascii="仿宋_GB2312" w:hAnsi="仿宋_GB2312" w:eastAsia="仿宋_GB2312" w:cs="仿宋_GB2312"/>
          <w:b w:val="0"/>
          <w:bCs w:val="0"/>
          <w:color w:val="auto"/>
          <w:sz w:val="32"/>
          <w:szCs w:val="32"/>
          <w:highlight w:val="none"/>
          <w:lang w:val="en-US" w:eastAsia="zh-CN"/>
        </w:rPr>
        <w:t>以汽车、机械等制造业为重点，加快发展研发设计、检验检测认证、技术转移等科技服务业。支持制造企业分离技术研发、工业设计等服务，提升专业化服务水平。加快推进鹿鸣数据云谷算力中心产业园建设。依托鹿寨数智木链等数字化平台，推动林木交易全流程数字化改造，提升服务机器人、无人机等新兴产业服务水平。支持制造企业剥离服务环节，搭建工业互联网平台，整合运维、供应链金融功能，推动产品向“产品+服务”转型。</w:t>
      </w:r>
    </w:p>
    <w:p w14:paraId="008F7FA4">
      <w:pPr>
        <w:pStyle w:val="7"/>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b w:val="0"/>
          <w:bCs w:val="0"/>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优化金融服务。</w:t>
      </w:r>
      <w:r>
        <w:rPr>
          <w:rFonts w:hint="eastAsia" w:ascii="Times New Roman" w:hAnsi="Times New Roman" w:eastAsia="仿宋_GB2312" w:cs="Times New Roman"/>
          <w:b w:val="0"/>
          <w:bCs w:val="0"/>
          <w:color w:val="auto"/>
          <w:kern w:val="2"/>
          <w:sz w:val="32"/>
          <w:szCs w:val="32"/>
          <w:highlight w:val="none"/>
          <w:lang w:val="en-US" w:eastAsia="zh-CN" w:bidi="th-TH"/>
        </w:rPr>
        <w:t>积极构建与实体经济相适应的现代金融体系，深化政银企合作，定期举办银企对接会。面向科技型企业提供从初创期到成长期的全方位金融服务，加大对科技创新、先进制造、绿色发展等领域研发活动和科技成果转化的金融支持力度。建立科技金融风险分担机制，降低科技企业融资风险。大力发展普惠金融，推广“桂惠贷”“助农贷”“气候贷”等贷款产品。优化融</w:t>
      </w:r>
      <w:r>
        <w:rPr>
          <w:rFonts w:hint="eastAsia" w:ascii="仿宋_GB2312" w:hAnsi="仿宋_GB2312" w:eastAsia="仿宋_GB2312" w:cs="仿宋_GB2312"/>
          <w:b w:val="0"/>
          <w:bCs w:val="0"/>
          <w:color w:val="auto"/>
          <w:kern w:val="2"/>
          <w:sz w:val="32"/>
          <w:szCs w:val="32"/>
          <w:highlight w:val="none"/>
          <w:lang w:val="en-US" w:eastAsia="zh-CN" w:bidi="th-TH"/>
        </w:rPr>
        <w:t>资结构，创新信贷、保险、投资、担保等融资业务。</w:t>
      </w:r>
    </w:p>
    <w:p w14:paraId="0916F6EC">
      <w:pPr>
        <w:pStyle w:val="5"/>
        <w:bidi w:val="0"/>
        <w:jc w:val="center"/>
        <w:outlineLvl w:val="0"/>
        <w:rPr>
          <w:rFonts w:hint="eastAsia"/>
          <w:b w:val="0"/>
          <w:bCs/>
          <w:color w:val="auto"/>
          <w:sz w:val="36"/>
          <w:szCs w:val="36"/>
          <w:highlight w:val="none"/>
          <w:lang w:val="en-US" w:eastAsia="zh-CN"/>
        </w:rPr>
      </w:pPr>
      <w:bookmarkStart w:id="146" w:name="_Toc30403"/>
      <w:bookmarkStart w:id="147" w:name="_Toc9465"/>
      <w:r>
        <w:rPr>
          <w:rFonts w:hint="eastAsia"/>
          <w:b w:val="0"/>
          <w:bCs/>
          <w:color w:val="auto"/>
          <w:sz w:val="36"/>
          <w:szCs w:val="36"/>
          <w:highlight w:val="none"/>
          <w:lang w:val="en-US" w:eastAsia="zh-CN"/>
        </w:rPr>
        <w:t>第三节  推动生活性服务业提质扩容</w:t>
      </w:r>
      <w:bookmarkEnd w:id="146"/>
      <w:bookmarkEnd w:id="147"/>
    </w:p>
    <w:p w14:paraId="533153E2">
      <w:pPr>
        <w:pStyle w:val="7"/>
        <w:pageBreakBefore w:val="0"/>
        <w:kinsoku/>
        <w:wordWrap/>
        <w:overflowPunct/>
        <w:topLinePunct w:val="0"/>
        <w:bidi w:val="0"/>
        <w:spacing w:line="560" w:lineRule="exact"/>
        <w:ind w:firstLine="643"/>
        <w:textAlignment w:val="auto"/>
        <w:rPr>
          <w:rFonts w:hint="eastAsia" w:ascii="Times New Roman" w:hAnsi="Times New Roman" w:eastAsia="仿宋_GB2312" w:cs="Times New Roman"/>
          <w:b w:val="0"/>
          <w:bCs w:val="0"/>
          <w:color w:val="auto"/>
          <w:kern w:val="2"/>
          <w:sz w:val="32"/>
          <w:szCs w:val="32"/>
          <w:highlight w:val="none"/>
          <w:lang w:val="en-US" w:eastAsia="zh-CN" w:bidi="th-TH"/>
        </w:rPr>
      </w:pPr>
      <w:r>
        <w:rPr>
          <w:rFonts w:hint="eastAsia" w:ascii="Times New Roman" w:hAnsi="Times New Roman" w:eastAsia="仿宋_GB2312" w:cs="Times New Roman"/>
          <w:b w:val="0"/>
          <w:bCs w:val="0"/>
          <w:color w:val="auto"/>
          <w:kern w:val="2"/>
          <w:sz w:val="32"/>
          <w:szCs w:val="32"/>
          <w:highlight w:val="none"/>
          <w:lang w:val="en-US" w:eastAsia="zh-CN" w:bidi="th-TH"/>
        </w:rPr>
        <w:t>以满足居民多元化、高品质消费需求为目标，推动生活性服务业向专业化、品牌化、数字化方向转型升级，释放消费潜力，构建供需互促、活力充沛的县域消费新格局。</w:t>
      </w:r>
    </w:p>
    <w:p w14:paraId="508AD0FF">
      <w:pPr>
        <w:pStyle w:val="7"/>
        <w:pageBreakBefore w:val="0"/>
        <w:kinsoku/>
        <w:wordWrap/>
        <w:overflowPunct/>
        <w:topLinePunct w:val="0"/>
        <w:bidi w:val="0"/>
        <w:spacing w:line="560" w:lineRule="exact"/>
        <w:ind w:left="0" w:leftChars="0" w:firstLine="643"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th-TH"/>
        </w:rPr>
        <w:t>优化全龄友好型服务供给。</w:t>
      </w:r>
      <w:r>
        <w:rPr>
          <w:rFonts w:hint="default" w:ascii="仿宋_GB2312" w:hAnsi="仿宋_GB2312" w:eastAsia="仿宋_GB2312" w:cs="仿宋_GB2312"/>
          <w:color w:val="auto"/>
          <w:kern w:val="2"/>
          <w:sz w:val="32"/>
          <w:szCs w:val="32"/>
          <w:highlight w:val="none"/>
          <w:lang w:val="en-US" w:eastAsia="zh-CN" w:bidi="ar-SA"/>
        </w:rPr>
        <w:t>围绕“一老一小”</w:t>
      </w:r>
      <w:r>
        <w:rPr>
          <w:rFonts w:hint="eastAsia" w:ascii="仿宋_GB2312" w:hAnsi="仿宋_GB2312" w:eastAsia="仿宋_GB2312" w:cs="仿宋_GB2312"/>
          <w:color w:val="auto"/>
          <w:kern w:val="2"/>
          <w:sz w:val="32"/>
          <w:szCs w:val="32"/>
          <w:highlight w:val="none"/>
          <w:lang w:val="en-US" w:eastAsia="zh-CN" w:bidi="ar-SA"/>
        </w:rPr>
        <w:t>及青年等</w:t>
      </w:r>
      <w:r>
        <w:rPr>
          <w:rFonts w:hint="default" w:ascii="仿宋_GB2312" w:hAnsi="仿宋_GB2312" w:eastAsia="仿宋_GB2312" w:cs="仿宋_GB2312"/>
          <w:color w:val="auto"/>
          <w:kern w:val="2"/>
          <w:sz w:val="32"/>
          <w:szCs w:val="32"/>
          <w:highlight w:val="none"/>
          <w:lang w:val="en-US" w:eastAsia="zh-CN" w:bidi="ar-SA"/>
        </w:rPr>
        <w:t>重点群体，</w:t>
      </w:r>
      <w:r>
        <w:rPr>
          <w:rFonts w:hint="eastAsia" w:ascii="仿宋_GB2312" w:hAnsi="仿宋_GB2312" w:eastAsia="仿宋_GB2312" w:cs="仿宋_GB2312"/>
          <w:color w:val="auto"/>
          <w:kern w:val="2"/>
          <w:sz w:val="32"/>
          <w:szCs w:val="32"/>
          <w:highlight w:val="none"/>
          <w:lang w:val="en-US" w:eastAsia="zh-CN" w:bidi="ar-SA"/>
        </w:rPr>
        <w:t>系统完善服务体系。建立健全县、乡、村三级养老服务网络，推动养老机构与县级医院、乡镇卫生院深化协作，通过绿色通道开通、巡诊服务点设立、远程诊疗开展等形式，促进医养资源高效衔接。推广智慧养老模式，依托社区综合信息平台，为居家老年人提供一键呼叫、健康监测、安全预警等智能化服务。统筹发展普惠托育服务，支持有条件的公办幼儿园探索开设托育班，鼓励社会力量兴办普惠性托育机构。发挥政府投资引导作用，带动社会资本参与，加快构建多元投入机制，稳步增加</w:t>
      </w:r>
      <w:r>
        <w:rPr>
          <w:rFonts w:hint="default" w:ascii="Times New Roman" w:hAnsi="Times New Roman" w:eastAsia="仿宋_GB2312" w:cs="Times New Roman"/>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en-US" w:eastAsia="zh-CN" w:bidi="ar-SA"/>
        </w:rPr>
        <w:t>岁以下婴幼儿普惠性托位供给。合理规划布局儿童乐园、亲子农场、研学基地等设施，满足多样化育儿需求。着力打造青年发展友好型县域，持续优化就业创业生态，加强青年职业技能培训，完善创业孵化、政策咨询等一站式服务支撑。配套建设符合青年特点的文化、体育、社交设施，丰富优质休闲娱乐供给。强化青年人才服务保障，在住房、子女教育、医疗等方面提供支持，提升青年对鹿寨的归属感与认同感，推动</w:t>
      </w:r>
      <w:r>
        <w:rPr>
          <w:rFonts w:hint="eastAsia" w:ascii="仿宋_GB2312" w:hAnsi="仿宋_GB2312" w:eastAsia="仿宋_GB2312" w:cs="仿宋_GB2312"/>
          <w:b w:val="0"/>
          <w:bCs w:val="0"/>
          <w:color w:val="auto"/>
          <w:kern w:val="2"/>
          <w:sz w:val="32"/>
          <w:szCs w:val="32"/>
          <w:highlight w:val="none"/>
          <w:lang w:val="en-US" w:eastAsia="zh-CN" w:bidi="ar-SA"/>
        </w:rPr>
        <w:t>青年与鹿寨共同成长和可持续发展。</w:t>
      </w:r>
    </w:p>
    <w:p w14:paraId="4885E992">
      <w:pPr>
        <w:pStyle w:val="7"/>
        <w:pageBreakBefore w:val="0"/>
        <w:kinsoku/>
        <w:wordWrap/>
        <w:overflowPunct/>
        <w:topLinePunct w:val="0"/>
        <w:bidi w:val="0"/>
        <w:spacing w:line="560" w:lineRule="exact"/>
        <w:ind w:firstLine="643"/>
        <w:textAlignment w:val="auto"/>
        <w:rPr>
          <w:rFonts w:hint="eastAsia" w:ascii="Times New Roman" w:hAnsi="Times New Roman" w:eastAsia="仿宋_GB2312" w:cs="Times New Roman"/>
          <w:b/>
          <w:bCs/>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提升服务专业化与品牌化水平。</w:t>
      </w:r>
      <w:r>
        <w:rPr>
          <w:rFonts w:hint="eastAsia" w:ascii="Times New Roman" w:hAnsi="Times New Roman" w:eastAsia="仿宋_GB2312" w:cs="Times New Roman"/>
          <w:b w:val="0"/>
          <w:bCs w:val="0"/>
          <w:color w:val="auto"/>
          <w:kern w:val="2"/>
          <w:sz w:val="32"/>
          <w:szCs w:val="32"/>
          <w:highlight w:val="none"/>
          <w:lang w:val="en-US" w:eastAsia="zh-CN" w:bidi="th-TH"/>
        </w:rPr>
        <w:t>健全生活性服务业标准体系，完善重点行业服务规范，推动批发、餐饮和住宿等行业实施质量认证。支持本地企业开展品牌培育，挖掘鹿寨传统特色商业资源，传承与发展具有本土根基的服务品牌，打造一批具有区域影响力的服务品牌。鼓励企业建立专业培训机制，提升从业人员服务技能与职业素养，保障服务品质的规范性与一致性。积极推广绿色服务理念，在零售等行业落实节能环保标准，增强服务业可持续发展能力。</w:t>
      </w:r>
    </w:p>
    <w:p w14:paraId="13EA9D05">
      <w:pPr>
        <w:pStyle w:val="7"/>
        <w:pageBreakBefore w:val="0"/>
        <w:kinsoku/>
        <w:wordWrap/>
        <w:overflowPunct/>
        <w:topLinePunct w:val="0"/>
        <w:bidi w:val="0"/>
        <w:spacing w:line="560" w:lineRule="exact"/>
        <w:ind w:left="0" w:leftChars="0" w:firstLine="643"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推动服务业数字化转型与业态创新。</w:t>
      </w:r>
      <w:r>
        <w:rPr>
          <w:rFonts w:hint="eastAsia" w:ascii="Times New Roman" w:hAnsi="Times New Roman" w:eastAsia="仿宋_GB2312" w:cs="Times New Roman"/>
          <w:b w:val="0"/>
          <w:bCs w:val="0"/>
          <w:color w:val="auto"/>
          <w:kern w:val="2"/>
          <w:sz w:val="32"/>
          <w:szCs w:val="32"/>
          <w:highlight w:val="none"/>
          <w:lang w:val="en-US" w:eastAsia="zh-CN" w:bidi="th-TH"/>
        </w:rPr>
        <w:t>加快生活性服务业数字化融合进程，支持企业应用大数据、人工智能等技术优化服务流程，建设智慧餐饮平台、数字健康管理系统等，提升服务精准性与效率。鼓励业态跨界融合，积极发展“服务+体验”新模式，结合文旅资源开发定制化旅游产品，依托社区平台整合家政、养老、维修等服务，探索“一站式”生活解决方案。培育共享经济、夜间经济等新业态，利用非遗传习社、创意工坊等载体，丰富服务供给内容，增强服务业发展新动能。</w:t>
      </w:r>
    </w:p>
    <w:p w14:paraId="5924FA37">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b w:val="0"/>
          <w:bCs/>
          <w:color w:val="auto"/>
          <w:sz w:val="36"/>
          <w:szCs w:val="36"/>
          <w:highlight w:val="none"/>
          <w:lang w:val="en-US" w:eastAsia="zh-CN"/>
        </w:rPr>
      </w:pPr>
      <w:bookmarkStart w:id="148" w:name="_Toc21855"/>
      <w:bookmarkStart w:id="149" w:name="_Toc11716"/>
      <w:r>
        <w:rPr>
          <w:rFonts w:hint="eastAsia" w:ascii="黑体" w:hAnsi="黑体" w:eastAsia="黑体" w:cs="黑体"/>
          <w:b w:val="0"/>
          <w:bCs/>
          <w:color w:val="auto"/>
          <w:sz w:val="36"/>
          <w:szCs w:val="36"/>
          <w:highlight w:val="none"/>
          <w:lang w:val="en-US" w:eastAsia="zh-CN"/>
        </w:rPr>
        <w:t>第</w:t>
      </w:r>
      <w:r>
        <w:rPr>
          <w:rFonts w:hint="eastAsia" w:ascii="黑体" w:hAnsi="黑体" w:cs="黑体"/>
          <w:b w:val="0"/>
          <w:bCs/>
          <w:color w:val="auto"/>
          <w:sz w:val="36"/>
          <w:szCs w:val="36"/>
          <w:highlight w:val="none"/>
          <w:lang w:val="en-US" w:eastAsia="zh-CN"/>
        </w:rPr>
        <w:t>四</w:t>
      </w:r>
      <w:r>
        <w:rPr>
          <w:rFonts w:hint="eastAsia" w:ascii="黑体" w:hAnsi="黑体" w:eastAsia="黑体" w:cs="黑体"/>
          <w:b w:val="0"/>
          <w:bCs/>
          <w:color w:val="auto"/>
          <w:sz w:val="36"/>
          <w:szCs w:val="36"/>
          <w:highlight w:val="none"/>
          <w:lang w:val="en-US" w:eastAsia="zh-CN"/>
        </w:rPr>
        <w:t xml:space="preserve">节  </w:t>
      </w:r>
      <w:r>
        <w:rPr>
          <w:rFonts w:hint="eastAsia" w:ascii="黑体" w:hAnsi="黑体" w:cs="黑体"/>
          <w:b w:val="0"/>
          <w:bCs/>
          <w:color w:val="auto"/>
          <w:sz w:val="36"/>
          <w:szCs w:val="36"/>
          <w:highlight w:val="none"/>
          <w:lang w:val="en-US" w:eastAsia="zh-CN"/>
        </w:rPr>
        <w:t>积极培育消费新动能</w:t>
      </w:r>
      <w:bookmarkEnd w:id="148"/>
      <w:bookmarkEnd w:id="149"/>
    </w:p>
    <w:p w14:paraId="6679D87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以深化县域商业体系建设为核心，通过培育多元消费场景、优化城乡商业网络、挖掘农村消费潜力、营造优良消费环境，全面激发内需潜力，推动消费能级持续提升。</w:t>
      </w:r>
    </w:p>
    <w:p w14:paraId="45E0603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培育多元消费场景。</w:t>
      </w:r>
      <w:r>
        <w:rPr>
          <w:rFonts w:hint="eastAsia" w:ascii="仿宋_GB2312" w:hAnsi="仿宋_GB2312" w:eastAsia="仿宋_GB2312" w:cs="仿宋_GB2312"/>
          <w:b w:val="0"/>
          <w:bCs w:val="0"/>
          <w:color w:val="auto"/>
          <w:kern w:val="2"/>
          <w:sz w:val="32"/>
          <w:szCs w:val="32"/>
          <w:highlight w:val="none"/>
          <w:lang w:val="en-US" w:eastAsia="zh-CN" w:bidi="ar-SA"/>
        </w:rPr>
        <w:t>打造持续性区域消费热点，持续办好“一乡一节”，常态化举办“鹿商节”等特色节庆活动，依托县城核心商圈、特色街区及鹿寨汽车站夜市美食广场，联动绿廊、夜市鹿化美食街，引入非遗展示、创意市集、体育赛事、演艺娱乐等多元业态，举办啤酒狂欢节、音乐节等娱乐活动，积极发展赛事经济、演艺经济等消费新业态，构建“食、游、购、娱、体”一体化夜间消费体系，丰富消费供给。推动文旅消费深度融合，全面提升中渡古镇、香桥岩溶国家地质公园等核心景区的品牌影响力，增强对外地游客的吸引力。积极开发拉沟五家、响水石林等景区露营基地，鼓励本地游客周末就近旅游，带动县内住宿业发展。将消费场景深度嵌入旅游路线，开发赛事周边和文创产品，推动游客“流量”转化为实际“销量”。紧抓住房、汽车、家居等消费激励政策窗口，在春节、中秋、国庆等重要节点，通过政府引导、企业参与等方式，鼓励商超发放消费券，带动大额商品消费，促进零售业提质扩容。依托鹿寨化工、林木加工、机械汽配等主导产业优势，深化“链长制”精准招商，拓展工业设计、供应链管理、检验检测认证等生产性服务业，鼓励制造业企业向“制造+服务”系统解决方案提供商转型，推动“鹿寨制造”与本地服务市场深度融合，构建“两业融合”发展新生态。</w:t>
      </w:r>
    </w:p>
    <w:p w14:paraId="7F86989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积极拓展绿色消费和农产品消费。</w:t>
      </w:r>
      <w:r>
        <w:rPr>
          <w:rFonts w:hint="eastAsia" w:ascii="仿宋_GB2312" w:hAnsi="仿宋_GB2312" w:eastAsia="仿宋_GB2312" w:cs="仿宋_GB2312"/>
          <w:b w:val="0"/>
          <w:bCs w:val="0"/>
          <w:color w:val="auto"/>
          <w:kern w:val="2"/>
          <w:sz w:val="32"/>
          <w:szCs w:val="32"/>
          <w:highlight w:val="none"/>
          <w:lang w:val="en-US" w:eastAsia="zh-CN" w:bidi="ar-SA"/>
        </w:rPr>
        <w:t>把握消费升级新趋势与新理念，在稳定传统大宗消费、巩固传统农产品消费的基础上，着力扩大新能源汽车、电子产品等大宗消费规模，以及绿色、有机、地理标志等优质农产品消费规模。创新打造“旧房新装”“鹿寨焕新”等本土服务品牌，提供从设计、安装、售后到产地直采、品质溯源、配送入户的一站式服务体验。持续扩大智能家居产品以旧换新覆盖面，积极发展直播电商、智慧零售、社区团购等新业态，推广线上线下融合、“线上订购</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线下体验”“订单农业</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集中配送”等新模式，不断拓展绿色消费、体验消费、营养健康消费、生态低碳消费等新增长点。</w:t>
      </w:r>
    </w:p>
    <w:p w14:paraId="71D0E64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b/>
          <w:bCs/>
          <w:color w:val="auto"/>
          <w:kern w:val="2"/>
          <w:sz w:val="32"/>
          <w:szCs w:val="32"/>
          <w:highlight w:val="none"/>
          <w:lang w:val="en-US" w:eastAsia="zh-CN" w:bidi="ar-SA"/>
        </w:rPr>
        <w:t>优化城乡商业网络</w:t>
      </w:r>
      <w:r>
        <w:rPr>
          <w:rFonts w:hint="eastAsia" w:ascii="仿宋_GB2312" w:hAnsi="仿宋_GB2312"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以鸿泰名邸、天禾广场等核心商圈为重点，推进业态升级与环境改造，提升消费体验与服务能级。加快建设天麓广场等休闲消费场所，丰富商业功能。完善社区商业配套，激发社区商业活力，推动商业设施从“有”向“优”转变。支持大型商超向社区综合服务体转型，拓展服务内容。健全农产品流通体系。加快推进中蔬联·鹿寨智慧农商产业园建设，打造集仓储、配送、信息于一体的区域性农产品流通枢纽，保障市场供应与价格稳定。持续推进乡镇农贸市场标准化改造，推广“智慧农贸市场”模式，完善配套基础设施。完善农村商业与物流网络，</w:t>
      </w:r>
      <w:r>
        <w:rPr>
          <w:rFonts w:hint="eastAsia" w:ascii="仿宋_GB2312" w:hAnsi="仿宋_GB2312" w:eastAsia="仿宋_GB2312" w:cs="仿宋_GB2312"/>
          <w:color w:val="auto"/>
          <w:kern w:val="2"/>
          <w:sz w:val="32"/>
          <w:szCs w:val="32"/>
          <w:highlight w:val="none"/>
          <w:lang w:val="en-US" w:eastAsia="zh-CN" w:bidi="ar-SA"/>
        </w:rPr>
        <w:t>引导商贸流通企业供应链下沉，为农村提供直供直销、统一配送等服务，</w:t>
      </w:r>
      <w:r>
        <w:rPr>
          <w:rFonts w:hint="eastAsia" w:ascii="仿宋_GB2312" w:hAnsi="仿宋_GB2312" w:eastAsia="仿宋_GB2312" w:cs="仿宋_GB2312"/>
          <w:b w:val="0"/>
          <w:bCs w:val="0"/>
          <w:color w:val="auto"/>
          <w:kern w:val="2"/>
          <w:sz w:val="32"/>
          <w:szCs w:val="32"/>
          <w:highlight w:val="none"/>
          <w:lang w:val="en-US" w:eastAsia="zh-CN" w:bidi="ar-SA"/>
        </w:rPr>
        <w:t>规范化运营村级便民商店，整合日用消费品销售、电商服务等功能。结合“快递进村”工程，发展统仓共配模式，建设县域物流枢纽，畅通城乡双向流通渠道，打通物流“最后一公里”，降低农村物流成本，为扩大农村消费提供支撑。</w:t>
      </w:r>
      <w:r>
        <w:rPr>
          <w:rFonts w:hint="eastAsia" w:ascii="仿宋_GB2312" w:hAnsi="仿宋_GB2312" w:eastAsia="仿宋_GB2312" w:cs="仿宋_GB2312"/>
          <w:color w:val="auto"/>
          <w:kern w:val="2"/>
          <w:sz w:val="32"/>
          <w:szCs w:val="32"/>
          <w:highlight w:val="none"/>
          <w:lang w:val="en-US" w:eastAsia="zh-CN" w:bidi="ar-SA"/>
        </w:rPr>
        <w:t>加强市场监管和消费者权益保护，完善质量追溯体系和投诉渠道，提振消费信心与吸引力。</w:t>
      </w: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3F22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9071" w:type="dxa"/>
            <w:vAlign w:val="center"/>
          </w:tcPr>
          <w:p w14:paraId="4AC6B923">
            <w:pPr>
              <w:pStyle w:val="53"/>
              <w:keepNext/>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line="560" w:lineRule="exact"/>
              <w:ind w:left="0" w:leftChars="0" w:right="0" w:rightChars="0"/>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5</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1</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现代服务业</w:t>
            </w:r>
            <w:r>
              <w:rPr>
                <w:rFonts w:hint="default" w:ascii="Times New Roman" w:hAnsi="Times New Roman" w:eastAsia="方正小标宋简体" w:cs="Times New Roman"/>
                <w:b w:val="0"/>
                <w:bCs w:val="0"/>
                <w:color w:val="auto"/>
                <w:highlight w:val="none"/>
              </w:rPr>
              <w:t>重</w:t>
            </w:r>
            <w:r>
              <w:rPr>
                <w:rFonts w:hint="default" w:ascii="Times New Roman" w:hAnsi="Times New Roman" w:eastAsia="方正小标宋简体" w:cs="Times New Roman"/>
                <w:b w:val="0"/>
                <w:bCs w:val="0"/>
                <w:color w:val="auto"/>
                <w:highlight w:val="none"/>
                <w:lang w:val="en-US" w:eastAsia="zh-CN"/>
              </w:rPr>
              <w:t>点</w:t>
            </w:r>
            <w:r>
              <w:rPr>
                <w:rFonts w:hint="default" w:ascii="Times New Roman" w:hAnsi="Times New Roman" w:eastAsia="方正小标宋简体" w:cs="Times New Roman"/>
                <w:b w:val="0"/>
                <w:bCs w:val="0"/>
                <w:color w:val="auto"/>
                <w:highlight w:val="none"/>
              </w:rPr>
              <w:t>项目</w:t>
            </w:r>
          </w:p>
        </w:tc>
      </w:tr>
      <w:tr w14:paraId="797B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9071" w:type="dxa"/>
            <w:vAlign w:val="center"/>
          </w:tcPr>
          <w:p w14:paraId="15EAE2C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line="400" w:lineRule="exact"/>
              <w:ind w:left="0" w:leftChars="0" w:right="0" w:rightChars="0" w:firstLine="560" w:firstLineChars="200"/>
              <w:jc w:val="left"/>
              <w:textAlignment w:val="auto"/>
              <w:rPr>
                <w:rFonts w:hint="default" w:ascii="仿宋_GB2312" w:eastAsia="仿宋_GB2312"/>
                <w:color w:val="auto"/>
                <w:sz w:val="28"/>
                <w:szCs w:val="28"/>
                <w:highlight w:val="none"/>
                <w:lang w:val="en-US" w:eastAsia="zh-CN"/>
              </w:rPr>
            </w:pPr>
            <w:r>
              <w:rPr>
                <w:rFonts w:hint="eastAsia" w:ascii="Times New Roman" w:hAnsi="Times New Roman" w:eastAsia="仿宋_GB2312" w:cs="Times New Roman"/>
                <w:b w:val="0"/>
                <w:bCs/>
                <w:color w:val="auto"/>
                <w:sz w:val="28"/>
                <w:szCs w:val="28"/>
                <w:highlight w:val="none"/>
                <w:lang w:val="en-US" w:eastAsia="zh-CN"/>
              </w:rPr>
              <w:t>推进智慧物流园、汇智综合物流仓储园、江口仓储物流基地、新材料仓储物流设施、中渡仓储物流中心、特色农产品冷链物流基地、全季酒店宴会中心、天麓广场、龙头山公墓等项目；谋划托育综合服务中心、嵌入式养老设施等“一老一小”项目、龙凤陵园二期、鹿寨公墓、龙岭公园等项目。</w:t>
            </w:r>
          </w:p>
        </w:tc>
      </w:tr>
    </w:tbl>
    <w:p w14:paraId="46646DB0">
      <w:pPr>
        <w:rPr>
          <w:rFonts w:hint="eastAsia"/>
          <w:color w:val="auto"/>
          <w:lang w:val="en-US" w:eastAsia="zh-CN"/>
        </w:rPr>
      </w:pPr>
      <w:bookmarkStart w:id="150" w:name="_Toc19218"/>
      <w:bookmarkStart w:id="151" w:name="_Toc19208"/>
      <w:bookmarkStart w:id="152" w:name="_Toc17011"/>
      <w:bookmarkStart w:id="153" w:name="_Toc16854"/>
    </w:p>
    <w:p w14:paraId="2D88A1C9">
      <w:pPr>
        <w:rPr>
          <w:rFonts w:hint="eastAsia"/>
          <w:color w:val="auto"/>
          <w:lang w:val="en-US" w:eastAsia="zh-CN"/>
        </w:rPr>
      </w:pPr>
    </w:p>
    <w:p w14:paraId="009B19A6">
      <w:pPr>
        <w:rPr>
          <w:rFonts w:hint="eastAsia"/>
          <w:color w:val="auto"/>
          <w:lang w:val="en-US" w:eastAsia="zh-CN"/>
        </w:rPr>
      </w:pPr>
    </w:p>
    <w:p w14:paraId="186A5251">
      <w:pPr>
        <w:pStyle w:val="2"/>
        <w:bidi w:val="0"/>
        <w:rPr>
          <w:rFonts w:hint="eastAsia"/>
          <w:color w:val="auto"/>
          <w:lang w:val="en-US" w:eastAsia="zh-CN"/>
        </w:rPr>
      </w:pPr>
    </w:p>
    <w:p w14:paraId="0FBA5C80">
      <w:pPr>
        <w:pStyle w:val="2"/>
        <w:bidi w:val="0"/>
        <w:rPr>
          <w:rFonts w:hint="eastAsia"/>
          <w:color w:val="auto"/>
          <w:lang w:val="en-US" w:eastAsia="zh-CN"/>
        </w:rPr>
      </w:pPr>
    </w:p>
    <w:p w14:paraId="5324EF06">
      <w:pPr>
        <w:pStyle w:val="2"/>
        <w:bidi w:val="0"/>
        <w:rPr>
          <w:rFonts w:hint="eastAsia"/>
          <w:color w:val="auto"/>
          <w:lang w:val="en-US" w:eastAsia="zh-CN"/>
        </w:rPr>
      </w:pPr>
    </w:p>
    <w:p w14:paraId="386B26CF">
      <w:pPr>
        <w:pStyle w:val="2"/>
        <w:bidi w:val="0"/>
        <w:rPr>
          <w:rFonts w:hint="eastAsia"/>
          <w:color w:val="auto"/>
          <w:lang w:val="en-US" w:eastAsia="zh-CN"/>
        </w:rPr>
      </w:pPr>
    </w:p>
    <w:p w14:paraId="1652BEB3">
      <w:pPr>
        <w:pStyle w:val="2"/>
        <w:bidi w:val="0"/>
        <w:rPr>
          <w:rFonts w:hint="eastAsia"/>
          <w:color w:val="auto"/>
          <w:lang w:val="en-US" w:eastAsia="zh-CN"/>
        </w:rPr>
      </w:pPr>
    </w:p>
    <w:p w14:paraId="2DC71F59">
      <w:pPr>
        <w:pStyle w:val="2"/>
        <w:bidi w:val="0"/>
        <w:rPr>
          <w:rFonts w:hint="eastAsia"/>
          <w:color w:val="auto"/>
          <w:lang w:val="en-US" w:eastAsia="zh-CN"/>
        </w:rPr>
      </w:pPr>
    </w:p>
    <w:p w14:paraId="5EF60CD0">
      <w:pPr>
        <w:pStyle w:val="2"/>
        <w:bidi w:val="0"/>
        <w:rPr>
          <w:rFonts w:hint="eastAsia"/>
          <w:color w:val="auto"/>
          <w:lang w:val="en-US" w:eastAsia="zh-CN"/>
        </w:rPr>
      </w:pPr>
    </w:p>
    <w:p w14:paraId="4A2DA798">
      <w:pPr>
        <w:pStyle w:val="2"/>
        <w:bidi w:val="0"/>
        <w:rPr>
          <w:rFonts w:hint="eastAsia"/>
          <w:color w:val="auto"/>
          <w:lang w:val="en-US" w:eastAsia="zh-CN"/>
        </w:rPr>
      </w:pPr>
    </w:p>
    <w:p w14:paraId="56652860">
      <w:pPr>
        <w:pStyle w:val="2"/>
        <w:bidi w:val="0"/>
        <w:rPr>
          <w:rFonts w:hint="eastAsia"/>
          <w:color w:val="auto"/>
          <w:lang w:val="en-US" w:eastAsia="zh-CN"/>
        </w:rPr>
      </w:pPr>
    </w:p>
    <w:p w14:paraId="3264507B">
      <w:pPr>
        <w:pStyle w:val="2"/>
        <w:bidi w:val="0"/>
        <w:rPr>
          <w:rFonts w:hint="eastAsia"/>
          <w:color w:val="auto"/>
          <w:lang w:val="en-US" w:eastAsia="zh-CN"/>
        </w:rPr>
      </w:pPr>
    </w:p>
    <w:p w14:paraId="3B3AC958">
      <w:pPr>
        <w:pStyle w:val="2"/>
        <w:bidi w:val="0"/>
        <w:rPr>
          <w:rFonts w:hint="eastAsia"/>
          <w:color w:val="auto"/>
          <w:lang w:val="en-US" w:eastAsia="zh-CN"/>
        </w:rPr>
      </w:pPr>
    </w:p>
    <w:p w14:paraId="4D7918C3">
      <w:pPr>
        <w:pStyle w:val="2"/>
        <w:bidi w:val="0"/>
        <w:rPr>
          <w:rFonts w:hint="eastAsia"/>
          <w:color w:val="auto"/>
          <w:lang w:val="en-US" w:eastAsia="zh-CN"/>
        </w:rPr>
      </w:pPr>
    </w:p>
    <w:p w14:paraId="214030C4">
      <w:pPr>
        <w:pStyle w:val="2"/>
        <w:bidi w:val="0"/>
        <w:rPr>
          <w:rFonts w:hint="eastAsia"/>
          <w:color w:val="auto"/>
          <w:lang w:val="en-US" w:eastAsia="zh-CN"/>
        </w:rPr>
      </w:pPr>
    </w:p>
    <w:p w14:paraId="1017E58C">
      <w:pPr>
        <w:pStyle w:val="2"/>
        <w:bidi w:val="0"/>
        <w:rPr>
          <w:rFonts w:hint="eastAsia"/>
          <w:color w:val="auto"/>
          <w:lang w:val="en-US" w:eastAsia="zh-CN"/>
        </w:rPr>
      </w:pPr>
    </w:p>
    <w:p w14:paraId="51056887">
      <w:pPr>
        <w:pStyle w:val="2"/>
        <w:bidi w:val="0"/>
        <w:rPr>
          <w:rFonts w:hint="eastAsia"/>
          <w:color w:val="auto"/>
          <w:lang w:val="en-US" w:eastAsia="zh-CN"/>
        </w:rPr>
      </w:pPr>
    </w:p>
    <w:p w14:paraId="7196F651">
      <w:pPr>
        <w:pStyle w:val="2"/>
        <w:bidi w:val="0"/>
        <w:rPr>
          <w:rFonts w:hint="eastAsia"/>
          <w:color w:val="auto"/>
          <w:lang w:val="en-US" w:eastAsia="zh-CN"/>
        </w:rPr>
      </w:pPr>
    </w:p>
    <w:p w14:paraId="2BD21E75">
      <w:pPr>
        <w:pStyle w:val="2"/>
        <w:bidi w:val="0"/>
        <w:rPr>
          <w:rFonts w:hint="eastAsia"/>
          <w:color w:val="auto"/>
          <w:lang w:val="en-US" w:eastAsia="zh-CN"/>
        </w:rPr>
      </w:pPr>
    </w:p>
    <w:p w14:paraId="59A06607">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z w:val="44"/>
          <w:highlight w:val="none"/>
          <w:lang w:val="en-US" w:eastAsia="zh-CN"/>
        </w:rPr>
      </w:pPr>
      <w:r>
        <w:rPr>
          <w:rFonts w:hint="eastAsia" w:ascii="方正小标宋简体" w:hAnsi="方正小标宋简体" w:eastAsia="方正小标宋简体" w:cs="方正小标宋简体"/>
          <w:b w:val="0"/>
          <w:bCs/>
          <w:color w:val="auto"/>
          <w:sz w:val="44"/>
          <w:highlight w:val="none"/>
          <w:lang w:val="en-US" w:eastAsia="zh-CN"/>
        </w:rPr>
        <w:t>第六章</w:t>
      </w:r>
      <w:bookmarkEnd w:id="150"/>
      <w:bookmarkEnd w:id="151"/>
      <w:bookmarkEnd w:id="152"/>
      <w:bookmarkEnd w:id="153"/>
      <w:bookmarkStart w:id="154" w:name="_Toc30351"/>
      <w:bookmarkStart w:id="155" w:name="_Toc25827"/>
    </w:p>
    <w:p w14:paraId="3C79D08F">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56" w:name="_Toc15127"/>
      <w:bookmarkStart w:id="157" w:name="_Toc5351"/>
      <w:r>
        <w:rPr>
          <w:rFonts w:hint="eastAsia" w:ascii="方正小标宋简体" w:hAnsi="方正小标宋简体" w:eastAsia="方正小标宋简体" w:cs="方正小标宋简体"/>
          <w:b w:val="0"/>
          <w:bCs/>
          <w:color w:val="auto"/>
          <w:sz w:val="44"/>
          <w:highlight w:val="none"/>
          <w:lang w:val="en-US" w:eastAsia="zh-CN"/>
        </w:rPr>
        <w:t>推动乡村全面振兴  加快农业农村现代化</w:t>
      </w:r>
      <w:bookmarkEnd w:id="154"/>
      <w:bookmarkEnd w:id="155"/>
      <w:bookmarkEnd w:id="156"/>
      <w:bookmarkEnd w:id="157"/>
    </w:p>
    <w:p w14:paraId="6940961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bookmarkStart w:id="158" w:name="_Toc7829"/>
      <w:bookmarkStart w:id="159" w:name="_Toc10941"/>
      <w:r>
        <w:rPr>
          <w:rFonts w:hint="eastAsia" w:ascii="仿宋_GB2312" w:hAnsi="仿宋_GB2312" w:eastAsia="仿宋_GB2312" w:cs="仿宋_GB2312"/>
          <w:color w:val="auto"/>
          <w:kern w:val="2"/>
          <w:sz w:val="32"/>
          <w:szCs w:val="32"/>
          <w:highlight w:val="none"/>
          <w:lang w:val="en-US" w:eastAsia="zh-CN" w:bidi="ar-SA"/>
        </w:rPr>
        <w:t>深入贯彻落实国家乡村全面振兴战略，健全多元投入机制，分类有序、片区化推进乡村振兴。统筹推进科技农业、绿色农业、质量农业、品牌农业建设，加快构建现代化农业产业体系，持续提升农业现代化水平，为推进乡村全面振兴提供坚实支撑。</w:t>
      </w:r>
    </w:p>
    <w:bookmarkEnd w:id="158"/>
    <w:bookmarkEnd w:id="159"/>
    <w:p w14:paraId="5DE23609">
      <w:pPr>
        <w:pStyle w:val="5"/>
        <w:keepNext/>
        <w:keepLines/>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0"/>
        <w:rPr>
          <w:rFonts w:hint="eastAsia" w:ascii="黑体" w:hAnsi="黑体" w:eastAsia="黑体" w:cs="黑体"/>
          <w:b w:val="0"/>
          <w:bCs w:val="0"/>
          <w:color w:val="auto"/>
          <w:sz w:val="36"/>
          <w:szCs w:val="36"/>
          <w:highlight w:val="none"/>
          <w:lang w:val="zh-TW"/>
        </w:rPr>
      </w:pPr>
      <w:bookmarkStart w:id="160" w:name="_Toc26212"/>
      <w:bookmarkStart w:id="161" w:name="_Toc9883"/>
      <w:bookmarkStart w:id="162" w:name="_Toc4066"/>
      <w:bookmarkStart w:id="163" w:name="_Toc4127"/>
      <w:r>
        <w:rPr>
          <w:rFonts w:hint="eastAsia" w:ascii="黑体" w:hAnsi="黑体" w:eastAsia="黑体" w:cs="黑体"/>
          <w:b w:val="0"/>
          <w:bCs w:val="0"/>
          <w:color w:val="auto"/>
          <w:sz w:val="36"/>
          <w:szCs w:val="36"/>
          <w:highlight w:val="none"/>
          <w:lang w:val="en-US" w:eastAsia="zh-CN" w:bidi="ar-SA"/>
        </w:rPr>
        <w:t>第一节</w:t>
      </w:r>
      <w:bookmarkStart w:id="164" w:name="_Toc12645"/>
      <w:bookmarkStart w:id="165" w:name="_Toc4699"/>
      <w:r>
        <w:rPr>
          <w:rFonts w:hint="eastAsia" w:ascii="黑体" w:hAnsi="黑体" w:eastAsia="黑体" w:cs="黑体"/>
          <w:b w:val="0"/>
          <w:bCs w:val="0"/>
          <w:color w:val="auto"/>
          <w:sz w:val="36"/>
          <w:szCs w:val="36"/>
          <w:highlight w:val="none"/>
          <w:lang w:val="en-US" w:eastAsia="zh-CN" w:bidi="ar-SA"/>
        </w:rPr>
        <w:t xml:space="preserve">  </w:t>
      </w:r>
      <w:r>
        <w:rPr>
          <w:rFonts w:hint="eastAsia" w:ascii="黑体" w:hAnsi="黑体" w:eastAsia="黑体" w:cs="黑体"/>
          <w:b w:val="0"/>
          <w:bCs w:val="0"/>
          <w:color w:val="auto"/>
          <w:sz w:val="36"/>
          <w:szCs w:val="36"/>
          <w:highlight w:val="none"/>
          <w:lang w:val="en-US" w:eastAsia="zh-CN"/>
        </w:rPr>
        <w:t>优化</w:t>
      </w:r>
      <w:r>
        <w:rPr>
          <w:rFonts w:hint="eastAsia" w:ascii="黑体" w:hAnsi="黑体" w:eastAsia="黑体" w:cs="黑体"/>
          <w:b w:val="0"/>
          <w:bCs w:val="0"/>
          <w:color w:val="auto"/>
          <w:sz w:val="36"/>
          <w:szCs w:val="36"/>
          <w:highlight w:val="none"/>
          <w:lang w:val="zh-TW"/>
        </w:rPr>
        <w:t>现代农业发展布局</w:t>
      </w:r>
      <w:bookmarkEnd w:id="160"/>
      <w:bookmarkEnd w:id="161"/>
      <w:bookmarkEnd w:id="164"/>
      <w:bookmarkEnd w:id="165"/>
    </w:p>
    <w:p w14:paraId="1F2824E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val="0"/>
        <w:autoSpaceDN w:val="0"/>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zh-TW" w:eastAsia="zh-CN"/>
        </w:rPr>
      </w:pPr>
      <w:r>
        <w:rPr>
          <w:rFonts w:hint="eastAsia" w:ascii="仿宋_GB2312" w:hAnsi="仿宋_GB2312" w:eastAsia="仿宋_GB2312" w:cs="仿宋_GB2312"/>
          <w:color w:val="auto"/>
          <w:sz w:val="32"/>
          <w:szCs w:val="32"/>
          <w:highlight w:val="none"/>
          <w:lang w:val="zh-TW" w:eastAsia="zh-CN"/>
        </w:rPr>
        <w:t>立足资源环境承载能力和国土空间开发适宜性评价，</w:t>
      </w:r>
      <w:r>
        <w:rPr>
          <w:rFonts w:hint="eastAsia" w:ascii="仿宋_GB2312" w:hAnsi="仿宋_GB2312" w:eastAsia="仿宋_GB2312" w:cs="仿宋_GB2312"/>
          <w:color w:val="auto"/>
          <w:kern w:val="2"/>
          <w:sz w:val="32"/>
          <w:szCs w:val="32"/>
          <w:highlight w:val="none"/>
          <w:lang w:val="zh-TW" w:eastAsia="zh-CN" w:bidi="ar-SA"/>
        </w:rPr>
        <w:t>落实耕地保护制度，优先保障粮食和重要农产品生产空间，</w:t>
      </w:r>
      <w:r>
        <w:rPr>
          <w:rFonts w:hint="eastAsia" w:ascii="仿宋_GB2312" w:hAnsi="仿宋_GB2312" w:eastAsia="仿宋_GB2312" w:cs="仿宋_GB2312"/>
          <w:color w:val="auto"/>
          <w:sz w:val="32"/>
          <w:szCs w:val="32"/>
          <w:highlight w:val="none"/>
          <w:lang w:val="zh-TW" w:eastAsia="zh-CN"/>
        </w:rPr>
        <w:t>进一步优化农业产业布局，</w:t>
      </w:r>
      <w:r>
        <w:rPr>
          <w:rFonts w:hint="eastAsia" w:ascii="仿宋_GB2312" w:hAnsi="仿宋_GB2312" w:eastAsia="仿宋_GB2312" w:cs="仿宋_GB2312"/>
          <w:b w:val="0"/>
          <w:bCs w:val="0"/>
          <w:color w:val="auto"/>
          <w:sz w:val="32"/>
          <w:szCs w:val="32"/>
          <w:highlight w:val="none"/>
          <w:lang w:val="en-US" w:eastAsia="zh-CN"/>
        </w:rPr>
        <w:t>以“一村一品”“一乡一业”为依托，</w:t>
      </w:r>
      <w:r>
        <w:rPr>
          <w:rFonts w:hint="eastAsia" w:ascii="仿宋_GB2312" w:hAnsi="仿宋_GB2312" w:eastAsia="仿宋_GB2312" w:cs="仿宋_GB2312"/>
          <w:color w:val="auto"/>
          <w:sz w:val="32"/>
          <w:szCs w:val="32"/>
          <w:highlight w:val="none"/>
          <w:lang w:val="zh-TW" w:eastAsia="zh-CN"/>
        </w:rPr>
        <w:t>做强主导产业，做活特色</w:t>
      </w:r>
      <w:r>
        <w:rPr>
          <w:rFonts w:hint="eastAsia" w:ascii="仿宋_GB2312" w:hAnsi="仿宋_GB2312" w:eastAsia="仿宋_GB2312" w:cs="仿宋_GB2312"/>
          <w:color w:val="auto"/>
          <w:sz w:val="32"/>
          <w:szCs w:val="32"/>
          <w:highlight w:val="none"/>
          <w:lang w:val="en-US" w:eastAsia="zh-CN"/>
        </w:rPr>
        <w:t>产业</w:t>
      </w:r>
      <w:r>
        <w:rPr>
          <w:rFonts w:hint="eastAsia" w:ascii="仿宋_GB2312" w:hAnsi="仿宋_GB2312" w:eastAsia="仿宋_GB2312" w:cs="仿宋_GB2312"/>
          <w:color w:val="auto"/>
          <w:sz w:val="32"/>
          <w:szCs w:val="32"/>
          <w:highlight w:val="none"/>
          <w:lang w:val="zh-TW" w:eastAsia="zh-CN"/>
        </w:rPr>
        <w:t>，构建</w:t>
      </w:r>
      <w:r>
        <w:rPr>
          <w:rFonts w:hint="eastAsia" w:ascii="仿宋_GB2312" w:hAnsi="仿宋_GB2312" w:eastAsia="仿宋_GB2312" w:cs="仿宋_GB2312"/>
          <w:b w:val="0"/>
          <w:bCs w:val="0"/>
          <w:color w:val="auto"/>
          <w:sz w:val="32"/>
          <w:szCs w:val="32"/>
          <w:highlight w:val="none"/>
          <w:lang w:val="en-US" w:eastAsia="zh-CN"/>
        </w:rPr>
        <w:t>“两心七带六基地”的现代农业发展格局，</w:t>
      </w:r>
      <w:r>
        <w:rPr>
          <w:rFonts w:hint="eastAsia" w:ascii="仿宋_GB2312" w:hAnsi="仿宋_GB2312" w:eastAsia="仿宋_GB2312" w:cs="仿宋_GB2312"/>
          <w:color w:val="auto"/>
          <w:kern w:val="2"/>
          <w:sz w:val="32"/>
          <w:szCs w:val="32"/>
          <w:highlight w:val="none"/>
          <w:lang w:val="zh-TW" w:eastAsia="zh-CN" w:bidi="ar-SA"/>
        </w:rPr>
        <w:t>推动形成粮经饲统筹、农林牧渔结合、植物动物微生物并举的多元化食物供给体系，为农业全面升级提供有力支撑。</w:t>
      </w:r>
    </w:p>
    <w:p w14:paraId="3DB9E90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两</w:t>
      </w:r>
      <w:r>
        <w:rPr>
          <w:rFonts w:hint="eastAsia" w:ascii="仿宋_GB2312" w:hAnsi="仿宋_GB2312" w:eastAsia="仿宋_GB2312" w:cs="仿宋_GB2312"/>
          <w:b w:val="0"/>
          <w:bCs w:val="0"/>
          <w:color w:val="auto"/>
          <w:sz w:val="32"/>
          <w:szCs w:val="32"/>
          <w:highlight w:val="none"/>
          <w:lang w:eastAsia="zh-CN"/>
        </w:rPr>
        <w:t>心”</w:t>
      </w:r>
      <w:r>
        <w:rPr>
          <w:rFonts w:hint="eastAsia" w:ascii="仿宋_GB2312" w:hAnsi="仿宋_GB2312" w:eastAsia="仿宋_GB2312" w:cs="仿宋_GB2312"/>
          <w:b w:val="0"/>
          <w:bCs w:val="0"/>
          <w:color w:val="auto"/>
          <w:sz w:val="32"/>
          <w:szCs w:val="32"/>
          <w:highlight w:val="none"/>
          <w:lang w:val="en-US" w:eastAsia="zh-CN"/>
        </w:rPr>
        <w:t>包括</w:t>
      </w:r>
      <w:r>
        <w:rPr>
          <w:rFonts w:hint="eastAsia" w:ascii="仿宋_GB2312" w:hAnsi="仿宋_GB2312" w:eastAsia="仿宋_GB2312" w:cs="仿宋_GB2312"/>
          <w:color w:val="auto"/>
          <w:sz w:val="32"/>
          <w:szCs w:val="32"/>
          <w:highlight w:val="none"/>
          <w:lang w:eastAsia="zh-CN"/>
        </w:rPr>
        <w:t>以鹿寨镇为中心的县</w:t>
      </w:r>
      <w:r>
        <w:rPr>
          <w:rFonts w:hint="eastAsia" w:ascii="仿宋_GB2312" w:hAnsi="仿宋_GB2312" w:eastAsia="仿宋_GB2312" w:cs="仿宋_GB2312"/>
          <w:color w:val="auto"/>
          <w:sz w:val="32"/>
          <w:szCs w:val="32"/>
          <w:highlight w:val="none"/>
          <w:lang w:val="en-US" w:eastAsia="zh-CN"/>
        </w:rPr>
        <w:t>级</w:t>
      </w:r>
      <w:r>
        <w:rPr>
          <w:rFonts w:hint="eastAsia" w:ascii="仿宋_GB2312" w:hAnsi="仿宋_GB2312" w:eastAsia="仿宋_GB2312" w:cs="仿宋_GB2312"/>
          <w:color w:val="auto"/>
          <w:sz w:val="32"/>
          <w:szCs w:val="32"/>
          <w:highlight w:val="none"/>
          <w:lang w:eastAsia="zh-CN"/>
        </w:rPr>
        <w:t>农产品加工和</w:t>
      </w:r>
      <w:r>
        <w:rPr>
          <w:rFonts w:hint="eastAsia" w:ascii="仿宋_GB2312" w:hAnsi="仿宋_GB2312" w:eastAsia="仿宋_GB2312" w:cs="仿宋_GB2312"/>
          <w:color w:val="auto"/>
          <w:sz w:val="32"/>
          <w:szCs w:val="32"/>
          <w:highlight w:val="none"/>
          <w:lang w:val="en-US" w:eastAsia="zh-CN"/>
        </w:rPr>
        <w:t>贸易</w:t>
      </w:r>
      <w:r>
        <w:rPr>
          <w:rFonts w:hint="eastAsia" w:ascii="仿宋_GB2312" w:hAnsi="仿宋_GB2312" w:eastAsia="仿宋_GB2312" w:cs="仿宋_GB2312"/>
          <w:color w:val="auto"/>
          <w:sz w:val="32"/>
          <w:szCs w:val="32"/>
          <w:highlight w:val="none"/>
          <w:lang w:eastAsia="zh-CN"/>
        </w:rPr>
        <w:t>中心，发挥集聚效应；</w:t>
      </w:r>
      <w:r>
        <w:rPr>
          <w:rFonts w:hint="eastAsia" w:ascii="仿宋_GB2312" w:hAnsi="仿宋_GB2312" w:eastAsia="仿宋_GB2312" w:cs="仿宋_GB2312"/>
          <w:color w:val="auto"/>
          <w:sz w:val="32"/>
          <w:szCs w:val="32"/>
          <w:highlight w:val="none"/>
          <w:lang w:val="en-US" w:eastAsia="zh-CN"/>
        </w:rPr>
        <w:t>以中渡镇为中心的农文旅康养中心，带动全县农文旅康养产业发展。</w:t>
      </w:r>
    </w:p>
    <w:p w14:paraId="63E9E2C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val="0"/>
          <w:bCs w:val="0"/>
          <w:snapToGrid w:val="0"/>
          <w:color w:val="auto"/>
          <w:kern w:val="0"/>
          <w:sz w:val="32"/>
          <w:szCs w:val="32"/>
          <w:highlight w:val="none"/>
          <w:lang w:val="en-US" w:eastAsia="zh-CN" w:bidi="ar-SA"/>
        </w:rPr>
        <w:t>“七带”是指立足资源禀赋，巩固发展七大优势产业带，促进适度规模经营，增强规模效益。具体包括：优质稻米产业带、糖料蔗产业带、外销蔬菜生产带、水果生产带、桑蚕产业带、畜牧产业带和山地作物产业带。其中，优质稻米产业带和糖料蔗产业带作为保障粮食和糖料安全的核心区域，要严格保护优质耕地，着力提升综合产能。</w:t>
      </w:r>
    </w:p>
    <w:p w14:paraId="11B6D48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val="0"/>
          <w:bCs w:val="0"/>
          <w:snapToGrid w:val="0"/>
          <w:color w:val="auto"/>
          <w:kern w:val="0"/>
          <w:sz w:val="32"/>
          <w:szCs w:val="32"/>
          <w:highlight w:val="none"/>
          <w:lang w:val="en-US" w:eastAsia="zh-CN" w:bidi="ar-SA"/>
        </w:rPr>
        <w:t>“六基地”是指六个品种特色鲜明的产业基地。分别为寨沙头菜基地、大果山楂基地、鹿寨蜜橙基地、精品葡萄基地、黄心木薯基地、“一柿缘”番茄基地。持续巩固现有基础，扩大生产规模，提升产品附加值和市场竞争力，逐步实现做大做强。</w:t>
      </w:r>
    </w:p>
    <w:p w14:paraId="29D6E0F2">
      <w:pPr>
        <w:pStyle w:val="27"/>
        <w:rPr>
          <w:rFonts w:hint="eastAsia"/>
          <w:color w:val="auto"/>
          <w:lang w:val="en-US" w:eastAsia="zh-CN"/>
        </w:rPr>
      </w:pPr>
    </w:p>
    <w:tbl>
      <w:tblPr>
        <w:tblStyle w:val="21"/>
        <w:tblW w:w="8912"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912"/>
      </w:tblGrid>
      <w:tr w14:paraId="249E732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642" w:hRule="exact"/>
          <w:jc w:val="center"/>
        </w:trPr>
        <w:tc>
          <w:tcPr>
            <w:tcW w:w="9071" w:type="dxa"/>
            <w:tcBorders>
              <w:top w:val="single" w:color="000000" w:sz="4" w:space="0"/>
              <w:left w:val="single" w:color="000000" w:sz="4" w:space="0"/>
              <w:bottom w:val="single" w:color="000000" w:sz="4" w:space="0"/>
              <w:right w:val="single" w:color="000000" w:sz="4" w:space="0"/>
            </w:tcBorders>
            <w:shd w:val="clear" w:color="auto" w:fill="auto"/>
            <w:tcMar>
              <w:left w:w="115" w:type="dxa"/>
              <w:right w:w="115" w:type="dxa"/>
            </w:tcMar>
            <w:vAlign w:val="center"/>
          </w:tcPr>
          <w:p w14:paraId="7B6B33E8">
            <w:pPr>
              <w:pStyle w:val="53"/>
              <w:bidi w:val="0"/>
              <w:jc w:val="center"/>
              <w:rPr>
                <w:rFonts w:hint="eastAsia"/>
                <w:color w:val="auto"/>
                <w:highlight w:val="none"/>
                <w:lang w:val="en-US" w:eastAsia="zh-CN"/>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6-1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现代农业发展布局</w:t>
            </w:r>
          </w:p>
        </w:tc>
      </w:tr>
      <w:tr w14:paraId="1D05EBA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670" w:hRule="atLeast"/>
          <w:jc w:val="center"/>
        </w:trPr>
        <w:tc>
          <w:tcPr>
            <w:tcW w:w="9071" w:type="dxa"/>
            <w:tcBorders>
              <w:top w:val="single" w:color="000000" w:sz="4" w:space="0"/>
              <w:left w:val="single" w:color="000000" w:sz="4" w:space="0"/>
              <w:bottom w:val="single" w:color="000000" w:sz="4" w:space="0"/>
              <w:right w:val="single" w:color="000000" w:sz="4" w:space="0"/>
            </w:tcBorders>
            <w:shd w:val="clear" w:color="auto" w:fill="auto"/>
            <w:tcMar>
              <w:left w:w="115" w:type="dxa"/>
              <w:right w:w="115" w:type="dxa"/>
            </w:tcMar>
          </w:tcPr>
          <w:p w14:paraId="27B8BF3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两</w:t>
            </w:r>
            <w:r>
              <w:rPr>
                <w:rFonts w:hint="eastAsia" w:ascii="仿宋_GB2312" w:hAnsi="仿宋_GB2312" w:eastAsia="仿宋_GB2312" w:cs="仿宋_GB2312"/>
                <w:b/>
                <w:bCs/>
                <w:color w:val="auto"/>
                <w:sz w:val="28"/>
                <w:szCs w:val="28"/>
                <w:highlight w:val="none"/>
                <w:lang w:eastAsia="zh-CN"/>
              </w:rPr>
              <w:t>心”</w:t>
            </w:r>
            <w:r>
              <w:rPr>
                <w:rFonts w:hint="eastAsia" w:ascii="仿宋_GB2312" w:hAnsi="仿宋_GB2312" w:eastAsia="仿宋_GB2312" w:cs="仿宋_GB2312"/>
                <w:b/>
                <w:bCs/>
                <w:color w:val="auto"/>
                <w:sz w:val="28"/>
                <w:szCs w:val="28"/>
                <w:highlight w:val="none"/>
                <w:lang w:val="en-US" w:eastAsia="zh-CN"/>
              </w:rPr>
              <w:t>：</w:t>
            </w:r>
          </w:p>
          <w:p w14:paraId="149CC127">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color w:val="auto"/>
                <w:sz w:val="28"/>
                <w:szCs w:val="28"/>
                <w:highlight w:val="none"/>
                <w:lang w:val="en-US" w:eastAsia="zh-CN"/>
              </w:rPr>
            </w:pPr>
            <w:r>
              <w:rPr>
                <w:rStyle w:val="24"/>
                <w:rFonts w:hint="default" w:ascii="Times New Roman" w:hAnsi="Times New Roman" w:eastAsia="仿宋_GB2312" w:cs="Times New Roman"/>
                <w:b/>
                <w:bCs/>
                <w:color w:val="auto"/>
                <w:sz w:val="28"/>
                <w:szCs w:val="28"/>
                <w:highlight w:val="none"/>
                <w:lang w:val="en-US" w:eastAsia="zh-CN"/>
              </w:rPr>
              <w:t>1</w:t>
            </w:r>
            <w:r>
              <w:rPr>
                <w:rStyle w:val="24"/>
                <w:rFonts w:hint="eastAsia" w:ascii="仿宋_GB2312" w:hAnsi="仿宋_GB2312" w:eastAsia="仿宋_GB2312" w:cs="仿宋_GB2312"/>
                <w:b/>
                <w:bCs/>
                <w:color w:val="auto"/>
                <w:sz w:val="28"/>
                <w:szCs w:val="28"/>
                <w:highlight w:val="none"/>
                <w:lang w:val="en-US" w:eastAsia="zh-CN"/>
              </w:rPr>
              <w:t>.农产品加工和贸易中心：</w:t>
            </w:r>
            <w:r>
              <w:rPr>
                <w:rFonts w:hint="eastAsia" w:ascii="仿宋_GB2312" w:hAnsi="仿宋_GB2312" w:eastAsia="仿宋_GB2312" w:cs="仿宋_GB2312"/>
                <w:b w:val="0"/>
                <w:bCs w:val="0"/>
                <w:snapToGrid w:val="0"/>
                <w:color w:val="auto"/>
                <w:kern w:val="0"/>
                <w:sz w:val="28"/>
                <w:szCs w:val="28"/>
                <w:highlight w:val="none"/>
                <w:lang w:val="en-US" w:eastAsia="zh-CN" w:bidi="ar-SA"/>
              </w:rPr>
              <w:t>位于鹿寨镇，依托龙头企业构建五大中心：</w:t>
            </w:r>
            <w:r>
              <w:rPr>
                <w:rFonts w:hint="eastAsia" w:ascii="仿宋_GB2312" w:hAnsi="仿宋_GB2312" w:eastAsia="仿宋_GB2312" w:cs="仿宋_GB2312"/>
                <w:color w:val="auto"/>
                <w:sz w:val="28"/>
                <w:szCs w:val="28"/>
                <w:highlight w:val="none"/>
                <w:lang w:val="en-US" w:eastAsia="zh-CN"/>
              </w:rPr>
              <w:t>糖料蔗加工中心、茧丝绸加工中心、稻米加工中心、</w:t>
            </w:r>
            <w:r>
              <w:rPr>
                <w:rFonts w:hint="eastAsia" w:ascii="仿宋_GB2312" w:hAnsi="仿宋_GB2312" w:eastAsia="仿宋_GB2312" w:cs="仿宋_GB2312"/>
                <w:color w:val="auto"/>
                <w:kern w:val="2"/>
                <w:sz w:val="28"/>
                <w:szCs w:val="28"/>
                <w:highlight w:val="none"/>
                <w:lang w:val="en-US" w:eastAsia="zh-CN" w:bidi="ar-SA"/>
              </w:rPr>
              <w:t>畜禽屠宰加工中心、</w:t>
            </w:r>
            <w:r>
              <w:rPr>
                <w:rFonts w:hint="eastAsia" w:ascii="仿宋_GB2312" w:hAnsi="仿宋_GB2312" w:eastAsia="仿宋_GB2312" w:cs="仿宋_GB2312"/>
                <w:color w:val="auto"/>
                <w:sz w:val="28"/>
                <w:szCs w:val="28"/>
                <w:highlight w:val="none"/>
                <w:lang w:val="en-US" w:eastAsia="zh-CN"/>
              </w:rPr>
              <w:t>农产品贸易中心。</w:t>
            </w:r>
          </w:p>
          <w:p w14:paraId="7EE8776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color w:val="auto"/>
                <w:sz w:val="28"/>
                <w:szCs w:val="28"/>
                <w:highlight w:val="none"/>
                <w:lang w:val="en-US" w:eastAsia="zh-CN"/>
              </w:rPr>
              <w:t>2</w:t>
            </w:r>
            <w:r>
              <w:rPr>
                <w:rFonts w:hint="eastAsia" w:ascii="仿宋_GB2312" w:hAnsi="仿宋_GB2312" w:eastAsia="仿宋_GB2312" w:cs="仿宋_GB2312"/>
                <w:b/>
                <w:bCs/>
                <w:color w:val="auto"/>
                <w:sz w:val="28"/>
                <w:szCs w:val="28"/>
                <w:highlight w:val="none"/>
                <w:lang w:val="en-US" w:eastAsia="zh-CN"/>
              </w:rPr>
              <w:t>.农文旅康养中心：</w:t>
            </w:r>
            <w:r>
              <w:rPr>
                <w:rFonts w:hint="eastAsia" w:ascii="仿宋_GB2312" w:hAnsi="仿宋_GB2312" w:eastAsia="仿宋_GB2312" w:cs="仿宋_GB2312"/>
                <w:b w:val="0"/>
                <w:bCs w:val="0"/>
                <w:color w:val="auto"/>
                <w:sz w:val="28"/>
                <w:szCs w:val="28"/>
                <w:highlight w:val="none"/>
                <w:lang w:val="en-US" w:eastAsia="zh-CN"/>
              </w:rPr>
              <w:t>以</w:t>
            </w:r>
            <w:r>
              <w:rPr>
                <w:rFonts w:hint="eastAsia" w:ascii="仿宋_GB2312" w:hAnsi="仿宋_GB2312" w:eastAsia="仿宋_GB2312" w:cs="仿宋_GB2312"/>
                <w:b w:val="0"/>
                <w:bCs w:val="0"/>
                <w:snapToGrid w:val="0"/>
                <w:color w:val="auto"/>
                <w:kern w:val="0"/>
                <w:sz w:val="28"/>
                <w:szCs w:val="28"/>
                <w:highlight w:val="none"/>
                <w:lang w:val="en-US" w:eastAsia="zh-CN" w:bidi="ar-SA"/>
              </w:rPr>
              <w:t>中渡镇</w:t>
            </w:r>
            <w:r>
              <w:rPr>
                <w:rFonts w:hint="eastAsia" w:ascii="仿宋_GB2312" w:hAnsi="仿宋_GB2312" w:eastAsia="仿宋_GB2312" w:cs="仿宋_GB2312"/>
                <w:b w:val="0"/>
                <w:bCs w:val="0"/>
                <w:color w:val="auto"/>
                <w:sz w:val="28"/>
                <w:szCs w:val="28"/>
                <w:highlight w:val="none"/>
                <w:lang w:val="en-US" w:eastAsia="zh-CN"/>
              </w:rPr>
              <w:t>为中心，</w:t>
            </w:r>
            <w:r>
              <w:rPr>
                <w:rFonts w:hint="eastAsia" w:ascii="仿宋_GB2312" w:hAnsi="仿宋_GB2312" w:eastAsia="仿宋_GB2312" w:cs="仿宋_GB2312"/>
                <w:b w:val="0"/>
                <w:bCs w:val="0"/>
                <w:snapToGrid w:val="0"/>
                <w:color w:val="auto"/>
                <w:kern w:val="0"/>
                <w:sz w:val="28"/>
                <w:szCs w:val="28"/>
                <w:highlight w:val="none"/>
                <w:lang w:val="en-US" w:eastAsia="zh-CN" w:bidi="ar-SA"/>
              </w:rPr>
              <w:t>围绕优质大米及制品</w:t>
            </w:r>
            <w:r>
              <w:rPr>
                <w:rFonts w:hint="eastAsia" w:ascii="仿宋_GB2312" w:hAnsi="仿宋_GB2312" w:eastAsia="仿宋_GB2312" w:cs="仿宋_GB2312"/>
                <w:b w:val="0"/>
                <w:bCs w:val="0"/>
                <w:color w:val="auto"/>
                <w:sz w:val="28"/>
                <w:szCs w:val="28"/>
                <w:highlight w:val="none"/>
                <w:lang w:val="en-US" w:eastAsia="zh-CN"/>
              </w:rPr>
              <w:t>等土特农产品生产加工，</w:t>
            </w:r>
            <w:r>
              <w:rPr>
                <w:rFonts w:hint="eastAsia" w:ascii="仿宋_GB2312" w:hAnsi="仿宋_GB2312" w:eastAsia="仿宋_GB2312" w:cs="仿宋_GB2312"/>
                <w:b w:val="0"/>
                <w:bCs w:val="0"/>
                <w:snapToGrid w:val="0"/>
                <w:color w:val="auto"/>
                <w:kern w:val="0"/>
                <w:sz w:val="28"/>
                <w:szCs w:val="28"/>
                <w:highlight w:val="none"/>
                <w:lang w:val="en-US" w:eastAsia="zh-CN" w:bidi="ar-SA"/>
              </w:rPr>
              <w:t>结合</w:t>
            </w:r>
            <w:r>
              <w:rPr>
                <w:rFonts w:hint="eastAsia" w:ascii="仿宋_GB2312" w:hAnsi="仿宋_GB2312" w:eastAsia="仿宋_GB2312" w:cs="仿宋_GB2312"/>
                <w:b w:val="0"/>
                <w:bCs w:val="0"/>
                <w:color w:val="auto"/>
                <w:sz w:val="28"/>
                <w:szCs w:val="28"/>
                <w:highlight w:val="none"/>
                <w:lang w:val="en-US" w:eastAsia="zh-CN"/>
              </w:rPr>
              <w:t>景区观光、餐饮住宿、</w:t>
            </w:r>
            <w:r>
              <w:rPr>
                <w:rFonts w:hint="eastAsia" w:ascii="仿宋_GB2312" w:hAnsi="仿宋_GB2312" w:eastAsia="仿宋_GB2312" w:cs="仿宋_GB2312"/>
                <w:b w:val="0"/>
                <w:bCs w:val="0"/>
                <w:snapToGrid w:val="0"/>
                <w:color w:val="auto"/>
                <w:kern w:val="0"/>
                <w:sz w:val="28"/>
                <w:szCs w:val="28"/>
                <w:highlight w:val="none"/>
                <w:lang w:val="en-US" w:eastAsia="zh-CN" w:bidi="ar-SA"/>
              </w:rPr>
              <w:t>民</w:t>
            </w:r>
            <w:r>
              <w:rPr>
                <w:rFonts w:hint="eastAsia" w:ascii="仿宋_GB2312" w:hAnsi="仿宋_GB2312" w:eastAsia="仿宋_GB2312" w:cs="仿宋_GB2312"/>
                <w:b w:val="0"/>
                <w:bCs w:val="0"/>
                <w:color w:val="auto"/>
                <w:sz w:val="28"/>
                <w:szCs w:val="28"/>
                <w:highlight w:val="none"/>
                <w:lang w:val="en-US" w:eastAsia="zh-CN"/>
              </w:rPr>
              <w:t>宿文化、健康养生</w:t>
            </w:r>
            <w:r>
              <w:rPr>
                <w:rFonts w:hint="eastAsia" w:ascii="仿宋_GB2312" w:hAnsi="仿宋_GB2312" w:eastAsia="仿宋_GB2312" w:cs="仿宋_GB2312"/>
                <w:b w:val="0"/>
                <w:bCs w:val="0"/>
                <w:snapToGrid w:val="0"/>
                <w:color w:val="auto"/>
                <w:kern w:val="0"/>
                <w:sz w:val="28"/>
                <w:szCs w:val="28"/>
                <w:highlight w:val="none"/>
                <w:lang w:val="en-US" w:eastAsia="zh-CN" w:bidi="ar-SA"/>
              </w:rPr>
              <w:t>等业态，推动农文旅康养融合发展。</w:t>
            </w:r>
          </w:p>
          <w:p w14:paraId="1B9E4D8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Style w:val="24"/>
                <w:rFonts w:hint="eastAsia" w:ascii="仿宋_GB2312" w:hAnsi="仿宋_GB2312" w:eastAsia="仿宋_GB2312" w:cs="仿宋_GB2312"/>
                <w:b/>
                <w:bCs/>
                <w:color w:val="auto"/>
                <w:sz w:val="28"/>
                <w:szCs w:val="28"/>
                <w:highlight w:val="none"/>
                <w:lang w:val="en-US" w:eastAsia="zh-CN"/>
              </w:rPr>
            </w:pPr>
            <w:r>
              <w:rPr>
                <w:rStyle w:val="24"/>
                <w:rFonts w:hint="eastAsia" w:ascii="仿宋_GB2312" w:hAnsi="仿宋_GB2312" w:eastAsia="仿宋_GB2312" w:cs="仿宋_GB2312"/>
                <w:b/>
                <w:bCs/>
                <w:color w:val="auto"/>
                <w:sz w:val="28"/>
                <w:szCs w:val="28"/>
                <w:highlight w:val="none"/>
                <w:lang w:val="en-US" w:eastAsia="zh-CN"/>
              </w:rPr>
              <w:t>“七带”：</w:t>
            </w:r>
          </w:p>
          <w:p w14:paraId="71D24228">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color w:val="auto"/>
                <w:sz w:val="28"/>
                <w:szCs w:val="28"/>
                <w:highlight w:val="none"/>
                <w:lang w:val="en-US" w:eastAsia="zh-CN"/>
              </w:rPr>
            </w:pPr>
            <w:r>
              <w:rPr>
                <w:rStyle w:val="24"/>
                <w:rFonts w:hint="default" w:ascii="Times New Roman" w:hAnsi="Times New Roman" w:eastAsia="仿宋_GB2312" w:cs="Times New Roman"/>
                <w:b/>
                <w:bCs/>
                <w:color w:val="auto"/>
                <w:sz w:val="28"/>
                <w:szCs w:val="28"/>
                <w:highlight w:val="none"/>
                <w:lang w:val="en-US" w:eastAsia="zh-CN"/>
              </w:rPr>
              <w:t>1</w:t>
            </w:r>
            <w:r>
              <w:rPr>
                <w:rStyle w:val="24"/>
                <w:rFonts w:hint="eastAsia" w:ascii="仿宋_GB2312" w:hAnsi="仿宋_GB2312" w:eastAsia="仿宋_GB2312" w:cs="仿宋_GB2312"/>
                <w:b/>
                <w:bCs/>
                <w:color w:val="auto"/>
                <w:sz w:val="28"/>
                <w:szCs w:val="28"/>
                <w:highlight w:val="none"/>
                <w:lang w:val="en-US" w:eastAsia="zh-CN"/>
              </w:rPr>
              <w:t>.优质稻米产业带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以中渡镇和鹿寨镇为龙头，连接平山镇、导江乡和四排镇，重点发展优质稻种植，推进水稻全产业链社会化服务和大米加工业，建设优质粮源基地</w:t>
            </w:r>
            <w:r>
              <w:rPr>
                <w:rFonts w:hint="eastAsia" w:ascii="仿宋_GB2312" w:hAnsi="仿宋_GB2312" w:eastAsia="仿宋_GB2312" w:cs="仿宋_GB2312"/>
                <w:color w:val="auto"/>
                <w:sz w:val="28"/>
                <w:szCs w:val="28"/>
                <w:highlight w:val="none"/>
                <w:lang w:val="en-US" w:eastAsia="zh-CN"/>
              </w:rPr>
              <w:t>。</w:t>
            </w:r>
          </w:p>
          <w:p w14:paraId="5B9ACD2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Style w:val="24"/>
                <w:rFonts w:hint="default" w:ascii="Times New Roman" w:hAnsi="Times New Roman" w:eastAsia="仿宋_GB2312" w:cs="Times New Roman"/>
                <w:b/>
                <w:bCs/>
                <w:color w:val="auto"/>
                <w:sz w:val="28"/>
                <w:szCs w:val="28"/>
                <w:highlight w:val="none"/>
                <w:lang w:val="en-US" w:eastAsia="zh-CN"/>
              </w:rPr>
              <w:t>2</w:t>
            </w:r>
            <w:r>
              <w:rPr>
                <w:rStyle w:val="24"/>
                <w:rFonts w:hint="eastAsia" w:ascii="仿宋_GB2312" w:hAnsi="仿宋_GB2312" w:eastAsia="仿宋_GB2312" w:cs="仿宋_GB2312"/>
                <w:b/>
                <w:bCs/>
                <w:color w:val="auto"/>
                <w:sz w:val="28"/>
                <w:szCs w:val="28"/>
                <w:highlight w:val="none"/>
                <w:lang w:val="en-US" w:eastAsia="zh-CN"/>
              </w:rPr>
              <w:t>.糖料蔗产业带</w:t>
            </w:r>
            <w:r>
              <w:rPr>
                <w:rStyle w:val="24"/>
                <w:rFonts w:hint="eastAsia" w:ascii="仿宋_GB2312" w:hAnsi="仿宋_GB2312" w:eastAsia="仿宋_GB2312" w:cs="仿宋_GB2312"/>
                <w:b/>
                <w:bCs/>
                <w:color w:val="auto"/>
                <w:sz w:val="28"/>
                <w:szCs w:val="28"/>
                <w:highlight w:val="none"/>
              </w:rPr>
              <w:t>：</w:t>
            </w:r>
            <w:r>
              <w:rPr>
                <w:rStyle w:val="24"/>
                <w:rFonts w:hint="eastAsia" w:ascii="仿宋_GB2312" w:hAnsi="仿宋_GB2312" w:eastAsia="仿宋_GB2312" w:cs="仿宋_GB2312"/>
                <w:b w:val="0"/>
                <w:bCs w:val="0"/>
                <w:color w:val="auto"/>
                <w:sz w:val="28"/>
                <w:szCs w:val="28"/>
                <w:highlight w:val="none"/>
                <w:lang w:val="en-US" w:eastAsia="zh-CN"/>
              </w:rPr>
              <w:t>以</w:t>
            </w:r>
            <w:r>
              <w:rPr>
                <w:rFonts w:hint="eastAsia" w:ascii="仿宋_GB2312" w:hAnsi="仿宋_GB2312" w:eastAsia="仿宋_GB2312" w:cs="仿宋_GB2312"/>
                <w:b w:val="0"/>
                <w:bCs w:val="0"/>
                <w:snapToGrid w:val="0"/>
                <w:color w:val="auto"/>
                <w:kern w:val="0"/>
                <w:sz w:val="28"/>
                <w:szCs w:val="28"/>
                <w:highlight w:val="none"/>
                <w:lang w:val="en-US" w:eastAsia="zh-CN" w:bidi="ar-SA"/>
              </w:rPr>
              <w:t>平山镇、鹿寨镇为核心，辐射中渡镇、导江乡和四排镇，推广优质高产糖料蔗品种，发展精深加工。稳定政策与补贴，保障种植面积与原料蔗产量稳步提升。</w:t>
            </w:r>
          </w:p>
          <w:p w14:paraId="1F907A24">
            <w:pPr>
              <w:pStyle w:val="54"/>
              <w:bidi w:val="0"/>
              <w:rPr>
                <w:rFonts w:hint="eastAsia" w:ascii="仿宋_GB2312" w:hAnsi="仿宋_GB2312" w:eastAsia="仿宋_GB2312" w:cs="仿宋_GB2312"/>
                <w:color w:val="auto"/>
                <w:sz w:val="28"/>
                <w:szCs w:val="28"/>
                <w:highlight w:val="none"/>
                <w:lang w:val="en-US"/>
              </w:rPr>
            </w:pPr>
            <w:r>
              <w:rPr>
                <w:rFonts w:hint="default" w:ascii="Times New Roman" w:hAnsi="Times New Roman" w:cs="Times New Roman"/>
                <w:b/>
                <w:bCs/>
                <w:snapToGrid w:val="0"/>
                <w:color w:val="auto"/>
                <w:kern w:val="0"/>
                <w:sz w:val="28"/>
                <w:szCs w:val="28"/>
                <w:highlight w:val="none"/>
                <w:lang w:val="en-US" w:eastAsia="zh-CN" w:bidi="ar-SA"/>
              </w:rPr>
              <w:t>3</w:t>
            </w:r>
            <w:r>
              <w:rPr>
                <w:rFonts w:hint="eastAsia" w:ascii="仿宋_GB2312" w:hAnsi="仿宋_GB2312" w:eastAsia="仿宋_GB2312" w:cs="仿宋_GB2312"/>
                <w:b/>
                <w:bCs/>
                <w:snapToGrid w:val="0"/>
                <w:color w:val="auto"/>
                <w:kern w:val="0"/>
                <w:sz w:val="28"/>
                <w:szCs w:val="28"/>
                <w:highlight w:val="none"/>
                <w:lang w:val="en-US" w:eastAsia="zh-CN" w:bidi="ar-SA"/>
              </w:rPr>
              <w:t>.外销蔬菜产业带：</w:t>
            </w:r>
            <w:r>
              <w:rPr>
                <w:rFonts w:hint="eastAsia" w:ascii="仿宋_GB2312" w:hAnsi="仿宋_GB2312" w:eastAsia="仿宋_GB2312" w:cs="仿宋_GB2312"/>
                <w:b w:val="0"/>
                <w:bCs w:val="0"/>
                <w:snapToGrid w:val="0"/>
                <w:color w:val="auto"/>
                <w:kern w:val="0"/>
                <w:sz w:val="28"/>
                <w:szCs w:val="28"/>
                <w:highlight w:val="none"/>
                <w:lang w:val="en-US" w:eastAsia="zh-CN" w:bidi="ar-SA"/>
              </w:rPr>
              <w:t>以鹿寨镇</w:t>
            </w:r>
            <w:r>
              <w:rPr>
                <w:rFonts w:hint="eastAsia" w:ascii="仿宋_GB2312" w:hAnsi="仿宋_GB2312" w:cs="仿宋_GB2312"/>
                <w:b w:val="0"/>
                <w:bCs w:val="0"/>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江口乡为引领，联</w:t>
            </w:r>
            <w:r>
              <w:rPr>
                <w:rFonts w:hint="eastAsia" w:ascii="仿宋_GB2312" w:hAnsi="仿宋_GB2312" w:cs="仿宋_GB2312"/>
                <w:b w:val="0"/>
                <w:bCs w:val="0"/>
                <w:snapToGrid w:val="0"/>
                <w:color w:val="auto"/>
                <w:kern w:val="0"/>
                <w:sz w:val="28"/>
                <w:szCs w:val="28"/>
                <w:highlight w:val="none"/>
                <w:lang w:val="en-US" w:eastAsia="zh-CN" w:bidi="ar-SA"/>
              </w:rPr>
              <w:t>动</w:t>
            </w:r>
            <w:r>
              <w:rPr>
                <w:rFonts w:hint="eastAsia" w:ascii="仿宋_GB2312" w:hAnsi="仿宋_GB2312" w:eastAsia="仿宋_GB2312" w:cs="仿宋_GB2312"/>
                <w:b w:val="0"/>
                <w:bCs w:val="0"/>
                <w:snapToGrid w:val="0"/>
                <w:color w:val="auto"/>
                <w:kern w:val="0"/>
                <w:sz w:val="28"/>
                <w:szCs w:val="28"/>
                <w:highlight w:val="none"/>
                <w:lang w:val="en-US" w:eastAsia="zh-CN" w:bidi="ar-SA"/>
              </w:rPr>
              <w:t>导江乡、寨沙镇、中渡镇和平山镇，扩大豆角、寨沙头菜、辣椒等外销型蔬菜规模，</w:t>
            </w:r>
            <w:r>
              <w:rPr>
                <w:rFonts w:hint="eastAsia" w:ascii="仿宋_GB2312" w:hAnsi="仿宋_GB2312" w:cs="仿宋_GB2312"/>
                <w:b w:val="0"/>
                <w:bCs w:val="0"/>
                <w:snapToGrid w:val="0"/>
                <w:color w:val="auto"/>
                <w:kern w:val="0"/>
                <w:sz w:val="28"/>
                <w:szCs w:val="28"/>
                <w:highlight w:val="none"/>
                <w:lang w:val="en-US" w:eastAsia="zh-CN" w:bidi="ar-SA"/>
              </w:rPr>
              <w:t>做大</w:t>
            </w:r>
            <w:r>
              <w:rPr>
                <w:rFonts w:hint="eastAsia" w:ascii="仿宋_GB2312" w:hAnsi="仿宋_GB2312" w:eastAsia="仿宋_GB2312" w:cs="仿宋_GB2312"/>
                <w:b w:val="0"/>
                <w:bCs w:val="0"/>
                <w:snapToGrid w:val="0"/>
                <w:color w:val="auto"/>
                <w:kern w:val="0"/>
                <w:sz w:val="28"/>
                <w:szCs w:val="28"/>
                <w:highlight w:val="none"/>
                <w:lang w:val="en-US" w:eastAsia="zh-CN" w:bidi="ar-SA"/>
              </w:rPr>
              <w:t>做强</w:t>
            </w:r>
            <w:r>
              <w:rPr>
                <w:rFonts w:hint="eastAsia" w:ascii="仿宋_GB2312" w:hAnsi="仿宋_GB2312" w:cs="仿宋_GB2312"/>
                <w:b w:val="0"/>
                <w:bCs w:val="0"/>
                <w:snapToGrid w:val="0"/>
                <w:color w:val="auto"/>
                <w:kern w:val="0"/>
                <w:sz w:val="28"/>
                <w:szCs w:val="28"/>
                <w:highlight w:val="none"/>
                <w:lang w:val="en-US" w:eastAsia="zh-CN" w:bidi="ar-SA"/>
              </w:rPr>
              <w:t>蔬菜</w:t>
            </w:r>
            <w:r>
              <w:rPr>
                <w:rFonts w:hint="eastAsia" w:ascii="仿宋_GB2312" w:hAnsi="仿宋_GB2312" w:eastAsia="仿宋_GB2312" w:cs="仿宋_GB2312"/>
                <w:b w:val="0"/>
                <w:bCs w:val="0"/>
                <w:snapToGrid w:val="0"/>
                <w:color w:val="auto"/>
                <w:kern w:val="0"/>
                <w:sz w:val="28"/>
                <w:szCs w:val="28"/>
                <w:highlight w:val="none"/>
                <w:lang w:val="en-US" w:eastAsia="zh-CN" w:bidi="ar-SA"/>
              </w:rPr>
              <w:t>加工产业。</w:t>
            </w:r>
          </w:p>
          <w:p w14:paraId="08D5AC9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Style w:val="24"/>
                <w:rFonts w:hint="default" w:ascii="Times New Roman" w:hAnsi="Times New Roman" w:eastAsia="仿宋_GB2312" w:cs="Times New Roman"/>
                <w:b/>
                <w:bCs/>
                <w:color w:val="auto"/>
                <w:sz w:val="28"/>
                <w:szCs w:val="28"/>
                <w:highlight w:val="none"/>
                <w:lang w:val="en-US" w:eastAsia="zh-CN"/>
              </w:rPr>
              <w:t>4</w:t>
            </w:r>
            <w:r>
              <w:rPr>
                <w:rStyle w:val="24"/>
                <w:rFonts w:hint="eastAsia" w:ascii="仿宋_GB2312" w:hAnsi="仿宋_GB2312" w:eastAsia="仿宋_GB2312" w:cs="仿宋_GB2312"/>
                <w:b/>
                <w:bCs/>
                <w:color w:val="auto"/>
                <w:sz w:val="28"/>
                <w:szCs w:val="28"/>
                <w:highlight w:val="none"/>
                <w:lang w:val="en-US" w:eastAsia="zh-CN"/>
              </w:rPr>
              <w:t>.水果产业带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四排镇、寨沙镇为中心，覆盖鹿寨镇、中渡镇和平山镇，巩固柑橘主导产业，发展采后商品化加工，建设出口导向的有害生物熏蒸处理基地。加强果园管理，推动品种更新，提升“鹿寨蜜橙”“大果山楂”“查比阳光葡萄”“一柿缘番茄”等品牌竞争力。</w:t>
            </w:r>
          </w:p>
          <w:p w14:paraId="7BCC47A3">
            <w:pPr>
              <w:pStyle w:val="54"/>
              <w:bidi w:val="0"/>
              <w:rPr>
                <w:rFonts w:hint="eastAsia" w:ascii="仿宋_GB2312" w:hAnsi="仿宋_GB2312" w:eastAsia="仿宋_GB2312" w:cs="仿宋_GB2312"/>
                <w:color w:val="auto"/>
                <w:sz w:val="28"/>
                <w:szCs w:val="28"/>
                <w:highlight w:val="none"/>
              </w:rPr>
            </w:pPr>
            <w:r>
              <w:rPr>
                <w:rStyle w:val="24"/>
                <w:rFonts w:hint="default" w:ascii="Times New Roman" w:hAnsi="Times New Roman" w:cs="Times New Roman"/>
                <w:b/>
                <w:bCs/>
                <w:color w:val="auto"/>
                <w:sz w:val="28"/>
                <w:szCs w:val="28"/>
                <w:highlight w:val="none"/>
                <w:lang w:val="en-US" w:eastAsia="zh-CN"/>
              </w:rPr>
              <w:t>5</w:t>
            </w:r>
            <w:r>
              <w:rPr>
                <w:rStyle w:val="24"/>
                <w:rFonts w:hint="eastAsia" w:ascii="仿宋_GB2312" w:hAnsi="仿宋_GB2312" w:eastAsia="仿宋_GB2312" w:cs="仿宋_GB2312"/>
                <w:b/>
                <w:bCs/>
                <w:color w:val="auto"/>
                <w:sz w:val="28"/>
                <w:szCs w:val="28"/>
                <w:highlight w:val="none"/>
                <w:lang w:val="en-US" w:eastAsia="zh-CN"/>
              </w:rPr>
              <w:t>.</w:t>
            </w:r>
            <w:r>
              <w:rPr>
                <w:rStyle w:val="24"/>
                <w:rFonts w:hint="eastAsia" w:ascii="仿宋_GB2312" w:hAnsi="仿宋_GB2312" w:eastAsia="仿宋_GB2312" w:cs="仿宋_GB2312"/>
                <w:b/>
                <w:bCs/>
                <w:color w:val="auto"/>
                <w:sz w:val="28"/>
                <w:szCs w:val="28"/>
                <w:highlight w:val="none"/>
              </w:rPr>
              <w:t>桑蚕产业</w:t>
            </w:r>
            <w:r>
              <w:rPr>
                <w:rStyle w:val="24"/>
                <w:rFonts w:hint="eastAsia" w:ascii="仿宋_GB2312" w:hAnsi="仿宋_GB2312" w:eastAsia="仿宋_GB2312" w:cs="仿宋_GB2312"/>
                <w:b/>
                <w:bCs/>
                <w:color w:val="auto"/>
                <w:sz w:val="28"/>
                <w:szCs w:val="28"/>
                <w:highlight w:val="none"/>
                <w:lang w:val="en-US" w:eastAsia="zh-CN"/>
              </w:rPr>
              <w:t>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以黄冕镇和寨沙镇为龙头，联动鹿寨镇、中渡镇和四排镇，推广集成养蚕技术，提高蚕茧产量和质量，发展茧丝加工及蚕丝被等副产品</w:t>
            </w:r>
            <w:r>
              <w:rPr>
                <w:rFonts w:hint="eastAsia" w:ascii="仿宋_GB2312" w:hAnsi="仿宋_GB2312" w:cs="仿宋_GB2312"/>
                <w:b w:val="0"/>
                <w:bCs w:val="0"/>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建设桑蚕循环经济产业园。</w:t>
            </w:r>
          </w:p>
          <w:p w14:paraId="29F6A4CD">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Style w:val="24"/>
                <w:rFonts w:hint="default" w:ascii="Times New Roman" w:hAnsi="Times New Roman" w:eastAsia="仿宋_GB2312" w:cs="Times New Roman"/>
                <w:b/>
                <w:bCs/>
                <w:color w:val="auto"/>
                <w:sz w:val="28"/>
                <w:szCs w:val="28"/>
                <w:highlight w:val="none"/>
                <w:lang w:val="en-US" w:eastAsia="zh-CN"/>
              </w:rPr>
              <w:t>6</w:t>
            </w:r>
            <w:r>
              <w:rPr>
                <w:rStyle w:val="24"/>
                <w:rFonts w:hint="eastAsia" w:ascii="仿宋_GB2312" w:hAnsi="仿宋_GB2312" w:eastAsia="仿宋_GB2312" w:cs="仿宋_GB2312"/>
                <w:b/>
                <w:bCs/>
                <w:color w:val="auto"/>
                <w:sz w:val="28"/>
                <w:szCs w:val="28"/>
                <w:highlight w:val="none"/>
                <w:lang w:val="en-US" w:eastAsia="zh-CN"/>
              </w:rPr>
              <w:t>.畜牧产业带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以鹿寨镇、中渡镇为核心，连接寨沙镇、四排镇和平山镇，发展生态规模养殖，推动生猪养殖重点区域向非喀斯特地貌乡镇转移。</w:t>
            </w:r>
          </w:p>
          <w:p w14:paraId="4B8018EC">
            <w:pPr>
              <w:keepNext w:val="0"/>
              <w:keepLines w:val="0"/>
              <w:pageBreakBefore w:val="0"/>
              <w:kinsoku/>
              <w:wordWrap/>
              <w:overflowPunct/>
              <w:topLinePunct w:val="0"/>
              <w:autoSpaceDE/>
              <w:autoSpaceDN/>
              <w:bidi w:val="0"/>
              <w:adjustRightInd/>
              <w:snapToGrid/>
              <w:spacing w:line="400" w:lineRule="exact"/>
              <w:ind w:firstLine="562" w:firstLineChars="200"/>
              <w:textAlignment w:val="auto"/>
              <w:rPr>
                <w:rStyle w:val="24"/>
                <w:rFonts w:hint="eastAsia" w:ascii="仿宋_GB2312" w:hAnsi="仿宋_GB2312" w:eastAsia="仿宋_GB2312" w:cs="仿宋_GB2312"/>
                <w:b/>
                <w:bCs/>
                <w:color w:val="auto"/>
                <w:sz w:val="28"/>
                <w:szCs w:val="28"/>
                <w:highlight w:val="none"/>
                <w:lang w:val="en-US" w:eastAsia="zh-CN"/>
              </w:rPr>
            </w:pPr>
            <w:r>
              <w:rPr>
                <w:rFonts w:hint="default" w:ascii="Times New Roman" w:hAnsi="Times New Roman" w:eastAsia="仿宋_GB2312" w:cs="Times New Roman"/>
                <w:b/>
                <w:bCs/>
                <w:color w:val="auto"/>
                <w:sz w:val="28"/>
                <w:szCs w:val="28"/>
                <w:highlight w:val="none"/>
                <w:lang w:val="en-US" w:eastAsia="zh-CN"/>
              </w:rPr>
              <w:t>7</w:t>
            </w:r>
            <w:r>
              <w:rPr>
                <w:rFonts w:hint="eastAsia" w:ascii="仿宋_GB2312" w:hAnsi="仿宋_GB2312" w:eastAsia="仿宋_GB2312" w:cs="仿宋_GB2312"/>
                <w:b/>
                <w:bCs/>
                <w:color w:val="auto"/>
                <w:sz w:val="28"/>
                <w:szCs w:val="28"/>
                <w:highlight w:val="none"/>
                <w:lang w:val="en-US" w:eastAsia="zh-CN"/>
              </w:rPr>
              <w:t>.山地作物</w:t>
            </w:r>
            <w:r>
              <w:rPr>
                <w:rFonts w:hint="eastAsia" w:ascii="仿宋_GB2312" w:hAnsi="仿宋_GB2312" w:eastAsia="仿宋_GB2312" w:cs="仿宋_GB2312"/>
                <w:b/>
                <w:bCs/>
                <w:color w:val="auto"/>
                <w:sz w:val="28"/>
                <w:szCs w:val="28"/>
                <w:highlight w:val="none"/>
              </w:rPr>
              <w:t>产业</w:t>
            </w:r>
            <w:r>
              <w:rPr>
                <w:rFonts w:hint="eastAsia" w:ascii="仿宋_GB2312" w:hAnsi="仿宋_GB2312" w:eastAsia="仿宋_GB2312" w:cs="仿宋_GB2312"/>
                <w:b/>
                <w:bCs/>
                <w:color w:val="auto"/>
                <w:sz w:val="28"/>
                <w:szCs w:val="28"/>
                <w:highlight w:val="none"/>
                <w:lang w:val="en-US" w:eastAsia="zh-CN"/>
              </w:rPr>
              <w:t>带</w:t>
            </w:r>
            <w:r>
              <w:rPr>
                <w:rStyle w:val="24"/>
                <w:rFonts w:hint="eastAsia" w:ascii="仿宋_GB2312" w:hAnsi="仿宋_GB2312" w:eastAsia="仿宋_GB2312" w:cs="仿宋_GB2312"/>
                <w:b/>
                <w:bCs/>
                <w:color w:val="auto"/>
                <w:sz w:val="28"/>
                <w:szCs w:val="28"/>
                <w:highlight w:val="none"/>
                <w:lang w:val="en-US" w:eastAsia="zh-CN"/>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以拉沟乡为中心，联动黄冕镇、寨沙镇和四排镇，重点发展道地中药材和优质茶叶。在拉沟乡推进</w:t>
            </w:r>
            <w:r>
              <w:rPr>
                <w:rFonts w:hint="eastAsia" w:ascii="仿宋_GB2312" w:hAnsi="仿宋_GB2312" w:eastAsia="仿宋_GB2312" w:cs="仿宋_GB2312"/>
                <w:color w:val="auto"/>
                <w:sz w:val="28"/>
                <w:szCs w:val="28"/>
                <w:highlight w:val="none"/>
                <w:lang w:val="en-US" w:eastAsia="zh-CN"/>
              </w:rPr>
              <w:t>“一园三区一基地”（药王谷产业园、企业综合服务区、中药材生产加工区、中药材商贸物流区、中药材种植基地），构建综合性生态型中药材原料发展区。</w:t>
            </w:r>
          </w:p>
          <w:p w14:paraId="2D5CC3E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default" w:ascii="仿宋_GB2312" w:hAnsi="仿宋_GB2312" w:eastAsia="仿宋_GB2312" w:cs="仿宋_GB2312"/>
                <w:b/>
                <w:bCs/>
                <w:snapToGrid w:val="0"/>
                <w:color w:val="auto"/>
                <w:kern w:val="0"/>
                <w:sz w:val="28"/>
                <w:szCs w:val="28"/>
                <w:highlight w:val="none"/>
                <w:lang w:val="en-US" w:eastAsia="zh-CN" w:bidi="ar-SA"/>
              </w:rPr>
            </w:pPr>
            <w:r>
              <w:rPr>
                <w:rFonts w:hint="eastAsia" w:ascii="仿宋_GB2312" w:hAnsi="仿宋_GB2312" w:eastAsia="仿宋_GB2312" w:cs="仿宋_GB2312"/>
                <w:b/>
                <w:bCs/>
                <w:snapToGrid w:val="0"/>
                <w:color w:val="auto"/>
                <w:kern w:val="0"/>
                <w:sz w:val="28"/>
                <w:szCs w:val="28"/>
                <w:highlight w:val="none"/>
                <w:lang w:val="en-US" w:eastAsia="zh-CN" w:bidi="ar-SA"/>
              </w:rPr>
              <w:t>“六</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p>
          <w:p w14:paraId="5BB27B1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1</w:t>
            </w:r>
            <w:r>
              <w:rPr>
                <w:rFonts w:hint="eastAsia" w:ascii="仿宋_GB2312" w:hAnsi="仿宋_GB2312" w:eastAsia="仿宋_GB2312" w:cs="仿宋_GB2312"/>
                <w:b/>
                <w:bCs/>
                <w:snapToGrid w:val="0"/>
                <w:color w:val="auto"/>
                <w:kern w:val="0"/>
                <w:sz w:val="28"/>
                <w:szCs w:val="28"/>
                <w:highlight w:val="none"/>
                <w:lang w:val="en-US" w:eastAsia="zh-CN" w:bidi="ar-SA"/>
              </w:rPr>
              <w:t>.寨沙头菜</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以寨沙镇为核心，带动四排、拉沟等乡镇，利用秋闲田发展头菜种植与加工。</w:t>
            </w:r>
          </w:p>
          <w:p w14:paraId="2D4E47C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2</w:t>
            </w:r>
            <w:r>
              <w:rPr>
                <w:rFonts w:hint="eastAsia" w:ascii="仿宋_GB2312" w:hAnsi="仿宋_GB2312" w:eastAsia="仿宋_GB2312" w:cs="仿宋_GB2312"/>
                <w:b/>
                <w:bCs/>
                <w:snapToGrid w:val="0"/>
                <w:color w:val="auto"/>
                <w:kern w:val="0"/>
                <w:sz w:val="28"/>
                <w:szCs w:val="28"/>
                <w:highlight w:val="none"/>
                <w:lang w:val="en-US" w:eastAsia="zh-CN" w:bidi="ar-SA"/>
              </w:rPr>
              <w:t>.大果山楂</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val="0"/>
                <w:bCs w:val="0"/>
                <w:snapToGrid w:val="0"/>
                <w:color w:val="auto"/>
                <w:kern w:val="0"/>
                <w:sz w:val="28"/>
                <w:szCs w:val="28"/>
                <w:highlight w:val="none"/>
                <w:lang w:val="en-US" w:eastAsia="zh-CN" w:bidi="ar-SA"/>
              </w:rPr>
              <w:t>：以导江乡为中心，发展大果山楂种植和果脯加工，结合龙母水库“山楂之恋”景区，推动农文旅融合发展。</w:t>
            </w:r>
          </w:p>
          <w:p w14:paraId="2A65F28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color w:val="auto"/>
                <w:sz w:val="28"/>
                <w:szCs w:val="28"/>
                <w:highlight w:val="none"/>
              </w:rPr>
            </w:pPr>
            <w:r>
              <w:rPr>
                <w:rStyle w:val="24"/>
                <w:rFonts w:hint="default" w:ascii="Times New Roman" w:hAnsi="Times New Roman" w:eastAsia="仿宋_GB2312" w:cs="Times New Roman"/>
                <w:b/>
                <w:bCs/>
                <w:color w:val="auto"/>
                <w:sz w:val="28"/>
                <w:szCs w:val="28"/>
                <w:highlight w:val="none"/>
                <w:lang w:val="en-US" w:eastAsia="zh-CN"/>
              </w:rPr>
              <w:t>3</w:t>
            </w:r>
            <w:r>
              <w:rPr>
                <w:rStyle w:val="24"/>
                <w:rFonts w:hint="eastAsia" w:ascii="仿宋_GB2312" w:hAnsi="仿宋_GB2312" w:eastAsia="仿宋_GB2312" w:cs="仿宋_GB2312"/>
                <w:b/>
                <w:bCs/>
                <w:color w:val="auto"/>
                <w:sz w:val="28"/>
                <w:szCs w:val="28"/>
                <w:highlight w:val="none"/>
                <w:lang w:val="en-US" w:eastAsia="zh-CN"/>
              </w:rPr>
              <w:t>.鹿寨蜜橙基地：</w:t>
            </w:r>
            <w:r>
              <w:rPr>
                <w:rStyle w:val="24"/>
                <w:rFonts w:hint="eastAsia" w:ascii="仿宋_GB2312" w:hAnsi="仿宋_GB2312" w:eastAsia="仿宋_GB2312" w:cs="仿宋_GB2312"/>
                <w:b w:val="0"/>
                <w:bCs w:val="0"/>
                <w:color w:val="auto"/>
                <w:sz w:val="28"/>
                <w:szCs w:val="28"/>
                <w:highlight w:val="none"/>
                <w:lang w:val="en-US" w:eastAsia="zh-CN"/>
              </w:rPr>
              <w:t>以四排镇、寨沙镇为</w:t>
            </w:r>
            <w:r>
              <w:rPr>
                <w:rFonts w:hint="eastAsia" w:ascii="仿宋_GB2312" w:hAnsi="仿宋_GB2312" w:eastAsia="仿宋_GB2312" w:cs="仿宋_GB2312"/>
                <w:b w:val="0"/>
                <w:bCs w:val="0"/>
                <w:snapToGrid w:val="0"/>
                <w:color w:val="auto"/>
                <w:kern w:val="0"/>
                <w:sz w:val="28"/>
                <w:szCs w:val="28"/>
                <w:highlight w:val="none"/>
                <w:lang w:val="en-US" w:eastAsia="zh-CN" w:bidi="ar-SA"/>
              </w:rPr>
              <w:t>核心</w:t>
            </w:r>
            <w:r>
              <w:rPr>
                <w:rStyle w:val="24"/>
                <w:rFonts w:hint="eastAsia" w:ascii="仿宋_GB2312" w:hAnsi="仿宋_GB2312" w:eastAsia="仿宋_GB2312" w:cs="仿宋_GB2312"/>
                <w:b w:val="0"/>
                <w:bCs w:val="0"/>
                <w:color w:val="auto"/>
                <w:sz w:val="28"/>
                <w:szCs w:val="28"/>
                <w:highlight w:val="none"/>
                <w:lang w:val="en-US" w:eastAsia="zh-CN"/>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面向</w:t>
            </w:r>
            <w:r>
              <w:rPr>
                <w:rStyle w:val="24"/>
                <w:rFonts w:hint="eastAsia" w:ascii="仿宋_GB2312" w:hAnsi="仿宋_GB2312" w:eastAsia="仿宋_GB2312" w:cs="仿宋_GB2312"/>
                <w:b w:val="0"/>
                <w:bCs w:val="0"/>
                <w:color w:val="auto"/>
                <w:sz w:val="28"/>
                <w:szCs w:val="28"/>
                <w:highlight w:val="none"/>
                <w:lang w:val="en-US" w:eastAsia="zh-CN"/>
              </w:rPr>
              <w:t>高端市场，推行标准化生产，</w:t>
            </w:r>
            <w:r>
              <w:rPr>
                <w:rFonts w:hint="eastAsia" w:ascii="仿宋_GB2312" w:hAnsi="仿宋_GB2312" w:eastAsia="仿宋_GB2312" w:cs="仿宋_GB2312"/>
                <w:b w:val="0"/>
                <w:bCs w:val="0"/>
                <w:snapToGrid w:val="0"/>
                <w:color w:val="auto"/>
                <w:kern w:val="0"/>
                <w:sz w:val="28"/>
                <w:szCs w:val="28"/>
                <w:highlight w:val="none"/>
                <w:lang w:val="en-US" w:eastAsia="zh-CN" w:bidi="ar-SA"/>
              </w:rPr>
              <w:t>巩固</w:t>
            </w:r>
            <w:r>
              <w:rPr>
                <w:rStyle w:val="24"/>
                <w:rFonts w:hint="eastAsia" w:ascii="仿宋_GB2312" w:hAnsi="仿宋_GB2312" w:eastAsia="仿宋_GB2312" w:cs="仿宋_GB2312"/>
                <w:b w:val="0"/>
                <w:bCs w:val="0"/>
                <w:color w:val="auto"/>
                <w:sz w:val="28"/>
                <w:szCs w:val="28"/>
                <w:highlight w:val="none"/>
                <w:lang w:val="en-US" w:eastAsia="zh-CN"/>
              </w:rPr>
              <w:t>国家地理标志产品“鹿寨蜜橙”</w:t>
            </w:r>
            <w:r>
              <w:rPr>
                <w:rFonts w:hint="eastAsia" w:ascii="仿宋_GB2312" w:hAnsi="仿宋_GB2312" w:eastAsia="仿宋_GB2312" w:cs="仿宋_GB2312"/>
                <w:b w:val="0"/>
                <w:bCs w:val="0"/>
                <w:snapToGrid w:val="0"/>
                <w:color w:val="auto"/>
                <w:kern w:val="0"/>
                <w:sz w:val="28"/>
                <w:szCs w:val="28"/>
                <w:highlight w:val="none"/>
                <w:lang w:val="en-US" w:eastAsia="zh-CN" w:bidi="ar-SA"/>
              </w:rPr>
              <w:t>的品牌优势</w:t>
            </w:r>
            <w:r>
              <w:rPr>
                <w:rStyle w:val="24"/>
                <w:rFonts w:hint="eastAsia" w:ascii="仿宋_GB2312" w:hAnsi="仿宋_GB2312" w:eastAsia="仿宋_GB2312" w:cs="仿宋_GB2312"/>
                <w:b w:val="0"/>
                <w:bCs w:val="0"/>
                <w:color w:val="auto"/>
                <w:sz w:val="28"/>
                <w:szCs w:val="28"/>
                <w:highlight w:val="none"/>
                <w:lang w:val="en-US" w:eastAsia="zh-CN"/>
              </w:rPr>
              <w:t>。</w:t>
            </w:r>
          </w:p>
          <w:p w14:paraId="01086EB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4</w:t>
            </w:r>
            <w:r>
              <w:rPr>
                <w:rFonts w:hint="eastAsia" w:ascii="仿宋_GB2312" w:hAnsi="仿宋_GB2312" w:eastAsia="仿宋_GB2312" w:cs="仿宋_GB2312"/>
                <w:b/>
                <w:bCs/>
                <w:snapToGrid w:val="0"/>
                <w:color w:val="auto"/>
                <w:kern w:val="0"/>
                <w:sz w:val="28"/>
                <w:szCs w:val="28"/>
                <w:highlight w:val="none"/>
                <w:lang w:val="en-US" w:eastAsia="zh-CN" w:bidi="ar-SA"/>
              </w:rPr>
              <w:t>.精品葡萄</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以鹿寨镇为中心，发展以阳光玫瑰为主的高端设施葡萄种植，提升产品品质与市场价值。</w:t>
            </w:r>
          </w:p>
          <w:p w14:paraId="38B3E56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5</w:t>
            </w:r>
            <w:r>
              <w:rPr>
                <w:rFonts w:hint="eastAsia" w:ascii="仿宋_GB2312" w:hAnsi="仿宋_GB2312" w:eastAsia="仿宋_GB2312" w:cs="仿宋_GB2312"/>
                <w:b/>
                <w:bCs/>
                <w:snapToGrid w:val="0"/>
                <w:color w:val="auto"/>
                <w:kern w:val="0"/>
                <w:sz w:val="28"/>
                <w:szCs w:val="28"/>
                <w:highlight w:val="none"/>
                <w:lang w:val="en-US" w:eastAsia="zh-CN" w:bidi="ar-SA"/>
              </w:rPr>
              <w:t>.黄心木薯</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以四排镇为核心，扩大木薯种植面积和木薯初加工厂规模，推动初加工向精深加工发展，建设“木薯种植—初加工—冷链—深加工”全产业链。</w:t>
            </w:r>
          </w:p>
          <w:p w14:paraId="219CAAC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6</w:t>
            </w:r>
            <w:r>
              <w:rPr>
                <w:rFonts w:hint="eastAsia" w:ascii="仿宋_GB2312" w:hAnsi="仿宋_GB2312" w:eastAsia="仿宋_GB2312" w:cs="仿宋_GB2312"/>
                <w:b/>
                <w:bCs/>
                <w:snapToGrid w:val="0"/>
                <w:color w:val="auto"/>
                <w:kern w:val="0"/>
                <w:sz w:val="28"/>
                <w:szCs w:val="28"/>
                <w:highlight w:val="none"/>
                <w:lang w:val="en-US" w:eastAsia="zh-CN" w:bidi="ar-SA"/>
              </w:rPr>
              <w:t>.“一柿缘”番茄基地：</w:t>
            </w:r>
            <w:r>
              <w:rPr>
                <w:rFonts w:hint="eastAsia" w:ascii="仿宋_GB2312" w:hAnsi="仿宋_GB2312" w:eastAsia="仿宋_GB2312" w:cs="仿宋_GB2312"/>
                <w:b w:val="0"/>
                <w:bCs w:val="0"/>
                <w:snapToGrid w:val="0"/>
                <w:color w:val="auto"/>
                <w:kern w:val="0"/>
                <w:sz w:val="28"/>
                <w:szCs w:val="28"/>
                <w:highlight w:val="none"/>
                <w:lang w:val="en-US" w:eastAsia="zh-CN" w:bidi="ar-SA"/>
              </w:rPr>
              <w:t>以中渡镇为重点，规模化发展“一柿缘”高端番茄种植，抓好品种优化和品质提升，打响特色品牌。</w:t>
            </w:r>
          </w:p>
        </w:tc>
      </w:tr>
    </w:tbl>
    <w:p w14:paraId="4C9C022D">
      <w:pPr>
        <w:pStyle w:val="53"/>
        <w:bidi w:val="0"/>
        <w:spacing w:line="240" w:lineRule="auto"/>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drawing>
          <wp:inline distT="0" distB="0" distL="114300" distR="114300">
            <wp:extent cx="5544820" cy="4830445"/>
            <wp:effectExtent l="0" t="0" r="17780" b="8255"/>
            <wp:docPr id="2" name="图片 2" descr="农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农业"/>
                    <pic:cNvPicPr>
                      <a:picLocks noChangeAspect="1"/>
                    </pic:cNvPicPr>
                  </pic:nvPicPr>
                  <pic:blipFill>
                    <a:blip r:embed="rId11"/>
                    <a:srcRect l="16951" t="4954" r="14362" b="8131"/>
                    <a:stretch>
                      <a:fillRect/>
                    </a:stretch>
                  </pic:blipFill>
                  <pic:spPr>
                    <a:xfrm>
                      <a:off x="0" y="0"/>
                      <a:ext cx="5544820" cy="4830445"/>
                    </a:xfrm>
                    <a:prstGeom prst="rect">
                      <a:avLst/>
                    </a:prstGeom>
                  </pic:spPr>
                </pic:pic>
              </a:graphicData>
            </a:graphic>
          </wp:inline>
        </w:drawing>
      </w:r>
    </w:p>
    <w:p w14:paraId="25BA79BB">
      <w:pPr>
        <w:pStyle w:val="53"/>
        <w:bidi w:val="0"/>
        <w:spacing w:line="240" w:lineRule="auto"/>
        <w:jc w:val="center"/>
        <w:rPr>
          <w:rFonts w:hint="eastAsia"/>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图</w:t>
      </w:r>
      <w:r>
        <w:rPr>
          <w:rFonts w:hint="eastAsia" w:asci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鹿寨县农业发展布局图</w:t>
      </w:r>
    </w:p>
    <w:p w14:paraId="1049BCC2">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lang w:val="en-US" w:eastAsia="zh-CN"/>
        </w:rPr>
      </w:pPr>
      <w:bookmarkStart w:id="166" w:name="_Toc25733"/>
      <w:bookmarkStart w:id="167" w:name="_Toc28305"/>
      <w:r>
        <w:rPr>
          <w:rFonts w:hint="eastAsia"/>
          <w:b w:val="0"/>
          <w:bCs/>
          <w:color w:val="auto"/>
          <w:sz w:val="36"/>
          <w:szCs w:val="36"/>
          <w:highlight w:val="none"/>
          <w:lang w:val="en-US" w:eastAsia="zh-CN"/>
        </w:rPr>
        <w:t>第二节  推动农业现代化与全产业链发展</w:t>
      </w:r>
      <w:bookmarkEnd w:id="162"/>
      <w:bookmarkEnd w:id="163"/>
      <w:bookmarkEnd w:id="166"/>
      <w:bookmarkEnd w:id="167"/>
    </w:p>
    <w:p w14:paraId="05A7EEE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以“稳粮保供、提质增效、绿色转型、全链升级”为核心路径，推动鹿寨农业由规模扩张向质量效益并重转变，围绕“大产业、大加工、大营销”发展导向，深化一二三产业融合，</w:t>
      </w:r>
      <w:r>
        <w:rPr>
          <w:rFonts w:hint="eastAsia" w:ascii="仿宋_GB2312" w:hAnsi="仿宋_GB2312" w:eastAsia="仿宋_GB2312" w:cs="仿宋_GB2312"/>
          <w:b w:val="0"/>
          <w:bCs w:val="0"/>
          <w:snapToGrid w:val="0"/>
          <w:color w:val="auto"/>
          <w:kern w:val="0"/>
          <w:sz w:val="32"/>
          <w:szCs w:val="32"/>
          <w:highlight w:val="none"/>
          <w:lang w:val="en-US" w:eastAsia="zh-CN" w:bidi="ar-SA"/>
        </w:rPr>
        <w:t>加快构建现代化农业产业体系，持续增强农业综合竞争力。</w:t>
      </w:r>
    </w:p>
    <w:p w14:paraId="5115CD8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增强重要农产品供给保障能力。</w:t>
      </w:r>
      <w:r>
        <w:rPr>
          <w:rFonts w:hint="eastAsia" w:ascii="仿宋_GB2312" w:hAnsi="仿宋_GB2312" w:eastAsia="仿宋_GB2312" w:cs="仿宋_GB2312"/>
          <w:b w:val="0"/>
          <w:bCs w:val="0"/>
          <w:color w:val="auto"/>
          <w:sz w:val="32"/>
          <w:szCs w:val="32"/>
          <w:highlight w:val="none"/>
          <w:lang w:val="en-US" w:eastAsia="zh-CN"/>
        </w:rPr>
        <w:t>坚决落实粮食安全党政同责，强化耕地保护和用途管制，严守耕地红线，完善占补平衡管理机制，坚决遏制耕地“非农化”、防止“非粮化”。深入实施藏粮于地、藏粮于技战略，扎实推进高标准农田建设与质量提升工程，稳步改善耕地质量。持续推进新一轮千亿斤粮食产能提升行动，优化优质稻种植结构，积极发展富硒水稻、高钙水稻等特色水稻种植。完善粮食生产支持政策体系，推广水稻生产全程机械化，全面提升农业现代化水平和综合产能。加强“菜篮子”工程建设，持续推进标准化蔬菜基地建设，保障蔬菜稳产增产。稳步扩大“寨沙头菜”等地方特色蔬菜种植规模，将鹿寨打造为广西重要的豆角生产与加工基地，积极发展现代化生态养殖和屠宰加工产业，推动生猪、家禽出栏量稳步增长。重点培育面向外销的鲜食型和加工型大宗蔬菜产品，发挥农业龙头企业与规模化养殖场的示范带动作用。健全重要农产品产销衔接机制，全面提升肉、蛋、奶、菜等主要农产品的市场供应保障能力，加快构建安全、高效、可控的农产品供给体系。</w:t>
      </w:r>
    </w:p>
    <w:p w14:paraId="69A87BC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firstLine="643" w:firstLineChars="200"/>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推动农业全链条融合发展</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snapToGrid w:val="0"/>
          <w:color w:val="auto"/>
          <w:kern w:val="0"/>
          <w:sz w:val="32"/>
          <w:szCs w:val="32"/>
          <w:highlight w:val="none"/>
          <w:lang w:val="en-US" w:eastAsia="zh-CN" w:bidi="ar-SA"/>
        </w:rPr>
        <w:t>重点推进农产品加工业转型升级，建设优质稻、螺蛳粉原材料、糖料蔗、特色水果、桑蚕茧、中药材和茶叶六大标准化生产基地。加快农产品精深加工产业园建设，推动糖料蔗、桑蚕丝绸、畜禽产品、果蔬和中药材等加工项目落地。完善现代农产品流通体系，构建“生产—加工—仓储—冷链—销售”全链条一体化供应链，培育专业化营销队伍。加强冷链物流基础设施建设，依托中蔬联·鹿寨智慧农商产业园、桂中批发市场两大核心平台的集散枢纽功能，</w:t>
      </w:r>
      <w:r>
        <w:rPr>
          <w:rFonts w:hint="eastAsia" w:ascii="仿宋_GB2312" w:hAnsi="仿宋_GB2312" w:eastAsia="仿宋_GB2312" w:cs="仿宋_GB2312"/>
          <w:color w:val="auto"/>
          <w:spacing w:val="0"/>
          <w:sz w:val="32"/>
          <w:szCs w:val="32"/>
          <w:highlight w:val="none"/>
          <w:lang w:val="en-US" w:eastAsia="zh-CN"/>
        </w:rPr>
        <w:t>打造辐射周边、面向全国的区域农产品商贸加工仓储综合服务中心。</w:t>
      </w:r>
      <w:r>
        <w:rPr>
          <w:rFonts w:hint="eastAsia" w:ascii="仿宋_GB2312" w:hAnsi="仿宋_GB2312" w:eastAsia="仿宋_GB2312" w:cs="仿宋_GB2312"/>
          <w:b w:val="0"/>
          <w:bCs w:val="0"/>
          <w:snapToGrid w:val="0"/>
          <w:color w:val="auto"/>
          <w:kern w:val="0"/>
          <w:sz w:val="32"/>
          <w:szCs w:val="32"/>
          <w:highlight w:val="none"/>
          <w:lang w:val="en-US" w:eastAsia="zh-CN" w:bidi="ar-SA"/>
        </w:rPr>
        <w:t>巩固豆角集散地优势地位，提升农产品跨区域流通效率。扩大“二品一标”</w:t>
      </w:r>
      <w:r>
        <w:rPr>
          <w:rStyle w:val="25"/>
          <w:rFonts w:hint="default" w:ascii="Times New Roman" w:hAnsi="Times New Roman" w:eastAsia="仿宋_GB2312" w:cs="Times New Roman"/>
          <w:b w:val="0"/>
          <w:bCs w:val="0"/>
          <w:snapToGrid w:val="0"/>
          <w:color w:val="auto"/>
          <w:kern w:val="0"/>
          <w:sz w:val="32"/>
          <w:szCs w:val="32"/>
          <w:highlight w:val="none"/>
          <w:lang w:val="en-US" w:eastAsia="zh-CN" w:bidi="ar-SA"/>
        </w:rPr>
        <w:t>[</w:t>
      </w:r>
      <w:r>
        <w:rPr>
          <w:rStyle w:val="25"/>
          <w:rFonts w:hint="default" w:ascii="Times New Roman" w:hAnsi="Times New Roman" w:eastAsia="仿宋_GB2312" w:cs="Times New Roman"/>
          <w:b w:val="0"/>
          <w:bCs w:val="0"/>
          <w:snapToGrid w:val="0"/>
          <w:color w:val="auto"/>
          <w:kern w:val="0"/>
          <w:sz w:val="32"/>
          <w:szCs w:val="32"/>
          <w:highlight w:val="none"/>
          <w:lang w:val="en-US" w:eastAsia="zh-CN" w:bidi="ar-SA"/>
        </w:rPr>
        <w:endnoteReference w:id="9"/>
      </w:r>
      <w:r>
        <w:rPr>
          <w:rStyle w:val="25"/>
          <w:rFonts w:hint="default" w:ascii="Times New Roman" w:hAnsi="Times New Roman" w:eastAsia="仿宋_GB2312" w:cs="Times New Roman"/>
          <w:b w:val="0"/>
          <w:bCs w:val="0"/>
          <w:snapToGrid w:val="0"/>
          <w:color w:val="auto"/>
          <w:kern w:val="0"/>
          <w:sz w:val="32"/>
          <w:szCs w:val="32"/>
          <w:highlight w:val="none"/>
          <w:lang w:val="en-US" w:eastAsia="zh-CN" w:bidi="ar-SA"/>
        </w:rPr>
        <w:t>]</w:t>
      </w:r>
      <w:r>
        <w:rPr>
          <w:rFonts w:hint="eastAsia" w:ascii="仿宋_GB2312" w:hAnsi="仿宋_GB2312" w:eastAsia="仿宋_GB2312" w:cs="仿宋_GB2312"/>
          <w:b w:val="0"/>
          <w:bCs w:val="0"/>
          <w:snapToGrid w:val="0"/>
          <w:color w:val="auto"/>
          <w:kern w:val="0"/>
          <w:sz w:val="32"/>
          <w:szCs w:val="32"/>
          <w:highlight w:val="none"/>
          <w:lang w:val="en-US" w:eastAsia="zh-CN" w:bidi="ar-SA"/>
        </w:rPr>
        <w:t>农产品认证覆盖面，以品牌化建设提升农产品附加值与市场竞争力。深化农文旅融合发展，提质升级中渡“寨美一方”田园综合体、“呦呦鹿鸣”葡萄示范区、拉沟五家景区、导江山楂之恋景区等重点项目，串珠成链打造精品旅游线路，发展旅游重点村，积极培育休闲农业、健康养生、电商直播等新业态。创新产业融合发展机制，完善联农带农利益联结机制，规范订单农业合同管理，推广股份合作、保底分红、利润返还等多元合作模式。</w:t>
      </w:r>
    </w:p>
    <w:p w14:paraId="5634C81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培育农业新质生产力。</w:t>
      </w:r>
      <w:r>
        <w:rPr>
          <w:rFonts w:hint="eastAsia" w:ascii="仿宋_GB2312" w:hAnsi="仿宋_GB2312" w:eastAsia="仿宋_GB2312" w:cs="仿宋_GB2312"/>
          <w:b w:val="0"/>
          <w:bCs w:val="0"/>
          <w:snapToGrid w:val="0"/>
          <w:color w:val="auto"/>
          <w:kern w:val="0"/>
          <w:sz w:val="32"/>
          <w:szCs w:val="32"/>
          <w:highlight w:val="none"/>
          <w:lang w:val="en-US" w:eastAsia="zh-CN" w:bidi="ar-SA"/>
        </w:rPr>
        <w:t>强化农业科技攻关，建设一批农业科技示范基地，培养基层农技推广人才，完善县、乡、村三级农业科技服务体系。深化与科研院所合作，实施种业振兴行动，加强种质资源保护利用，开展“鹿寨蜜橙”“查比阳光葡萄”等地方特色品种的提纯复壮和新品种选育工作，力争在突破性新品种选育和引进方面取得新进展。推进高端智能农机和丘陵山区适用农机装备研发与应用，着力突破桑园、果园及山地作物生产环节的小型智能农机装备引进、研发与示范推广，提升特色产业机械化水平。促进良田、良种、良机、良法配套集成，推进全国甘蔗机械化生产整建制试点县建设，提升粮、糖、畜、渔、蚕等主导产业机械化水平。拓展无人机在运输、植保、监测等低空经济领域的应用场景，建设智慧果园、蔗田应用场景。接入广西农业农村大数据平台和智慧</w:t>
      </w:r>
      <w:r>
        <w:rPr>
          <w:rFonts w:hint="eastAsia" w:ascii="仿宋_GB2312" w:hAnsi="仿宋_GB2312" w:eastAsia="仿宋_GB2312" w:cs="仿宋_GB2312"/>
          <w:b w:val="0"/>
          <w:bCs w:val="0"/>
          <w:color w:val="auto"/>
          <w:sz w:val="32"/>
          <w:szCs w:val="32"/>
          <w:highlight w:val="none"/>
          <w:lang w:val="en-US" w:eastAsia="zh-CN"/>
        </w:rPr>
        <w:t>“一张图”</w:t>
      </w:r>
      <w:r>
        <w:rPr>
          <w:rFonts w:hint="eastAsia" w:ascii="仿宋_GB2312" w:hAnsi="仿宋_GB2312" w:eastAsia="仿宋_GB2312" w:cs="仿宋_GB2312"/>
          <w:b w:val="0"/>
          <w:bCs w:val="0"/>
          <w:snapToGrid w:val="0"/>
          <w:color w:val="auto"/>
          <w:kern w:val="0"/>
          <w:sz w:val="32"/>
          <w:szCs w:val="32"/>
          <w:highlight w:val="none"/>
          <w:lang w:val="en-US" w:eastAsia="zh-CN" w:bidi="ar-SA"/>
        </w:rPr>
        <w:t>，推动人工智能、物联网等信息技术与特色种养业深度融合，赋能农业现代化发展。</w:t>
      </w:r>
      <w:r>
        <w:rPr>
          <w:rFonts w:hint="default" w:ascii="Times New Roman" w:hAnsi="Times New Roman" w:eastAsia="仿宋_GB2312" w:cs="Times New Roman"/>
          <w:b w:val="0"/>
          <w:bCs w:val="0"/>
          <w:color w:val="auto"/>
          <w:sz w:val="32"/>
          <w:szCs w:val="32"/>
          <w:highlight w:val="none"/>
          <w:lang w:eastAsia="zh-CN"/>
        </w:rPr>
        <w:t>推动数字技术与农业产业深度融合。部</w:t>
      </w:r>
      <w:r>
        <w:rPr>
          <w:rFonts w:hint="eastAsia" w:ascii="仿宋_GB2312" w:hAnsi="仿宋_GB2312" w:eastAsia="仿宋_GB2312" w:cs="仿宋_GB2312"/>
          <w:b w:val="0"/>
          <w:bCs w:val="0"/>
          <w:color w:val="auto"/>
          <w:sz w:val="32"/>
          <w:szCs w:val="32"/>
          <w:highlight w:val="none"/>
          <w:lang w:eastAsia="zh-CN"/>
        </w:rPr>
        <w:t>署“天空地”一体</w:t>
      </w:r>
      <w:r>
        <w:rPr>
          <w:rFonts w:hint="default" w:ascii="Times New Roman" w:hAnsi="Times New Roman" w:eastAsia="仿宋_GB2312" w:cs="Times New Roman"/>
          <w:b w:val="0"/>
          <w:bCs w:val="0"/>
          <w:color w:val="auto"/>
          <w:sz w:val="32"/>
          <w:szCs w:val="32"/>
          <w:highlight w:val="none"/>
          <w:lang w:eastAsia="zh-CN"/>
        </w:rPr>
        <w:t>化遥感监测网络，全面汇聚气象、土壤、市场等多源数据，构建精准高效的产业风险预警模型，为农村一二三产业融合与特色产业发展提供智能化支撑。</w:t>
      </w:r>
    </w:p>
    <w:p w14:paraId="1D8905E6">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2A05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9071" w:type="dxa"/>
            <w:vAlign w:val="center"/>
          </w:tcPr>
          <w:p w14:paraId="0BF8DC5D">
            <w:pPr>
              <w:pStyle w:val="53"/>
              <w:bidi w:val="0"/>
              <w:rPr>
                <w:rFonts w:hint="default"/>
                <w:color w:val="auto"/>
                <w:highlight w:val="none"/>
                <w:lang w:val="en-US"/>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6-2</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现代农业重点项目</w:t>
            </w:r>
          </w:p>
        </w:tc>
      </w:tr>
      <w:tr w14:paraId="31D8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71" w:type="dxa"/>
            <w:vAlign w:val="center"/>
          </w:tcPr>
          <w:p w14:paraId="503E8D4A">
            <w:pPr>
              <w:pStyle w:val="54"/>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2" w:firstLineChars="200"/>
              <w:jc w:val="left"/>
              <w:textAlignment w:val="auto"/>
              <w:rPr>
                <w:rFonts w:hint="default" w:cs="Times New Roman"/>
                <w:b w:val="0"/>
                <w:bCs w:val="0"/>
                <w:color w:val="auto"/>
                <w:sz w:val="28"/>
                <w:szCs w:val="28"/>
                <w:highlight w:val="none"/>
                <w:vertAlign w:val="baseline"/>
                <w:lang w:val="en-US" w:eastAsia="zh-CN"/>
              </w:rPr>
            </w:pPr>
            <w:r>
              <w:rPr>
                <w:rFonts w:hint="eastAsia" w:cs="Times New Roman"/>
                <w:b/>
                <w:bCs/>
                <w:color w:val="auto"/>
                <w:sz w:val="28"/>
                <w:szCs w:val="28"/>
                <w:highlight w:val="none"/>
                <w:vertAlign w:val="baseline"/>
                <w:lang w:val="en-US" w:eastAsia="zh-CN"/>
              </w:rPr>
              <w:t>基础设施：</w:t>
            </w:r>
            <w:r>
              <w:rPr>
                <w:rFonts w:hint="eastAsia" w:cs="Times New Roman"/>
                <w:b w:val="0"/>
                <w:bCs w:val="0"/>
                <w:color w:val="auto"/>
                <w:sz w:val="28"/>
                <w:szCs w:val="28"/>
                <w:highlight w:val="none"/>
                <w:vertAlign w:val="baseline"/>
                <w:lang w:val="en-US" w:eastAsia="zh-CN"/>
              </w:rPr>
              <w:t>实施鹿寨县以工代赈项目，推进高标准农田建设、中蔬联农产品商贸服务中心、黄冕桑蚕产业基础提升工程、中渡镇现代果蔬农业示范产业园、鹿寨县绿色农产品精深加工基地等项目，谋划乡镇粮所回建、“智慧+”农业应用等项目。</w:t>
            </w:r>
          </w:p>
          <w:p w14:paraId="5463B1D9">
            <w:pPr>
              <w:pStyle w:val="54"/>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2" w:firstLineChars="200"/>
              <w:jc w:val="left"/>
              <w:textAlignment w:val="auto"/>
              <w:rPr>
                <w:rFonts w:hint="default" w:cs="Times New Roman"/>
                <w:b w:val="0"/>
                <w:bCs w:val="0"/>
                <w:color w:val="auto"/>
                <w:sz w:val="28"/>
                <w:szCs w:val="28"/>
                <w:highlight w:val="none"/>
                <w:vertAlign w:val="baseline"/>
                <w:lang w:val="en-US" w:eastAsia="zh-CN"/>
              </w:rPr>
            </w:pPr>
            <w:r>
              <w:rPr>
                <w:rFonts w:hint="eastAsia" w:cs="Times New Roman"/>
                <w:b/>
                <w:bCs/>
                <w:color w:val="auto"/>
                <w:sz w:val="28"/>
                <w:szCs w:val="28"/>
                <w:highlight w:val="none"/>
                <w:vertAlign w:val="baseline"/>
                <w:lang w:val="en-US" w:eastAsia="zh-CN"/>
              </w:rPr>
              <w:t>产业项目：</w:t>
            </w:r>
            <w:r>
              <w:rPr>
                <w:rFonts w:hint="eastAsia" w:cs="Times New Roman"/>
                <w:b w:val="0"/>
                <w:bCs w:val="0"/>
                <w:color w:val="auto"/>
                <w:sz w:val="28"/>
                <w:szCs w:val="28"/>
                <w:highlight w:val="none"/>
                <w:vertAlign w:val="baseline"/>
                <w:lang w:val="en-US" w:eastAsia="zh-CN"/>
              </w:rPr>
              <w:t>推进</w:t>
            </w:r>
            <w:r>
              <w:rPr>
                <w:rFonts w:hint="eastAsia" w:eastAsia="仿宋_GB2312" w:cs="Times New Roman"/>
                <w:color w:val="auto"/>
                <w:sz w:val="28"/>
                <w:szCs w:val="28"/>
                <w:highlight w:val="none"/>
                <w:lang w:val="zh-TW" w:eastAsia="zh-CN"/>
              </w:rPr>
              <w:t>全域土地综合整治</w:t>
            </w:r>
            <w:r>
              <w:rPr>
                <w:rFonts w:hint="eastAsia" w:cs="Times New Roman"/>
                <w:color w:val="auto"/>
                <w:sz w:val="28"/>
                <w:szCs w:val="28"/>
                <w:highlight w:val="none"/>
                <w:lang w:val="zh-TW" w:eastAsia="zh-CN"/>
              </w:rPr>
              <w:t>、</w:t>
            </w:r>
            <w:r>
              <w:rPr>
                <w:rFonts w:hint="eastAsia" w:cs="Times New Roman"/>
                <w:b w:val="0"/>
                <w:bCs w:val="0"/>
                <w:color w:val="auto"/>
                <w:sz w:val="28"/>
                <w:szCs w:val="28"/>
                <w:highlight w:val="none"/>
                <w:vertAlign w:val="baseline"/>
                <w:lang w:val="en-US" w:eastAsia="zh-CN"/>
              </w:rPr>
              <w:t>粉用稻米种植加工、生猪养殖基地、四排镇江南村种养一体化基地、鹿寨镇陆基圆桶养殖</w:t>
            </w:r>
            <w:r>
              <w:rPr>
                <w:rFonts w:hint="eastAsia" w:cs="Times New Roman"/>
                <w:color w:val="auto"/>
                <w:kern w:val="2"/>
                <w:sz w:val="28"/>
                <w:szCs w:val="28"/>
                <w:highlight w:val="none"/>
                <w:lang w:val="en-US" w:eastAsia="zh-CN" w:bidi="th-TH"/>
              </w:rPr>
              <w:t>、螺蛳粉配菜加工</w:t>
            </w:r>
            <w:r>
              <w:rPr>
                <w:rFonts w:hint="eastAsia" w:cs="Times New Roman"/>
                <w:b w:val="0"/>
                <w:bCs w:val="0"/>
                <w:color w:val="auto"/>
                <w:sz w:val="28"/>
                <w:szCs w:val="28"/>
                <w:highlight w:val="none"/>
                <w:vertAlign w:val="baseline"/>
                <w:lang w:val="en-US" w:eastAsia="zh-CN"/>
              </w:rPr>
              <w:t>等项目，实施拉沟乡中药材、公敢古树茶全产业链开发；谋划农光互补、渔光互补等</w:t>
            </w:r>
            <w:r>
              <w:rPr>
                <w:rFonts w:hint="eastAsia" w:ascii="仿宋_GB2312" w:hAnsi="仿宋_GB2312" w:eastAsia="仿宋_GB2312" w:cs="仿宋_GB2312"/>
                <w:b w:val="0"/>
                <w:bCs w:val="0"/>
                <w:color w:val="auto"/>
                <w:sz w:val="28"/>
                <w:szCs w:val="28"/>
                <w:highlight w:val="none"/>
                <w:vertAlign w:val="baseline"/>
                <w:lang w:val="en-US" w:eastAsia="zh-CN"/>
              </w:rPr>
              <w:t>“农业</w:t>
            </w:r>
            <w:r>
              <w:rPr>
                <w:rFonts w:hint="eastAsia" w:ascii="仿宋_GB2312" w:hAnsi="仿宋_GB2312" w:cs="仿宋_GB2312"/>
                <w:b w:val="0"/>
                <w:bCs w:val="0"/>
                <w:color w:val="auto"/>
                <w:sz w:val="28"/>
                <w:szCs w:val="28"/>
                <w:highlight w:val="none"/>
                <w:vertAlign w:val="baseline"/>
                <w:lang w:val="en-US" w:eastAsia="zh-CN"/>
              </w:rPr>
              <w:t>+</w:t>
            </w:r>
            <w:r>
              <w:rPr>
                <w:rFonts w:hint="eastAsia" w:ascii="仿宋_GB2312" w:hAnsi="仿宋_GB2312" w:eastAsia="仿宋_GB2312" w:cs="仿宋_GB2312"/>
                <w:b w:val="0"/>
                <w:bCs w:val="0"/>
                <w:color w:val="auto"/>
                <w:sz w:val="28"/>
                <w:szCs w:val="28"/>
                <w:highlight w:val="none"/>
                <w:vertAlign w:val="baseline"/>
                <w:lang w:val="en-US" w:eastAsia="zh-CN"/>
              </w:rPr>
              <w:t>”</w:t>
            </w:r>
            <w:r>
              <w:rPr>
                <w:rFonts w:hint="eastAsia" w:cs="Times New Roman"/>
                <w:b w:val="0"/>
                <w:bCs w:val="0"/>
                <w:color w:val="auto"/>
                <w:sz w:val="28"/>
                <w:szCs w:val="28"/>
                <w:highlight w:val="none"/>
                <w:vertAlign w:val="baseline"/>
                <w:lang w:val="en-US" w:eastAsia="zh-CN"/>
              </w:rPr>
              <w:t>项目。</w:t>
            </w:r>
          </w:p>
        </w:tc>
      </w:tr>
    </w:tbl>
    <w:p w14:paraId="6EF506CE">
      <w:pPr>
        <w:pStyle w:val="5"/>
        <w:keepNext/>
        <w:keepLines/>
        <w:pageBreakBefore w:val="0"/>
        <w:widowControl w:val="0"/>
        <w:kinsoku/>
        <w:wordWrap/>
        <w:overflowPunct/>
        <w:topLinePunct w:val="0"/>
        <w:autoSpaceDE/>
        <w:autoSpaceDN/>
        <w:bidi w:val="0"/>
        <w:adjustRightInd/>
        <w:snapToGrid/>
        <w:spacing w:before="313" w:beforeLines="100" w:after="313" w:afterLines="100" w:line="413" w:lineRule="auto"/>
        <w:jc w:val="center"/>
        <w:textAlignment w:val="auto"/>
        <w:outlineLvl w:val="0"/>
        <w:rPr>
          <w:rFonts w:hint="default"/>
          <w:b w:val="0"/>
          <w:bCs/>
          <w:color w:val="auto"/>
          <w:sz w:val="36"/>
          <w:szCs w:val="36"/>
          <w:highlight w:val="none"/>
          <w:lang w:val="en-US" w:eastAsia="zh-CN"/>
        </w:rPr>
      </w:pPr>
      <w:bookmarkStart w:id="168" w:name="_Toc12121"/>
      <w:bookmarkStart w:id="169" w:name="_Toc13602"/>
      <w:bookmarkStart w:id="170" w:name="_Toc7309"/>
      <w:bookmarkStart w:id="171" w:name="_Toc591"/>
      <w:bookmarkStart w:id="172" w:name="_Toc20437"/>
      <w:r>
        <w:rPr>
          <w:rFonts w:hint="eastAsia"/>
          <w:b w:val="0"/>
          <w:bCs/>
          <w:color w:val="auto"/>
          <w:sz w:val="36"/>
          <w:szCs w:val="36"/>
          <w:highlight w:val="none"/>
          <w:lang w:val="en-US" w:eastAsia="zh-CN"/>
        </w:rPr>
        <w:t xml:space="preserve">第三节  </w:t>
      </w:r>
      <w:bookmarkEnd w:id="168"/>
      <w:bookmarkEnd w:id="169"/>
      <w:bookmarkEnd w:id="170"/>
      <w:r>
        <w:rPr>
          <w:rFonts w:hint="eastAsia"/>
          <w:b w:val="0"/>
          <w:bCs/>
          <w:color w:val="auto"/>
          <w:sz w:val="36"/>
          <w:szCs w:val="36"/>
          <w:highlight w:val="none"/>
          <w:lang w:val="en-US" w:eastAsia="zh-CN"/>
        </w:rPr>
        <w:t>建设生态宜居和美乡村</w:t>
      </w:r>
      <w:bookmarkEnd w:id="171"/>
      <w:bookmarkEnd w:id="172"/>
    </w:p>
    <w:p w14:paraId="1FB458E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173" w:name="_Toc12227"/>
      <w:r>
        <w:rPr>
          <w:rFonts w:hint="eastAsia" w:ascii="仿宋_GB2312" w:hAnsi="仿宋_GB2312" w:eastAsia="仿宋_GB2312" w:cs="仿宋_GB2312"/>
          <w:b w:val="0"/>
          <w:bCs w:val="0"/>
          <w:color w:val="auto"/>
          <w:sz w:val="32"/>
          <w:szCs w:val="32"/>
          <w:highlight w:val="none"/>
          <w:lang w:eastAsia="zh-CN"/>
        </w:rPr>
        <w:t>坚持以实施乡村振兴战略为总抓手，</w:t>
      </w:r>
      <w:r>
        <w:rPr>
          <w:rFonts w:hint="eastAsia" w:ascii="仿宋_GB2312" w:hAnsi="仿宋_GB2312" w:eastAsia="仿宋_GB2312" w:cs="仿宋_GB2312"/>
          <w:b w:val="0"/>
          <w:bCs w:val="0"/>
          <w:snapToGrid w:val="0"/>
          <w:color w:val="auto"/>
          <w:kern w:val="0"/>
          <w:sz w:val="32"/>
          <w:szCs w:val="32"/>
          <w:highlight w:val="none"/>
          <w:lang w:val="en-US" w:eastAsia="zh-CN" w:bidi="ar-SA"/>
        </w:rPr>
        <w:t>学习运用“千万工程”</w:t>
      </w:r>
      <w:r>
        <w:rPr>
          <w:rStyle w:val="25"/>
          <w:rFonts w:hint="eastAsia" w:ascii="仿宋_GB2312" w:hAnsi="仿宋_GB2312" w:eastAsia="仿宋_GB2312" w:cs="仿宋_GB2312"/>
          <w:b w:val="0"/>
          <w:bCs w:val="0"/>
          <w:snapToGrid w:val="0"/>
          <w:color w:val="auto"/>
          <w:kern w:val="0"/>
          <w:sz w:val="32"/>
          <w:szCs w:val="32"/>
          <w:highlight w:val="none"/>
          <w:lang w:val="en-US" w:eastAsia="zh-CN" w:bidi="ar-SA"/>
        </w:rPr>
        <w:t>[</w:t>
      </w:r>
      <w:r>
        <w:rPr>
          <w:rStyle w:val="25"/>
          <w:rFonts w:hint="eastAsia" w:ascii="仿宋_GB2312" w:hAnsi="仿宋_GB2312" w:eastAsia="仿宋_GB2312" w:cs="仿宋_GB2312"/>
          <w:b w:val="0"/>
          <w:bCs w:val="0"/>
          <w:snapToGrid w:val="0"/>
          <w:color w:val="auto"/>
          <w:kern w:val="0"/>
          <w:sz w:val="32"/>
          <w:szCs w:val="32"/>
          <w:highlight w:val="none"/>
          <w:lang w:val="en-US" w:eastAsia="zh-CN" w:bidi="ar-SA"/>
        </w:rPr>
        <w:endnoteReference w:id="10"/>
      </w:r>
      <w:r>
        <w:rPr>
          <w:rStyle w:val="25"/>
          <w:rFonts w:hint="eastAsia" w:ascii="仿宋_GB2312" w:hAnsi="仿宋_GB2312" w:eastAsia="仿宋_GB2312" w:cs="仿宋_GB2312"/>
          <w:b w:val="0"/>
          <w:bCs w:val="0"/>
          <w:snapToGrid w:val="0"/>
          <w:color w:val="auto"/>
          <w:kern w:val="0"/>
          <w:sz w:val="32"/>
          <w:szCs w:val="32"/>
          <w:highlight w:val="none"/>
          <w:lang w:val="en-US" w:eastAsia="zh-CN" w:bidi="ar-SA"/>
        </w:rPr>
        <w:t>]</w:t>
      </w:r>
      <w:r>
        <w:rPr>
          <w:rFonts w:hint="eastAsia" w:ascii="仿宋_GB2312" w:hAnsi="仿宋_GB2312" w:eastAsia="仿宋_GB2312" w:cs="仿宋_GB2312"/>
          <w:b w:val="0"/>
          <w:bCs w:val="0"/>
          <w:snapToGrid w:val="0"/>
          <w:color w:val="auto"/>
          <w:kern w:val="0"/>
          <w:sz w:val="32"/>
          <w:szCs w:val="32"/>
          <w:highlight w:val="none"/>
          <w:lang w:val="en-US" w:eastAsia="zh-CN" w:bidi="ar-SA"/>
        </w:rPr>
        <w:t>经验，</w:t>
      </w:r>
      <w:r>
        <w:rPr>
          <w:rFonts w:hint="eastAsia" w:ascii="仿宋_GB2312" w:hAnsi="仿宋_GB2312" w:eastAsia="仿宋_GB2312" w:cs="仿宋_GB2312"/>
          <w:b w:val="0"/>
          <w:bCs w:val="0"/>
          <w:color w:val="auto"/>
          <w:sz w:val="32"/>
          <w:szCs w:val="32"/>
          <w:highlight w:val="none"/>
          <w:lang w:eastAsia="zh-CN"/>
        </w:rPr>
        <w:t>围绕“产业兴旺、生态宜居、乡风文明、治理有效、生活富裕”总要求，</w:t>
      </w:r>
      <w:r>
        <w:rPr>
          <w:rFonts w:hint="eastAsia" w:ascii="仿宋_GB2312" w:hAnsi="仿宋_GB2312" w:eastAsia="仿宋_GB2312" w:cs="仿宋_GB2312"/>
          <w:b w:val="0"/>
          <w:bCs w:val="0"/>
          <w:color w:val="auto"/>
          <w:kern w:val="2"/>
          <w:sz w:val="32"/>
          <w:szCs w:val="32"/>
          <w:highlight w:val="none"/>
          <w:lang w:val="en-US" w:eastAsia="zh-CN" w:bidi="ar-SA"/>
        </w:rPr>
        <w:t>统筹谋划、系统施策。要着力补短板、强弱项、提品质，不断改善农村生产生活条件，逐步实现</w:t>
      </w:r>
      <w:r>
        <w:rPr>
          <w:rFonts w:hint="eastAsia" w:ascii="仿宋_GB2312" w:hAnsi="仿宋_GB2312" w:eastAsia="仿宋_GB2312" w:cs="仿宋_GB2312"/>
          <w:b w:val="0"/>
          <w:bCs w:val="0"/>
          <w:snapToGrid w:val="0"/>
          <w:color w:val="auto"/>
          <w:kern w:val="0"/>
          <w:sz w:val="32"/>
          <w:szCs w:val="32"/>
          <w:highlight w:val="none"/>
          <w:lang w:val="en-US" w:eastAsia="zh-CN" w:bidi="ar-SA"/>
        </w:rPr>
        <w:t>农村基础设施更完备、公共服务更便捷、人居环境更舒适</w:t>
      </w:r>
      <w:r>
        <w:rPr>
          <w:rFonts w:hint="eastAsia" w:ascii="仿宋_GB2312" w:hAnsi="仿宋_GB2312" w:eastAsia="仿宋_GB2312" w:cs="仿宋_GB2312"/>
          <w:b w:val="0"/>
          <w:bCs w:val="0"/>
          <w:color w:val="auto"/>
          <w:sz w:val="32"/>
          <w:szCs w:val="32"/>
          <w:highlight w:val="none"/>
          <w:lang w:eastAsia="zh-CN"/>
        </w:rPr>
        <w:t>。</w:t>
      </w:r>
    </w:p>
    <w:p w14:paraId="14848BD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强化</w:t>
      </w:r>
      <w:r>
        <w:rPr>
          <w:rFonts w:hint="eastAsia" w:ascii="仿宋_GB2312" w:hAnsi="仿宋_GB2312" w:eastAsia="仿宋_GB2312" w:cs="仿宋_GB2312"/>
          <w:b/>
          <w:bCs/>
          <w:color w:val="auto"/>
          <w:sz w:val="32"/>
          <w:szCs w:val="32"/>
          <w:highlight w:val="none"/>
          <w:lang w:eastAsia="zh-CN"/>
        </w:rPr>
        <w:t>县域</w:t>
      </w:r>
      <w:r>
        <w:rPr>
          <w:rFonts w:hint="eastAsia" w:ascii="仿宋_GB2312" w:hAnsi="仿宋_GB2312" w:eastAsia="仿宋_GB2312" w:cs="仿宋_GB2312"/>
          <w:b/>
          <w:bCs/>
          <w:color w:val="auto"/>
          <w:kern w:val="2"/>
          <w:sz w:val="32"/>
          <w:szCs w:val="32"/>
          <w:highlight w:val="none"/>
          <w:lang w:val="en-US" w:eastAsia="zh-CN" w:bidi="ar-SA"/>
        </w:rPr>
        <w:t>空间统筹与治理优化。</w:t>
      </w:r>
      <w:r>
        <w:rPr>
          <w:rFonts w:hint="eastAsia" w:ascii="仿宋_GB2312" w:hAnsi="仿宋_GB2312" w:eastAsia="仿宋_GB2312" w:cs="仿宋_GB2312"/>
          <w:b w:val="0"/>
          <w:bCs w:val="0"/>
          <w:color w:val="auto"/>
          <w:kern w:val="2"/>
          <w:sz w:val="32"/>
          <w:szCs w:val="32"/>
          <w:highlight w:val="none"/>
          <w:lang w:val="en-US" w:eastAsia="zh-CN" w:bidi="ar-SA"/>
        </w:rPr>
        <w:t>完善全县统一、权责清晰、科学高效的国土空间规划体系，落实耕地和永久基本农田、生态保护红线、城镇开发边界等控制线，实施分区分类精细化用途管制。健全“县主导、镇统筹、村参与”的实施机制，系统推进中心城区控规修编、乡镇级总规编制与村庄规划分类编制，实现重点村庄规划全覆盖。所有成果纳入国土空间规划“一张图”，并建立监测评估机制，定期开展适应性评估与动态优化。统筹推动中渡、寨沙、导江、江口等乡镇开展全域土地综合整治。优化村镇空间布局，强化乡村规划建设管理。着力盘活农村闲置宅基地、集体经营性建设用地等存量资源，依法依规推进节约集约利用，精准保障农产品精深加工、冷链物流、乡村旅游等产业发展与公共服务设施用地需求。实施耕地提质改造与土地开垦项目，加强后期管护与指标入库管理，全面提升土地综合利用效率。加强喀斯特地貌、拉沟原始森林等自然资源保护，挖掘壮乡文化、瑶乡文化等地域文化特色，通过空间重构、产业升级和环境提升，推动美丽乡村建设从“点上示范”向“全域提质”跨越发展。</w:t>
      </w:r>
    </w:p>
    <w:p w14:paraId="34D7162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提升农村基础设施和公共服务水平。</w:t>
      </w:r>
      <w:r>
        <w:rPr>
          <w:rFonts w:hint="eastAsia" w:ascii="仿宋_GB2312" w:hAnsi="仿宋_GB2312" w:eastAsia="仿宋_GB2312" w:cs="仿宋_GB2312"/>
          <w:b w:val="0"/>
          <w:bCs w:val="0"/>
          <w:color w:val="auto"/>
          <w:sz w:val="32"/>
          <w:szCs w:val="32"/>
          <w:highlight w:val="none"/>
          <w:lang w:eastAsia="zh-CN"/>
        </w:rPr>
        <w:t>重点推动</w:t>
      </w:r>
      <w:r>
        <w:rPr>
          <w:rFonts w:hint="eastAsia" w:ascii="Times New Roman" w:hAnsi="Times New Roman" w:eastAsia="仿宋_GB2312" w:cs="Times New Roman"/>
          <w:color w:val="auto"/>
          <w:sz w:val="32"/>
          <w:szCs w:val="32"/>
          <w:highlight w:val="none"/>
          <w:lang w:eastAsia="zh-CN"/>
        </w:rPr>
        <w:t>交通、物流、信息、能源</w:t>
      </w:r>
      <w:r>
        <w:rPr>
          <w:rFonts w:hint="default" w:ascii="Times New Roman" w:hAnsi="Times New Roman" w:eastAsia="仿宋_GB2312" w:cs="Times New Roman"/>
          <w:color w:val="auto"/>
          <w:sz w:val="32"/>
          <w:szCs w:val="32"/>
          <w:highlight w:val="none"/>
          <w:lang w:eastAsia="zh-CN"/>
        </w:rPr>
        <w:t>等基础设</w:t>
      </w:r>
      <w:r>
        <w:rPr>
          <w:rFonts w:hint="eastAsia" w:ascii="仿宋_GB2312" w:hAnsi="仿宋_GB2312" w:eastAsia="仿宋_GB2312" w:cs="仿宋_GB2312"/>
          <w:color w:val="auto"/>
          <w:sz w:val="32"/>
          <w:szCs w:val="32"/>
          <w:highlight w:val="none"/>
          <w:lang w:eastAsia="zh-CN"/>
        </w:rPr>
        <w:t>施向乡镇</w:t>
      </w:r>
      <w:r>
        <w:rPr>
          <w:rFonts w:hint="eastAsia" w:ascii="仿宋_GB2312" w:hAnsi="仿宋_GB2312" w:eastAsia="仿宋_GB2312" w:cs="仿宋_GB2312"/>
          <w:color w:val="auto"/>
          <w:sz w:val="32"/>
          <w:szCs w:val="32"/>
          <w:highlight w:val="none"/>
          <w:lang w:val="en-US" w:eastAsia="zh-CN"/>
        </w:rPr>
        <w:t>及</w:t>
      </w:r>
      <w:r>
        <w:rPr>
          <w:rFonts w:hint="eastAsia" w:ascii="仿宋_GB2312" w:hAnsi="仿宋_GB2312" w:eastAsia="仿宋_GB2312" w:cs="仿宋_GB2312"/>
          <w:color w:val="auto"/>
          <w:sz w:val="32"/>
          <w:szCs w:val="32"/>
          <w:highlight w:val="none"/>
          <w:lang w:eastAsia="zh-CN"/>
        </w:rPr>
        <w:t>农村延伸覆盖</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SA"/>
        </w:rPr>
        <w:t>优化农村公路网络，深</w:t>
      </w:r>
      <w:r>
        <w:rPr>
          <w:rFonts w:hint="eastAsia" w:ascii="仿宋_GB2312" w:hAnsi="仿宋_GB2312" w:eastAsia="仿宋_GB2312" w:cs="仿宋_GB2312"/>
          <w:color w:val="auto"/>
          <w:kern w:val="2"/>
          <w:sz w:val="32"/>
          <w:szCs w:val="32"/>
          <w:highlight w:val="none"/>
          <w:lang w:val="en-US" w:eastAsia="zh-CN" w:bidi="ar-SA"/>
        </w:rPr>
        <w:t>化“四好农村路”</w:t>
      </w:r>
      <w:r>
        <w:rPr>
          <w:rStyle w:val="25"/>
          <w:rFonts w:hint="default" w:ascii="Times New Roman" w:hAnsi="Times New Roman" w:eastAsia="仿宋_GB2312" w:cs="Times New Roman"/>
          <w:color w:val="auto"/>
          <w:kern w:val="2"/>
          <w:sz w:val="32"/>
          <w:szCs w:val="32"/>
          <w:highlight w:val="none"/>
          <w:lang w:val="en-US" w:eastAsia="zh-CN" w:bidi="ar-SA"/>
        </w:rPr>
        <w:t>[</w:t>
      </w:r>
      <w:r>
        <w:rPr>
          <w:rStyle w:val="25"/>
          <w:rFonts w:hint="default" w:ascii="Times New Roman" w:hAnsi="Times New Roman" w:eastAsia="仿宋_GB2312" w:cs="Times New Roman"/>
          <w:color w:val="auto"/>
          <w:kern w:val="2"/>
          <w:sz w:val="32"/>
          <w:szCs w:val="32"/>
          <w:highlight w:val="none"/>
          <w:lang w:val="en-US" w:eastAsia="zh-CN" w:bidi="ar-SA"/>
        </w:rPr>
        <w:endnoteReference w:id="11"/>
      </w:r>
      <w:r>
        <w:rPr>
          <w:rStyle w:val="25"/>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建设。</w:t>
      </w:r>
      <w:r>
        <w:rPr>
          <w:rFonts w:hint="eastAsia" w:ascii="Times New Roman" w:hAnsi="Times New Roman" w:eastAsia="仿宋_GB2312" w:cs="Times New Roman"/>
          <w:color w:val="auto"/>
          <w:kern w:val="2"/>
          <w:sz w:val="32"/>
          <w:szCs w:val="32"/>
          <w:highlight w:val="none"/>
          <w:lang w:val="en-US" w:eastAsia="zh-CN" w:bidi="ar-SA"/>
        </w:rPr>
        <w:t>着力</w:t>
      </w:r>
      <w:r>
        <w:rPr>
          <w:rFonts w:hint="default" w:ascii="Times New Roman" w:hAnsi="Times New Roman" w:eastAsia="仿宋_GB2312" w:cs="Times New Roman"/>
          <w:color w:val="auto"/>
          <w:kern w:val="2"/>
          <w:sz w:val="32"/>
          <w:szCs w:val="32"/>
          <w:highlight w:val="none"/>
          <w:lang w:val="en-US" w:eastAsia="zh-CN" w:bidi="ar-SA"/>
        </w:rPr>
        <w:t>提升通往乡镇、中心村、重要产业基地及旅游景区的道路等级，完善安全防护设施，有效降低危桥存量。健全多元化养护机制</w:t>
      </w:r>
      <w:r>
        <w:rPr>
          <w:rFonts w:hint="eastAsia" w:ascii="Times New Roman" w:hAnsi="Times New Roman" w:eastAsia="仿宋_GB2312" w:cs="Times New Roman"/>
          <w:color w:val="auto"/>
          <w:kern w:val="2"/>
          <w:sz w:val="32"/>
          <w:szCs w:val="32"/>
          <w:highlight w:val="none"/>
          <w:lang w:val="en-US" w:eastAsia="zh-CN" w:bidi="ar-SA"/>
        </w:rPr>
        <w:t>，加强</w:t>
      </w:r>
      <w:r>
        <w:rPr>
          <w:rFonts w:hint="default" w:ascii="Times New Roman" w:hAnsi="Times New Roman" w:eastAsia="仿宋_GB2312" w:cs="Times New Roman"/>
          <w:color w:val="auto"/>
          <w:kern w:val="2"/>
          <w:sz w:val="32"/>
          <w:szCs w:val="32"/>
          <w:highlight w:val="none"/>
          <w:lang w:val="en-US" w:eastAsia="zh-CN" w:bidi="ar-SA"/>
        </w:rPr>
        <w:t>路域环境综合</w:t>
      </w:r>
      <w:r>
        <w:rPr>
          <w:rFonts w:hint="eastAsia" w:ascii="Times New Roman" w:hAnsi="Times New Roman" w:eastAsia="仿宋_GB2312" w:cs="Times New Roman"/>
          <w:color w:val="auto"/>
          <w:kern w:val="2"/>
          <w:sz w:val="32"/>
          <w:szCs w:val="32"/>
          <w:highlight w:val="none"/>
          <w:lang w:val="en-US" w:eastAsia="zh-CN" w:bidi="ar-SA"/>
        </w:rPr>
        <w:t>整治。实施农村供水水质提升专项行动，推进供水管网更新改造与规模化供水工程建设。健全从水源到水龙头的水质监测与净化处理体系，保障农村饮水安全稳定达标。</w:t>
      </w:r>
      <w:r>
        <w:rPr>
          <w:rFonts w:hint="default" w:ascii="Times New Roman" w:hAnsi="Times New Roman" w:eastAsia="仿宋_GB2312" w:cs="Times New Roman"/>
          <w:color w:val="auto"/>
          <w:kern w:val="2"/>
          <w:sz w:val="32"/>
          <w:szCs w:val="32"/>
          <w:highlight w:val="none"/>
          <w:lang w:val="en-US" w:eastAsia="zh-CN" w:bidi="ar-SA"/>
        </w:rPr>
        <w:t>加快数字乡村建设，逐步实现农村5G网络和千兆光网全覆盖，搭建智慧农业与乡村治理数字化平台，拓展远程医疗、在线教育等</w:t>
      </w:r>
      <w:r>
        <w:rPr>
          <w:rFonts w:hint="eastAsia" w:ascii="Times New Roman" w:hAnsi="Times New Roman" w:eastAsia="仿宋_GB2312" w:cs="Times New Roman"/>
          <w:color w:val="auto"/>
          <w:kern w:val="2"/>
          <w:sz w:val="32"/>
          <w:szCs w:val="32"/>
          <w:highlight w:val="none"/>
          <w:lang w:val="en-US" w:eastAsia="zh-CN" w:bidi="ar-SA"/>
        </w:rPr>
        <w:t>便</w:t>
      </w:r>
      <w:r>
        <w:rPr>
          <w:rFonts w:hint="default" w:ascii="Times New Roman" w:hAnsi="Times New Roman" w:eastAsia="仿宋_GB2312" w:cs="Times New Roman"/>
          <w:color w:val="auto"/>
          <w:kern w:val="2"/>
          <w:sz w:val="32"/>
          <w:szCs w:val="32"/>
          <w:highlight w:val="none"/>
          <w:lang w:val="en-US" w:eastAsia="zh-CN" w:bidi="ar-SA"/>
        </w:rPr>
        <w:t>民数字应用。推动教育、医疗、养老、社保等优质</w:t>
      </w:r>
      <w:r>
        <w:rPr>
          <w:rFonts w:hint="eastAsia" w:ascii="Times New Roman" w:hAnsi="Times New Roman" w:eastAsia="仿宋_GB2312" w:cs="Times New Roman"/>
          <w:color w:val="auto"/>
          <w:kern w:val="2"/>
          <w:sz w:val="32"/>
          <w:szCs w:val="32"/>
          <w:highlight w:val="none"/>
          <w:lang w:val="en-US" w:eastAsia="zh-CN" w:bidi="ar-SA"/>
        </w:rPr>
        <w:t>公共服务</w:t>
      </w:r>
      <w:r>
        <w:rPr>
          <w:rFonts w:hint="default" w:ascii="Times New Roman" w:hAnsi="Times New Roman" w:eastAsia="仿宋_GB2312" w:cs="Times New Roman"/>
          <w:color w:val="auto"/>
          <w:kern w:val="2"/>
          <w:sz w:val="32"/>
          <w:szCs w:val="32"/>
          <w:highlight w:val="none"/>
          <w:lang w:val="en-US" w:eastAsia="zh-CN" w:bidi="ar-SA"/>
        </w:rPr>
        <w:t>资源向农村下沉</w:t>
      </w:r>
      <w:r>
        <w:rPr>
          <w:rFonts w:hint="eastAsia" w:ascii="Times New Roman" w:hAnsi="Times New Roman" w:eastAsia="仿宋_GB2312" w:cs="Times New Roman"/>
          <w:color w:val="auto"/>
          <w:kern w:val="2"/>
          <w:sz w:val="32"/>
          <w:szCs w:val="32"/>
          <w:highlight w:val="none"/>
          <w:lang w:val="en-US" w:eastAsia="zh-CN" w:bidi="ar-SA"/>
        </w:rPr>
        <w:t>，逐步缩小城乡公共服务差距，</w:t>
      </w:r>
      <w:r>
        <w:rPr>
          <w:rFonts w:hint="default" w:ascii="Times New Roman" w:hAnsi="Times New Roman" w:eastAsia="仿宋_GB2312" w:cs="Times New Roman"/>
          <w:color w:val="auto"/>
          <w:sz w:val="32"/>
          <w:szCs w:val="32"/>
          <w:highlight w:val="none"/>
          <w:lang w:eastAsia="zh-CN"/>
        </w:rPr>
        <w:t>让发展成果更多更公平惠及</w:t>
      </w:r>
      <w:r>
        <w:rPr>
          <w:rFonts w:hint="eastAsia" w:ascii="Times New Roman" w:hAnsi="Times New Roman" w:eastAsia="仿宋_GB2312" w:cs="Times New Roman"/>
          <w:color w:val="auto"/>
          <w:sz w:val="32"/>
          <w:szCs w:val="32"/>
          <w:highlight w:val="none"/>
          <w:lang w:eastAsia="zh-CN"/>
        </w:rPr>
        <w:t>广大</w:t>
      </w:r>
      <w:r>
        <w:rPr>
          <w:rFonts w:hint="default" w:ascii="Times New Roman" w:hAnsi="Times New Roman" w:eastAsia="仿宋_GB2312" w:cs="Times New Roman"/>
          <w:color w:val="auto"/>
          <w:sz w:val="32"/>
          <w:szCs w:val="32"/>
          <w:highlight w:val="none"/>
          <w:lang w:eastAsia="zh-CN"/>
        </w:rPr>
        <w:t>农村</w:t>
      </w:r>
      <w:r>
        <w:rPr>
          <w:rFonts w:hint="eastAsia" w:ascii="Times New Roman" w:hAnsi="Times New Roman" w:eastAsia="仿宋_GB2312" w:cs="Times New Roman"/>
          <w:color w:val="auto"/>
          <w:sz w:val="32"/>
          <w:szCs w:val="32"/>
          <w:highlight w:val="none"/>
          <w:lang w:eastAsia="zh-CN"/>
        </w:rPr>
        <w:t>居民</w:t>
      </w:r>
      <w:r>
        <w:rPr>
          <w:rFonts w:hint="default" w:ascii="Times New Roman" w:hAnsi="Times New Roman" w:eastAsia="仿宋_GB2312" w:cs="Times New Roman"/>
          <w:color w:val="auto"/>
          <w:sz w:val="32"/>
          <w:szCs w:val="32"/>
          <w:highlight w:val="none"/>
          <w:lang w:eastAsia="zh-CN"/>
        </w:rPr>
        <w:t>。</w:t>
      </w:r>
    </w:p>
    <w:p w14:paraId="14F6FDA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改善人居环境与生态风貌。</w:t>
      </w:r>
      <w:r>
        <w:rPr>
          <w:rFonts w:hint="eastAsia" w:ascii="仿宋_GB2312" w:hAnsi="仿宋_GB2312" w:eastAsia="仿宋_GB2312" w:cs="仿宋_GB2312"/>
          <w:b w:val="0"/>
          <w:bCs w:val="0"/>
          <w:color w:val="auto"/>
          <w:sz w:val="32"/>
          <w:szCs w:val="32"/>
          <w:highlight w:val="none"/>
          <w:lang w:eastAsia="zh-CN"/>
        </w:rPr>
        <w:t>以持续改善农村人居环境为导向，补齐农村现代生活条件短板，打造宜居宜业和美乡村生活空间，</w:t>
      </w:r>
      <w:r>
        <w:rPr>
          <w:rFonts w:hint="default" w:ascii="Times New Roman" w:hAnsi="Times New Roman" w:eastAsia="仿宋_GB2312" w:cs="Times New Roman"/>
          <w:b w:val="0"/>
          <w:bCs w:val="0"/>
          <w:color w:val="auto"/>
          <w:sz w:val="32"/>
          <w:szCs w:val="32"/>
          <w:highlight w:val="none"/>
          <w:lang w:eastAsia="zh-CN"/>
        </w:rPr>
        <w:t>推进农村卫生厕所新建和改造，因地制宜</w:t>
      </w:r>
      <w:r>
        <w:rPr>
          <w:rFonts w:hint="eastAsia" w:ascii="Times New Roman" w:hAnsi="Times New Roman" w:eastAsia="仿宋_GB2312" w:cs="Times New Roman"/>
          <w:b w:val="0"/>
          <w:bCs w:val="0"/>
          <w:color w:val="auto"/>
          <w:sz w:val="32"/>
          <w:szCs w:val="32"/>
          <w:highlight w:val="none"/>
          <w:lang w:eastAsia="zh-CN"/>
        </w:rPr>
        <w:t>推广</w:t>
      </w:r>
      <w:r>
        <w:rPr>
          <w:rFonts w:hint="default" w:ascii="Times New Roman" w:hAnsi="Times New Roman" w:eastAsia="仿宋_GB2312" w:cs="Times New Roman"/>
          <w:b w:val="0"/>
          <w:bCs w:val="0"/>
          <w:color w:val="auto"/>
          <w:sz w:val="32"/>
          <w:szCs w:val="32"/>
          <w:highlight w:val="none"/>
          <w:lang w:eastAsia="zh-CN"/>
        </w:rPr>
        <w:t>集中与分散相结合的粪污处理模式，建立</w:t>
      </w:r>
      <w:r>
        <w:rPr>
          <w:rFonts w:hint="eastAsia" w:ascii="Times New Roman" w:hAnsi="Times New Roman" w:eastAsia="仿宋_GB2312" w:cs="Times New Roman"/>
          <w:b w:val="0"/>
          <w:bCs w:val="0"/>
          <w:color w:val="auto"/>
          <w:sz w:val="32"/>
          <w:szCs w:val="32"/>
          <w:highlight w:val="none"/>
          <w:lang w:eastAsia="zh-CN"/>
        </w:rPr>
        <w:t>健全</w:t>
      </w:r>
      <w:r>
        <w:rPr>
          <w:rFonts w:hint="default" w:ascii="Times New Roman" w:hAnsi="Times New Roman" w:eastAsia="仿宋_GB2312" w:cs="Times New Roman"/>
          <w:b w:val="0"/>
          <w:bCs w:val="0"/>
          <w:color w:val="auto"/>
          <w:sz w:val="32"/>
          <w:szCs w:val="32"/>
          <w:highlight w:val="none"/>
          <w:lang w:eastAsia="zh-CN"/>
        </w:rPr>
        <w:t>厕所粪污清掏、</w:t>
      </w:r>
      <w:r>
        <w:rPr>
          <w:rFonts w:hint="eastAsia" w:ascii="Times New Roman" w:hAnsi="Times New Roman" w:eastAsia="仿宋_GB2312" w:cs="Times New Roman"/>
          <w:b w:val="0"/>
          <w:bCs w:val="0"/>
          <w:color w:val="auto"/>
          <w:sz w:val="32"/>
          <w:szCs w:val="32"/>
          <w:highlight w:val="none"/>
          <w:lang w:eastAsia="zh-CN"/>
        </w:rPr>
        <w:t>转运与</w:t>
      </w:r>
      <w:r>
        <w:rPr>
          <w:rFonts w:hint="default" w:ascii="Times New Roman" w:hAnsi="Times New Roman" w:eastAsia="仿宋_GB2312" w:cs="Times New Roman"/>
          <w:b w:val="0"/>
          <w:bCs w:val="0"/>
          <w:color w:val="auto"/>
          <w:sz w:val="32"/>
          <w:szCs w:val="32"/>
          <w:highlight w:val="none"/>
          <w:lang w:eastAsia="zh-CN"/>
        </w:rPr>
        <w:t>资源化利用体系。加强农业面源污染治理，</w:t>
      </w:r>
      <w:r>
        <w:rPr>
          <w:rFonts w:hint="eastAsia" w:ascii="Times New Roman" w:hAnsi="Times New Roman" w:eastAsia="仿宋_GB2312" w:cs="Times New Roman"/>
          <w:b w:val="0"/>
          <w:bCs w:val="0"/>
          <w:color w:val="auto"/>
          <w:sz w:val="32"/>
          <w:szCs w:val="32"/>
          <w:highlight w:val="none"/>
          <w:lang w:eastAsia="zh-CN"/>
        </w:rPr>
        <w:t>深入实施</w:t>
      </w:r>
      <w:r>
        <w:rPr>
          <w:rFonts w:hint="default" w:ascii="Times New Roman" w:hAnsi="Times New Roman" w:eastAsia="仿宋_GB2312" w:cs="Times New Roman"/>
          <w:b w:val="0"/>
          <w:bCs w:val="0"/>
          <w:color w:val="auto"/>
          <w:sz w:val="32"/>
          <w:szCs w:val="32"/>
          <w:highlight w:val="none"/>
          <w:lang w:eastAsia="zh-CN"/>
        </w:rPr>
        <w:t>化肥农药减量增效行动，</w:t>
      </w:r>
      <w:r>
        <w:rPr>
          <w:rFonts w:hint="eastAsia" w:ascii="Times New Roman" w:hAnsi="Times New Roman" w:eastAsia="仿宋_GB2312" w:cs="Times New Roman"/>
          <w:b w:val="0"/>
          <w:bCs w:val="0"/>
          <w:color w:val="auto"/>
          <w:sz w:val="32"/>
          <w:szCs w:val="32"/>
          <w:highlight w:val="none"/>
          <w:lang w:eastAsia="zh-CN"/>
        </w:rPr>
        <w:t>提升</w:t>
      </w:r>
      <w:r>
        <w:rPr>
          <w:rFonts w:hint="default" w:ascii="Times New Roman" w:hAnsi="Times New Roman" w:eastAsia="仿宋_GB2312" w:cs="Times New Roman"/>
          <w:b w:val="0"/>
          <w:bCs w:val="0"/>
          <w:color w:val="auto"/>
          <w:sz w:val="32"/>
          <w:szCs w:val="32"/>
          <w:highlight w:val="none"/>
          <w:lang w:eastAsia="zh-CN"/>
        </w:rPr>
        <w:t>畜禽粪污资源化利用</w:t>
      </w:r>
      <w:r>
        <w:rPr>
          <w:rFonts w:hint="eastAsia" w:ascii="Times New Roman" w:hAnsi="Times New Roman" w:eastAsia="仿宋_GB2312" w:cs="Times New Roman"/>
          <w:b w:val="0"/>
          <w:bCs w:val="0"/>
          <w:color w:val="auto"/>
          <w:sz w:val="32"/>
          <w:szCs w:val="32"/>
          <w:highlight w:val="none"/>
          <w:lang w:eastAsia="zh-CN"/>
        </w:rPr>
        <w:t>水平</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巩固</w:t>
      </w:r>
      <w:r>
        <w:rPr>
          <w:rFonts w:hint="eastAsia" w:ascii="Times New Roman" w:hAnsi="Times New Roman" w:eastAsia="仿宋_GB2312" w:cs="Times New Roman"/>
          <w:b w:val="0"/>
          <w:bCs w:val="0"/>
          <w:color w:val="auto"/>
          <w:sz w:val="32"/>
          <w:szCs w:val="32"/>
          <w:highlight w:val="none"/>
          <w:lang w:eastAsia="zh-CN"/>
        </w:rPr>
        <w:t>提</w:t>
      </w:r>
      <w:r>
        <w:rPr>
          <w:rFonts w:hint="eastAsia" w:ascii="仿宋_GB2312" w:hAnsi="仿宋_GB2312" w:eastAsia="仿宋_GB2312" w:cs="仿宋_GB2312"/>
          <w:b w:val="0"/>
          <w:bCs w:val="0"/>
          <w:color w:val="auto"/>
          <w:sz w:val="32"/>
          <w:szCs w:val="32"/>
          <w:highlight w:val="none"/>
          <w:lang w:eastAsia="zh-CN"/>
        </w:rPr>
        <w:t>升“户分类、村收集、镇转运、县处理”</w:t>
      </w:r>
      <w:r>
        <w:rPr>
          <w:rFonts w:hint="default" w:ascii="Times New Roman" w:hAnsi="Times New Roman" w:eastAsia="仿宋_GB2312" w:cs="Times New Roman"/>
          <w:b w:val="0"/>
          <w:bCs w:val="0"/>
          <w:color w:val="auto"/>
          <w:sz w:val="32"/>
          <w:szCs w:val="32"/>
          <w:highlight w:val="none"/>
          <w:lang w:eastAsia="zh-CN"/>
        </w:rPr>
        <w:t>的</w:t>
      </w:r>
      <w:r>
        <w:rPr>
          <w:rFonts w:hint="eastAsia" w:ascii="Times New Roman" w:hAnsi="Times New Roman" w:eastAsia="仿宋_GB2312" w:cs="Times New Roman"/>
          <w:b w:val="0"/>
          <w:bCs w:val="0"/>
          <w:color w:val="auto"/>
          <w:sz w:val="32"/>
          <w:szCs w:val="32"/>
          <w:highlight w:val="none"/>
          <w:lang w:eastAsia="zh-CN"/>
        </w:rPr>
        <w:t>农村</w:t>
      </w:r>
      <w:r>
        <w:rPr>
          <w:rFonts w:hint="default" w:ascii="Times New Roman" w:hAnsi="Times New Roman" w:eastAsia="仿宋_GB2312" w:cs="Times New Roman"/>
          <w:b w:val="0"/>
          <w:bCs w:val="0"/>
          <w:color w:val="auto"/>
          <w:sz w:val="32"/>
          <w:szCs w:val="32"/>
          <w:highlight w:val="none"/>
          <w:lang w:eastAsia="zh-CN"/>
        </w:rPr>
        <w:t>生活垃圾收运处置</w:t>
      </w:r>
      <w:r>
        <w:rPr>
          <w:rFonts w:hint="eastAsia" w:ascii="Times New Roman" w:hAnsi="Times New Roman" w:eastAsia="仿宋_GB2312" w:cs="Times New Roman"/>
          <w:b w:val="0"/>
          <w:bCs w:val="0"/>
          <w:color w:val="auto"/>
          <w:sz w:val="32"/>
          <w:szCs w:val="32"/>
          <w:highlight w:val="none"/>
          <w:lang w:val="en-US" w:eastAsia="zh-CN"/>
        </w:rPr>
        <w:t>水平</w:t>
      </w:r>
      <w:r>
        <w:rPr>
          <w:rFonts w:hint="default" w:ascii="Times New Roman" w:hAnsi="Times New Roman" w:eastAsia="仿宋_GB2312" w:cs="Times New Roman"/>
          <w:b w:val="0"/>
          <w:bCs w:val="0"/>
          <w:color w:val="auto"/>
          <w:sz w:val="32"/>
          <w:szCs w:val="32"/>
          <w:highlight w:val="none"/>
          <w:lang w:eastAsia="zh-CN"/>
        </w:rPr>
        <w:t>，探索符合农村</w:t>
      </w:r>
      <w:r>
        <w:rPr>
          <w:rFonts w:hint="eastAsia" w:ascii="Times New Roman" w:hAnsi="Times New Roman" w:eastAsia="仿宋_GB2312" w:cs="Times New Roman"/>
          <w:b w:val="0"/>
          <w:bCs w:val="0"/>
          <w:color w:val="auto"/>
          <w:sz w:val="32"/>
          <w:szCs w:val="32"/>
          <w:highlight w:val="none"/>
          <w:lang w:eastAsia="zh-CN"/>
        </w:rPr>
        <w:t>实际</w:t>
      </w:r>
      <w:r>
        <w:rPr>
          <w:rFonts w:hint="default" w:ascii="Times New Roman" w:hAnsi="Times New Roman" w:eastAsia="仿宋_GB2312" w:cs="Times New Roman"/>
          <w:b w:val="0"/>
          <w:bCs w:val="0"/>
          <w:color w:val="auto"/>
          <w:sz w:val="32"/>
          <w:szCs w:val="32"/>
          <w:highlight w:val="none"/>
          <w:lang w:eastAsia="zh-CN"/>
        </w:rPr>
        <w:t>的垃圾分类和资源化利用</w:t>
      </w:r>
      <w:r>
        <w:rPr>
          <w:rFonts w:hint="eastAsia" w:ascii="Times New Roman" w:hAnsi="Times New Roman" w:eastAsia="仿宋_GB2312" w:cs="Times New Roman"/>
          <w:b w:val="0"/>
          <w:bCs w:val="0"/>
          <w:color w:val="auto"/>
          <w:sz w:val="32"/>
          <w:szCs w:val="32"/>
          <w:highlight w:val="none"/>
          <w:lang w:eastAsia="zh-CN"/>
        </w:rPr>
        <w:t>路径</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系统推进</w:t>
      </w:r>
      <w:r>
        <w:rPr>
          <w:rFonts w:hint="default" w:ascii="Times New Roman" w:hAnsi="Times New Roman" w:eastAsia="仿宋_GB2312" w:cs="Times New Roman"/>
          <w:b w:val="0"/>
          <w:bCs w:val="0"/>
          <w:color w:val="auto"/>
          <w:sz w:val="32"/>
          <w:szCs w:val="32"/>
          <w:highlight w:val="none"/>
          <w:lang w:eastAsia="zh-CN"/>
        </w:rPr>
        <w:t>乡村生态保护与修复，推广</w:t>
      </w:r>
      <w:r>
        <w:rPr>
          <w:rFonts w:hint="eastAsia" w:ascii="仿宋_GB2312" w:hAnsi="仿宋_GB2312" w:eastAsia="仿宋_GB2312" w:cs="仿宋_GB2312"/>
          <w:b w:val="0"/>
          <w:bCs w:val="0"/>
          <w:color w:val="auto"/>
          <w:sz w:val="32"/>
          <w:szCs w:val="32"/>
          <w:highlight w:val="none"/>
          <w:lang w:eastAsia="zh-CN"/>
        </w:rPr>
        <w:t>“人工湿地+生态沟渠”等生态处理技术，总结推广中渡</w:t>
      </w:r>
      <w:r>
        <w:rPr>
          <w:rFonts w:hint="eastAsia" w:ascii="仿宋_GB2312" w:hAnsi="仿宋_GB2312" w:eastAsia="仿宋_GB2312" w:cs="仿宋_GB2312"/>
          <w:b w:val="0"/>
          <w:bCs w:val="0"/>
          <w:color w:val="auto"/>
          <w:sz w:val="32"/>
          <w:szCs w:val="32"/>
          <w:highlight w:val="none"/>
          <w:lang w:val="en-US" w:eastAsia="zh-CN"/>
        </w:rPr>
        <w:t>镇</w:t>
      </w:r>
      <w:r>
        <w:rPr>
          <w:rFonts w:hint="eastAsia" w:ascii="仿宋_GB2312" w:hAnsi="仿宋_GB2312" w:eastAsia="仿宋_GB2312" w:cs="仿宋_GB2312"/>
          <w:b w:val="0"/>
          <w:bCs w:val="0"/>
          <w:color w:val="auto"/>
          <w:sz w:val="32"/>
          <w:szCs w:val="32"/>
          <w:highlight w:val="none"/>
          <w:lang w:eastAsia="zh-CN"/>
        </w:rPr>
        <w:t>独寨屯、鹿寨镇山脚屯等试点经验，着力打造“桂中生态宜居样板村”</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力争</w:t>
      </w:r>
      <w:r>
        <w:rPr>
          <w:rFonts w:hint="default" w:ascii="Times New Roman" w:hAnsi="Times New Roman" w:eastAsia="仿宋_GB2312" w:cs="Times New Roman"/>
          <w:b w:val="0"/>
          <w:bCs w:val="0"/>
          <w:color w:val="auto"/>
          <w:sz w:val="32"/>
          <w:szCs w:val="32"/>
          <w:highlight w:val="none"/>
          <w:lang w:eastAsia="zh-CN"/>
        </w:rPr>
        <w:t>到2030年全县农村生活污水治理</w:t>
      </w:r>
      <w:r>
        <w:rPr>
          <w:rFonts w:hint="eastAsia" w:ascii="Times New Roman" w:hAnsi="Times New Roman" w:eastAsia="仿宋_GB2312"/>
          <w:color w:val="auto"/>
          <w:sz w:val="32"/>
          <w:szCs w:val="32"/>
          <w:highlight w:val="none"/>
        </w:rPr>
        <w:t>（管控）率达</w:t>
      </w:r>
      <w:r>
        <w:rPr>
          <w:rFonts w:hint="default" w:ascii="Times New Roman" w:hAnsi="Times New Roman" w:eastAsia="仿宋_GB2312"/>
          <w:color w:val="auto"/>
          <w:sz w:val="32"/>
          <w:szCs w:val="32"/>
          <w:highlight w:val="none"/>
        </w:rPr>
        <w:t>70</w:t>
      </w:r>
      <w:r>
        <w:rPr>
          <w:rFonts w:hint="eastAsia" w:ascii="Times New Roman" w:hAnsi="Times New Roman" w:eastAsia="仿宋_GB2312"/>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、生活垃圾无害化处理率保持98%</w:t>
      </w:r>
      <w:r>
        <w:rPr>
          <w:rFonts w:hint="eastAsia" w:ascii="Times New Roman" w:hAnsi="Times New Roman" w:eastAsia="仿宋_GB2312" w:cs="Times New Roman"/>
          <w:b w:val="0"/>
          <w:bCs w:val="0"/>
          <w:color w:val="auto"/>
          <w:sz w:val="32"/>
          <w:szCs w:val="32"/>
          <w:highlight w:val="none"/>
          <w:lang w:eastAsia="zh-CN"/>
        </w:rPr>
        <w:t>以上。</w:t>
      </w:r>
    </w:p>
    <w:p w14:paraId="2E1DBB3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构建智慧</w:t>
      </w:r>
      <w:r>
        <w:rPr>
          <w:rFonts w:hint="eastAsia" w:ascii="Times New Roman" w:hAnsi="Times New Roman" w:eastAsia="仿宋_GB2312" w:cs="Times New Roman"/>
          <w:b/>
          <w:bCs/>
          <w:color w:val="auto"/>
          <w:sz w:val="32"/>
          <w:szCs w:val="32"/>
          <w:highlight w:val="none"/>
          <w:lang w:eastAsia="zh-CN"/>
        </w:rPr>
        <w:t>乡村</w:t>
      </w:r>
      <w:r>
        <w:rPr>
          <w:rFonts w:hint="default" w:ascii="Times New Roman" w:hAnsi="Times New Roman" w:eastAsia="仿宋_GB2312" w:cs="Times New Roman"/>
          <w:b/>
          <w:bCs/>
          <w:color w:val="auto"/>
          <w:sz w:val="32"/>
          <w:szCs w:val="32"/>
          <w:highlight w:val="none"/>
          <w:lang w:eastAsia="zh-CN"/>
        </w:rPr>
        <w:t>治理体系。</w:t>
      </w:r>
      <w:r>
        <w:rPr>
          <w:rFonts w:hint="default" w:ascii="Times New Roman" w:hAnsi="Times New Roman" w:eastAsia="仿宋_GB2312" w:cs="Times New Roman"/>
          <w:b w:val="0"/>
          <w:bCs w:val="0"/>
          <w:color w:val="auto"/>
          <w:sz w:val="32"/>
          <w:szCs w:val="32"/>
          <w:highlight w:val="none"/>
          <w:lang w:eastAsia="zh-CN"/>
        </w:rPr>
        <w:t>实施</w:t>
      </w:r>
      <w:r>
        <w:rPr>
          <w:rFonts w:hint="eastAsia" w:ascii="仿宋_GB2312" w:hAnsi="仿宋_GB2312" w:eastAsia="仿宋_GB2312" w:cs="仿宋_GB2312"/>
          <w:b w:val="0"/>
          <w:bCs w:val="0"/>
          <w:color w:val="auto"/>
          <w:sz w:val="32"/>
          <w:szCs w:val="32"/>
          <w:highlight w:val="none"/>
          <w:lang w:eastAsia="zh-CN"/>
        </w:rPr>
        <w:t>“数字乡村提升行动”，以市级政务云平台为依托，高标准建设“鹿寨县智慧乡村大脑”</w:t>
      </w:r>
      <w:r>
        <w:rPr>
          <w:rFonts w:hint="default" w:ascii="Times New Roman" w:hAnsi="Times New Roman" w:eastAsia="仿宋_GB2312" w:cs="Times New Roman"/>
          <w:b w:val="0"/>
          <w:bCs w:val="0"/>
          <w:color w:val="auto"/>
          <w:sz w:val="32"/>
          <w:szCs w:val="32"/>
          <w:highlight w:val="none"/>
          <w:lang w:eastAsia="zh-CN"/>
        </w:rPr>
        <w:t>，构建集政务服务、乡村治理、产业监测、应急管理四大模块</w:t>
      </w:r>
      <w:r>
        <w:rPr>
          <w:rFonts w:hint="eastAsia" w:ascii="Times New Roman" w:hAnsi="Times New Roman" w:eastAsia="仿宋_GB2312" w:cs="Times New Roman"/>
          <w:b w:val="0"/>
          <w:bCs w:val="0"/>
          <w:color w:val="auto"/>
          <w:sz w:val="32"/>
          <w:szCs w:val="32"/>
          <w:highlight w:val="none"/>
          <w:lang w:val="en-US" w:eastAsia="zh-CN"/>
        </w:rPr>
        <w:t>于一体</w:t>
      </w:r>
      <w:r>
        <w:rPr>
          <w:rFonts w:hint="default" w:ascii="Times New Roman" w:hAnsi="Times New Roman" w:eastAsia="仿宋_GB2312" w:cs="Times New Roman"/>
          <w:b w:val="0"/>
          <w:bCs w:val="0"/>
          <w:color w:val="auto"/>
          <w:sz w:val="32"/>
          <w:szCs w:val="32"/>
          <w:highlight w:val="none"/>
          <w:lang w:eastAsia="zh-CN"/>
        </w:rPr>
        <w:t>的乡村数字治理中枢，实现跨部门数据互通与业务协同。完善村级便民服务</w:t>
      </w:r>
      <w:r>
        <w:rPr>
          <w:rFonts w:hint="eastAsia" w:ascii="Times New Roman" w:hAnsi="Times New Roman" w:eastAsia="仿宋_GB2312" w:cs="Times New Roman"/>
          <w:b w:val="0"/>
          <w:bCs w:val="0"/>
          <w:color w:val="auto"/>
          <w:sz w:val="32"/>
          <w:szCs w:val="32"/>
          <w:highlight w:val="none"/>
          <w:lang w:eastAsia="zh-CN"/>
        </w:rPr>
        <w:t>网点布局</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大力</w:t>
      </w:r>
      <w:r>
        <w:rPr>
          <w:rFonts w:hint="default" w:ascii="Times New Roman" w:hAnsi="Times New Roman" w:eastAsia="仿宋_GB2312" w:cs="Times New Roman"/>
          <w:b w:val="0"/>
          <w:bCs w:val="0"/>
          <w:color w:val="auto"/>
          <w:sz w:val="32"/>
          <w:szCs w:val="32"/>
          <w:highlight w:val="none"/>
          <w:lang w:eastAsia="zh-CN"/>
        </w:rPr>
        <w:t>推</w:t>
      </w:r>
      <w:r>
        <w:rPr>
          <w:rFonts w:hint="eastAsia" w:ascii="仿宋_GB2312" w:hAnsi="仿宋_GB2312" w:eastAsia="仿宋_GB2312" w:cs="仿宋_GB2312"/>
          <w:b w:val="0"/>
          <w:bCs w:val="0"/>
          <w:color w:val="auto"/>
          <w:sz w:val="32"/>
          <w:szCs w:val="32"/>
          <w:highlight w:val="none"/>
          <w:lang w:eastAsia="zh-CN"/>
        </w:rPr>
        <w:t>广“指尖政务”</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同步</w:t>
      </w:r>
      <w:r>
        <w:rPr>
          <w:rFonts w:hint="default" w:ascii="Times New Roman" w:hAnsi="Times New Roman" w:eastAsia="仿宋_GB2312" w:cs="Times New Roman"/>
          <w:b w:val="0"/>
          <w:bCs w:val="0"/>
          <w:color w:val="auto"/>
          <w:sz w:val="32"/>
          <w:szCs w:val="32"/>
          <w:highlight w:val="none"/>
          <w:lang w:eastAsia="zh-CN"/>
        </w:rPr>
        <w:t>搭建乡村治理数字化平台，融</w:t>
      </w:r>
      <w:r>
        <w:rPr>
          <w:rFonts w:hint="eastAsia" w:ascii="仿宋_GB2312" w:hAnsi="仿宋_GB2312" w:eastAsia="仿宋_GB2312" w:cs="仿宋_GB2312"/>
          <w:b w:val="0"/>
          <w:bCs w:val="0"/>
          <w:color w:val="auto"/>
          <w:sz w:val="32"/>
          <w:szCs w:val="32"/>
          <w:highlight w:val="none"/>
          <w:lang w:eastAsia="zh-CN"/>
        </w:rPr>
        <w:t>入“村民议事厅”“线上议事群”</w:t>
      </w:r>
      <w:r>
        <w:rPr>
          <w:rFonts w:hint="default" w:ascii="Times New Roman" w:hAnsi="Times New Roman" w:eastAsia="仿宋_GB2312" w:cs="Times New Roman"/>
          <w:b w:val="0"/>
          <w:bCs w:val="0"/>
          <w:color w:val="auto"/>
          <w:sz w:val="32"/>
          <w:szCs w:val="32"/>
          <w:highlight w:val="none"/>
          <w:lang w:eastAsia="zh-CN"/>
        </w:rPr>
        <w:t>等</w:t>
      </w:r>
      <w:r>
        <w:rPr>
          <w:rFonts w:hint="eastAsia" w:ascii="Times New Roman" w:hAnsi="Times New Roman" w:eastAsia="仿宋_GB2312" w:cs="Times New Roman"/>
          <w:b w:val="0"/>
          <w:bCs w:val="0"/>
          <w:color w:val="auto"/>
          <w:sz w:val="32"/>
          <w:szCs w:val="32"/>
          <w:highlight w:val="none"/>
          <w:lang w:eastAsia="zh-CN"/>
        </w:rPr>
        <w:t>互动</w:t>
      </w:r>
      <w:r>
        <w:rPr>
          <w:rFonts w:hint="default" w:ascii="Times New Roman" w:hAnsi="Times New Roman" w:eastAsia="仿宋_GB2312" w:cs="Times New Roman"/>
          <w:b w:val="0"/>
          <w:bCs w:val="0"/>
          <w:color w:val="auto"/>
          <w:sz w:val="32"/>
          <w:szCs w:val="32"/>
          <w:highlight w:val="none"/>
          <w:lang w:eastAsia="zh-CN"/>
        </w:rPr>
        <w:t>场景，拓宽村民参与渠道，积极构建</w:t>
      </w:r>
      <w:r>
        <w:rPr>
          <w:rFonts w:hint="eastAsia" w:ascii="仿宋_GB2312" w:hAnsi="仿宋_GB2312" w:eastAsia="仿宋_GB2312" w:cs="仿宋_GB2312"/>
          <w:b w:val="0"/>
          <w:bCs w:val="0"/>
          <w:color w:val="auto"/>
          <w:sz w:val="32"/>
          <w:szCs w:val="32"/>
          <w:highlight w:val="none"/>
          <w:lang w:eastAsia="zh-CN"/>
        </w:rPr>
        <w:t>共建共治共享的乡村</w:t>
      </w:r>
      <w:r>
        <w:rPr>
          <w:rFonts w:hint="default" w:ascii="Times New Roman" w:hAnsi="Times New Roman" w:eastAsia="仿宋_GB2312" w:cs="Times New Roman"/>
          <w:b w:val="0"/>
          <w:bCs w:val="0"/>
          <w:color w:val="auto"/>
          <w:sz w:val="32"/>
          <w:szCs w:val="32"/>
          <w:highlight w:val="none"/>
          <w:lang w:eastAsia="zh-CN"/>
        </w:rPr>
        <w:t>治理格局。</w:t>
      </w:r>
    </w:p>
    <w:bookmarkEnd w:id="173"/>
    <w:p w14:paraId="6C7AC22E">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lang w:val="en-US" w:eastAsia="zh-CN"/>
        </w:rPr>
      </w:pPr>
      <w:bookmarkStart w:id="174" w:name="_Toc6310"/>
      <w:bookmarkStart w:id="175" w:name="_Toc18166"/>
      <w:bookmarkStart w:id="176" w:name="_Toc7086"/>
      <w:bookmarkStart w:id="177" w:name="_Toc27506"/>
      <w:bookmarkStart w:id="178" w:name="_Toc16072"/>
      <w:r>
        <w:rPr>
          <w:rFonts w:hint="eastAsia"/>
          <w:b w:val="0"/>
          <w:bCs/>
          <w:color w:val="auto"/>
          <w:sz w:val="36"/>
          <w:szCs w:val="36"/>
          <w:highlight w:val="none"/>
          <w:lang w:val="en-US" w:eastAsia="zh-CN"/>
        </w:rPr>
        <w:t xml:space="preserve">第四节 </w:t>
      </w:r>
      <w:bookmarkEnd w:id="174"/>
      <w:r>
        <w:rPr>
          <w:rFonts w:hint="eastAsia"/>
          <w:b w:val="0"/>
          <w:bCs/>
          <w:color w:val="auto"/>
          <w:sz w:val="36"/>
          <w:szCs w:val="36"/>
          <w:highlight w:val="none"/>
          <w:lang w:val="en-US" w:eastAsia="zh-CN"/>
        </w:rPr>
        <w:t xml:space="preserve"> 加大强农惠农富农政策支持力度</w:t>
      </w:r>
      <w:bookmarkEnd w:id="175"/>
      <w:bookmarkEnd w:id="176"/>
      <w:bookmarkEnd w:id="177"/>
      <w:bookmarkEnd w:id="178"/>
    </w:p>
    <w:p w14:paraId="74C8B82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围绕推进乡村全面振兴、实现共同富裕目标，构建系统集成、精准协同、长效稳定的强农惠农富农政策支持体系，推动政策从“短期帮扶”向“长效赋能”升级，为农业农村现代化奠定坚实基础。</w:t>
      </w:r>
    </w:p>
    <w:p w14:paraId="08F7D87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健全多元投入与精准支持机制。</w:t>
      </w:r>
      <w:r>
        <w:rPr>
          <w:rFonts w:hint="eastAsia" w:ascii="仿宋_GB2312" w:hAnsi="仿宋_GB2312" w:eastAsia="仿宋_GB2312" w:cs="仿宋_GB2312"/>
          <w:b w:val="0"/>
          <w:bCs w:val="0"/>
          <w:color w:val="auto"/>
          <w:sz w:val="32"/>
          <w:szCs w:val="32"/>
          <w:highlight w:val="none"/>
          <w:lang w:val="en-US" w:eastAsia="zh-CN"/>
        </w:rPr>
        <w:t>健全财政优先保障、金融重点倾斜、社会积极参与的多元投入机制，确保乡村振兴投入力度持续增强。聚焦粮食安全与农民增收，增强政策精准协同。严格落实耕地地力保护、稻谷生产等补贴，扩大粮食完全成本保险和收入保险覆盖面，强化价格、补贴、保险联动，稳定种粮收益，保护调动农民种粮积极性。深化农村金融改革，促进金融服务普惠均等，支持农商行、村镇银行等机构深耕基层，创新绿色金融、产业链金融产品，稳妥开展集体经营性建设用地使用权等抵押贷款业务，探索数字金融下沉，打通金融服务“最后一公里”。</w:t>
      </w:r>
    </w:p>
    <w:p w14:paraId="094A864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健全常态化防止返贫致贫机制。</w:t>
      </w:r>
      <w:r>
        <w:rPr>
          <w:rFonts w:hint="eastAsia" w:ascii="仿宋_GB2312" w:hAnsi="仿宋_GB2312" w:eastAsia="仿宋_GB2312" w:cs="仿宋_GB2312"/>
          <w:b w:val="0"/>
          <w:bCs w:val="0"/>
          <w:color w:val="auto"/>
          <w:kern w:val="2"/>
          <w:sz w:val="32"/>
          <w:szCs w:val="32"/>
          <w:highlight w:val="none"/>
          <w:lang w:val="en-US" w:eastAsia="zh-CN" w:bidi="ar-SA"/>
        </w:rPr>
        <w:t>坚持开发式帮扶与兜底保障相结合，分层分类落实精准帮扶，持续巩固提升“三保障”和饮水安全保障成果，筑牢民生保障基础，坚决守住不发生规模性返贫底线。完善覆盖农村人口的常态化防止返贫致贫机制，建立健全统一规范、精准识别、动态调整的常态化防止返贫致贫监测体系。增强产业帮扶质效，完善产业到户奖补，支持村级集体经济发展壮大，分类推进现有产业巩固、升级、盘活、调整，加强低效闲置资产盘活利用，促进资产持续发挥作用。提升就业帮扶质效，充分用好东西部劳务协作、就业帮扶车间、乡村公益性岗位、乡村工匠培育等渠道，高质量实施以工代赈项目，创新发展具有地方特色的劳务品牌。健全常态化驻村帮扶工作机制，深化定点帮扶，深入开展“万企兴万村”行动和社会组织助力乡村振兴专项行动。实施彩票公益金支持革命老区乡村振兴项目。</w:t>
      </w:r>
    </w:p>
    <w:p w14:paraId="1782A99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深化要素改革与激活乡村发展活力。</w:t>
      </w:r>
      <w:r>
        <w:rPr>
          <w:rFonts w:hint="eastAsia" w:ascii="仿宋_GB2312" w:hAnsi="仿宋_GB2312" w:eastAsia="仿宋_GB2312" w:cs="仿宋_GB2312"/>
          <w:b w:val="0"/>
          <w:bCs w:val="0"/>
          <w:color w:val="auto"/>
          <w:sz w:val="32"/>
          <w:szCs w:val="32"/>
          <w:highlight w:val="none"/>
          <w:lang w:val="en-US" w:eastAsia="zh-CN"/>
        </w:rPr>
        <w:t>以改革激活乡村资源要素，畅通城乡经济循环。深化土地要素改革，节约集约利用农村集体经营性建设用地，依法盘活闲置宅基地、厂房、校舍等存量资源。巩固完善土地二轮承包到期后再延长三十年试点工作，有序推进农村集体经营性建设用地入市改革，明确范围、途径与监管，探索完善土地增值收益分配机制，保障农民公平分享收益。分类保障乡村产业与项目合理用地需求。全面深化农村集体产权制度改革，加快发展新型农村集体经济，拓宽农民财产性收入渠道。建立健全农村人才培育、引进与激励机制，激励各类人才下乡服务和创业就业。积极推动现代涉农职业教育发展，与高等职业院校合作，共建“乡村振兴学院”，建设智慧农业实训基地、电商人才培训中心等平台。实施“四类人才”培育计划，壮大新型职业农民、农业经理人、乡村工匠等队伍。构建候鸟型专家工作站、银发人才服务团等“柔性引才”通道，引导社会人才投身乡村建设。</w:t>
      </w:r>
    </w:p>
    <w:p w14:paraId="558BF9E0">
      <w:pPr>
        <w:rPr>
          <w:rFonts w:hint="eastAsia" w:ascii="方正小标宋简体" w:hAnsi="方正小标宋简体" w:eastAsia="方正小标宋简体" w:cs="方正小标宋简体"/>
          <w:b w:val="0"/>
          <w:bCs/>
          <w:color w:val="auto"/>
          <w:highlight w:val="none"/>
          <w:lang w:val="en-US" w:eastAsia="zh-CN"/>
        </w:rPr>
      </w:pPr>
      <w:bookmarkStart w:id="179" w:name="_Toc13810"/>
      <w:bookmarkStart w:id="180" w:name="_Toc405"/>
      <w:bookmarkStart w:id="181" w:name="_Toc1398"/>
      <w:r>
        <w:rPr>
          <w:rFonts w:hint="eastAsia" w:ascii="方正小标宋简体" w:hAnsi="方正小标宋简体" w:eastAsia="方正小标宋简体" w:cs="方正小标宋简体"/>
          <w:b w:val="0"/>
          <w:bCs/>
          <w:color w:val="auto"/>
          <w:highlight w:val="none"/>
          <w:lang w:val="en-US" w:eastAsia="zh-CN"/>
        </w:rPr>
        <w:br w:type="page"/>
      </w:r>
    </w:p>
    <w:p w14:paraId="288281AA">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82" w:name="_Toc23009"/>
      <w:r>
        <w:rPr>
          <w:rFonts w:hint="eastAsia" w:ascii="方正小标宋简体" w:hAnsi="方正小标宋简体" w:eastAsia="方正小标宋简体" w:cs="方正小标宋简体"/>
          <w:b w:val="0"/>
          <w:bCs/>
          <w:color w:val="auto"/>
          <w:highlight w:val="none"/>
          <w:lang w:val="en-US" w:eastAsia="zh-CN"/>
        </w:rPr>
        <w:t>第七章</w:t>
      </w:r>
      <w:bookmarkEnd w:id="179"/>
      <w:bookmarkEnd w:id="180"/>
      <w:bookmarkEnd w:id="181"/>
      <w:bookmarkEnd w:id="182"/>
    </w:p>
    <w:p w14:paraId="69CD4CD7">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83" w:name="_Toc18037"/>
      <w:bookmarkStart w:id="184" w:name="_Toc30241"/>
      <w:bookmarkStart w:id="185" w:name="_Toc31983"/>
      <w:bookmarkStart w:id="186" w:name="_Toc19297"/>
      <w:r>
        <w:rPr>
          <w:rFonts w:hint="eastAsia" w:ascii="方正小标宋简体" w:hAnsi="方正小标宋简体" w:eastAsia="方正小标宋简体" w:cs="方正小标宋简体"/>
          <w:b w:val="0"/>
          <w:bCs/>
          <w:color w:val="auto"/>
          <w:spacing w:val="-20"/>
          <w:sz w:val="44"/>
          <w:highlight w:val="none"/>
          <w:lang w:val="en-US" w:eastAsia="zh-CN"/>
        </w:rPr>
        <w:t>推进以人为本的新型城镇化</w:t>
      </w:r>
      <w:bookmarkEnd w:id="183"/>
      <w:bookmarkEnd w:id="184"/>
      <w:r>
        <w:rPr>
          <w:rFonts w:hint="eastAsia" w:ascii="方正小标宋简体" w:hAnsi="方正小标宋简体" w:eastAsia="方正小标宋简体" w:cs="方正小标宋简体"/>
          <w:b w:val="0"/>
          <w:bCs/>
          <w:color w:val="auto"/>
          <w:highlight w:val="none"/>
          <w:lang w:val="en-US" w:eastAsia="zh-CN"/>
        </w:rPr>
        <w:t xml:space="preserve">  促进城乡融合发展</w:t>
      </w:r>
      <w:bookmarkEnd w:id="185"/>
      <w:bookmarkEnd w:id="186"/>
    </w:p>
    <w:p w14:paraId="72818B73">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16" w:firstLineChars="200"/>
        <w:textAlignment w:val="auto"/>
        <w:rPr>
          <w:rStyle w:val="24"/>
          <w:rFonts w:hint="default" w:ascii="Times New Roman" w:hAnsi="Times New Roman" w:eastAsia="黑体" w:cs="Times New Roman"/>
          <w:b w:val="0"/>
          <w:bCs w:val="0"/>
          <w:i w:val="0"/>
          <w:iCs w:val="0"/>
          <w:caps w:val="0"/>
          <w:color w:val="auto"/>
          <w:spacing w:val="-6"/>
          <w:sz w:val="36"/>
          <w:szCs w:val="36"/>
          <w:highlight w:val="none"/>
          <w:shd w:val="clear" w:color="auto" w:fill="FFFFFF"/>
        </w:rPr>
      </w:pPr>
      <w:r>
        <w:rPr>
          <w:rStyle w:val="24"/>
          <w:rFonts w:hint="default" w:ascii="Times New Roman" w:hAnsi="Times New Roman" w:eastAsia="仿宋_GB2312" w:cs="Times New Roman"/>
          <w:b w:val="0"/>
          <w:bCs w:val="0"/>
          <w:i w:val="0"/>
          <w:iCs w:val="0"/>
          <w:caps w:val="0"/>
          <w:color w:val="auto"/>
          <w:spacing w:val="-6"/>
          <w:sz w:val="32"/>
          <w:szCs w:val="32"/>
          <w:highlight w:val="none"/>
          <w:shd w:val="clear" w:color="auto" w:fill="FFFFFF"/>
          <w:lang w:val="en-US" w:eastAsia="zh-CN"/>
        </w:rPr>
        <w:t>牢固树立</w:t>
      </w:r>
      <w:r>
        <w:rPr>
          <w:rStyle w:val="24"/>
          <w:rFonts w:hint="eastAsia" w:ascii="仿宋_GB2312" w:hAnsi="仿宋_GB2312" w:eastAsia="仿宋_GB2312" w:cs="仿宋_GB2312"/>
          <w:b w:val="0"/>
          <w:bCs w:val="0"/>
          <w:i w:val="0"/>
          <w:iCs w:val="0"/>
          <w:caps w:val="0"/>
          <w:color w:val="auto"/>
          <w:spacing w:val="-6"/>
          <w:sz w:val="32"/>
          <w:szCs w:val="32"/>
          <w:highlight w:val="none"/>
          <w:shd w:val="clear" w:color="auto" w:fill="FFFFFF"/>
          <w:lang w:val="en-US" w:eastAsia="zh-CN"/>
        </w:rPr>
        <w:t>“一盘棋”思想</w:t>
      </w:r>
      <w:r>
        <w:rPr>
          <w:rStyle w:val="24"/>
          <w:rFonts w:hint="default" w:ascii="Times New Roman" w:hAnsi="Times New Roman" w:eastAsia="仿宋_GB2312" w:cs="Times New Roman"/>
          <w:b w:val="0"/>
          <w:bCs w:val="0"/>
          <w:i w:val="0"/>
          <w:iCs w:val="0"/>
          <w:caps w:val="0"/>
          <w:color w:val="auto"/>
          <w:spacing w:val="-6"/>
          <w:sz w:val="32"/>
          <w:szCs w:val="32"/>
          <w:highlight w:val="none"/>
          <w:shd w:val="clear" w:color="auto" w:fill="FFFFFF"/>
          <w:lang w:val="en-US" w:eastAsia="zh-CN"/>
        </w:rPr>
        <w:t>，坚持与柳州市区同城化发展理念，着眼大空间和要素集约集聚，稳步推进以人为本的新型城镇化建设，推动县城更新</w:t>
      </w:r>
      <w:r>
        <w:rPr>
          <w:rStyle w:val="24"/>
          <w:rFonts w:hint="eastAsia" w:ascii="仿宋_GB2312" w:hAnsi="仿宋_GB2312" w:eastAsia="仿宋_GB2312" w:cs="仿宋_GB2312"/>
          <w:b w:val="0"/>
          <w:bCs w:val="0"/>
          <w:i w:val="0"/>
          <w:iCs w:val="0"/>
          <w:caps w:val="0"/>
          <w:color w:val="auto"/>
          <w:spacing w:val="-6"/>
          <w:sz w:val="32"/>
          <w:szCs w:val="32"/>
          <w:highlight w:val="none"/>
          <w:shd w:val="clear" w:color="auto" w:fill="FFFFFF"/>
          <w:lang w:val="en-US" w:eastAsia="zh-CN"/>
        </w:rPr>
        <w:t>与</w:t>
      </w:r>
      <w:r>
        <w:rPr>
          <w:rFonts w:hint="eastAsia" w:ascii="仿宋_GB2312" w:hAnsi="仿宋_GB2312" w:eastAsia="仿宋_GB2312" w:cs="仿宋_GB2312"/>
          <w:color w:val="auto"/>
          <w:spacing w:val="-6"/>
          <w:sz w:val="32"/>
          <w:szCs w:val="32"/>
          <w:highlight w:val="none"/>
          <w:lang w:val="en-US" w:eastAsia="zh-CN"/>
        </w:rPr>
        <w:t>乡</w:t>
      </w:r>
      <w:r>
        <w:rPr>
          <w:rStyle w:val="24"/>
          <w:rFonts w:hint="eastAsia" w:ascii="仿宋_GB2312" w:hAnsi="仿宋_GB2312" w:eastAsia="仿宋_GB2312" w:cs="仿宋_GB2312"/>
          <w:b w:val="0"/>
          <w:bCs w:val="0"/>
          <w:i w:val="0"/>
          <w:iCs w:val="0"/>
          <w:caps w:val="0"/>
          <w:color w:val="auto"/>
          <w:spacing w:val="-6"/>
          <w:sz w:val="32"/>
          <w:szCs w:val="32"/>
          <w:highlight w:val="none"/>
          <w:shd w:val="clear" w:color="auto" w:fill="FFFFFF"/>
          <w:lang w:val="en-US" w:eastAsia="zh-CN"/>
        </w:rPr>
        <w:t>镇“组团式”</w:t>
      </w:r>
      <w:r>
        <w:rPr>
          <w:rStyle w:val="24"/>
          <w:rFonts w:hint="default" w:ascii="Times New Roman" w:hAnsi="Times New Roman" w:eastAsia="仿宋_GB2312" w:cs="Times New Roman"/>
          <w:b w:val="0"/>
          <w:bCs w:val="0"/>
          <w:i w:val="0"/>
          <w:iCs w:val="0"/>
          <w:caps w:val="0"/>
          <w:color w:val="auto"/>
          <w:spacing w:val="-6"/>
          <w:sz w:val="32"/>
          <w:szCs w:val="32"/>
          <w:highlight w:val="none"/>
          <w:shd w:val="clear" w:color="auto" w:fill="FFFFFF"/>
          <w:lang w:val="en-US" w:eastAsia="zh-CN"/>
        </w:rPr>
        <w:t>功能互补、融合互促，建设形成创新、宜居、美丽、韧性、文明、智慧的现代城乡一体融合的空间形态，打造带动全县高质量发展的重要增长极和新的动力源。</w:t>
      </w:r>
    </w:p>
    <w:p w14:paraId="7EE7F04F">
      <w:pPr>
        <w:pStyle w:val="5"/>
        <w:bidi w:val="0"/>
        <w:jc w:val="center"/>
        <w:outlineLvl w:val="0"/>
        <w:rPr>
          <w:rFonts w:hint="default" w:ascii="Times New Roman" w:hAnsi="Times New Roman" w:eastAsia="黑体" w:cs="Times New Roman"/>
          <w:b w:val="0"/>
          <w:bCs/>
          <w:color w:val="auto"/>
          <w:sz w:val="36"/>
          <w:szCs w:val="36"/>
          <w:highlight w:val="none"/>
          <w:lang w:val="en-US" w:eastAsia="zh-CN" w:bidi="ar-SA"/>
        </w:rPr>
      </w:pPr>
      <w:bookmarkStart w:id="187" w:name="_Toc30041"/>
      <w:bookmarkStart w:id="188" w:name="_Toc17320"/>
      <w:bookmarkStart w:id="189" w:name="_Toc16649"/>
      <w:bookmarkStart w:id="190" w:name="_Toc29219"/>
      <w:r>
        <w:rPr>
          <w:rFonts w:hint="default" w:ascii="Times New Roman" w:hAnsi="Times New Roman" w:eastAsia="黑体" w:cs="Times New Roman"/>
          <w:b w:val="0"/>
          <w:bCs/>
          <w:color w:val="auto"/>
          <w:sz w:val="36"/>
          <w:szCs w:val="36"/>
          <w:highlight w:val="none"/>
          <w:lang w:val="en-US" w:eastAsia="zh-CN" w:bidi="ar-SA"/>
        </w:rPr>
        <w:t>第一节  持续优化县域发展空间</w:t>
      </w:r>
      <w:r>
        <w:rPr>
          <w:rFonts w:hint="eastAsia" w:ascii="Times New Roman" w:hAnsi="Times New Roman" w:cs="Times New Roman"/>
          <w:b w:val="0"/>
          <w:bCs/>
          <w:color w:val="auto"/>
          <w:sz w:val="36"/>
          <w:szCs w:val="36"/>
          <w:highlight w:val="none"/>
          <w:lang w:val="en-US" w:eastAsia="zh-CN" w:bidi="ar-SA"/>
        </w:rPr>
        <w:t>布</w:t>
      </w:r>
      <w:r>
        <w:rPr>
          <w:rFonts w:hint="default" w:ascii="Times New Roman" w:hAnsi="Times New Roman" w:eastAsia="黑体" w:cs="Times New Roman"/>
          <w:b w:val="0"/>
          <w:bCs/>
          <w:color w:val="auto"/>
          <w:sz w:val="36"/>
          <w:szCs w:val="36"/>
          <w:highlight w:val="none"/>
          <w:lang w:val="en-US" w:eastAsia="zh-CN" w:bidi="ar-SA"/>
        </w:rPr>
        <w:t>局</w:t>
      </w:r>
      <w:bookmarkEnd w:id="187"/>
      <w:bookmarkEnd w:id="188"/>
      <w:bookmarkEnd w:id="189"/>
      <w:bookmarkEnd w:id="190"/>
    </w:p>
    <w:p w14:paraId="51B4A897">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坚持以人为本、遵循规律、分类施策、集约高效、特色发展，围绕提高人口、产业等要素需求，进一步优化农业、生态、城镇等功能空间，加快构建结构清晰、层次分明、布局合理、功能互补的现代城镇体系，持续优</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化“一核一环多极”</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的发展空间形态，形成产业园区、县城和特色小城镇协同联动发展新格局。</w:t>
      </w:r>
    </w:p>
    <w:p w14:paraId="1B9B67CD">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“一核”</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以县城驻地鹿寨镇为重点的一个核心区域，坚持与柳州市区同城化发展的理念，推进以县城为重要载体的城镇化建设，聚焦发展能级提升、内涵提质，补齐公共服务领域短板，夯实和拓展中心园区的产业综合承接力，着重突出科技创新、先进制造、现代服务、现代商务等功能，打造县域产业升级引领区、科技创新活力区、高品质宜居宜业区。</w:t>
      </w:r>
    </w:p>
    <w:p w14:paraId="57512942">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“一环”</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强化节点间交通互联互通和产业链协同、公共服务辐射涵盖，持续推进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鹿寨工业园区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、江口</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导江临江临港经济要素集聚集成，</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中渡</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平山现代产业为特色的高铁经济圈建设，打造形成与阳和工业新区、柳东新区、北部生态新区无缝对接和全面融合互动的城镇发展环。</w:t>
      </w:r>
    </w:p>
    <w:p w14:paraId="3F98E19D">
      <w:pPr>
        <w:pStyle w:val="18"/>
        <w:keepNext w:val="0"/>
        <w:keepLines w:val="0"/>
        <w:pageBreakBefore w:val="0"/>
        <w:widowControl w:val="0"/>
        <w:suppressLineNumbers w:val="0"/>
        <w:kinsoku/>
        <w:wordWrap/>
        <w:overflowPunct/>
        <w:topLinePunct w:val="0"/>
        <w:autoSpaceDE/>
        <w:autoSpaceDN/>
        <w:bidi w:val="0"/>
        <w:adjustRightInd/>
        <w:snapToGrid/>
        <w:spacing w:beforeAutospacing="0" w:after="313" w:afterLines="10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“多极”</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立足资源环境承载能力、区位条件、产业基础、功能定位，充分发挥资源优势，持续推</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进“一乡一品”建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设，因地制宜推动特色农产品及产业多元发展，打造集现代种养、加工、旅游康养、文化体验于一体的特色产业集群发展区，建设生态涵养屏障区。推进产业链协同和城镇发展互动，有序推进寨沙镇、四排镇、黄冕镇、拉沟乡等集镇功能提级提质，为促进县域空间功能互补、融合互促、协同发展夯实支撑基础。</w:t>
      </w:r>
    </w:p>
    <w:p w14:paraId="6A86CE7A">
      <w:pPr>
        <w:pStyle w:val="18"/>
        <w:keepNext w:val="0"/>
        <w:keepLines w:val="0"/>
        <w:pageBreakBefore w:val="0"/>
        <w:widowControl w:val="0"/>
        <w:suppressLineNumbers w:val="0"/>
        <w:kinsoku/>
        <w:wordWrap/>
        <w:overflowPunct/>
        <w:topLinePunct w:val="0"/>
        <w:autoSpaceDE/>
        <w:autoSpaceDN/>
        <w:bidi w:val="0"/>
        <w:adjustRightInd/>
        <w:snapToGrid/>
        <w:spacing w:beforeAutospacing="0" w:after="313" w:afterLines="10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p>
    <w:p w14:paraId="71EAF89C">
      <w:pPr>
        <w:pStyle w:val="18"/>
        <w:keepNext w:val="0"/>
        <w:keepLines w:val="0"/>
        <w:pageBreakBefore w:val="0"/>
        <w:widowControl w:val="0"/>
        <w:suppressLineNumbers w:val="0"/>
        <w:kinsoku/>
        <w:wordWrap/>
        <w:overflowPunct/>
        <w:topLinePunct w:val="0"/>
        <w:autoSpaceDE/>
        <w:autoSpaceDN/>
        <w:bidi w:val="0"/>
        <w:adjustRightInd/>
        <w:snapToGrid/>
        <w:spacing w:beforeAutospacing="0" w:after="313" w:afterLines="100" w:afterAutospacing="0" w:line="240" w:lineRule="auto"/>
        <w:ind w:right="0"/>
        <w:jc w:val="center"/>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drawing>
          <wp:inline distT="0" distB="0" distL="0" distR="0">
            <wp:extent cx="5429250" cy="4483100"/>
            <wp:effectExtent l="0" t="0" r="0" b="12700"/>
            <wp:docPr id="1029" name="图片 5" descr="106fff78afda36f876bd3bb8aafbb12d"/>
            <wp:cNvGraphicFramePr/>
            <a:graphic xmlns:a="http://schemas.openxmlformats.org/drawingml/2006/main">
              <a:graphicData uri="http://schemas.openxmlformats.org/drawingml/2006/picture">
                <pic:pic xmlns:pic="http://schemas.openxmlformats.org/drawingml/2006/picture">
                  <pic:nvPicPr>
                    <pic:cNvPr id="1029" name="图片 5" descr="106fff78afda36f876bd3bb8aafbb12d"/>
                    <pic:cNvPicPr/>
                  </pic:nvPicPr>
                  <pic:blipFill>
                    <a:blip r:embed="rId12" cstate="print"/>
                    <a:srcRect l="9237" t="10360" r="9315" b="1203"/>
                    <a:stretch>
                      <a:fillRect/>
                    </a:stretch>
                  </pic:blipFill>
                  <pic:spPr>
                    <a:xfrm>
                      <a:off x="0" y="0"/>
                      <a:ext cx="5429250" cy="4483100"/>
                    </a:xfrm>
                    <a:prstGeom prst="rect">
                      <a:avLst/>
                    </a:prstGeom>
                  </pic:spPr>
                </pic:pic>
              </a:graphicData>
            </a:graphic>
          </wp:inline>
        </w:drawing>
      </w:r>
    </w:p>
    <w:p w14:paraId="078AE123">
      <w:pPr>
        <w:pStyle w:val="53"/>
        <w:bidi w:val="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图</w:t>
      </w:r>
      <w:r>
        <w:rPr>
          <w:rFonts w:hint="eastAsia" w:asci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鹿寨县</w:t>
      </w:r>
      <w:r>
        <w:rPr>
          <w:rFonts w:hint="eastAsia" w:ascii="Times New Roman" w:eastAsia="仿宋_GB2312" w:cs="Times New Roman"/>
          <w:color w:val="auto"/>
          <w:sz w:val="32"/>
          <w:szCs w:val="32"/>
          <w:highlight w:val="none"/>
          <w:lang w:val="en-US" w:eastAsia="zh-CN"/>
        </w:rPr>
        <w:t>县域空间发展格局</w:t>
      </w:r>
      <w:r>
        <w:rPr>
          <w:rFonts w:hint="eastAsia" w:ascii="Times New Roman" w:hAnsi="Times New Roman" w:eastAsia="仿宋_GB2312" w:cs="Times New Roman"/>
          <w:color w:val="auto"/>
          <w:sz w:val="32"/>
          <w:szCs w:val="32"/>
          <w:highlight w:val="none"/>
          <w:lang w:val="en-US" w:eastAsia="zh-CN"/>
        </w:rPr>
        <w:t>图</w:t>
      </w:r>
    </w:p>
    <w:p w14:paraId="129AD064">
      <w:pPr>
        <w:pStyle w:val="53"/>
        <w:bidi w:val="0"/>
        <w:rPr>
          <w:rFonts w:hint="default" w:ascii="Times New Roman" w:hAnsi="Times New Roman" w:eastAsia="仿宋_GB2312" w:cs="Times New Roman"/>
          <w:color w:val="auto"/>
          <w:sz w:val="32"/>
          <w:szCs w:val="32"/>
          <w:highlight w:val="none"/>
          <w:lang w:val="en-US" w:eastAsia="zh-CN"/>
        </w:rPr>
      </w:pPr>
    </w:p>
    <w:tbl>
      <w:tblPr>
        <w:tblStyle w:val="21"/>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5"/>
      </w:tblGrid>
      <w:tr w14:paraId="6381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95" w:type="dxa"/>
            <w:vAlign w:val="center"/>
          </w:tcPr>
          <w:p w14:paraId="25C9E63E">
            <w:pPr>
              <w:pStyle w:val="5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u w:val="none"/>
                <w:lang w:val="en-US" w:eastAsia="zh-CN"/>
              </w:rPr>
              <w:t>各乡镇发展定位</w:t>
            </w:r>
          </w:p>
        </w:tc>
      </w:tr>
      <w:tr w14:paraId="7DBE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795" w:type="dxa"/>
          </w:tcPr>
          <w:p w14:paraId="087C06F3">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鹿寨镇：</w:t>
            </w:r>
            <w:r>
              <w:rPr>
                <w:rFonts w:hint="eastAsia" w:cs="Times New Roman"/>
                <w:b w:val="0"/>
                <w:bCs/>
                <w:color w:val="auto"/>
                <w:sz w:val="28"/>
                <w:szCs w:val="28"/>
                <w:highlight w:val="none"/>
                <w:u w:val="none"/>
                <w:lang w:val="en-US" w:eastAsia="zh-CN"/>
              </w:rPr>
              <w:t>立足</w:t>
            </w:r>
            <w:r>
              <w:rPr>
                <w:rFonts w:hint="default" w:ascii="Times New Roman" w:hAnsi="Times New Roman" w:cs="Times New Roman"/>
                <w:b w:val="0"/>
                <w:bCs/>
                <w:color w:val="auto"/>
                <w:sz w:val="28"/>
                <w:szCs w:val="28"/>
                <w:highlight w:val="none"/>
                <w:u w:val="none"/>
                <w:lang w:val="en-US" w:eastAsia="zh-CN"/>
              </w:rPr>
              <w:t>农产品加工</w:t>
            </w:r>
            <w:r>
              <w:rPr>
                <w:rFonts w:hint="eastAsia" w:cs="Times New Roman"/>
                <w:b w:val="0"/>
                <w:bCs/>
                <w:color w:val="auto"/>
                <w:sz w:val="28"/>
                <w:szCs w:val="28"/>
                <w:highlight w:val="none"/>
                <w:u w:val="none"/>
                <w:lang w:val="en-US" w:eastAsia="zh-CN"/>
              </w:rPr>
              <w:t>与</w:t>
            </w:r>
            <w:r>
              <w:rPr>
                <w:rFonts w:hint="default" w:ascii="Times New Roman" w:hAnsi="Times New Roman" w:cs="Times New Roman"/>
                <w:b w:val="0"/>
                <w:bCs/>
                <w:color w:val="auto"/>
                <w:sz w:val="28"/>
                <w:szCs w:val="28"/>
                <w:highlight w:val="none"/>
                <w:u w:val="none"/>
                <w:lang w:val="en-US" w:eastAsia="zh-CN"/>
              </w:rPr>
              <w:t>商贸服务</w:t>
            </w:r>
            <w:r>
              <w:rPr>
                <w:rFonts w:hint="eastAsia" w:cs="Times New Roman"/>
                <w:b w:val="0"/>
                <w:bCs/>
                <w:color w:val="auto"/>
                <w:sz w:val="28"/>
                <w:szCs w:val="28"/>
                <w:highlight w:val="none"/>
                <w:u w:val="none"/>
                <w:lang w:val="en-US" w:eastAsia="zh-CN"/>
              </w:rPr>
              <w:t>双轮驱动</w:t>
            </w:r>
            <w:r>
              <w:rPr>
                <w:rFonts w:hint="default" w:ascii="Times New Roman" w:hAnsi="Times New Roman" w:cs="Times New Roman"/>
                <w:b w:val="0"/>
                <w:bCs/>
                <w:color w:val="auto"/>
                <w:sz w:val="28"/>
                <w:szCs w:val="28"/>
                <w:highlight w:val="none"/>
                <w:u w:val="none"/>
                <w:lang w:val="en-US" w:eastAsia="zh-CN"/>
              </w:rPr>
              <w:t>，以</w:t>
            </w:r>
            <w:r>
              <w:rPr>
                <w:rFonts w:hint="eastAsia" w:ascii="仿宋_GB2312" w:hAnsi="仿宋_GB2312" w:eastAsia="仿宋_GB2312" w:cs="仿宋_GB2312"/>
                <w:b w:val="0"/>
                <w:bCs/>
                <w:color w:val="auto"/>
                <w:sz w:val="28"/>
                <w:szCs w:val="28"/>
                <w:highlight w:val="none"/>
                <w:u w:val="none"/>
                <w:lang w:val="en-US" w:eastAsia="zh-CN"/>
              </w:rPr>
              <w:t>“公司</w:t>
            </w:r>
            <w:r>
              <w:rPr>
                <w:rFonts w:hint="eastAsia" w:ascii="仿宋_GB2312" w:hAnsi="仿宋_GB2312" w:cs="仿宋_GB2312"/>
                <w:b w:val="0"/>
                <w:bCs/>
                <w:color w:val="auto"/>
                <w:sz w:val="28"/>
                <w:szCs w:val="28"/>
                <w:highlight w:val="none"/>
                <w:u w:val="none"/>
                <w:lang w:val="en-US" w:eastAsia="zh-CN"/>
              </w:rPr>
              <w:t>+</w:t>
            </w:r>
            <w:r>
              <w:rPr>
                <w:rFonts w:hint="eastAsia" w:ascii="仿宋_GB2312" w:hAnsi="仿宋_GB2312" w:eastAsia="仿宋_GB2312" w:cs="仿宋_GB2312"/>
                <w:b w:val="0"/>
                <w:bCs/>
                <w:color w:val="auto"/>
                <w:sz w:val="28"/>
                <w:szCs w:val="28"/>
                <w:highlight w:val="none"/>
                <w:u w:val="none"/>
                <w:lang w:val="en-US" w:eastAsia="zh-CN"/>
              </w:rPr>
              <w:t>农户</w:t>
            </w:r>
            <w:r>
              <w:rPr>
                <w:rFonts w:hint="eastAsia" w:ascii="仿宋_GB2312" w:hAnsi="仿宋_GB2312" w:cs="仿宋_GB2312"/>
                <w:b w:val="0"/>
                <w:bCs/>
                <w:color w:val="auto"/>
                <w:sz w:val="28"/>
                <w:szCs w:val="28"/>
                <w:highlight w:val="none"/>
                <w:u w:val="none"/>
                <w:lang w:val="en-US" w:eastAsia="zh-CN"/>
              </w:rPr>
              <w:t>+</w:t>
            </w:r>
            <w:r>
              <w:rPr>
                <w:rFonts w:hint="eastAsia" w:ascii="仿宋_GB2312" w:hAnsi="仿宋_GB2312" w:eastAsia="仿宋_GB2312" w:cs="仿宋_GB2312"/>
                <w:b w:val="0"/>
                <w:bCs/>
                <w:color w:val="auto"/>
                <w:sz w:val="28"/>
                <w:szCs w:val="28"/>
                <w:highlight w:val="none"/>
                <w:u w:val="none"/>
                <w:lang w:val="en-US" w:eastAsia="zh-CN"/>
              </w:rPr>
              <w:t>基地”</w:t>
            </w:r>
            <w:r>
              <w:rPr>
                <w:rFonts w:hint="default" w:ascii="Times New Roman" w:hAnsi="Times New Roman" w:cs="Times New Roman"/>
                <w:b w:val="0"/>
                <w:bCs/>
                <w:color w:val="auto"/>
                <w:sz w:val="28"/>
                <w:szCs w:val="28"/>
                <w:highlight w:val="none"/>
                <w:u w:val="none"/>
                <w:lang w:val="en-US" w:eastAsia="zh-CN"/>
              </w:rPr>
              <w:t>模式</w:t>
            </w:r>
            <w:r>
              <w:rPr>
                <w:rFonts w:hint="eastAsia" w:cs="Times New Roman"/>
                <w:b w:val="0"/>
                <w:bCs/>
                <w:color w:val="auto"/>
                <w:sz w:val="28"/>
                <w:szCs w:val="28"/>
                <w:highlight w:val="none"/>
                <w:u w:val="none"/>
                <w:lang w:val="en-US" w:eastAsia="zh-CN"/>
              </w:rPr>
              <w:t>深化</w:t>
            </w:r>
            <w:r>
              <w:rPr>
                <w:rFonts w:hint="default" w:ascii="Times New Roman" w:hAnsi="Times New Roman" w:cs="Times New Roman"/>
                <w:b w:val="0"/>
                <w:bCs/>
                <w:color w:val="auto"/>
                <w:sz w:val="28"/>
                <w:szCs w:val="28"/>
                <w:highlight w:val="none"/>
                <w:u w:val="none"/>
                <w:lang w:val="en-US" w:eastAsia="zh-CN"/>
              </w:rPr>
              <w:t>农业产业化，</w:t>
            </w:r>
            <w:r>
              <w:rPr>
                <w:rFonts w:hint="eastAsia" w:cs="Times New Roman"/>
                <w:b w:val="0"/>
                <w:bCs/>
                <w:color w:val="auto"/>
                <w:sz w:val="28"/>
                <w:szCs w:val="28"/>
                <w:highlight w:val="none"/>
                <w:u w:val="none"/>
                <w:lang w:val="en-US" w:eastAsia="zh-CN"/>
              </w:rPr>
              <w:t>延伸产业链、提升附加值。</w:t>
            </w:r>
            <w:r>
              <w:rPr>
                <w:rFonts w:hint="default" w:ascii="Times New Roman" w:hAnsi="Times New Roman" w:cs="Times New Roman"/>
                <w:b w:val="0"/>
                <w:bCs/>
                <w:color w:val="auto"/>
                <w:sz w:val="28"/>
                <w:szCs w:val="28"/>
                <w:highlight w:val="none"/>
                <w:u w:val="none"/>
                <w:lang w:val="en-US" w:eastAsia="zh-CN"/>
              </w:rPr>
              <w:t>同</w:t>
            </w:r>
            <w:r>
              <w:rPr>
                <w:rFonts w:hint="eastAsia" w:cs="Times New Roman"/>
                <w:b w:val="0"/>
                <w:bCs/>
                <w:color w:val="auto"/>
                <w:sz w:val="28"/>
                <w:szCs w:val="28"/>
                <w:highlight w:val="none"/>
                <w:u w:val="none"/>
                <w:lang w:val="en-US" w:eastAsia="zh-CN"/>
              </w:rPr>
              <w:t>时，积极</w:t>
            </w:r>
            <w:r>
              <w:rPr>
                <w:rFonts w:hint="default" w:ascii="Times New Roman" w:hAnsi="Times New Roman" w:cs="Times New Roman"/>
                <w:b w:val="0"/>
                <w:bCs/>
                <w:color w:val="auto"/>
                <w:sz w:val="28"/>
                <w:szCs w:val="28"/>
                <w:highlight w:val="none"/>
                <w:u w:val="none"/>
                <w:lang w:val="en-US" w:eastAsia="zh-CN"/>
              </w:rPr>
              <w:t>壮大商贸物流与</w:t>
            </w:r>
            <w:r>
              <w:rPr>
                <w:rFonts w:hint="eastAsia" w:cs="Times New Roman"/>
                <w:b w:val="0"/>
                <w:bCs/>
                <w:color w:val="auto"/>
                <w:sz w:val="28"/>
                <w:szCs w:val="28"/>
                <w:highlight w:val="none"/>
                <w:u w:val="none"/>
                <w:lang w:val="en-US" w:eastAsia="zh-CN"/>
              </w:rPr>
              <w:t>民营</w:t>
            </w:r>
            <w:r>
              <w:rPr>
                <w:rFonts w:hint="default" w:ascii="Times New Roman" w:hAnsi="Times New Roman" w:cs="Times New Roman"/>
                <w:b w:val="0"/>
                <w:bCs/>
                <w:color w:val="auto"/>
                <w:sz w:val="28"/>
                <w:szCs w:val="28"/>
                <w:highlight w:val="none"/>
                <w:u w:val="none"/>
                <w:lang w:val="en-US" w:eastAsia="zh-CN"/>
              </w:rPr>
              <w:t>经济</w:t>
            </w:r>
            <w:r>
              <w:rPr>
                <w:rFonts w:hint="eastAsia" w:cs="Times New Roman"/>
                <w:b w:val="0"/>
                <w:bCs/>
                <w:color w:val="auto"/>
                <w:sz w:val="28"/>
                <w:szCs w:val="28"/>
                <w:highlight w:val="none"/>
                <w:u w:val="none"/>
                <w:lang w:val="en-US" w:eastAsia="zh-CN"/>
              </w:rPr>
              <w:t>，</w:t>
            </w:r>
            <w:r>
              <w:rPr>
                <w:rFonts w:hint="default" w:ascii="Times New Roman" w:hAnsi="Times New Roman" w:cs="Times New Roman"/>
                <w:b w:val="0"/>
                <w:bCs/>
                <w:color w:val="auto"/>
                <w:sz w:val="28"/>
                <w:szCs w:val="28"/>
                <w:highlight w:val="none"/>
                <w:u w:val="none"/>
                <w:lang w:val="en-US" w:eastAsia="zh-CN"/>
              </w:rPr>
              <w:t>以新质生产力</w:t>
            </w:r>
            <w:r>
              <w:rPr>
                <w:rFonts w:hint="eastAsia" w:cs="Times New Roman"/>
                <w:b w:val="0"/>
                <w:bCs/>
                <w:color w:val="auto"/>
                <w:sz w:val="28"/>
                <w:szCs w:val="28"/>
                <w:highlight w:val="none"/>
                <w:u w:val="none"/>
                <w:lang w:val="en-US" w:eastAsia="zh-CN"/>
              </w:rPr>
              <w:t>赋能</w:t>
            </w:r>
            <w:r>
              <w:rPr>
                <w:rFonts w:hint="default" w:ascii="Times New Roman" w:hAnsi="Times New Roman" w:cs="Times New Roman"/>
                <w:b w:val="0"/>
                <w:bCs/>
                <w:color w:val="auto"/>
                <w:sz w:val="28"/>
                <w:szCs w:val="28"/>
                <w:highlight w:val="none"/>
                <w:u w:val="none"/>
                <w:lang w:val="en-US" w:eastAsia="zh-CN"/>
              </w:rPr>
              <w:t>新型城镇化与乡村振兴，持续</w:t>
            </w:r>
            <w:r>
              <w:rPr>
                <w:rFonts w:hint="eastAsia" w:cs="Times New Roman"/>
                <w:b w:val="0"/>
                <w:bCs/>
                <w:color w:val="auto"/>
                <w:sz w:val="28"/>
                <w:szCs w:val="28"/>
                <w:highlight w:val="none"/>
                <w:u w:val="none"/>
                <w:lang w:val="en-US" w:eastAsia="zh-CN"/>
              </w:rPr>
              <w:t>巩固</w:t>
            </w:r>
            <w:r>
              <w:rPr>
                <w:rFonts w:hint="default" w:ascii="Times New Roman" w:hAnsi="Times New Roman" w:cs="Times New Roman"/>
                <w:b w:val="0"/>
                <w:bCs/>
                <w:color w:val="auto"/>
                <w:sz w:val="28"/>
                <w:szCs w:val="28"/>
                <w:highlight w:val="none"/>
                <w:u w:val="none"/>
                <w:lang w:val="en-US" w:eastAsia="zh-CN"/>
              </w:rPr>
              <w:t>提升全国千强镇</w:t>
            </w:r>
            <w:r>
              <w:rPr>
                <w:rFonts w:hint="eastAsia" w:cs="Times New Roman"/>
                <w:b w:val="0"/>
                <w:bCs/>
                <w:color w:val="auto"/>
                <w:sz w:val="28"/>
                <w:szCs w:val="28"/>
                <w:highlight w:val="none"/>
                <w:u w:val="none"/>
                <w:lang w:val="en-US" w:eastAsia="zh-CN"/>
              </w:rPr>
              <w:t>、</w:t>
            </w:r>
            <w:r>
              <w:rPr>
                <w:rFonts w:hint="default" w:ascii="Times New Roman" w:hAnsi="Times New Roman" w:cs="Times New Roman"/>
                <w:b w:val="0"/>
                <w:bCs/>
                <w:color w:val="auto"/>
                <w:sz w:val="28"/>
                <w:szCs w:val="28"/>
                <w:highlight w:val="none"/>
                <w:u w:val="none"/>
                <w:lang w:val="en-US" w:eastAsia="zh-CN"/>
              </w:rPr>
              <w:t>西部百强镇</w:t>
            </w:r>
            <w:r>
              <w:rPr>
                <w:rFonts w:hint="eastAsia" w:cs="Times New Roman"/>
                <w:b w:val="0"/>
                <w:bCs/>
                <w:color w:val="auto"/>
                <w:sz w:val="28"/>
                <w:szCs w:val="28"/>
                <w:highlight w:val="none"/>
                <w:u w:val="none"/>
                <w:lang w:val="en-US" w:eastAsia="zh-CN"/>
              </w:rPr>
              <w:t>位次</w:t>
            </w:r>
            <w:r>
              <w:rPr>
                <w:rFonts w:hint="default" w:ascii="Times New Roman" w:hAnsi="Times New Roman" w:cs="Times New Roman"/>
                <w:b w:val="0"/>
                <w:bCs/>
                <w:color w:val="auto"/>
                <w:sz w:val="28"/>
                <w:szCs w:val="28"/>
                <w:highlight w:val="none"/>
                <w:u w:val="none"/>
                <w:lang w:val="en-US" w:eastAsia="zh-CN"/>
              </w:rPr>
              <w:t>，打造广西乡镇经济发展</w:t>
            </w:r>
            <w:r>
              <w:rPr>
                <w:rFonts w:hint="eastAsia" w:cs="Times New Roman"/>
                <w:b w:val="0"/>
                <w:bCs/>
                <w:color w:val="auto"/>
                <w:sz w:val="28"/>
                <w:szCs w:val="28"/>
                <w:highlight w:val="none"/>
                <w:u w:val="none"/>
                <w:lang w:val="en-US" w:eastAsia="zh-CN"/>
              </w:rPr>
              <w:t>示范标杆</w:t>
            </w:r>
            <w:r>
              <w:rPr>
                <w:rFonts w:hint="default" w:ascii="Times New Roman" w:hAnsi="Times New Roman" w:cs="Times New Roman"/>
                <w:b w:val="0"/>
                <w:bCs/>
                <w:color w:val="auto"/>
                <w:sz w:val="28"/>
                <w:szCs w:val="28"/>
                <w:highlight w:val="none"/>
                <w:u w:val="none"/>
                <w:lang w:val="en-US" w:eastAsia="zh-CN"/>
              </w:rPr>
              <w:t>。</w:t>
            </w:r>
          </w:p>
          <w:p w14:paraId="49EF8F2B">
            <w:pPr>
              <w:pStyle w:val="54"/>
              <w:keepNext w:val="0"/>
              <w:keepLines w:val="0"/>
              <w:pageBreakBefore w:val="0"/>
              <w:widowControl w:val="0"/>
              <w:kinsoku/>
              <w:wordWrap/>
              <w:overflowPunct/>
              <w:topLinePunct w:val="0"/>
              <w:autoSpaceDE/>
              <w:autoSpaceDN/>
              <w:bidi w:val="0"/>
              <w:adjustRightInd/>
              <w:snapToGrid/>
              <w:spacing w:line="400" w:lineRule="exact"/>
              <w:ind w:left="0" w:leftChars="0" w:firstLine="562" w:firstLineChars="200"/>
              <w:textAlignment w:val="auto"/>
              <w:rPr>
                <w:rFonts w:hint="eastAsia"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黄冕镇：</w:t>
            </w:r>
            <w:r>
              <w:rPr>
                <w:rFonts w:hint="eastAsia" w:ascii="Times New Roman" w:hAnsi="Times New Roman" w:cs="Times New Roman"/>
                <w:b w:val="0"/>
                <w:bCs/>
                <w:color w:val="auto"/>
                <w:sz w:val="28"/>
                <w:szCs w:val="28"/>
                <w:highlight w:val="none"/>
                <w:u w:val="none"/>
                <w:lang w:val="en-US" w:eastAsia="zh-CN"/>
              </w:rPr>
              <w:t>深耕蚕桑特色产业，贯通“种桑养蚕—缫丝织绸—外贸出口”全产业链条，着力建设全国高端优质茧丝生产示范基地，拓展桑蚕资源多元利用，打造产业特色鲜明、竞争优势突出的蚕桑全产业链发展高地。</w:t>
            </w:r>
          </w:p>
          <w:p w14:paraId="115A3D23">
            <w:pPr>
              <w:pStyle w:val="54"/>
              <w:keepNext w:val="0"/>
              <w:keepLines w:val="0"/>
              <w:pageBreakBefore w:val="0"/>
              <w:widowControl w:val="0"/>
              <w:kinsoku/>
              <w:wordWrap/>
              <w:overflowPunct/>
              <w:topLinePunct w:val="0"/>
              <w:autoSpaceDE/>
              <w:autoSpaceDN/>
              <w:bidi w:val="0"/>
              <w:adjustRightInd/>
              <w:snapToGrid/>
              <w:spacing w:line="400" w:lineRule="exact"/>
              <w:ind w:left="0" w:leftChars="0" w:firstLine="562" w:firstLineChars="20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平山镇：</w:t>
            </w:r>
            <w:r>
              <w:rPr>
                <w:rFonts w:hint="default" w:ascii="Times New Roman" w:hAnsi="Times New Roman" w:cs="Times New Roman"/>
                <w:b w:val="0"/>
                <w:bCs/>
                <w:color w:val="auto"/>
                <w:sz w:val="28"/>
                <w:szCs w:val="28"/>
                <w:highlight w:val="none"/>
                <w:u w:val="none"/>
                <w:lang w:val="en-US" w:eastAsia="zh-CN"/>
              </w:rPr>
              <w:t>推动传统产业提质与新兴业态培育，</w:t>
            </w:r>
            <w:r>
              <w:rPr>
                <w:rFonts w:hint="eastAsia" w:cs="Times New Roman"/>
                <w:b w:val="0"/>
                <w:bCs/>
                <w:color w:val="auto"/>
                <w:sz w:val="28"/>
                <w:szCs w:val="28"/>
                <w:highlight w:val="none"/>
                <w:u w:val="none"/>
                <w:lang w:val="en-US" w:eastAsia="zh-CN"/>
              </w:rPr>
              <w:t>建设</w:t>
            </w:r>
            <w:r>
              <w:rPr>
                <w:rFonts w:hint="default" w:ascii="Times New Roman" w:hAnsi="Times New Roman" w:cs="Times New Roman"/>
                <w:b w:val="0"/>
                <w:bCs/>
                <w:color w:val="auto"/>
                <w:sz w:val="28"/>
                <w:szCs w:val="28"/>
                <w:highlight w:val="none"/>
                <w:u w:val="none"/>
                <w:lang w:val="en-US" w:eastAsia="zh-CN"/>
              </w:rPr>
              <w:t>优质甘蔗原料生产基地</w:t>
            </w:r>
            <w:r>
              <w:rPr>
                <w:rFonts w:hint="eastAsia" w:cs="Times New Roman"/>
                <w:b w:val="0"/>
                <w:bCs/>
                <w:color w:val="auto"/>
                <w:sz w:val="28"/>
                <w:szCs w:val="28"/>
                <w:highlight w:val="none"/>
                <w:u w:val="none"/>
                <w:lang w:val="en-US" w:eastAsia="zh-CN"/>
              </w:rPr>
              <w:t>与区域</w:t>
            </w:r>
            <w:r>
              <w:rPr>
                <w:rFonts w:hint="default" w:ascii="Times New Roman" w:hAnsi="Times New Roman" w:cs="Times New Roman"/>
                <w:b w:val="0"/>
                <w:bCs/>
                <w:color w:val="auto"/>
                <w:sz w:val="28"/>
                <w:szCs w:val="28"/>
                <w:highlight w:val="none"/>
                <w:u w:val="none"/>
                <w:lang w:val="en-US" w:eastAsia="zh-CN"/>
              </w:rPr>
              <w:t>果蔬特色农副产品集散</w:t>
            </w:r>
            <w:r>
              <w:rPr>
                <w:rFonts w:hint="eastAsia" w:cs="Times New Roman"/>
                <w:b w:val="0"/>
                <w:bCs/>
                <w:color w:val="auto"/>
                <w:sz w:val="28"/>
                <w:szCs w:val="28"/>
                <w:highlight w:val="none"/>
                <w:u w:val="none"/>
                <w:lang w:val="en-US" w:eastAsia="zh-CN"/>
              </w:rPr>
              <w:t>中心</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打造</w:t>
            </w:r>
            <w:r>
              <w:rPr>
                <w:rFonts w:hint="default" w:ascii="Times New Roman" w:hAnsi="Times New Roman" w:cs="Times New Roman"/>
                <w:b w:val="0"/>
                <w:bCs/>
                <w:color w:val="auto"/>
                <w:sz w:val="28"/>
                <w:szCs w:val="28"/>
                <w:highlight w:val="none"/>
                <w:u w:val="none"/>
                <w:lang w:val="en-US" w:eastAsia="zh-CN"/>
              </w:rPr>
              <w:t>农文旅融合精品</w:t>
            </w:r>
            <w:r>
              <w:rPr>
                <w:rFonts w:hint="eastAsia" w:cs="Times New Roman"/>
                <w:b w:val="0"/>
                <w:bCs/>
                <w:color w:val="auto"/>
                <w:sz w:val="28"/>
                <w:szCs w:val="28"/>
                <w:highlight w:val="none"/>
                <w:u w:val="none"/>
                <w:lang w:val="en-US" w:eastAsia="zh-CN"/>
              </w:rPr>
              <w:t>线路。</w:t>
            </w:r>
            <w:r>
              <w:rPr>
                <w:rFonts w:hint="default" w:ascii="Times New Roman" w:hAnsi="Times New Roman" w:cs="Times New Roman"/>
                <w:b w:val="0"/>
                <w:bCs/>
                <w:color w:val="auto"/>
                <w:sz w:val="28"/>
                <w:szCs w:val="28"/>
                <w:highlight w:val="none"/>
                <w:u w:val="none"/>
                <w:lang w:val="en-US" w:eastAsia="zh-CN"/>
              </w:rPr>
              <w:t>同</w:t>
            </w:r>
            <w:r>
              <w:rPr>
                <w:rFonts w:hint="eastAsia" w:cs="Times New Roman"/>
                <w:b w:val="0"/>
                <w:bCs/>
                <w:color w:val="auto"/>
                <w:sz w:val="28"/>
                <w:szCs w:val="28"/>
                <w:highlight w:val="none"/>
                <w:u w:val="none"/>
                <w:lang w:val="en-US" w:eastAsia="zh-CN"/>
              </w:rPr>
              <w:t>时，</w:t>
            </w:r>
            <w:r>
              <w:rPr>
                <w:rFonts w:hint="default" w:ascii="Times New Roman" w:hAnsi="Times New Roman" w:cs="Times New Roman"/>
                <w:b w:val="0"/>
                <w:bCs/>
                <w:color w:val="auto"/>
                <w:sz w:val="28"/>
                <w:szCs w:val="28"/>
                <w:highlight w:val="none"/>
                <w:u w:val="none"/>
                <w:lang w:val="en-US" w:eastAsia="zh-CN"/>
              </w:rPr>
              <w:t>优化城镇</w:t>
            </w:r>
            <w:r>
              <w:rPr>
                <w:rFonts w:hint="eastAsia" w:cs="Times New Roman"/>
                <w:b w:val="0"/>
                <w:bCs/>
                <w:color w:val="auto"/>
                <w:sz w:val="28"/>
                <w:szCs w:val="28"/>
                <w:highlight w:val="none"/>
                <w:u w:val="none"/>
                <w:lang w:val="en-US" w:eastAsia="zh-CN"/>
              </w:rPr>
              <w:t>功能</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弘扬</w:t>
            </w:r>
            <w:r>
              <w:rPr>
                <w:rFonts w:hint="default" w:ascii="Times New Roman" w:hAnsi="Times New Roman" w:cs="Times New Roman"/>
                <w:b w:val="0"/>
                <w:bCs/>
                <w:color w:val="auto"/>
                <w:sz w:val="28"/>
                <w:szCs w:val="28"/>
                <w:highlight w:val="none"/>
                <w:u w:val="none"/>
                <w:lang w:val="en-US" w:eastAsia="zh-CN"/>
              </w:rPr>
              <w:t>平山山歌、</w:t>
            </w:r>
            <w:r>
              <w:rPr>
                <w:rFonts w:hint="eastAsia" w:cs="Times New Roman"/>
                <w:b w:val="0"/>
                <w:bCs/>
                <w:color w:val="auto"/>
                <w:sz w:val="28"/>
                <w:szCs w:val="28"/>
                <w:highlight w:val="none"/>
                <w:u w:val="none"/>
                <w:lang w:val="en-US" w:eastAsia="zh-CN"/>
              </w:rPr>
              <w:t>优良</w:t>
            </w:r>
            <w:r>
              <w:rPr>
                <w:rFonts w:hint="default" w:ascii="Times New Roman" w:hAnsi="Times New Roman" w:cs="Times New Roman"/>
                <w:b w:val="0"/>
                <w:bCs/>
                <w:color w:val="auto"/>
                <w:sz w:val="28"/>
                <w:szCs w:val="28"/>
                <w:highlight w:val="none"/>
                <w:u w:val="none"/>
                <w:lang w:val="en-US" w:eastAsia="zh-CN"/>
              </w:rPr>
              <w:t>家风家训等特色文化，以产业</w:t>
            </w:r>
            <w:r>
              <w:rPr>
                <w:rFonts w:hint="eastAsia" w:cs="Times New Roman"/>
                <w:b w:val="0"/>
                <w:bCs/>
                <w:color w:val="auto"/>
                <w:sz w:val="28"/>
                <w:szCs w:val="28"/>
                <w:highlight w:val="none"/>
                <w:u w:val="none"/>
                <w:lang w:val="en-US" w:eastAsia="zh-CN"/>
              </w:rPr>
              <w:t>升级支持</w:t>
            </w:r>
            <w:r>
              <w:rPr>
                <w:rFonts w:hint="eastAsia" w:ascii="仿宋_GB2312" w:hAnsi="仿宋_GB2312" w:eastAsia="仿宋_GB2312" w:cs="仿宋_GB2312"/>
                <w:b w:val="0"/>
                <w:bCs/>
                <w:color w:val="auto"/>
                <w:sz w:val="28"/>
                <w:szCs w:val="28"/>
                <w:highlight w:val="none"/>
                <w:u w:val="none"/>
                <w:lang w:val="en-US" w:eastAsia="zh-CN"/>
              </w:rPr>
              <w:t>高铁</w:t>
            </w:r>
            <w:r>
              <w:rPr>
                <w:rFonts w:hint="eastAsia" w:ascii="仿宋_GB2312" w:hAnsi="仿宋_GB2312" w:cs="仿宋_GB2312"/>
                <w:b w:val="0"/>
                <w:bCs/>
                <w:color w:val="auto"/>
                <w:sz w:val="28"/>
                <w:szCs w:val="28"/>
                <w:highlight w:val="none"/>
                <w:u w:val="none"/>
                <w:lang w:val="en-US" w:eastAsia="zh-CN"/>
              </w:rPr>
              <w:t>经济与</w:t>
            </w:r>
            <w:r>
              <w:rPr>
                <w:rFonts w:hint="default" w:ascii="Times New Roman" w:hAnsi="Times New Roman" w:cs="Times New Roman"/>
                <w:b w:val="0"/>
                <w:bCs/>
                <w:color w:val="auto"/>
                <w:sz w:val="28"/>
                <w:szCs w:val="28"/>
                <w:highlight w:val="none"/>
                <w:u w:val="none"/>
                <w:lang w:val="en-US" w:eastAsia="zh-CN"/>
              </w:rPr>
              <w:t>和美乡村新样板建设。</w:t>
            </w:r>
          </w:p>
          <w:p w14:paraId="68F3608C">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中渡镇：</w:t>
            </w:r>
            <w:r>
              <w:rPr>
                <w:rFonts w:hint="default" w:ascii="Times New Roman" w:hAnsi="Times New Roman" w:cs="Times New Roman"/>
                <w:b w:val="0"/>
                <w:bCs/>
                <w:color w:val="auto"/>
                <w:sz w:val="28"/>
                <w:szCs w:val="28"/>
                <w:highlight w:val="none"/>
                <w:u w:val="none"/>
                <w:lang w:val="en-US" w:eastAsia="zh-CN"/>
              </w:rPr>
              <w:t>以文旅</w:t>
            </w:r>
            <w:r>
              <w:rPr>
                <w:rFonts w:hint="eastAsia" w:cs="Times New Roman"/>
                <w:b w:val="0"/>
                <w:bCs/>
                <w:color w:val="auto"/>
                <w:sz w:val="28"/>
                <w:szCs w:val="28"/>
                <w:highlight w:val="none"/>
                <w:u w:val="none"/>
                <w:lang w:val="en-US" w:eastAsia="zh-CN"/>
              </w:rPr>
              <w:t>融合</w:t>
            </w:r>
            <w:r>
              <w:rPr>
                <w:rFonts w:hint="default" w:ascii="Times New Roman" w:hAnsi="Times New Roman" w:cs="Times New Roman"/>
                <w:b w:val="0"/>
                <w:bCs/>
                <w:color w:val="auto"/>
                <w:sz w:val="28"/>
                <w:szCs w:val="28"/>
                <w:highlight w:val="none"/>
                <w:u w:val="none"/>
                <w:lang w:val="en-US" w:eastAsia="zh-CN"/>
              </w:rPr>
              <w:t>为主导，</w:t>
            </w:r>
            <w:r>
              <w:rPr>
                <w:rFonts w:hint="eastAsia" w:ascii="仿宋_GB2312" w:hAnsi="仿宋_GB2312" w:eastAsia="仿宋_GB2312" w:cs="仿宋_GB2312"/>
                <w:b w:val="0"/>
                <w:bCs/>
                <w:color w:val="auto"/>
                <w:sz w:val="28"/>
                <w:szCs w:val="28"/>
                <w:highlight w:val="none"/>
                <w:u w:val="none"/>
                <w:lang w:val="en-US" w:eastAsia="zh-CN"/>
              </w:rPr>
              <w:t>建</w:t>
            </w:r>
            <w:r>
              <w:rPr>
                <w:rFonts w:hint="default" w:ascii="Times New Roman" w:hAnsi="Times New Roman" w:cs="Times New Roman"/>
                <w:b w:val="0"/>
                <w:bCs/>
                <w:color w:val="auto"/>
                <w:sz w:val="28"/>
                <w:szCs w:val="28"/>
                <w:highlight w:val="none"/>
                <w:u w:val="none"/>
                <w:lang w:val="en-US" w:eastAsia="zh-CN"/>
              </w:rPr>
              <w:t>设</w:t>
            </w:r>
            <w:r>
              <w:rPr>
                <w:rFonts w:hint="eastAsia" w:ascii="仿宋_GB2312" w:hAnsi="仿宋_GB2312" w:eastAsia="仿宋_GB2312" w:cs="仿宋_GB2312"/>
                <w:b w:val="0"/>
                <w:bCs/>
                <w:color w:val="auto"/>
                <w:sz w:val="28"/>
                <w:szCs w:val="28"/>
                <w:highlight w:val="none"/>
                <w:u w:val="none"/>
                <w:lang w:val="en-US" w:eastAsia="zh-CN"/>
              </w:rPr>
              <w:t>“繁花芳香</w:t>
            </w:r>
            <w:r>
              <w:rPr>
                <w:rFonts w:hint="eastAsia" w:ascii="仿宋_GB2312" w:hAnsi="仿宋_GB2312" w:cs="仿宋_GB2312"/>
                <w:b w:val="0"/>
                <w:bCs/>
                <w:color w:val="auto"/>
                <w:sz w:val="28"/>
                <w:szCs w:val="28"/>
                <w:highlight w:val="none"/>
                <w:u w:val="none"/>
                <w:lang w:val="en-US" w:eastAsia="zh-CN"/>
              </w:rPr>
              <w:t>中渡</w:t>
            </w:r>
            <w:r>
              <w:rPr>
                <w:rFonts w:hint="eastAsia" w:ascii="仿宋_GB2312" w:hAnsi="仿宋_GB2312" w:eastAsia="仿宋_GB2312" w:cs="仿宋_GB2312"/>
                <w:b w:val="0"/>
                <w:bCs/>
                <w:color w:val="auto"/>
                <w:sz w:val="28"/>
                <w:szCs w:val="28"/>
                <w:highlight w:val="none"/>
                <w:u w:val="none"/>
                <w:lang w:val="en-US" w:eastAsia="zh-CN"/>
              </w:rPr>
              <w:t>”</w:t>
            </w:r>
            <w:r>
              <w:rPr>
                <w:rFonts w:hint="eastAsia" w:ascii="仿宋_GB2312" w:hAnsi="仿宋_GB2312" w:cs="仿宋_GB2312"/>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联动发展</w:t>
            </w:r>
            <w:r>
              <w:rPr>
                <w:rFonts w:hint="default" w:ascii="Times New Roman" w:hAnsi="Times New Roman" w:cs="Times New Roman"/>
                <w:b w:val="0"/>
                <w:bCs/>
                <w:color w:val="auto"/>
                <w:sz w:val="28"/>
                <w:szCs w:val="28"/>
                <w:highlight w:val="none"/>
                <w:u w:val="none"/>
                <w:lang w:val="en-US" w:eastAsia="zh-CN"/>
              </w:rPr>
              <w:t>生态农业</w:t>
            </w:r>
            <w:r>
              <w:rPr>
                <w:rFonts w:hint="eastAsia" w:cs="Times New Roman"/>
                <w:b w:val="0"/>
                <w:bCs/>
                <w:color w:val="auto"/>
                <w:sz w:val="28"/>
                <w:szCs w:val="28"/>
                <w:highlight w:val="none"/>
                <w:u w:val="none"/>
                <w:lang w:val="en-US" w:eastAsia="zh-CN"/>
              </w:rPr>
              <w:t>与</w:t>
            </w:r>
            <w:r>
              <w:rPr>
                <w:rFonts w:hint="default" w:ascii="Times New Roman" w:hAnsi="Times New Roman" w:cs="Times New Roman"/>
                <w:b w:val="0"/>
                <w:bCs/>
                <w:color w:val="auto"/>
                <w:sz w:val="28"/>
                <w:szCs w:val="28"/>
                <w:highlight w:val="none"/>
                <w:u w:val="none"/>
                <w:lang w:val="en-US" w:eastAsia="zh-CN"/>
              </w:rPr>
              <w:t>农产品深加工</w:t>
            </w:r>
            <w:r>
              <w:rPr>
                <w:rFonts w:hint="eastAsia" w:cs="Times New Roman"/>
                <w:b w:val="0"/>
                <w:bCs/>
                <w:color w:val="auto"/>
                <w:sz w:val="28"/>
                <w:szCs w:val="28"/>
                <w:highlight w:val="none"/>
                <w:u w:val="none"/>
                <w:lang w:val="en-US" w:eastAsia="zh-CN"/>
              </w:rPr>
              <w:t>。聚焦品牌塑造、产业优化与生态宜居，</w:t>
            </w:r>
            <w:r>
              <w:rPr>
                <w:rFonts w:hint="default" w:ascii="Times New Roman" w:hAnsi="Times New Roman" w:cs="Times New Roman"/>
                <w:b w:val="0"/>
                <w:bCs/>
                <w:color w:val="auto"/>
                <w:sz w:val="28"/>
                <w:szCs w:val="28"/>
                <w:highlight w:val="none"/>
                <w:u w:val="none"/>
                <w:lang w:val="en-US" w:eastAsia="zh-CN"/>
              </w:rPr>
              <w:t>打造文旅</w:t>
            </w:r>
            <w:r>
              <w:rPr>
                <w:rFonts w:hint="eastAsia" w:cs="Times New Roman"/>
                <w:b w:val="0"/>
                <w:bCs/>
                <w:color w:val="auto"/>
                <w:sz w:val="28"/>
                <w:szCs w:val="28"/>
                <w:highlight w:val="none"/>
                <w:u w:val="none"/>
                <w:lang w:val="en-US" w:eastAsia="zh-CN"/>
              </w:rPr>
              <w:t>特色彰显、三产融合深入、人居环境优美的</w:t>
            </w:r>
            <w:r>
              <w:rPr>
                <w:rFonts w:hint="default" w:ascii="Times New Roman" w:hAnsi="Times New Roman" w:cs="Times New Roman"/>
                <w:b w:val="0"/>
                <w:bCs/>
                <w:color w:val="auto"/>
                <w:sz w:val="28"/>
                <w:szCs w:val="28"/>
                <w:highlight w:val="none"/>
                <w:u w:val="none"/>
                <w:lang w:val="en-US" w:eastAsia="zh-CN"/>
              </w:rPr>
              <w:t>全国知名</w:t>
            </w:r>
            <w:r>
              <w:rPr>
                <w:rFonts w:hint="eastAsia" w:cs="Times New Roman"/>
                <w:b w:val="0"/>
                <w:bCs/>
                <w:color w:val="auto"/>
                <w:sz w:val="28"/>
                <w:szCs w:val="28"/>
                <w:highlight w:val="none"/>
                <w:u w:val="none"/>
                <w:lang w:val="en-US" w:eastAsia="zh-CN"/>
              </w:rPr>
              <w:t>旅游目的地</w:t>
            </w:r>
            <w:r>
              <w:rPr>
                <w:rFonts w:hint="default" w:ascii="Times New Roman" w:hAnsi="Times New Roman" w:cs="Times New Roman"/>
                <w:b w:val="0"/>
                <w:bCs/>
                <w:color w:val="auto"/>
                <w:sz w:val="28"/>
                <w:szCs w:val="28"/>
                <w:highlight w:val="none"/>
                <w:u w:val="none"/>
                <w:lang w:val="en-US" w:eastAsia="zh-CN"/>
              </w:rPr>
              <w:t>。</w:t>
            </w:r>
          </w:p>
          <w:p w14:paraId="4E658943">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江口乡：</w:t>
            </w:r>
            <w:r>
              <w:rPr>
                <w:rFonts w:hint="eastAsia" w:cs="Times New Roman"/>
                <w:b w:val="0"/>
                <w:bCs/>
                <w:color w:val="auto"/>
                <w:sz w:val="28"/>
                <w:szCs w:val="28"/>
                <w:highlight w:val="none"/>
                <w:u w:val="none"/>
                <w:lang w:val="en-US" w:eastAsia="zh-CN"/>
              </w:rPr>
              <w:t>立足</w:t>
            </w:r>
            <w:r>
              <w:rPr>
                <w:rFonts w:hint="default" w:ascii="Times New Roman" w:hAnsi="Times New Roman" w:cs="Times New Roman"/>
                <w:b w:val="0"/>
                <w:bCs/>
                <w:color w:val="auto"/>
                <w:sz w:val="28"/>
                <w:szCs w:val="28"/>
                <w:highlight w:val="none"/>
                <w:u w:val="none"/>
                <w:lang w:val="en-US" w:eastAsia="zh-CN"/>
              </w:rPr>
              <w:t>区域性物流集散枢纽核心</w:t>
            </w:r>
            <w:r>
              <w:rPr>
                <w:rFonts w:hint="eastAsia" w:cs="Times New Roman"/>
                <w:b w:val="0"/>
                <w:bCs/>
                <w:color w:val="auto"/>
                <w:sz w:val="28"/>
                <w:szCs w:val="28"/>
                <w:highlight w:val="none"/>
                <w:u w:val="none"/>
                <w:lang w:val="en-US" w:eastAsia="zh-CN"/>
              </w:rPr>
              <w:t>定位</w:t>
            </w:r>
            <w:r>
              <w:rPr>
                <w:rFonts w:hint="default" w:ascii="Times New Roman" w:hAnsi="Times New Roman" w:cs="Times New Roman"/>
                <w:b w:val="0"/>
                <w:bCs/>
                <w:color w:val="auto"/>
                <w:sz w:val="28"/>
                <w:szCs w:val="28"/>
                <w:highlight w:val="none"/>
                <w:u w:val="none"/>
                <w:lang w:val="en-US" w:eastAsia="zh-CN"/>
              </w:rPr>
              <w:t>，以综合交通与</w:t>
            </w:r>
            <w:r>
              <w:rPr>
                <w:rFonts w:hint="eastAsia" w:cs="Times New Roman"/>
                <w:b w:val="0"/>
                <w:bCs/>
                <w:color w:val="auto"/>
                <w:sz w:val="28"/>
                <w:szCs w:val="28"/>
                <w:highlight w:val="none"/>
                <w:u w:val="none"/>
                <w:lang w:val="en-US" w:eastAsia="zh-CN"/>
              </w:rPr>
              <w:t>基础设施建设为</w:t>
            </w:r>
            <w:r>
              <w:rPr>
                <w:rFonts w:hint="default" w:ascii="Times New Roman" w:hAnsi="Times New Roman" w:cs="Times New Roman"/>
                <w:b w:val="0"/>
                <w:bCs/>
                <w:color w:val="auto"/>
                <w:sz w:val="28"/>
                <w:szCs w:val="28"/>
                <w:highlight w:val="none"/>
                <w:u w:val="none"/>
                <w:lang w:val="en-US" w:eastAsia="zh-CN"/>
              </w:rPr>
              <w:t>支撑，</w:t>
            </w:r>
            <w:r>
              <w:rPr>
                <w:rFonts w:hint="eastAsia" w:cs="Times New Roman"/>
                <w:b w:val="0"/>
                <w:bCs/>
                <w:color w:val="auto"/>
                <w:sz w:val="28"/>
                <w:szCs w:val="28"/>
                <w:highlight w:val="none"/>
                <w:u w:val="none"/>
                <w:lang w:val="en-US" w:eastAsia="zh-CN"/>
              </w:rPr>
              <w:t>大力发展临港经济</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主动</w:t>
            </w:r>
            <w:r>
              <w:rPr>
                <w:rFonts w:hint="default" w:ascii="Times New Roman" w:hAnsi="Times New Roman" w:cs="Times New Roman"/>
                <w:b w:val="0"/>
                <w:bCs/>
                <w:color w:val="auto"/>
                <w:sz w:val="28"/>
                <w:szCs w:val="28"/>
                <w:highlight w:val="none"/>
                <w:u w:val="none"/>
                <w:lang w:val="en-US" w:eastAsia="zh-CN"/>
              </w:rPr>
              <w:t>服务柳州工业协同发展</w:t>
            </w:r>
            <w:r>
              <w:rPr>
                <w:rFonts w:hint="eastAsia" w:cs="Times New Roman"/>
                <w:b w:val="0"/>
                <w:bCs/>
                <w:color w:val="auto"/>
                <w:sz w:val="28"/>
                <w:szCs w:val="28"/>
                <w:highlight w:val="none"/>
                <w:u w:val="none"/>
                <w:lang w:val="en-US" w:eastAsia="zh-CN"/>
              </w:rPr>
              <w:t>，构建</w:t>
            </w:r>
            <w:r>
              <w:rPr>
                <w:rFonts w:hint="eastAsia" w:ascii="仿宋_GB2312" w:hAnsi="仿宋_GB2312" w:eastAsia="仿宋_GB2312" w:cs="仿宋_GB2312"/>
                <w:b w:val="0"/>
                <w:bCs/>
                <w:color w:val="auto"/>
                <w:sz w:val="28"/>
                <w:szCs w:val="28"/>
                <w:highlight w:val="none"/>
                <w:u w:val="none"/>
                <w:lang w:val="en-US" w:eastAsia="zh-CN"/>
              </w:rPr>
              <w:t>“枢纽筑基、物流赋能、产业联动、区域协同”的</w:t>
            </w:r>
            <w:r>
              <w:rPr>
                <w:rFonts w:hint="default" w:ascii="Times New Roman" w:hAnsi="Times New Roman" w:cs="Times New Roman"/>
                <w:b w:val="0"/>
                <w:bCs/>
                <w:color w:val="auto"/>
                <w:sz w:val="28"/>
                <w:szCs w:val="28"/>
                <w:highlight w:val="none"/>
                <w:u w:val="none"/>
                <w:lang w:val="en-US" w:eastAsia="zh-CN"/>
              </w:rPr>
              <w:t>立体化</w:t>
            </w:r>
            <w:r>
              <w:rPr>
                <w:rFonts w:hint="eastAsia" w:cs="Times New Roman"/>
                <w:b w:val="0"/>
                <w:bCs/>
                <w:color w:val="auto"/>
                <w:sz w:val="28"/>
                <w:szCs w:val="28"/>
                <w:highlight w:val="none"/>
                <w:u w:val="none"/>
                <w:lang w:val="en-US" w:eastAsia="zh-CN"/>
              </w:rPr>
              <w:t>发展体系</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全力</w:t>
            </w:r>
            <w:r>
              <w:rPr>
                <w:rFonts w:hint="default" w:ascii="Times New Roman" w:hAnsi="Times New Roman" w:cs="Times New Roman"/>
                <w:b w:val="0"/>
                <w:bCs/>
                <w:color w:val="auto"/>
                <w:sz w:val="28"/>
                <w:szCs w:val="28"/>
                <w:highlight w:val="none"/>
                <w:u w:val="none"/>
                <w:lang w:val="en-US" w:eastAsia="zh-CN"/>
              </w:rPr>
              <w:t>打造成</w:t>
            </w:r>
            <w:r>
              <w:rPr>
                <w:rFonts w:hint="eastAsia" w:cs="Times New Roman"/>
                <w:b w:val="0"/>
                <w:bCs/>
                <w:color w:val="auto"/>
                <w:sz w:val="28"/>
                <w:szCs w:val="28"/>
                <w:highlight w:val="none"/>
                <w:u w:val="none"/>
                <w:lang w:val="en-US" w:eastAsia="zh-CN"/>
              </w:rPr>
              <w:t>为柳州重要的</w:t>
            </w:r>
            <w:r>
              <w:rPr>
                <w:rFonts w:hint="default" w:ascii="Times New Roman" w:hAnsi="Times New Roman" w:cs="Times New Roman"/>
                <w:b w:val="0"/>
                <w:bCs/>
                <w:color w:val="auto"/>
                <w:sz w:val="28"/>
                <w:szCs w:val="28"/>
                <w:highlight w:val="none"/>
                <w:u w:val="none"/>
                <w:lang w:val="en-US" w:eastAsia="zh-CN"/>
              </w:rPr>
              <w:t>临港工业</w:t>
            </w:r>
            <w:r>
              <w:rPr>
                <w:rFonts w:hint="eastAsia" w:cs="Times New Roman"/>
                <w:b w:val="0"/>
                <w:bCs/>
                <w:color w:val="auto"/>
                <w:sz w:val="28"/>
                <w:szCs w:val="28"/>
                <w:highlight w:val="none"/>
                <w:u w:val="none"/>
                <w:lang w:val="en-US" w:eastAsia="zh-CN"/>
              </w:rPr>
              <w:t>基地与</w:t>
            </w:r>
            <w:r>
              <w:rPr>
                <w:rFonts w:hint="default" w:ascii="Times New Roman" w:hAnsi="Times New Roman" w:cs="Times New Roman"/>
                <w:b w:val="0"/>
                <w:bCs/>
                <w:color w:val="auto"/>
                <w:sz w:val="28"/>
                <w:szCs w:val="28"/>
                <w:highlight w:val="none"/>
                <w:u w:val="none"/>
                <w:lang w:val="en-US" w:eastAsia="zh-CN"/>
              </w:rPr>
              <w:t>区域性物流枢纽中心。</w:t>
            </w:r>
          </w:p>
          <w:p w14:paraId="33384984">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导江乡：</w:t>
            </w:r>
            <w:r>
              <w:rPr>
                <w:rFonts w:hint="default" w:ascii="Times New Roman" w:hAnsi="Times New Roman" w:cs="Times New Roman"/>
                <w:b w:val="0"/>
                <w:bCs/>
                <w:color w:val="auto"/>
                <w:sz w:val="28"/>
                <w:szCs w:val="28"/>
                <w:highlight w:val="none"/>
                <w:u w:val="none"/>
                <w:lang w:val="en-US" w:eastAsia="zh-CN"/>
              </w:rPr>
              <w:t>以大果山楂、麻竹种植、五黑鸡养殖等特色种养为基础，</w:t>
            </w:r>
            <w:r>
              <w:rPr>
                <w:rFonts w:hint="eastAsia" w:cs="Times New Roman"/>
                <w:b w:val="0"/>
                <w:bCs/>
                <w:color w:val="auto"/>
                <w:sz w:val="28"/>
                <w:szCs w:val="28"/>
                <w:highlight w:val="none"/>
                <w:u w:val="none"/>
                <w:lang w:val="en-US" w:eastAsia="zh-CN"/>
              </w:rPr>
              <w:t>以农产品</w:t>
            </w:r>
            <w:r>
              <w:rPr>
                <w:rFonts w:hint="default" w:ascii="Times New Roman" w:hAnsi="Times New Roman" w:cs="Times New Roman"/>
                <w:b w:val="0"/>
                <w:bCs/>
                <w:color w:val="auto"/>
                <w:sz w:val="28"/>
                <w:szCs w:val="28"/>
                <w:highlight w:val="none"/>
                <w:u w:val="none"/>
                <w:lang w:val="en-US" w:eastAsia="zh-CN"/>
              </w:rPr>
              <w:t>精深加工为</w:t>
            </w:r>
            <w:r>
              <w:rPr>
                <w:rFonts w:hint="eastAsia" w:cs="Times New Roman"/>
                <w:b w:val="0"/>
                <w:bCs/>
                <w:color w:val="auto"/>
                <w:sz w:val="28"/>
                <w:szCs w:val="28"/>
                <w:highlight w:val="none"/>
                <w:u w:val="none"/>
                <w:lang w:val="en-US" w:eastAsia="zh-CN"/>
              </w:rPr>
              <w:t>核心</w:t>
            </w:r>
            <w:r>
              <w:rPr>
                <w:rFonts w:hint="default" w:ascii="Times New Roman" w:hAnsi="Times New Roman" w:cs="Times New Roman"/>
                <w:b w:val="0"/>
                <w:bCs/>
                <w:color w:val="auto"/>
                <w:sz w:val="28"/>
                <w:szCs w:val="28"/>
                <w:highlight w:val="none"/>
                <w:u w:val="none"/>
                <w:lang w:val="en-US" w:eastAsia="zh-CN"/>
              </w:rPr>
              <w:t>支撑，</w:t>
            </w:r>
            <w:r>
              <w:rPr>
                <w:rFonts w:hint="eastAsia" w:cs="Times New Roman"/>
                <w:b w:val="0"/>
                <w:bCs/>
                <w:color w:val="auto"/>
                <w:sz w:val="28"/>
                <w:szCs w:val="28"/>
                <w:highlight w:val="none"/>
                <w:u w:val="none"/>
                <w:lang w:val="en-US" w:eastAsia="zh-CN"/>
              </w:rPr>
              <w:t>推动产业链延伸与价值链提升</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构建</w:t>
            </w:r>
            <w:r>
              <w:rPr>
                <w:rFonts w:hint="default" w:ascii="Times New Roman" w:hAnsi="Times New Roman" w:cs="Times New Roman"/>
                <w:b w:val="0"/>
                <w:bCs/>
                <w:color w:val="auto"/>
                <w:sz w:val="28"/>
                <w:szCs w:val="28"/>
                <w:highlight w:val="none"/>
                <w:u w:val="none"/>
                <w:lang w:val="en-US" w:eastAsia="zh-CN"/>
              </w:rPr>
              <w:t>生态</w:t>
            </w:r>
            <w:r>
              <w:rPr>
                <w:rFonts w:hint="eastAsia" w:cs="Times New Roman"/>
                <w:b w:val="0"/>
                <w:bCs/>
                <w:color w:val="auto"/>
                <w:sz w:val="28"/>
                <w:szCs w:val="28"/>
                <w:highlight w:val="none"/>
                <w:u w:val="none"/>
                <w:lang w:val="en-US" w:eastAsia="zh-CN"/>
              </w:rPr>
              <w:t>友好</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三产联动的发展格局，全力建设产业特色鲜明、生态环境宜居的乡村振兴实践</w:t>
            </w:r>
            <w:r>
              <w:rPr>
                <w:rFonts w:hint="default" w:ascii="Times New Roman" w:hAnsi="Times New Roman" w:cs="Times New Roman"/>
                <w:b w:val="0"/>
                <w:bCs/>
                <w:color w:val="auto"/>
                <w:sz w:val="28"/>
                <w:szCs w:val="28"/>
                <w:highlight w:val="none"/>
                <w:u w:val="none"/>
                <w:lang w:val="en-US" w:eastAsia="zh-CN"/>
              </w:rPr>
              <w:t>区。</w:t>
            </w:r>
          </w:p>
          <w:p w14:paraId="2956F33D">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寨沙镇：</w:t>
            </w:r>
            <w:r>
              <w:rPr>
                <w:rFonts w:hint="default" w:ascii="Times New Roman" w:hAnsi="Times New Roman" w:cs="Times New Roman"/>
                <w:b w:val="0"/>
                <w:bCs/>
                <w:color w:val="auto"/>
                <w:sz w:val="28"/>
                <w:szCs w:val="28"/>
                <w:highlight w:val="none"/>
                <w:u w:val="none"/>
                <w:lang w:val="en-US" w:eastAsia="zh-CN"/>
              </w:rPr>
              <w:t>以</w:t>
            </w:r>
            <w:r>
              <w:rPr>
                <w:rFonts w:hint="eastAsia" w:ascii="仿宋_GB2312" w:hAnsi="仿宋_GB2312" w:eastAsia="仿宋_GB2312" w:cs="仿宋_GB2312"/>
                <w:b w:val="0"/>
                <w:bCs/>
                <w:color w:val="auto"/>
                <w:sz w:val="28"/>
                <w:szCs w:val="28"/>
                <w:highlight w:val="none"/>
                <w:u w:val="none"/>
                <w:lang w:val="en-US" w:eastAsia="zh-CN"/>
              </w:rPr>
              <w:t>“寨沙头菜”为</w:t>
            </w:r>
            <w:r>
              <w:rPr>
                <w:rFonts w:hint="default" w:ascii="Times New Roman" w:hAnsi="Times New Roman" w:cs="Times New Roman"/>
                <w:b w:val="0"/>
                <w:bCs/>
                <w:color w:val="auto"/>
                <w:sz w:val="28"/>
                <w:szCs w:val="28"/>
                <w:highlight w:val="none"/>
                <w:u w:val="none"/>
                <w:lang w:val="en-US" w:eastAsia="zh-CN"/>
              </w:rPr>
              <w:t>核心引爆点，融合现代农产品加工、商贸物流、文化体验和田园休闲，打造一个</w:t>
            </w:r>
            <w:r>
              <w:rPr>
                <w:rFonts w:hint="eastAsia" w:ascii="仿宋_GB2312" w:hAnsi="仿宋_GB2312" w:eastAsia="仿宋_GB2312" w:cs="仿宋_GB2312"/>
                <w:b w:val="0"/>
                <w:bCs/>
                <w:color w:val="auto"/>
                <w:sz w:val="28"/>
                <w:szCs w:val="28"/>
                <w:highlight w:val="none"/>
                <w:u w:val="none"/>
                <w:lang w:val="en-US" w:eastAsia="zh-CN"/>
              </w:rPr>
              <w:t>“产、城、人、文”四位一体的“头菜飘香·农贸新城”</w:t>
            </w:r>
            <w:r>
              <w:rPr>
                <w:rFonts w:hint="default" w:ascii="Times New Roman" w:hAnsi="Times New Roman" w:cs="Times New Roman"/>
                <w:b w:val="0"/>
                <w:bCs/>
                <w:color w:val="auto"/>
                <w:sz w:val="28"/>
                <w:szCs w:val="28"/>
                <w:highlight w:val="none"/>
                <w:u w:val="none"/>
                <w:lang w:val="en-US" w:eastAsia="zh-CN"/>
              </w:rPr>
              <w:t>。建设成为广西地理标志产品</w:t>
            </w:r>
            <w:r>
              <w:rPr>
                <w:rFonts w:hint="eastAsia" w:cs="Times New Roman"/>
                <w:b w:val="0"/>
                <w:bCs/>
                <w:color w:val="auto"/>
                <w:sz w:val="28"/>
                <w:szCs w:val="28"/>
                <w:highlight w:val="none"/>
                <w:u w:val="none"/>
                <w:lang w:val="en-US" w:eastAsia="zh-CN"/>
              </w:rPr>
              <w:t>保护与</w:t>
            </w:r>
            <w:r>
              <w:rPr>
                <w:rFonts w:hint="default" w:ascii="Times New Roman" w:hAnsi="Times New Roman" w:cs="Times New Roman"/>
                <w:b w:val="0"/>
                <w:bCs/>
                <w:color w:val="auto"/>
                <w:sz w:val="28"/>
                <w:szCs w:val="28"/>
                <w:highlight w:val="none"/>
                <w:u w:val="none"/>
                <w:lang w:val="en-US" w:eastAsia="zh-CN"/>
              </w:rPr>
              <w:t>产业化</w:t>
            </w:r>
            <w:r>
              <w:rPr>
                <w:rFonts w:hint="eastAsia" w:cs="Times New Roman"/>
                <w:b w:val="0"/>
                <w:bCs/>
                <w:color w:val="auto"/>
                <w:sz w:val="28"/>
                <w:szCs w:val="28"/>
                <w:highlight w:val="none"/>
                <w:u w:val="none"/>
                <w:lang w:val="en-US" w:eastAsia="zh-CN"/>
              </w:rPr>
              <w:t>发展重点镇</w:t>
            </w:r>
            <w:r>
              <w:rPr>
                <w:rFonts w:hint="default" w:ascii="Times New Roman" w:hAnsi="Times New Roman" w:cs="Times New Roman"/>
                <w:b w:val="0"/>
                <w:bCs/>
                <w:color w:val="auto"/>
                <w:sz w:val="28"/>
                <w:szCs w:val="28"/>
                <w:highlight w:val="none"/>
                <w:u w:val="none"/>
                <w:lang w:val="en-US" w:eastAsia="zh-CN"/>
              </w:rPr>
              <w:t>、桂中地区智慧农贸物流枢纽、柳州市民近郊田园休闲目的地。</w:t>
            </w:r>
          </w:p>
          <w:p w14:paraId="0367FB2D">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四排镇：</w:t>
            </w:r>
            <w:r>
              <w:rPr>
                <w:rFonts w:hint="default" w:ascii="Times New Roman" w:hAnsi="Times New Roman" w:cs="Times New Roman"/>
                <w:b w:val="0"/>
                <w:bCs/>
                <w:color w:val="auto"/>
                <w:sz w:val="28"/>
                <w:szCs w:val="28"/>
                <w:highlight w:val="none"/>
                <w:u w:val="none"/>
                <w:lang w:val="en-US" w:eastAsia="zh-CN"/>
              </w:rPr>
              <w:t>依托丰富林业资源，培育壮大林木</w:t>
            </w:r>
            <w:r>
              <w:rPr>
                <w:rFonts w:hint="eastAsia" w:cs="Times New Roman"/>
                <w:b w:val="0"/>
                <w:bCs/>
                <w:color w:val="auto"/>
                <w:sz w:val="28"/>
                <w:szCs w:val="28"/>
                <w:highlight w:val="none"/>
                <w:u w:val="none"/>
                <w:lang w:val="en-US" w:eastAsia="zh-CN"/>
              </w:rPr>
              <w:t>精深</w:t>
            </w:r>
            <w:r>
              <w:rPr>
                <w:rFonts w:hint="default" w:ascii="Times New Roman" w:hAnsi="Times New Roman" w:cs="Times New Roman"/>
                <w:b w:val="0"/>
                <w:bCs/>
                <w:color w:val="auto"/>
                <w:sz w:val="28"/>
                <w:szCs w:val="28"/>
                <w:highlight w:val="none"/>
                <w:u w:val="none"/>
                <w:lang w:val="en-US" w:eastAsia="zh-CN"/>
              </w:rPr>
              <w:t>加工产业集群，建设出</w:t>
            </w:r>
            <w:r>
              <w:rPr>
                <w:rFonts w:hint="eastAsia" w:cs="Times New Roman"/>
                <w:b w:val="0"/>
                <w:bCs/>
                <w:color w:val="auto"/>
                <w:sz w:val="28"/>
                <w:szCs w:val="28"/>
                <w:highlight w:val="none"/>
                <w:u w:val="none"/>
                <w:lang w:val="en-US" w:eastAsia="zh-CN"/>
              </w:rPr>
              <w:t>口</w:t>
            </w:r>
            <w:r>
              <w:rPr>
                <w:rFonts w:hint="default" w:ascii="Times New Roman" w:hAnsi="Times New Roman" w:cs="Times New Roman"/>
                <w:b w:val="0"/>
                <w:bCs/>
                <w:color w:val="auto"/>
                <w:sz w:val="28"/>
                <w:szCs w:val="28"/>
                <w:highlight w:val="none"/>
                <w:u w:val="none"/>
                <w:lang w:val="en-US" w:eastAsia="zh-CN"/>
              </w:rPr>
              <w:t>水果</w:t>
            </w:r>
            <w:r>
              <w:rPr>
                <w:rFonts w:hint="eastAsia" w:cs="Times New Roman"/>
                <w:b w:val="0"/>
                <w:bCs/>
                <w:color w:val="auto"/>
                <w:sz w:val="28"/>
                <w:szCs w:val="28"/>
                <w:highlight w:val="none"/>
                <w:u w:val="none"/>
                <w:lang w:val="en-US" w:eastAsia="zh-CN"/>
              </w:rPr>
              <w:t>生产基地，发展</w:t>
            </w:r>
            <w:r>
              <w:rPr>
                <w:rFonts w:hint="default" w:ascii="Times New Roman" w:hAnsi="Times New Roman" w:cs="Times New Roman"/>
                <w:b w:val="0"/>
                <w:bCs/>
                <w:color w:val="auto"/>
                <w:sz w:val="28"/>
                <w:szCs w:val="28"/>
                <w:highlight w:val="none"/>
                <w:u w:val="none"/>
                <w:lang w:val="en-US" w:eastAsia="zh-CN"/>
              </w:rPr>
              <w:t>农副产品循环经济</w:t>
            </w:r>
            <w:r>
              <w:rPr>
                <w:rFonts w:hint="eastAsia" w:cs="Times New Roman"/>
                <w:b w:val="0"/>
                <w:bCs/>
                <w:color w:val="auto"/>
                <w:sz w:val="28"/>
                <w:szCs w:val="28"/>
                <w:highlight w:val="none"/>
                <w:u w:val="none"/>
                <w:lang w:val="en-US" w:eastAsia="zh-CN"/>
              </w:rPr>
              <w:t>，构建</w:t>
            </w:r>
            <w:r>
              <w:rPr>
                <w:rFonts w:hint="default" w:ascii="Times New Roman" w:hAnsi="Times New Roman" w:cs="Times New Roman"/>
                <w:b w:val="0"/>
                <w:bCs/>
                <w:color w:val="auto"/>
                <w:sz w:val="28"/>
                <w:szCs w:val="28"/>
                <w:highlight w:val="none"/>
                <w:u w:val="none"/>
                <w:lang w:val="en-US" w:eastAsia="zh-CN"/>
              </w:rPr>
              <w:t>现代化</w:t>
            </w:r>
            <w:r>
              <w:rPr>
                <w:rFonts w:hint="eastAsia" w:cs="Times New Roman"/>
                <w:b w:val="0"/>
                <w:bCs/>
                <w:color w:val="auto"/>
                <w:sz w:val="28"/>
                <w:szCs w:val="28"/>
                <w:highlight w:val="none"/>
                <w:u w:val="none"/>
                <w:lang w:val="en-US" w:eastAsia="zh-CN"/>
              </w:rPr>
              <w:t>农林</w:t>
            </w:r>
            <w:r>
              <w:rPr>
                <w:rFonts w:hint="default" w:ascii="Times New Roman" w:hAnsi="Times New Roman" w:cs="Times New Roman"/>
                <w:b w:val="0"/>
                <w:bCs/>
                <w:color w:val="auto"/>
                <w:sz w:val="28"/>
                <w:szCs w:val="28"/>
                <w:highlight w:val="none"/>
                <w:u w:val="none"/>
                <w:lang w:val="en-US" w:eastAsia="zh-CN"/>
              </w:rPr>
              <w:t>产业体系，积极培育文体旅融合新业态，打造县域农林产业转型升级重点区域和农文体旅融合发展特色镇。</w:t>
            </w:r>
          </w:p>
          <w:p w14:paraId="664837D7">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lang w:val="en-US" w:eastAsia="zh-CN"/>
              </w:rPr>
            </w:pPr>
            <w:r>
              <w:rPr>
                <w:rFonts w:hint="default" w:ascii="Times New Roman" w:hAnsi="Times New Roman" w:cs="Times New Roman"/>
                <w:b/>
                <w:bCs w:val="0"/>
                <w:color w:val="auto"/>
                <w:sz w:val="28"/>
                <w:szCs w:val="28"/>
                <w:highlight w:val="none"/>
                <w:u w:val="none"/>
                <w:lang w:val="en-US" w:eastAsia="zh-CN"/>
              </w:rPr>
              <w:t>拉沟乡：</w:t>
            </w:r>
            <w:r>
              <w:rPr>
                <w:rFonts w:hint="default" w:ascii="Times New Roman" w:hAnsi="Times New Roman" w:cs="Times New Roman"/>
                <w:b w:val="0"/>
                <w:bCs/>
                <w:color w:val="auto"/>
                <w:sz w:val="28"/>
                <w:szCs w:val="28"/>
                <w:highlight w:val="none"/>
                <w:u w:val="none"/>
                <w:lang w:val="en-US" w:eastAsia="zh-CN"/>
              </w:rPr>
              <w:t>以特色中药材、螺蛳粉原材料、林下经济为</w:t>
            </w:r>
            <w:r>
              <w:rPr>
                <w:rFonts w:hint="eastAsia" w:cs="Times New Roman"/>
                <w:b w:val="0"/>
                <w:bCs/>
                <w:color w:val="auto"/>
                <w:sz w:val="28"/>
                <w:szCs w:val="28"/>
                <w:highlight w:val="none"/>
                <w:u w:val="none"/>
                <w:lang w:val="en-US" w:eastAsia="zh-CN"/>
              </w:rPr>
              <w:t>核心产业基础</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贯通种植、加工、销售产业链条，深度融合</w:t>
            </w:r>
            <w:r>
              <w:rPr>
                <w:rFonts w:hint="default" w:ascii="Times New Roman" w:hAnsi="Times New Roman" w:cs="Times New Roman"/>
                <w:b w:val="0"/>
                <w:bCs/>
                <w:color w:val="auto"/>
                <w:sz w:val="28"/>
                <w:szCs w:val="28"/>
                <w:highlight w:val="none"/>
                <w:u w:val="none"/>
                <w:lang w:val="en-US" w:eastAsia="zh-CN"/>
              </w:rPr>
              <w:t>山水</w:t>
            </w:r>
            <w:r>
              <w:rPr>
                <w:rFonts w:hint="eastAsia" w:cs="Times New Roman"/>
                <w:b w:val="0"/>
                <w:bCs/>
                <w:color w:val="auto"/>
                <w:sz w:val="28"/>
                <w:szCs w:val="28"/>
                <w:highlight w:val="none"/>
                <w:u w:val="none"/>
                <w:lang w:val="en-US" w:eastAsia="zh-CN"/>
              </w:rPr>
              <w:t>生态与乡土</w:t>
            </w:r>
            <w:r>
              <w:rPr>
                <w:rFonts w:hint="default" w:ascii="Times New Roman" w:hAnsi="Times New Roman" w:cs="Times New Roman"/>
                <w:b w:val="0"/>
                <w:bCs/>
                <w:color w:val="auto"/>
                <w:sz w:val="28"/>
                <w:szCs w:val="28"/>
                <w:highlight w:val="none"/>
                <w:u w:val="none"/>
                <w:lang w:val="en-US" w:eastAsia="zh-CN"/>
              </w:rPr>
              <w:t>人文</w:t>
            </w:r>
            <w:r>
              <w:rPr>
                <w:rFonts w:hint="eastAsia" w:cs="Times New Roman"/>
                <w:b w:val="0"/>
                <w:bCs/>
                <w:color w:val="auto"/>
                <w:sz w:val="28"/>
                <w:szCs w:val="28"/>
                <w:highlight w:val="none"/>
                <w:u w:val="none"/>
                <w:lang w:val="en-US" w:eastAsia="zh-CN"/>
              </w:rPr>
              <w:t>资源</w:t>
            </w:r>
            <w:r>
              <w:rPr>
                <w:rFonts w:hint="default" w:ascii="Times New Roman" w:hAnsi="Times New Roman" w:cs="Times New Roman"/>
                <w:b w:val="0"/>
                <w:bCs/>
                <w:color w:val="auto"/>
                <w:sz w:val="28"/>
                <w:szCs w:val="28"/>
                <w:highlight w:val="none"/>
                <w:u w:val="none"/>
                <w:lang w:val="en-US" w:eastAsia="zh-CN"/>
              </w:rPr>
              <w:t>，打造桂中地区中医药康养文旅</w:t>
            </w:r>
            <w:r>
              <w:rPr>
                <w:rFonts w:hint="eastAsia" w:cs="Times New Roman"/>
                <w:b w:val="0"/>
                <w:bCs/>
                <w:color w:val="auto"/>
                <w:sz w:val="28"/>
                <w:szCs w:val="28"/>
                <w:highlight w:val="none"/>
                <w:u w:val="none"/>
                <w:lang w:val="en-US" w:eastAsia="zh-CN"/>
              </w:rPr>
              <w:t>重点区域</w:t>
            </w:r>
            <w:r>
              <w:rPr>
                <w:rFonts w:hint="default" w:ascii="Times New Roman" w:hAnsi="Times New Roman" w:cs="Times New Roman"/>
                <w:b w:val="0"/>
                <w:bCs/>
                <w:color w:val="auto"/>
                <w:sz w:val="28"/>
                <w:szCs w:val="28"/>
                <w:highlight w:val="none"/>
                <w:u w:val="none"/>
                <w:lang w:val="en-US" w:eastAsia="zh-CN"/>
              </w:rPr>
              <w:t>。</w:t>
            </w:r>
          </w:p>
        </w:tc>
      </w:tr>
    </w:tbl>
    <w:p w14:paraId="1768B17B">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191" w:name="_Toc15136"/>
      <w:bookmarkStart w:id="192" w:name="_Toc22087"/>
      <w:bookmarkStart w:id="193" w:name="_Toc8224"/>
      <w:bookmarkStart w:id="194" w:name="_Toc26124"/>
      <w:r>
        <w:rPr>
          <w:rFonts w:hint="default"/>
          <w:b w:val="0"/>
          <w:bCs/>
          <w:color w:val="auto"/>
          <w:sz w:val="36"/>
          <w:szCs w:val="36"/>
          <w:highlight w:val="none"/>
          <w:lang w:val="en-US" w:eastAsia="zh-CN"/>
        </w:rPr>
        <w:t>第二节  推进以县城为重要载体的城镇化建设</w:t>
      </w:r>
      <w:bookmarkEnd w:id="191"/>
      <w:bookmarkEnd w:id="192"/>
      <w:bookmarkEnd w:id="193"/>
      <w:bookmarkEnd w:id="194"/>
    </w:p>
    <w:p w14:paraId="5BC16442">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培育壮大县城发展新动能。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围绕</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“高质量”和“内涵式”发展</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要求，坚持规划引领、产业支撑、项目带动，科学制定集人口、产业、城镇、交通于一体的城镇更新专项规划，一体化推进城镇体检和城镇社区更新，促进城镇发展与产业协同，创造宜业、宜居、宜乐、宜游的良好环境。以</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“东拓、西融、南升、北延、中焕”</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为发展思路，加快建设更具活力和幸福感的现代化人民县城。</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东拓</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以</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广西鹿寨桂中林业产业园</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为核心载体</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配套</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完善教育集中区等</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公共</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服务</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设施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，重点发展林业科技、教育文化、体育休闲、智慧农商等产业，</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前瞻</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布局低空经济等未来产业。</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西融</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立足</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与柳东新区接壤的区位优势，加快推进鹿寨城北至雒容一级公路等</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交通</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项目建设，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做强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鹿雒经济带集聚效应</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；聚焦</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绿色化工、新材料等产业，</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培育壮大</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新质生产力，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发展</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“园区+商业”新业</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态，</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深化</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与柳州市区全链条全要素协同联动，打造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市县</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高新技术</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先进制造业基地、市县融合发展</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重要承载区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南升</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立足资源禀赋</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与发展</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基础，加快完整社区建设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，做优</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县城</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功能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品质</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着力打造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集</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行政、文化、体育、休闲、金融</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商业</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于一体的核心功能区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建成</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医养健康</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基础教育发展高地。</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北延</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坚持规划</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引领、</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统筹</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，优化发展空间、基础设施与公共服务布局</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适时</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推动</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“一江两岸”</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内涵提质建设，打造商住旅游</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融合</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、滨水文化</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凸显的</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生态休闲集散区。</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中焕</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老城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内涵式更新，因地制宜治拥堵、疏通络、优风貌，</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实现</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功能提质、空间优化、业态振兴，</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老城</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区注入</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发展新动能。</w:t>
      </w:r>
    </w:p>
    <w:p w14:paraId="3FA7C7BD">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pP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持续推进城镇更新与品质提升行动。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完善市政交通设施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坚</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zh-TW" w:eastAsia="zh-CN"/>
        </w:rPr>
        <w:t>持“留改拆”并举、以“改”</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为重点，结合产业发展与民生需求，系统推进既有空间盘活与功能提升。</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加强县城骨干路网联通，</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构建链接</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城南城北的</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新通道，有序</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干线公路过境段</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进出城瓶颈路段升级改造，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适时启动绕城公路工程</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促进城区通勤便捷高效</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；同步推进</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zh-TW" w:eastAsia="zh-CN"/>
        </w:rPr>
        <w:t>“毛细血管”路网</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畅通，完善生活性集散交通和绿色慢行</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系统，</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优化</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交通换乘换装</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停车位、充电桩等便民设施布局，</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健全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货运网络及配送体系，</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切实改善居民出行体验，提升交通幸福指数</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。全面推进城镇韧性建设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，强化系统集成与地下空间统筹利用</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加快推进燃气、供水、排水、通信等地下管线更新改造，保障</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城市“生命线”安全稳定运行。统筹</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实施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供水设施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提质增效</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、生活垃圾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污水处理</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及资源化利用项目</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探索建设“引排蓄用”一体化水生态系统，</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系统推进</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城市防洪</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排</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涝治理，</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增强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城区</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及乡镇</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排水管网与洛清江、石榴河等</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水系的</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联排联调</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应急处置能力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。加强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地上地下空间</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协同利用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“平急两用”公</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共设施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应急救援体系建设，提升</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全域</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防灾减灾救灾能力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。协调布局新一</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代通信</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网络</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、千兆光网等新型基础设施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持续深化智慧县城与城市运行管理平台建设，</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以数智城市大管家为载体，构建“一网统管、数据赋能”的现代化治理体系，</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全面提升现代城镇治理效能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推进城镇老旧小区宜居化改造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系统落实“好房子”建设要求，</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激活城镇存量资源潜力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全面摸清城镇房屋、设施、土地等资产底数，加强和规范存量基础设施资产管理，盘活利用存量低效资源</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提</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升整体</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运行效能。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统筹实施“四个一批”改造提升工程，即：</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改造一批老旧厂区，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鼓励</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社会资本参与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通过活化利用历史建筑和工业遗产，积极推动鹿化公司旧址等老旧工业片区的保护开发，</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植入新业态</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新功能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改造一批老旧街区，有序推动五星商业步行街、土产公司供销市场、鹿州市场等街区及专业市场改造，盘活</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低效楼宇</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和</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闲置商业设施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打造新型消费聚集区；改造一批老旧小区，优先推动建中路沿线等片区改造，完善基础设施与公共服务配套，提升居住品质；改造一批城中村，稳步推动鹿化生活片区等更新，兼顾住房刚性需求与改善需要，优化居住条件与环境。注重“微更新”“微改造”，积极建设“微市场”“微公园”，挖掘小微空间潜力，统筹推进各乡镇集镇品质提升。</w:t>
      </w:r>
    </w:p>
    <w:p w14:paraId="7CEECE5B">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rPr>
      </w:pPr>
      <w:r>
        <w:rPr>
          <w:rStyle w:val="24"/>
          <w:rFonts w:hint="eastAsia"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提升公共服务优质均衡水平。</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探索开展</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完整社区建设，</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完善</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公共活动场地、基本公共服务</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及</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便民商业服务设施等，构建</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县城“</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10分</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钟便民生活圈</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5"/>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5"/>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endnoteReference w:id="12"/>
      </w:r>
      <w:r>
        <w:rPr>
          <w:rStyle w:val="25"/>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完善社区嵌入式服务设施，</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支持发展</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养老托育、社区助餐、家政便民、儿童游憩、体育康养、文化休闲等服务业态，不断</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提升社区功能与居民幸福感。推进</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城镇</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小微公共空间提质增效</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，整治提升背街小巷、房前屋后环境，因地制宜</w:t>
      </w:r>
      <w:r>
        <w:rPr>
          <w:rStyle w:val="24"/>
          <w:rFonts w:hint="eastAsia" w:ascii="Times New Roman" w:hAnsi="Times New Roman" w:eastAsia="仿宋_GB2312" w:cs="Times New Roman"/>
          <w:b w:val="0"/>
          <w:bCs w:val="0"/>
          <w:i w:val="0"/>
          <w:iCs w:val="0"/>
          <w:caps w:val="0"/>
          <w:color w:val="auto"/>
          <w:spacing w:val="0"/>
          <w:sz w:val="32"/>
          <w:szCs w:val="32"/>
          <w:highlight w:val="none"/>
          <w:u w:val="none"/>
          <w:shd w:val="clear" w:color="auto" w:fill="FFFFFF"/>
          <w:lang w:val="en-US" w:eastAsia="zh-CN"/>
        </w:rPr>
        <w:t>推进绿环绿廊绿楔绿道建设，</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增加群众身边的社区公园和口袋公园。</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适时推进龙岭公园建设，</w:t>
      </w:r>
      <w:r>
        <w:rPr>
          <w:rFonts w:hint="eastAsia" w:ascii="仿宋_GB2312" w:hAnsi="仿宋_GB2312" w:eastAsia="仿宋_GB2312" w:cs="仿宋_GB2312"/>
          <w:i w:val="0"/>
          <w:iCs w:val="0"/>
          <w:caps w:val="0"/>
          <w:color w:val="auto"/>
          <w:spacing w:val="0"/>
          <w:sz w:val="32"/>
          <w:szCs w:val="32"/>
          <w:highlight w:val="none"/>
          <w:shd w:val="clear" w:color="auto" w:fill="FFFFFF"/>
        </w:rPr>
        <w:t>构建“城在园中、园在城中”的公园形态。</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完善公共服务体系，统筹推进就业、教育、医疗卫生等公共服务供给，不断提高基本公共服务均衡性可及性；加强社会保障和分层分类社会救助，兜牢民生底线，不断提高人民群众的获得感、幸福感、安全感。</w:t>
      </w:r>
    </w:p>
    <w:p w14:paraId="69A81E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pPr>
      <w:r>
        <w:rPr>
          <w:rStyle w:val="24"/>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rPr>
        <w:t>促进乡镇协调联动发展。</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引导各乡镇立足区位条件、资源禀赋和产业基础，发挥比较优势、突出特色、错位发展，持续壮大传统产业，培育多元业态，建设特色鲜明的乡镇。</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SA"/>
        </w:rPr>
        <w:t>以学习运用“千万工程”经验为引领</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，结合</w:t>
      </w:r>
      <w:r>
        <w:rPr>
          <w:rStyle w:val="24"/>
          <w:rFonts w:hint="eastAsia" w:ascii="Times New Roman" w:hAnsi="Times New Roman" w:eastAsia="仿宋_GB2312" w:cs="Times New Roman"/>
          <w:b w:val="0"/>
          <w:bCs w:val="0"/>
          <w:i w:val="0"/>
          <w:iCs w:val="0"/>
          <w:caps w:val="0"/>
          <w:color w:val="auto"/>
          <w:spacing w:val="0"/>
          <w:kern w:val="0"/>
          <w:sz w:val="32"/>
          <w:szCs w:val="32"/>
          <w:highlight w:val="none"/>
          <w:u w:val="none"/>
          <w:shd w:val="clear" w:color="auto" w:fill="FFFFFF"/>
          <w:lang w:val="en-US" w:eastAsia="zh-CN"/>
        </w:rPr>
        <w:t>各乡镇</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地理相邻、资源互补</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、产业相近等特点</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探索党建统领、共同富裕融合发展路径，因地制宜推进乡镇片区多维度组团发展。探索以寨沙镇特色农贸为引领，带动周边四排镇、拉沟乡一体化发展的“大镇带小乡”组团。依托中渡镇、平山镇共享的高铁高速通道资源，推动两镇协同联动、利益共享，构建“乡镇共治”发展组团。串联中渡镇、拉沟乡的民俗旅游与黄冕镇桑蚕特色农林资源，整合江口乡和导江乡临江经济优势，分类打造“镇乡融合”发展组团，推动资源整合、抱团发展。探索建立乡镇间规划协同、产业协作、设施共建、服务共享等长效机制，推动各发展组团内部形成“一盘棋”，实现重点领域一体化规划、一体化建设、一体化运营，全面提升片区整体发展效能。</w:t>
      </w:r>
    </w:p>
    <w:p w14:paraId="07D09104">
      <w:pPr>
        <w:pStyle w:val="27"/>
        <w:rPr>
          <w:rFonts w:hint="eastAsia"/>
          <w:color w:val="auto"/>
          <w:highlight w:val="none"/>
          <w:lang w:val="en-US" w:eastAsia="zh-CN"/>
        </w:rPr>
      </w:pPr>
    </w:p>
    <w:tbl>
      <w:tblPr>
        <w:tblStyle w:val="21"/>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0"/>
      </w:tblGrid>
      <w:tr w14:paraId="663C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40" w:type="dxa"/>
            <w:vAlign w:val="center"/>
          </w:tcPr>
          <w:p w14:paraId="2BF49165">
            <w:pPr>
              <w:pStyle w:val="53"/>
              <w:keepNext/>
              <w:keepLines w:val="0"/>
              <w:pageBreakBefore w:val="0"/>
              <w:widowControl w:val="0"/>
              <w:kinsoku/>
              <w:wordWrap/>
              <w:overflowPunct/>
              <w:topLinePunct w:val="0"/>
              <w:autoSpaceDE/>
              <w:autoSpaceDN/>
              <w:bidi w:val="0"/>
              <w:adjustRightInd/>
              <w:snapToGrid/>
              <w:spacing w:line="400" w:lineRule="exact"/>
              <w:ind w:firstLine="560" w:firstLineChars="20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eastAsia" w:ascii="Times New Roman" w:cs="Times New Roman"/>
                <w:color w:val="auto"/>
                <w:highlight w:val="none"/>
                <w:lang w:val="en-US" w:eastAsia="zh-CN"/>
              </w:rPr>
              <w:t>：城镇基础设施</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default" w:ascii="Times New Roman" w:hAnsi="Times New Roman" w:cs="Times New Roman"/>
                <w:color w:val="auto"/>
                <w:highlight w:val="none"/>
              </w:rPr>
              <w:t>项目</w:t>
            </w:r>
          </w:p>
        </w:tc>
      </w:tr>
      <w:tr w14:paraId="050C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40" w:type="dxa"/>
          </w:tcPr>
          <w:p w14:paraId="3BE8D9EC">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城市更新：</w:t>
            </w:r>
            <w:r>
              <w:rPr>
                <w:rFonts w:hint="eastAsia" w:ascii="仿宋_GB2312" w:hAnsi="仿宋_GB2312" w:eastAsia="仿宋_GB2312" w:cs="仿宋_GB2312"/>
                <w:color w:val="auto"/>
                <w:sz w:val="28"/>
                <w:szCs w:val="28"/>
                <w:highlight w:val="none"/>
              </w:rPr>
              <w:t>推进</w:t>
            </w:r>
            <w:r>
              <w:rPr>
                <w:rFonts w:hint="eastAsia" w:ascii="仿宋_GB2312" w:hAnsi="仿宋_GB2312" w:cs="仿宋_GB2312"/>
                <w:color w:val="auto"/>
                <w:sz w:val="28"/>
                <w:szCs w:val="28"/>
                <w:highlight w:val="none"/>
                <w:lang w:val="en-US" w:eastAsia="zh-CN"/>
              </w:rPr>
              <w:t>数智城市大管家一体化、</w:t>
            </w:r>
            <w:r>
              <w:rPr>
                <w:rFonts w:hint="eastAsia" w:ascii="仿宋_GB2312" w:hAnsi="仿宋_GB2312" w:eastAsia="仿宋_GB2312" w:cs="仿宋_GB2312"/>
                <w:color w:val="auto"/>
                <w:sz w:val="28"/>
                <w:szCs w:val="28"/>
                <w:highlight w:val="none"/>
              </w:rPr>
              <w:t>城南新区城中村改造工程</w:t>
            </w:r>
            <w:r>
              <w:rPr>
                <w:rFonts w:hint="eastAsia" w:ascii="仿宋_GB2312" w:hAnsi="仿宋_GB2312" w:eastAsia="仿宋_GB2312" w:cs="仿宋_GB2312"/>
                <w:color w:val="auto"/>
                <w:sz w:val="28"/>
                <w:szCs w:val="28"/>
                <w:highlight w:val="none"/>
                <w:lang w:eastAsia="zh-CN"/>
              </w:rPr>
              <w:t>（小屯结屯、大小龙田）</w:t>
            </w:r>
            <w:r>
              <w:rPr>
                <w:rFonts w:hint="eastAsia" w:ascii="仿宋_GB2312" w:hAnsi="仿宋_GB2312" w:eastAsia="仿宋_GB2312" w:cs="仿宋_GB2312"/>
                <w:color w:val="auto"/>
                <w:sz w:val="28"/>
                <w:szCs w:val="28"/>
                <w:highlight w:val="none"/>
              </w:rPr>
              <w:t>、城镇保障性安居工程、棚户区改造二期</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老旧小区改造提升</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rPr>
              <w:t>、鹿化片区城市危旧房改造提升</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rPr>
              <w:t>、糖厂片区城市危旧房基础设施提升改造</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rPr>
              <w:t>等项目。</w:t>
            </w:r>
          </w:p>
          <w:p w14:paraId="1DA9CCE7">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地下管网：</w:t>
            </w:r>
            <w:r>
              <w:rPr>
                <w:rFonts w:hint="eastAsia" w:ascii="仿宋_GB2312" w:hAnsi="仿宋_GB2312" w:eastAsia="仿宋_GB2312" w:cs="仿宋_GB2312"/>
                <w:color w:val="auto"/>
                <w:sz w:val="28"/>
                <w:szCs w:val="28"/>
                <w:highlight w:val="none"/>
                <w:lang w:val="en-US" w:eastAsia="zh-CN"/>
              </w:rPr>
              <w:t>推进公共供水管网漏损治理、</w:t>
            </w:r>
            <w:r>
              <w:rPr>
                <w:rFonts w:hint="eastAsia" w:ascii="仿宋_GB2312" w:hAnsi="仿宋_GB2312" w:eastAsia="仿宋_GB2312" w:cs="仿宋_GB2312"/>
                <w:color w:val="auto"/>
                <w:sz w:val="28"/>
                <w:szCs w:val="28"/>
                <w:highlight w:val="none"/>
                <w:lang w:val="zh-TW"/>
              </w:rPr>
              <w:t>城乡供水设施提升改造</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lang w:val="zh-TW"/>
              </w:rPr>
              <w:t>、自来水厂供水设备更新改</w:t>
            </w:r>
            <w:r>
              <w:rPr>
                <w:rFonts w:hint="eastAsia" w:ascii="仿宋_GB2312" w:hAnsi="仿宋_GB2312" w:cs="仿宋_GB2312"/>
                <w:color w:val="auto"/>
                <w:sz w:val="28"/>
                <w:szCs w:val="28"/>
                <w:highlight w:val="none"/>
                <w:lang w:val="en-US" w:eastAsia="zh-CN"/>
              </w:rPr>
              <w:t>造工程</w:t>
            </w:r>
            <w:r>
              <w:rPr>
                <w:rFonts w:hint="eastAsia" w:ascii="仿宋_GB2312" w:hAnsi="仿宋_GB2312" w:eastAsia="仿宋_GB2312" w:cs="仿宋_GB2312"/>
                <w:color w:val="auto"/>
                <w:sz w:val="28"/>
                <w:szCs w:val="28"/>
                <w:highlight w:val="none"/>
                <w:lang w:val="zh-TW"/>
              </w:rPr>
              <w:t>、</w:t>
            </w:r>
            <w:r>
              <w:rPr>
                <w:rFonts w:hint="eastAsia" w:ascii="仿宋_GB2312" w:hAnsi="仿宋_GB2312" w:eastAsia="仿宋_GB2312" w:cs="仿宋_GB2312"/>
                <w:color w:val="auto"/>
                <w:sz w:val="28"/>
                <w:szCs w:val="28"/>
                <w:highlight w:val="none"/>
                <w:lang w:val="en-US" w:eastAsia="zh-CN"/>
              </w:rPr>
              <w:t>城区排水管网提升改造、产业园工业污水处理厂及管网工程</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zh-TW"/>
              </w:rPr>
              <w:t>镇级污水处理厂配套污水管网提升改造</w:t>
            </w:r>
            <w:r>
              <w:rPr>
                <w:rFonts w:hint="eastAsia" w:ascii="仿宋_GB2312" w:hAnsi="仿宋_GB2312" w:eastAsia="仿宋_GB2312" w:cs="仿宋_GB2312"/>
                <w:color w:val="auto"/>
                <w:sz w:val="28"/>
                <w:szCs w:val="28"/>
                <w:highlight w:val="none"/>
                <w:lang w:val="zh-TW" w:eastAsia="zh-CN"/>
              </w:rPr>
              <w:t>、</w:t>
            </w:r>
            <w:r>
              <w:rPr>
                <w:rFonts w:hint="eastAsia" w:ascii="仿宋_GB2312" w:hAnsi="仿宋_GB2312" w:eastAsia="仿宋_GB2312" w:cs="仿宋_GB2312"/>
                <w:color w:val="auto"/>
                <w:sz w:val="28"/>
                <w:szCs w:val="28"/>
                <w:highlight w:val="none"/>
                <w:lang w:val="zh-TW"/>
              </w:rPr>
              <w:t>城区综合弱电管道</w:t>
            </w:r>
            <w:r>
              <w:rPr>
                <w:rFonts w:hint="eastAsia" w:ascii="仿宋_GB2312" w:hAnsi="仿宋_GB2312" w:eastAsia="仿宋_GB2312" w:cs="仿宋_GB2312"/>
                <w:color w:val="auto"/>
                <w:sz w:val="28"/>
                <w:szCs w:val="28"/>
                <w:highlight w:val="none"/>
                <w:lang w:val="en-US" w:eastAsia="zh-CN"/>
              </w:rPr>
              <w:t>等项目。</w:t>
            </w:r>
          </w:p>
          <w:p w14:paraId="669EE0F0">
            <w:pPr>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Times New Roman" w:hAnsi="Times New Roman" w:cs="Times New Roman"/>
                <w:b w:val="0"/>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城镇路桥：</w:t>
            </w:r>
            <w:r>
              <w:rPr>
                <w:rFonts w:hint="eastAsia" w:ascii="仿宋_GB2312" w:hAnsi="仿宋_GB2312" w:eastAsia="仿宋_GB2312" w:cs="仿宋_GB2312"/>
                <w:color w:val="auto"/>
                <w:sz w:val="28"/>
                <w:szCs w:val="28"/>
                <w:highlight w:val="none"/>
                <w:lang w:val="en-US" w:eastAsia="zh-CN"/>
              </w:rPr>
              <w:t>推进飞鹿立交桥维修改造、</w:t>
            </w:r>
            <w:r>
              <w:rPr>
                <w:rFonts w:hint="eastAsia" w:ascii="仿宋_GB2312" w:hAnsi="仿宋_GB2312" w:eastAsia="仿宋_GB2312" w:cs="仿宋_GB2312"/>
                <w:color w:val="auto"/>
                <w:sz w:val="28"/>
                <w:szCs w:val="28"/>
                <w:highlight w:val="none"/>
                <w:lang w:val="zh-TW"/>
              </w:rPr>
              <w:t>农村公路路改桥、寨沙镇石榴河漫水桥</w:t>
            </w:r>
            <w:r>
              <w:rPr>
                <w:rFonts w:hint="eastAsia" w:ascii="仿宋_GB2312" w:hAnsi="仿宋_GB2312" w:eastAsia="仿宋_GB2312" w:cs="仿宋_GB2312"/>
                <w:color w:val="auto"/>
                <w:sz w:val="28"/>
                <w:szCs w:val="28"/>
                <w:highlight w:val="none"/>
                <w:lang w:val="en-US" w:eastAsia="zh-CN"/>
              </w:rPr>
              <w:t>等项目</w:t>
            </w:r>
            <w:r>
              <w:rPr>
                <w:rFonts w:hint="eastAsia" w:ascii="仿宋_GB2312" w:hAnsi="仿宋_GB2312" w:eastAsia="仿宋_GB2312" w:cs="仿宋_GB2312"/>
                <w:color w:val="auto"/>
                <w:sz w:val="28"/>
                <w:szCs w:val="28"/>
                <w:highlight w:val="none"/>
                <w:lang w:val="zh-TW" w:eastAsia="zh-CN"/>
              </w:rPr>
              <w:t>；</w:t>
            </w:r>
            <w:r>
              <w:rPr>
                <w:rFonts w:hint="eastAsia" w:ascii="仿宋_GB2312" w:hAnsi="仿宋_GB2312" w:eastAsia="仿宋_GB2312" w:cs="仿宋_GB2312"/>
                <w:color w:val="auto"/>
                <w:kern w:val="2"/>
                <w:sz w:val="28"/>
                <w:szCs w:val="28"/>
                <w:highlight w:val="none"/>
                <w:lang w:val="en-US" w:eastAsia="zh-CN" w:bidi="ar-SA"/>
              </w:rPr>
              <w:t>谋划</w:t>
            </w:r>
            <w:r>
              <w:rPr>
                <w:rFonts w:hint="eastAsia" w:ascii="仿宋_GB2312" w:hAnsi="仿宋_GB2312" w:eastAsia="仿宋_GB2312" w:cs="仿宋_GB2312"/>
                <w:color w:val="auto"/>
                <w:kern w:val="2"/>
                <w:sz w:val="28"/>
                <w:szCs w:val="28"/>
                <w:highlight w:val="none"/>
                <w:lang w:val="zh-TW" w:eastAsia="zh-CN" w:bidi="ar-SA"/>
              </w:rPr>
              <w:t>南环公路（国道</w:t>
            </w:r>
            <w:r>
              <w:rPr>
                <w:rFonts w:hint="default" w:ascii="Times New Roman" w:hAnsi="Times New Roman" w:eastAsia="仿宋_GB2312" w:cs="Times New Roman"/>
                <w:color w:val="auto"/>
                <w:kern w:val="2"/>
                <w:sz w:val="28"/>
                <w:szCs w:val="28"/>
                <w:highlight w:val="none"/>
                <w:lang w:val="zh-TW" w:eastAsia="zh-CN" w:bidi="ar-SA"/>
              </w:rPr>
              <w:t>322</w:t>
            </w:r>
            <w:r>
              <w:rPr>
                <w:rFonts w:hint="eastAsia" w:ascii="仿宋_GB2312" w:hAnsi="仿宋_GB2312" w:eastAsia="仿宋_GB2312" w:cs="仿宋_GB2312"/>
                <w:color w:val="auto"/>
                <w:kern w:val="2"/>
                <w:sz w:val="28"/>
                <w:szCs w:val="28"/>
                <w:highlight w:val="none"/>
                <w:lang w:val="zh-TW" w:eastAsia="zh-CN" w:bidi="ar-SA"/>
              </w:rPr>
              <w:t>改线）、鹿寨绕城</w:t>
            </w:r>
            <w:r>
              <w:rPr>
                <w:rFonts w:hint="eastAsia" w:ascii="仿宋_GB2312" w:hAnsi="仿宋_GB2312" w:eastAsia="仿宋_GB2312" w:cs="仿宋_GB2312"/>
                <w:color w:val="auto"/>
                <w:kern w:val="2"/>
                <w:sz w:val="28"/>
                <w:szCs w:val="28"/>
                <w:highlight w:val="none"/>
                <w:lang w:val="en-US" w:eastAsia="zh-CN" w:bidi="ar-SA"/>
              </w:rPr>
              <w:t>公路</w:t>
            </w:r>
            <w:r>
              <w:rPr>
                <w:rFonts w:hint="eastAsia" w:ascii="仿宋_GB2312" w:hAnsi="仿宋_GB2312" w:eastAsia="仿宋_GB2312" w:cs="仿宋_GB2312"/>
                <w:color w:val="auto"/>
                <w:kern w:val="2"/>
                <w:sz w:val="28"/>
                <w:szCs w:val="28"/>
                <w:highlight w:val="none"/>
                <w:lang w:val="zh-TW" w:eastAsia="zh-CN" w:bidi="ar-SA"/>
              </w:rPr>
              <w:t>、</w:t>
            </w:r>
            <w:r>
              <w:rPr>
                <w:rFonts w:hint="eastAsia" w:ascii="仿宋_GB2312" w:hAnsi="仿宋_GB2312" w:eastAsia="仿宋_GB2312" w:cs="仿宋_GB2312"/>
                <w:color w:val="auto"/>
                <w:kern w:val="2"/>
                <w:sz w:val="28"/>
                <w:szCs w:val="28"/>
                <w:highlight w:val="none"/>
                <w:lang w:val="en-US" w:eastAsia="zh-CN" w:bidi="ar-SA"/>
              </w:rPr>
              <w:t>寨沙镇绕城公路</w:t>
            </w:r>
            <w:r>
              <w:rPr>
                <w:rFonts w:hint="eastAsia" w:ascii="仿宋_GB2312" w:hAnsi="仿宋_GB2312" w:eastAsia="仿宋_GB2312" w:cs="仿宋_GB2312"/>
                <w:color w:val="auto"/>
                <w:kern w:val="2"/>
                <w:sz w:val="28"/>
                <w:szCs w:val="28"/>
                <w:highlight w:val="none"/>
                <w:lang w:val="zh-TW" w:eastAsia="zh-CN" w:bidi="ar-SA"/>
              </w:rPr>
              <w:t>等项目。</w:t>
            </w:r>
          </w:p>
        </w:tc>
      </w:tr>
    </w:tbl>
    <w:p w14:paraId="02FA809A">
      <w:pPr>
        <w:pStyle w:val="27"/>
        <w:rPr>
          <w:rFonts w:hint="eastAsia"/>
          <w:color w:val="auto"/>
          <w:highlight w:val="none"/>
          <w:lang w:val="en-US" w:eastAsia="zh-CN"/>
        </w:rPr>
      </w:pPr>
    </w:p>
    <w:p w14:paraId="57859895">
      <w:pPr>
        <w:pStyle w:val="5"/>
        <w:bidi w:val="0"/>
        <w:jc w:val="center"/>
        <w:outlineLvl w:val="0"/>
        <w:rPr>
          <w:rFonts w:hint="eastAsia" w:ascii="黑体" w:hAnsi="黑体" w:eastAsia="黑体" w:cs="黑体"/>
          <w:b w:val="0"/>
          <w:bCs/>
          <w:color w:val="auto"/>
          <w:sz w:val="36"/>
          <w:szCs w:val="36"/>
          <w:highlight w:val="none"/>
          <w:lang w:val="en-US" w:eastAsia="zh-CN" w:bidi="ar-SA"/>
        </w:rPr>
      </w:pPr>
      <w:bookmarkStart w:id="195" w:name="_Toc23376"/>
      <w:bookmarkStart w:id="196" w:name="_Toc3737"/>
      <w:bookmarkStart w:id="197" w:name="_Toc25164"/>
      <w:bookmarkStart w:id="198" w:name="_Toc31251"/>
      <w:r>
        <w:rPr>
          <w:rFonts w:hint="eastAsia" w:ascii="黑体" w:hAnsi="黑体" w:eastAsia="黑体" w:cs="黑体"/>
          <w:b w:val="0"/>
          <w:bCs/>
          <w:color w:val="auto"/>
          <w:sz w:val="36"/>
          <w:szCs w:val="36"/>
          <w:highlight w:val="none"/>
          <w:lang w:val="en-US" w:eastAsia="zh-CN" w:bidi="ar-SA"/>
        </w:rPr>
        <w:t>第三节  构建城乡一体化发展机制</w:t>
      </w:r>
      <w:bookmarkEnd w:id="195"/>
      <w:bookmarkEnd w:id="196"/>
      <w:bookmarkEnd w:id="197"/>
      <w:bookmarkEnd w:id="198"/>
    </w:p>
    <w:p w14:paraId="7D156D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健全战略规划引领机制。</w:t>
      </w:r>
      <w:r>
        <w:rPr>
          <w:rFonts w:hint="eastAsia" w:ascii="Times New Roman" w:hAnsi="Times New Roman" w:eastAsia="仿宋_GB2312" w:cs="Times New Roman"/>
          <w:color w:val="auto"/>
          <w:sz w:val="32"/>
          <w:szCs w:val="32"/>
          <w:highlight w:val="none"/>
          <w:lang w:val="en-US" w:eastAsia="zh-CN"/>
        </w:rPr>
        <w:t>坚持规划引领理念，坚持目标导向、问题导向、发展导向，推进以县城为重要载体的城镇化建设，统筹谋划县城、乡镇、村发展，加快推动城乡一体化规划布局，促进县、乡、村功能衔接互补。统筹规划建设城乡基础设施和公共服务体系，促进城乡融合，推动县域经济社会高质量发展。在强化运营思维上发力，推动规划纲要、空间总体规划和各专项规划有效衔接，实现目标集成、政策集成、效果集成，确保城镇空间布局、项目布局、产业布局高度统一。</w:t>
      </w:r>
    </w:p>
    <w:p w14:paraId="38E510B2">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3" w:firstLineChars="200"/>
        <w:textAlignment w:val="auto"/>
        <w:rPr>
          <w:rFonts w:hint="eastAsia" w:ascii="仿宋_GB2312" w:hAnsi="仿宋_GB2312" w:eastAsia="仿宋_GB2312" w:cs="仿宋_GB2312"/>
          <w:color w:val="auto"/>
          <w:sz w:val="32"/>
          <w:szCs w:val="32"/>
          <w:highlight w:val="none"/>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rPr>
        <w:t>深化户籍制度改革与公共服务覆盖</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稳妥有序放开</w:t>
      </w:r>
      <w:r>
        <w:rPr>
          <w:rFonts w:hint="eastAsia" w:ascii="仿宋_GB2312" w:hAnsi="仿宋_GB2312" w:eastAsia="仿宋_GB2312" w:cs="仿宋_GB2312"/>
          <w:i w:val="0"/>
          <w:iCs w:val="0"/>
          <w:caps w:val="0"/>
          <w:color w:val="auto"/>
          <w:spacing w:val="0"/>
          <w:sz w:val="32"/>
          <w:szCs w:val="32"/>
          <w:highlight w:val="none"/>
          <w:shd w:val="clear" w:color="auto" w:fill="FFFFFF"/>
        </w:rPr>
        <w:t>县城落户限制，建立以经常居住地登记户口制度</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优先解决在中心城区、经开区及重点乡镇稳定就业生活的农村转移人口落户问题</w:t>
      </w:r>
      <w:r>
        <w:rPr>
          <w:rFonts w:hint="eastAsia" w:ascii="仿宋_GB2312" w:hAnsi="仿宋_GB2312" w:eastAsia="仿宋_GB2312" w:cs="仿宋_GB2312"/>
          <w:i w:val="0"/>
          <w:iCs w:val="0"/>
          <w:caps w:val="0"/>
          <w:color w:val="auto"/>
          <w:spacing w:val="0"/>
          <w:sz w:val="32"/>
          <w:szCs w:val="32"/>
          <w:highlight w:val="none"/>
          <w:shd w:val="clear" w:color="auto" w:fill="FFFFFF"/>
        </w:rPr>
        <w:t>。保障随迁子女平等接受义务教育</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落实城乡医疗保险制度，扩大保障性住房供给范围，完善职业技能培训体系。</w:t>
      </w:r>
      <w:r>
        <w:rPr>
          <w:rFonts w:hint="eastAsia" w:ascii="仿宋_GB2312" w:hAnsi="仿宋_GB2312" w:eastAsia="仿宋_GB2312" w:cs="仿宋_GB2312"/>
          <w:i w:val="0"/>
          <w:iCs w:val="0"/>
          <w:caps w:val="0"/>
          <w:color w:val="auto"/>
          <w:spacing w:val="0"/>
          <w:sz w:val="32"/>
          <w:szCs w:val="32"/>
          <w:highlight w:val="none"/>
          <w:shd w:val="clear" w:color="auto" w:fill="FFFFFF"/>
        </w:rPr>
        <w:t>健全财政转移支付与农业转移人口市民化挂钩机制，推动教育、医疗、住房保障等基本公共服务覆盖全部常住人口</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p>
    <w:p w14:paraId="409C44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健全城乡融合发展体制机制。</w:t>
      </w:r>
      <w:r>
        <w:rPr>
          <w:rFonts w:hint="eastAsia" w:ascii="Times New Roman" w:hAnsi="Times New Roman" w:eastAsia="仿宋_GB2312" w:cs="Times New Roman"/>
          <w:color w:val="auto"/>
          <w:sz w:val="32"/>
          <w:szCs w:val="32"/>
          <w:highlight w:val="none"/>
          <w:lang w:val="en-US" w:eastAsia="zh-CN"/>
        </w:rPr>
        <w:t>聚焦提高要素配置效率，加快建立健全县、乡、村基本公共服务一体化管理机制，健全城乡规划编制、产业布局、就业保障、要素配置等动态调整机制。不断完善以县城为枢纽、以乡镇为节点、以村为基地，梯次分布、分工协作、链式配套的县域经济体系和城乡一体化格局。纵深贯彻落实全国统一大市场建设工作，推进全县城乡要素市场一体化，破除不合理门槛和壁垒，规范市场秩序，优化部门监管协同‌，保障市场公平竞争，确保要素资源在县域范围内自由流动。积极撬动各类政策要素，创新社会主体参与乡村建设的机制，鼓励和支持社会投资，‌促进各类要素更多向乡村流动。</w:t>
      </w:r>
    </w:p>
    <w:p w14:paraId="7FD0A0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color w:val="auto"/>
          <w:sz w:val="32"/>
          <w:szCs w:val="32"/>
          <w:highlight w:val="none"/>
          <w:lang w:val="en-US" w:eastAsia="zh-CN"/>
        </w:rPr>
        <w:t>探索建立同城化发展体制机制。</w:t>
      </w:r>
      <w:r>
        <w:rPr>
          <w:rFonts w:hint="eastAsia" w:ascii="Times New Roman" w:hAnsi="Times New Roman" w:eastAsia="仿宋_GB2312" w:cs="Times New Roman"/>
          <w:color w:val="auto"/>
          <w:sz w:val="32"/>
          <w:szCs w:val="32"/>
          <w:highlight w:val="none"/>
          <w:lang w:val="en-US" w:eastAsia="zh-CN"/>
        </w:rPr>
        <w:t>探索建立与柳东新区战略合作协同机制，充分利用与柳州市区在地域相连和产业相接的有利条件，推动交通、产业、创新、市场、资源环境、公共服务等专项合作，营造全社会共同推动两地经济联动建设的良好氛围。推动政策体系协同，</w:t>
      </w:r>
      <w:r>
        <w:rPr>
          <w:rFonts w:hint="default" w:ascii="Times New Roman" w:hAnsi="Times New Roman" w:eastAsia="仿宋_GB2312" w:cs="Times New Roman"/>
          <w:color w:val="auto"/>
          <w:sz w:val="32"/>
          <w:szCs w:val="32"/>
          <w:highlight w:val="none"/>
          <w:lang w:val="en-US" w:eastAsia="zh-CN"/>
        </w:rPr>
        <w:t>以规划同城化为先导，以产业同城化为核心，以交通同城化为关键，以公共服务同城化为保障，实现规划同步、产业同链、设施同建、公共服务同体、要素市场同享，加快基础设施、产业发展、公共服务和要素市场与市区一体化发展进程，打造成为柳州</w:t>
      </w:r>
      <w:r>
        <w:rPr>
          <w:rFonts w:hint="eastAsia" w:ascii="Times New Roman" w:hAnsi="Times New Roman" w:eastAsia="仿宋_GB2312" w:cs="Times New Roman"/>
          <w:color w:val="auto"/>
          <w:sz w:val="32"/>
          <w:szCs w:val="32"/>
          <w:highlight w:val="none"/>
          <w:lang w:val="en-US" w:eastAsia="zh-CN"/>
        </w:rPr>
        <w:t>城</w:t>
      </w:r>
      <w:r>
        <w:rPr>
          <w:rFonts w:hint="default" w:ascii="Times New Roman" w:hAnsi="Times New Roman" w:eastAsia="仿宋_GB2312" w:cs="Times New Roman"/>
          <w:color w:val="auto"/>
          <w:sz w:val="32"/>
          <w:szCs w:val="32"/>
          <w:highlight w:val="none"/>
          <w:lang w:val="en-US" w:eastAsia="zh-CN"/>
        </w:rPr>
        <w:t>市副中心，</w:t>
      </w:r>
      <w:r>
        <w:rPr>
          <w:rFonts w:hint="eastAsia" w:ascii="Times New Roman" w:hAnsi="Times New Roman" w:eastAsia="仿宋_GB2312" w:cs="Times New Roman"/>
          <w:color w:val="auto"/>
          <w:sz w:val="32"/>
          <w:szCs w:val="32"/>
          <w:highlight w:val="none"/>
          <w:lang w:val="en-US" w:eastAsia="zh-CN"/>
        </w:rPr>
        <w:t>走出一条具有鹿寨特色的城乡融合高质量发展新路</w:t>
      </w:r>
      <w:r>
        <w:rPr>
          <w:rFonts w:hint="default" w:ascii="Times New Roman" w:hAnsi="Times New Roman" w:eastAsia="仿宋_GB2312" w:cs="Times New Roman"/>
          <w:color w:val="auto"/>
          <w:sz w:val="32"/>
          <w:szCs w:val="32"/>
          <w:highlight w:val="none"/>
          <w:lang w:val="en-US" w:eastAsia="zh-CN"/>
        </w:rPr>
        <w:t>。</w:t>
      </w:r>
    </w:p>
    <w:p w14:paraId="182A3B52">
      <w:pPr>
        <w:rPr>
          <w:rFonts w:hint="eastAsia" w:ascii="方正小标宋简体" w:hAnsi="方正小标宋简体" w:eastAsia="方正小标宋简体" w:cs="方正小标宋简体"/>
          <w:b w:val="0"/>
          <w:bCs/>
          <w:color w:val="auto"/>
          <w:highlight w:val="none"/>
          <w:lang w:val="en-US" w:eastAsia="zh-CN"/>
        </w:rPr>
      </w:pPr>
      <w:bookmarkStart w:id="199" w:name="_Toc14348"/>
      <w:bookmarkStart w:id="200" w:name="_Toc19754"/>
      <w:bookmarkStart w:id="201" w:name="_Toc11633"/>
    </w:p>
    <w:p w14:paraId="2D2F9FD1">
      <w:pPr>
        <w:pStyle w:val="27"/>
        <w:rPr>
          <w:rFonts w:hint="eastAsia" w:ascii="方正小标宋简体" w:hAnsi="方正小标宋简体" w:eastAsia="方正小标宋简体" w:cs="方正小标宋简体"/>
          <w:b w:val="0"/>
          <w:bCs/>
          <w:color w:val="auto"/>
          <w:highlight w:val="none"/>
          <w:lang w:val="en-US" w:eastAsia="zh-CN"/>
        </w:rPr>
      </w:pPr>
    </w:p>
    <w:p w14:paraId="7D73E578">
      <w:pPr>
        <w:pStyle w:val="8"/>
        <w:rPr>
          <w:rFonts w:hint="eastAsia" w:ascii="方正小标宋简体" w:hAnsi="方正小标宋简体" w:eastAsia="方正小标宋简体" w:cs="方正小标宋简体"/>
          <w:b w:val="0"/>
          <w:bCs/>
          <w:color w:val="auto"/>
          <w:highlight w:val="none"/>
          <w:lang w:val="en-US" w:eastAsia="zh-CN"/>
        </w:rPr>
      </w:pPr>
    </w:p>
    <w:p w14:paraId="10DC6E92">
      <w:pPr>
        <w:rPr>
          <w:rFonts w:hint="eastAsia" w:ascii="方正小标宋简体" w:hAnsi="方正小标宋简体" w:eastAsia="方正小标宋简体" w:cs="方正小标宋简体"/>
          <w:b w:val="0"/>
          <w:bCs/>
          <w:color w:val="auto"/>
          <w:highlight w:val="none"/>
          <w:lang w:val="en-US" w:eastAsia="zh-CN"/>
        </w:rPr>
      </w:pPr>
    </w:p>
    <w:p w14:paraId="7BCF9C80">
      <w:pPr>
        <w:pStyle w:val="27"/>
        <w:rPr>
          <w:rFonts w:hint="eastAsia" w:ascii="方正小标宋简体" w:hAnsi="方正小标宋简体" w:eastAsia="方正小标宋简体" w:cs="方正小标宋简体"/>
          <w:b w:val="0"/>
          <w:bCs/>
          <w:color w:val="auto"/>
          <w:highlight w:val="none"/>
          <w:lang w:val="en-US" w:eastAsia="zh-CN"/>
        </w:rPr>
      </w:pPr>
    </w:p>
    <w:p w14:paraId="2A37EBDE">
      <w:pPr>
        <w:pStyle w:val="8"/>
        <w:rPr>
          <w:rFonts w:hint="eastAsia" w:ascii="方正小标宋简体" w:hAnsi="方正小标宋简体" w:eastAsia="方正小标宋简体" w:cs="方正小标宋简体"/>
          <w:b w:val="0"/>
          <w:bCs/>
          <w:color w:val="auto"/>
          <w:highlight w:val="none"/>
          <w:lang w:val="en-US" w:eastAsia="zh-CN"/>
        </w:rPr>
      </w:pPr>
    </w:p>
    <w:p w14:paraId="65375A41">
      <w:pPr>
        <w:rPr>
          <w:rFonts w:hint="eastAsia" w:ascii="方正小标宋简体" w:hAnsi="方正小标宋简体" w:eastAsia="方正小标宋简体" w:cs="方正小标宋简体"/>
          <w:b w:val="0"/>
          <w:bCs/>
          <w:color w:val="auto"/>
          <w:highlight w:val="none"/>
          <w:lang w:val="en-US" w:eastAsia="zh-CN"/>
        </w:rPr>
      </w:pPr>
    </w:p>
    <w:p w14:paraId="18C4032A">
      <w:pPr>
        <w:pStyle w:val="27"/>
        <w:rPr>
          <w:rFonts w:hint="eastAsia"/>
          <w:color w:val="auto"/>
          <w:highlight w:val="none"/>
          <w:lang w:val="en-US" w:eastAsia="zh-CN"/>
        </w:rPr>
      </w:pPr>
    </w:p>
    <w:p w14:paraId="10A0485C">
      <w:pPr>
        <w:rPr>
          <w:rFonts w:hint="eastAsia" w:ascii="方正小标宋简体" w:hAnsi="方正小标宋简体" w:eastAsia="方正小标宋简体" w:cs="方正小标宋简体"/>
          <w:b w:val="0"/>
          <w:bCs/>
          <w:color w:val="auto"/>
          <w:highlight w:val="none"/>
          <w:lang w:val="en-US" w:eastAsia="zh-CN"/>
        </w:rPr>
      </w:pPr>
      <w:bookmarkStart w:id="202" w:name="_Toc27259"/>
      <w:r>
        <w:rPr>
          <w:rFonts w:hint="eastAsia" w:ascii="方正小标宋简体" w:hAnsi="方正小标宋简体" w:eastAsia="方正小标宋简体" w:cs="方正小标宋简体"/>
          <w:b w:val="0"/>
          <w:bCs/>
          <w:color w:val="auto"/>
          <w:highlight w:val="none"/>
          <w:lang w:val="en-US" w:eastAsia="zh-CN"/>
        </w:rPr>
        <w:br w:type="page"/>
      </w:r>
    </w:p>
    <w:p w14:paraId="152CA7DC">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r>
        <w:rPr>
          <w:rFonts w:hint="eastAsia" w:ascii="方正小标宋简体" w:hAnsi="方正小标宋简体" w:eastAsia="方正小标宋简体" w:cs="方正小标宋简体"/>
          <w:b w:val="0"/>
          <w:bCs/>
          <w:color w:val="auto"/>
          <w:highlight w:val="none"/>
          <w:lang w:val="en-US" w:eastAsia="zh-CN"/>
        </w:rPr>
        <w:t>第八章</w:t>
      </w:r>
      <w:bookmarkEnd w:id="199"/>
      <w:bookmarkEnd w:id="200"/>
      <w:bookmarkEnd w:id="201"/>
      <w:bookmarkEnd w:id="202"/>
      <w:bookmarkStart w:id="203" w:name="_Toc27012"/>
      <w:bookmarkStart w:id="204" w:name="_Toc19110"/>
    </w:p>
    <w:p w14:paraId="68E5876F">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pacing w:val="-11"/>
          <w:sz w:val="44"/>
          <w:highlight w:val="none"/>
          <w:lang w:val="en-US" w:eastAsia="zh-CN"/>
        </w:rPr>
      </w:pPr>
      <w:bookmarkStart w:id="205" w:name="_Toc10671"/>
      <w:bookmarkStart w:id="206" w:name="_Toc2614"/>
      <w:r>
        <w:rPr>
          <w:rFonts w:hint="eastAsia" w:ascii="方正小标宋简体" w:hAnsi="方正小标宋简体" w:eastAsia="方正小标宋简体" w:cs="方正小标宋简体"/>
          <w:b w:val="0"/>
          <w:bCs/>
          <w:color w:val="auto"/>
          <w:spacing w:val="-11"/>
          <w:sz w:val="44"/>
          <w:highlight w:val="none"/>
          <w:lang w:val="en-US" w:eastAsia="zh-CN"/>
        </w:rPr>
        <w:t>构建现代化基础设施</w:t>
      </w:r>
      <w:bookmarkEnd w:id="203"/>
      <w:r>
        <w:rPr>
          <w:rFonts w:hint="eastAsia" w:ascii="方正小标宋简体" w:hAnsi="方正小标宋简体" w:eastAsia="方正小标宋简体" w:cs="方正小标宋简体"/>
          <w:b w:val="0"/>
          <w:bCs/>
          <w:color w:val="auto"/>
          <w:spacing w:val="-11"/>
          <w:sz w:val="44"/>
          <w:highlight w:val="none"/>
          <w:lang w:val="en-US" w:eastAsia="zh-CN"/>
        </w:rPr>
        <w:t>体系</w:t>
      </w:r>
      <w:bookmarkEnd w:id="204"/>
      <w:r>
        <w:rPr>
          <w:rFonts w:hint="eastAsia" w:ascii="方正小标宋简体" w:hAnsi="方正小标宋简体" w:eastAsia="方正小标宋简体" w:cs="方正小标宋简体"/>
          <w:b w:val="0"/>
          <w:bCs/>
          <w:color w:val="auto"/>
          <w:spacing w:val="-11"/>
          <w:sz w:val="44"/>
          <w:highlight w:val="none"/>
          <w:lang w:val="en-US" w:eastAsia="zh-CN"/>
        </w:rPr>
        <w:t xml:space="preserve">  筑牢县域发展硬支撑</w:t>
      </w:r>
      <w:bookmarkEnd w:id="205"/>
      <w:bookmarkEnd w:id="206"/>
    </w:p>
    <w:p w14:paraId="02A153B7">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坚持人民至上、可感可及，坚持统筹规划、集成融合，完善交通、水利、能源、信息等设施，提升安全韧性和运营可持续性，</w:t>
      </w:r>
      <w:r>
        <w:rPr>
          <w:rFonts w:hint="default" w:ascii="Times New Roman" w:hAnsi="Times New Roman" w:eastAsia="仿宋_GB2312" w:cs="Times New Roman"/>
          <w:color w:val="auto"/>
          <w:sz w:val="32"/>
          <w:szCs w:val="32"/>
          <w:highlight w:val="none"/>
          <w:lang w:val="en-US" w:eastAsia="zh-CN"/>
        </w:rPr>
        <w:t>打造集约高效、经济适用、保障有力的现代化基础设施体系，</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为全县经济社会高质量发展提供基础保障。</w:t>
      </w:r>
    </w:p>
    <w:p w14:paraId="497F322B">
      <w:pPr>
        <w:pStyle w:val="5"/>
        <w:bidi w:val="0"/>
        <w:jc w:val="center"/>
        <w:outlineLvl w:val="0"/>
        <w:rPr>
          <w:rFonts w:hint="default" w:ascii="Times New Roman" w:hAnsi="Times New Roman" w:cs="Times New Roman"/>
          <w:b w:val="0"/>
          <w:bCs/>
          <w:color w:val="auto"/>
          <w:sz w:val="36"/>
          <w:szCs w:val="36"/>
          <w:highlight w:val="none"/>
          <w:lang w:eastAsia="zh-CN"/>
        </w:rPr>
      </w:pPr>
      <w:bookmarkStart w:id="207" w:name="_Toc11778"/>
      <w:bookmarkStart w:id="208" w:name="_Toc23062"/>
      <w:bookmarkStart w:id="209" w:name="_Toc10487"/>
      <w:bookmarkStart w:id="210" w:name="_Toc15678"/>
      <w:r>
        <w:rPr>
          <w:rFonts w:hint="default" w:ascii="Times New Roman" w:hAnsi="Times New Roman" w:cs="Times New Roman"/>
          <w:b w:val="0"/>
          <w:bCs/>
          <w:color w:val="auto"/>
          <w:sz w:val="36"/>
          <w:szCs w:val="36"/>
          <w:highlight w:val="none"/>
        </w:rPr>
        <w:t>第一节</w:t>
      </w:r>
      <w:r>
        <w:rPr>
          <w:rFonts w:hint="default" w:ascii="Times New Roman" w:hAnsi="Times New Roman" w:cs="Times New Roman"/>
          <w:b w:val="0"/>
          <w:bCs/>
          <w:color w:val="auto"/>
          <w:sz w:val="36"/>
          <w:szCs w:val="36"/>
          <w:highlight w:val="none"/>
          <w:lang w:val="en-US" w:eastAsia="zh-CN"/>
        </w:rPr>
        <w:t xml:space="preserve">  </w:t>
      </w:r>
      <w:r>
        <w:rPr>
          <w:rFonts w:hint="default" w:ascii="Times New Roman" w:hAnsi="Times New Roman" w:cs="Times New Roman"/>
          <w:b w:val="0"/>
          <w:bCs/>
          <w:color w:val="auto"/>
          <w:sz w:val="36"/>
          <w:szCs w:val="36"/>
          <w:highlight w:val="none"/>
        </w:rPr>
        <w:t>建设高效顺畅的现代流通体系</w:t>
      </w:r>
      <w:bookmarkEnd w:id="207"/>
      <w:bookmarkEnd w:id="208"/>
    </w:p>
    <w:p w14:paraId="3C002CB8">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以完善现代化综合交通运输体系为主线</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，围绕“</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安全、便捷、高效、绿色、经济</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”导向，构建外联内畅、通江达海、高效便捷的大交通格局</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，为鹿寨</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高质量发展</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提供更加有力的交通运输服务。</w:t>
      </w:r>
    </w:p>
    <w:p w14:paraId="16BB5BE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40"/>
          <w:highlight w:val="none"/>
          <w:lang w:val="en-US" w:eastAsia="zh-CN"/>
        </w:rPr>
      </w:pPr>
      <w:r>
        <w:rPr>
          <w:rFonts w:hint="default" w:ascii="Times New Roman" w:hAnsi="Times New Roman" w:eastAsia="仿宋_GB2312" w:cs="Times New Roman"/>
          <w:b/>
          <w:bCs/>
          <w:color w:val="auto"/>
          <w:sz w:val="32"/>
          <w:szCs w:val="40"/>
          <w:highlight w:val="none"/>
          <w:lang w:val="en-US" w:eastAsia="zh-CN"/>
        </w:rPr>
        <w:t>加快完善公路交通网络。</w:t>
      </w:r>
      <w:r>
        <w:rPr>
          <w:rFonts w:hint="default" w:ascii="Times New Roman" w:hAnsi="Times New Roman" w:eastAsia="仿宋_GB2312" w:cs="Times New Roman"/>
          <w:color w:val="auto"/>
          <w:sz w:val="32"/>
          <w:szCs w:val="40"/>
          <w:highlight w:val="none"/>
          <w:lang w:val="en-US" w:eastAsia="zh-CN"/>
        </w:rPr>
        <w:t>配合推进</w:t>
      </w:r>
      <w:r>
        <w:rPr>
          <w:rFonts w:hint="default" w:ascii="Times New Roman" w:hAnsi="Times New Roman" w:eastAsia="仿宋_GB2312" w:cs="Times New Roman"/>
          <w:color w:val="auto"/>
          <w:sz w:val="32"/>
          <w:szCs w:val="32"/>
          <w:highlight w:val="none"/>
          <w:lang w:val="en-US" w:eastAsia="zh-CN"/>
        </w:rPr>
        <w:t>柳州高速过境线</w:t>
      </w:r>
      <w:r>
        <w:rPr>
          <w:rFonts w:hint="eastAsia" w:ascii="Times New Roman" w:hAnsi="Times New Roman" w:eastAsia="仿宋_GB2312" w:cs="Times New Roman"/>
          <w:color w:val="auto"/>
          <w:sz w:val="32"/>
          <w:szCs w:val="32"/>
          <w:highlight w:val="none"/>
          <w:lang w:val="en-US" w:eastAsia="zh-CN"/>
        </w:rPr>
        <w:t>公路</w:t>
      </w:r>
      <w:r>
        <w:rPr>
          <w:rFonts w:hint="default" w:ascii="Times New Roman" w:hAnsi="Times New Roman" w:eastAsia="仿宋_GB2312" w:cs="Times New Roman"/>
          <w:color w:val="auto"/>
          <w:sz w:val="32"/>
          <w:szCs w:val="32"/>
          <w:highlight w:val="none"/>
          <w:lang w:val="en-US" w:eastAsia="zh-CN"/>
        </w:rPr>
        <w:t>（罗城经柳城至鹿寨段）、柳州至金秀公路（柳州至桐木段）等项目建设</w:t>
      </w:r>
      <w:r>
        <w:rPr>
          <w:rFonts w:hint="default"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en-US" w:eastAsia="zh-CN"/>
        </w:rPr>
        <w:t>构建“两横四纵”</w:t>
      </w:r>
      <w:r>
        <w:rPr>
          <w:rStyle w:val="25"/>
          <w:rFonts w:hint="default" w:ascii="Times New Roman" w:hAnsi="Times New Roman" w:eastAsia="仿宋_GB2312" w:cs="Times New Roman"/>
          <w:color w:val="auto"/>
          <w:sz w:val="32"/>
          <w:szCs w:val="40"/>
          <w:highlight w:val="none"/>
          <w:lang w:val="en-US" w:eastAsia="zh-CN"/>
        </w:rPr>
        <w:t>[</w:t>
      </w:r>
      <w:r>
        <w:rPr>
          <w:rStyle w:val="25"/>
          <w:rFonts w:hint="default" w:ascii="Times New Roman" w:hAnsi="Times New Roman" w:eastAsia="仿宋_GB2312" w:cs="Times New Roman"/>
          <w:color w:val="auto"/>
          <w:sz w:val="32"/>
          <w:szCs w:val="40"/>
          <w:highlight w:val="none"/>
          <w:lang w:val="en-US" w:eastAsia="zh-CN"/>
        </w:rPr>
        <w:endnoteReference w:id="13"/>
      </w:r>
      <w:r>
        <w:rPr>
          <w:rStyle w:val="25"/>
          <w:rFonts w:hint="default"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en-US" w:eastAsia="zh-CN"/>
        </w:rPr>
        <w:t>高速路网</w:t>
      </w:r>
      <w:r>
        <w:rPr>
          <w:rFonts w:hint="default"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32"/>
          <w:highlight w:val="none"/>
          <w:lang w:val="en-US" w:eastAsia="zh-CN"/>
        </w:rPr>
        <w:t>稳步实施</w:t>
      </w:r>
      <w:r>
        <w:rPr>
          <w:rFonts w:hint="default" w:ascii="Times New Roman" w:hAnsi="Times New Roman" w:eastAsia="仿宋_GB2312" w:cs="Times New Roman"/>
          <w:color w:val="auto"/>
          <w:sz w:val="32"/>
          <w:szCs w:val="32"/>
          <w:highlight w:val="none"/>
          <w:lang w:val="en-US" w:eastAsia="zh-CN"/>
        </w:rPr>
        <w:t>S208高坡至中渡公路建设，</w:t>
      </w:r>
      <w:r>
        <w:rPr>
          <w:rFonts w:hint="eastAsia" w:ascii="Times New Roman" w:hAnsi="Times New Roman" w:eastAsia="仿宋_GB2312" w:cs="Times New Roman"/>
          <w:color w:val="auto"/>
          <w:sz w:val="32"/>
          <w:szCs w:val="40"/>
          <w:highlight w:val="none"/>
          <w:lang w:val="zh-TW" w:eastAsia="zh-CN"/>
        </w:rPr>
        <w:t>加快推动柳东新区至江口乡公路改扩建、鹿寨城北至雒容公路（鹿寨段）、鹿寨北站至柳东新区（鹿寨段）</w:t>
      </w:r>
      <w:r>
        <w:rPr>
          <w:rFonts w:hint="eastAsia" w:ascii="Times New Roman" w:hAnsi="Times New Roman" w:eastAsia="仿宋_GB2312" w:cs="Times New Roman"/>
          <w:color w:val="auto"/>
          <w:sz w:val="32"/>
          <w:szCs w:val="40"/>
          <w:highlight w:val="none"/>
          <w:lang w:val="en-US" w:eastAsia="zh-CN"/>
        </w:rPr>
        <w:t>建设，</w:t>
      </w:r>
      <w:r>
        <w:rPr>
          <w:rFonts w:hint="default" w:ascii="Times New Roman" w:hAnsi="Times New Roman" w:eastAsia="仿宋_GB2312" w:cs="Times New Roman"/>
          <w:color w:val="auto"/>
          <w:sz w:val="32"/>
          <w:szCs w:val="40"/>
          <w:highlight w:val="none"/>
          <w:lang w:val="en-US" w:eastAsia="zh-CN"/>
        </w:rPr>
        <w:t>积极推动G323、G322及S208等国省道绕城改线</w:t>
      </w:r>
      <w:r>
        <w:rPr>
          <w:rFonts w:hint="eastAsia"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zh-TW" w:eastAsia="zh-CN"/>
        </w:rPr>
        <w:t>推动建设鹿寨北站至东泉公路</w:t>
      </w:r>
      <w:r>
        <w:rPr>
          <w:rFonts w:hint="eastAsia"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zh-TW" w:eastAsia="zh-CN"/>
        </w:rPr>
        <w:t>导江至雒容、导江至四排、黄冕至拉沟等二级公路，</w:t>
      </w:r>
      <w:r>
        <w:rPr>
          <w:rFonts w:hint="default" w:ascii="Times New Roman" w:hAnsi="Times New Roman" w:eastAsia="仿宋_GB2312" w:cs="Times New Roman"/>
          <w:color w:val="auto"/>
          <w:kern w:val="2"/>
          <w:sz w:val="32"/>
          <w:szCs w:val="40"/>
          <w:highlight w:val="none"/>
          <w:lang w:val="zh-TW" w:eastAsia="zh-CN" w:bidi="ar-SA"/>
        </w:rPr>
        <w:t>构建</w:t>
      </w:r>
      <w:r>
        <w:rPr>
          <w:rFonts w:hint="eastAsia" w:ascii="Times New Roman" w:hAnsi="Times New Roman" w:eastAsia="仿宋_GB2312" w:cs="Times New Roman"/>
          <w:color w:val="auto"/>
          <w:kern w:val="2"/>
          <w:sz w:val="32"/>
          <w:szCs w:val="40"/>
          <w:highlight w:val="none"/>
          <w:lang w:val="zh-TW" w:eastAsia="zh-CN" w:bidi="ar-SA"/>
        </w:rPr>
        <w:t>“</w:t>
      </w:r>
      <w:r>
        <w:rPr>
          <w:rFonts w:hint="eastAsia" w:ascii="Times New Roman" w:hAnsi="Times New Roman" w:eastAsia="仿宋_GB2312" w:cs="Times New Roman"/>
          <w:color w:val="auto"/>
          <w:kern w:val="2"/>
          <w:sz w:val="32"/>
          <w:szCs w:val="40"/>
          <w:highlight w:val="none"/>
          <w:lang w:val="en-US" w:eastAsia="zh-CN" w:bidi="ar-SA"/>
        </w:rPr>
        <w:t>四横七纵</w:t>
      </w:r>
      <w:r>
        <w:rPr>
          <w:rFonts w:hint="eastAsia" w:ascii="Times New Roman" w:hAnsi="Times New Roman" w:eastAsia="仿宋_GB2312" w:cs="Times New Roman"/>
          <w:color w:val="auto"/>
          <w:kern w:val="2"/>
          <w:sz w:val="32"/>
          <w:szCs w:val="40"/>
          <w:highlight w:val="none"/>
          <w:lang w:val="zh-TW" w:eastAsia="zh-CN" w:bidi="ar-SA"/>
        </w:rPr>
        <w:t>”</w:t>
      </w:r>
      <w:r>
        <w:rPr>
          <w:rFonts w:hint="eastAsia" w:ascii="Times New Roman" w:hAnsi="Times New Roman" w:eastAsia="仿宋_GB2312" w:cs="Times New Roman"/>
          <w:color w:val="auto"/>
          <w:kern w:val="2"/>
          <w:sz w:val="32"/>
          <w:szCs w:val="40"/>
          <w:highlight w:val="none"/>
          <w:lang w:val="en-US" w:eastAsia="zh-CN" w:bidi="ar-SA"/>
        </w:rPr>
        <w:t>二级以上等级公路网，加快</w:t>
      </w:r>
      <w:r>
        <w:rPr>
          <w:rFonts w:hint="default" w:ascii="Times New Roman" w:hAnsi="Times New Roman" w:eastAsia="仿宋_GB2312" w:cs="Times New Roman"/>
          <w:color w:val="auto"/>
          <w:kern w:val="2"/>
          <w:sz w:val="32"/>
          <w:szCs w:val="40"/>
          <w:highlight w:val="none"/>
          <w:lang w:val="zh-TW" w:eastAsia="zh-CN" w:bidi="ar-SA"/>
        </w:rPr>
        <w:t>形成大、中、小环线互联互通的公路交通网</w:t>
      </w:r>
      <w:r>
        <w:rPr>
          <w:rFonts w:hint="eastAsia" w:ascii="Times New Roman" w:hAnsi="Times New Roman" w:eastAsia="仿宋_GB2312" w:cs="Times New Roman"/>
          <w:color w:val="auto"/>
          <w:kern w:val="2"/>
          <w:sz w:val="32"/>
          <w:szCs w:val="40"/>
          <w:highlight w:val="none"/>
          <w:lang w:val="en-US" w:eastAsia="zh-CN" w:bidi="ar-SA"/>
        </w:rPr>
        <w:t>络</w:t>
      </w:r>
      <w:r>
        <w:rPr>
          <w:rFonts w:hint="default" w:ascii="Times New Roman" w:hAnsi="Times New Roman" w:eastAsia="仿宋_GB2312" w:cs="Times New Roman"/>
          <w:color w:val="auto"/>
          <w:kern w:val="2"/>
          <w:sz w:val="32"/>
          <w:szCs w:val="40"/>
          <w:highlight w:val="none"/>
          <w:lang w:val="zh-TW" w:eastAsia="zh-CN" w:bidi="ar-SA"/>
        </w:rPr>
        <w:t>。</w:t>
      </w:r>
    </w:p>
    <w:p w14:paraId="3236412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40"/>
          <w:highlight w:val="none"/>
          <w:lang w:val="zh-TW" w:eastAsia="zh-CN"/>
        </w:rPr>
      </w:pPr>
      <w:r>
        <w:rPr>
          <w:rFonts w:hint="default" w:ascii="Times New Roman" w:hAnsi="Times New Roman" w:eastAsia="仿宋_GB2312" w:cs="Times New Roman"/>
          <w:b/>
          <w:bCs/>
          <w:color w:val="auto"/>
          <w:sz w:val="32"/>
          <w:szCs w:val="40"/>
          <w:highlight w:val="none"/>
          <w:lang w:val="en-US" w:eastAsia="zh-CN"/>
        </w:rPr>
        <w:t>积极推进铁路网络建设。</w:t>
      </w:r>
      <w:r>
        <w:rPr>
          <w:rFonts w:hint="default" w:ascii="Times New Roman" w:hAnsi="Times New Roman" w:eastAsia="仿宋_GB2312" w:cs="Times New Roman"/>
          <w:color w:val="auto"/>
          <w:sz w:val="32"/>
          <w:szCs w:val="40"/>
          <w:highlight w:val="none"/>
          <w:lang w:val="en-US" w:eastAsia="zh-CN"/>
        </w:rPr>
        <w:t>配合推进南宁经柳州至衡阳高铁、</w:t>
      </w:r>
      <w:r>
        <w:rPr>
          <w:rFonts w:hint="default" w:ascii="Times New Roman" w:hAnsi="Times New Roman" w:eastAsia="仿宋_GB2312" w:cs="Times New Roman"/>
          <w:color w:val="auto"/>
          <w:sz w:val="32"/>
          <w:szCs w:val="40"/>
          <w:highlight w:val="none"/>
          <w:u w:val="none"/>
          <w:lang w:val="en-US" w:eastAsia="zh-CN"/>
        </w:rPr>
        <w:t>柳州经贺州至韶关铁路、柳州经贺州至永清广高铁联络线</w:t>
      </w:r>
      <w:r>
        <w:rPr>
          <w:rFonts w:hint="default" w:ascii="Times New Roman" w:hAnsi="Times New Roman" w:eastAsia="仿宋_GB2312" w:cs="Times New Roman"/>
          <w:color w:val="auto"/>
          <w:sz w:val="32"/>
          <w:szCs w:val="40"/>
          <w:highlight w:val="none"/>
          <w:lang w:val="en-US" w:eastAsia="zh-CN"/>
        </w:rPr>
        <w:t>等项目，进一步完善与长三角、粤港澳大湾区等发达地区铁路交通网。</w:t>
      </w:r>
      <w:r>
        <w:rPr>
          <w:rFonts w:hint="default" w:ascii="Times New Roman" w:hAnsi="Times New Roman" w:eastAsia="仿宋_GB2312" w:cs="Times New Roman"/>
          <w:color w:val="auto"/>
          <w:sz w:val="32"/>
          <w:szCs w:val="40"/>
          <w:highlight w:val="none"/>
          <w:lang w:val="zh-TW" w:eastAsia="zh-CN"/>
        </w:rPr>
        <w:t>适时启动江口港铁路专用线项目研究，推动形成</w:t>
      </w:r>
      <w:r>
        <w:rPr>
          <w:rFonts w:hint="eastAsia" w:ascii="仿宋_GB2312" w:hAnsi="仿宋_GB2312" w:eastAsia="仿宋_GB2312" w:cs="仿宋_GB2312"/>
          <w:color w:val="auto"/>
          <w:sz w:val="32"/>
          <w:szCs w:val="40"/>
          <w:highlight w:val="none"/>
          <w:lang w:val="zh-TW" w:eastAsia="zh-CN"/>
        </w:rPr>
        <w:t>“两横三纵二支线”</w:t>
      </w:r>
      <w:r>
        <w:rPr>
          <w:rStyle w:val="25"/>
          <w:rFonts w:hint="default" w:ascii="Times New Roman" w:hAnsi="Times New Roman" w:eastAsia="仿宋_GB2312" w:cs="Times New Roman"/>
          <w:color w:val="auto"/>
          <w:sz w:val="32"/>
          <w:szCs w:val="40"/>
          <w:highlight w:val="none"/>
          <w:lang w:val="zh-TW" w:eastAsia="zh-CN"/>
        </w:rPr>
        <w:t>[</w:t>
      </w:r>
      <w:r>
        <w:rPr>
          <w:rStyle w:val="25"/>
          <w:rFonts w:hint="default" w:ascii="Times New Roman" w:hAnsi="Times New Roman" w:eastAsia="仿宋_GB2312" w:cs="Times New Roman"/>
          <w:color w:val="auto"/>
          <w:sz w:val="32"/>
          <w:szCs w:val="40"/>
          <w:highlight w:val="none"/>
          <w:lang w:val="zh-TW" w:eastAsia="zh-CN"/>
        </w:rPr>
        <w:endnoteReference w:id="14"/>
      </w:r>
      <w:r>
        <w:rPr>
          <w:rStyle w:val="25"/>
          <w:rFonts w:hint="default" w:ascii="Times New Roman" w:hAnsi="Times New Roman" w:eastAsia="仿宋_GB2312" w:cs="Times New Roman"/>
          <w:color w:val="auto"/>
          <w:sz w:val="32"/>
          <w:szCs w:val="40"/>
          <w:highlight w:val="none"/>
          <w:lang w:val="zh-TW" w:eastAsia="zh-CN"/>
        </w:rPr>
        <w:t>]</w:t>
      </w:r>
      <w:r>
        <w:rPr>
          <w:rFonts w:hint="default" w:ascii="Times New Roman" w:hAnsi="Times New Roman" w:eastAsia="仿宋_GB2312" w:cs="Times New Roman"/>
          <w:color w:val="auto"/>
          <w:sz w:val="32"/>
          <w:szCs w:val="40"/>
          <w:highlight w:val="none"/>
          <w:lang w:val="zh-TW" w:eastAsia="zh-CN"/>
        </w:rPr>
        <w:t>的铁路运输网络。</w:t>
      </w:r>
    </w:p>
    <w:p w14:paraId="1EED4F05">
      <w:pPr>
        <w:keepNext w:val="0"/>
        <w:keepLines w:val="0"/>
        <w:pageBreakBefore w:val="0"/>
        <w:widowControl w:val="0"/>
        <w:numPr>
          <w:ilvl w:val="0"/>
          <w:numId w:val="0"/>
        </w:numPr>
        <w:kinsoku/>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40"/>
          <w:highlight w:val="none"/>
          <w:lang w:val="en-US" w:eastAsia="zh-CN"/>
        </w:rPr>
        <w:t>加快推进港口航运</w:t>
      </w:r>
      <w:r>
        <w:rPr>
          <w:rFonts w:hint="eastAsia" w:ascii="Times New Roman" w:hAnsi="Times New Roman" w:eastAsia="仿宋_GB2312" w:cs="Times New Roman"/>
          <w:b/>
          <w:bCs/>
          <w:color w:val="auto"/>
          <w:sz w:val="32"/>
          <w:szCs w:val="40"/>
          <w:highlight w:val="none"/>
          <w:lang w:val="en-US" w:eastAsia="zh-CN"/>
        </w:rPr>
        <w:t>基础设施</w:t>
      </w:r>
      <w:r>
        <w:rPr>
          <w:rFonts w:hint="default" w:ascii="Times New Roman" w:hAnsi="Times New Roman" w:eastAsia="仿宋_GB2312" w:cs="Times New Roman"/>
          <w:b/>
          <w:bCs/>
          <w:color w:val="auto"/>
          <w:sz w:val="32"/>
          <w:szCs w:val="40"/>
          <w:highlight w:val="none"/>
          <w:lang w:val="en-US" w:eastAsia="zh-CN"/>
        </w:rPr>
        <w:t>建设</w:t>
      </w:r>
      <w:r>
        <w:rPr>
          <w:rFonts w:hint="eastAsia" w:ascii="仿宋_GB2312" w:hAnsi="仿宋_GB2312" w:eastAsia="仿宋_GB2312" w:cs="仿宋_GB2312"/>
          <w:color w:val="auto"/>
          <w:kern w:val="2"/>
          <w:sz w:val="32"/>
          <w:szCs w:val="32"/>
          <w:highlight w:val="none"/>
          <w:lang w:val="en-US" w:eastAsia="zh-CN" w:bidi="ar-SA"/>
        </w:rPr>
        <w:t>。重点推进江口港二期工程，形成规模化、专业化作业能力。加快完善集疏运体系，推进柳东新区至江口段公路改扩建等关键道路工程，打通“公铁水空”全方位立体化多式联运通道。持续提升港口运营配套水平，全力推动江口港保税仓储物流项目建成投用，完善仓储、装卸、信息等一体化服务功能。有序开展鹿寨港区导江、相思等作业区前期研究，拓展港口发展空间。</w:t>
      </w:r>
      <w:r>
        <w:rPr>
          <w:rFonts w:hint="default" w:ascii="Times New Roman" w:hAnsi="Times New Roman" w:eastAsia="仿宋_GB2312" w:cs="Times New Roman"/>
          <w:b w:val="0"/>
          <w:bCs w:val="0"/>
          <w:color w:val="auto"/>
          <w:sz w:val="32"/>
          <w:szCs w:val="32"/>
          <w:highlight w:val="none"/>
          <w:shd w:val="clear" w:color="auto" w:fill="auto"/>
          <w:lang w:eastAsia="zh-CN"/>
        </w:rPr>
        <w:t>适时建设导江</w:t>
      </w:r>
      <w:r>
        <w:rPr>
          <w:rFonts w:hint="eastAsia" w:ascii="Times New Roman" w:hAnsi="Times New Roman" w:eastAsia="仿宋_GB2312" w:cs="Times New Roman"/>
          <w:b w:val="0"/>
          <w:bCs w:val="0"/>
          <w:color w:val="auto"/>
          <w:sz w:val="32"/>
          <w:szCs w:val="32"/>
          <w:highlight w:val="none"/>
          <w:shd w:val="clear" w:color="auto" w:fill="auto"/>
          <w:lang w:eastAsia="zh-CN"/>
        </w:rPr>
        <w:t>专用</w:t>
      </w:r>
      <w:r>
        <w:rPr>
          <w:rFonts w:hint="default" w:ascii="Times New Roman" w:hAnsi="Times New Roman" w:eastAsia="仿宋_GB2312" w:cs="Times New Roman"/>
          <w:b w:val="0"/>
          <w:bCs w:val="0"/>
          <w:color w:val="auto"/>
          <w:sz w:val="32"/>
          <w:szCs w:val="32"/>
          <w:highlight w:val="none"/>
          <w:shd w:val="clear" w:color="auto" w:fill="auto"/>
          <w:lang w:eastAsia="zh-CN"/>
        </w:rPr>
        <w:t>码头，</w:t>
      </w:r>
      <w:r>
        <w:rPr>
          <w:rFonts w:hint="eastAsia" w:ascii="Times New Roman" w:hAnsi="Times New Roman" w:eastAsia="仿宋_GB2312" w:cs="Times New Roman"/>
          <w:b w:val="0"/>
          <w:bCs w:val="0"/>
          <w:color w:val="auto"/>
          <w:sz w:val="32"/>
          <w:szCs w:val="32"/>
          <w:highlight w:val="none"/>
          <w:shd w:val="clear" w:color="auto" w:fill="auto"/>
          <w:lang w:eastAsia="zh-CN"/>
        </w:rPr>
        <w:t>精准服务企业</w:t>
      </w:r>
      <w:r>
        <w:rPr>
          <w:rFonts w:hint="default" w:ascii="Times New Roman" w:hAnsi="Times New Roman" w:eastAsia="仿宋_GB2312" w:cs="Times New Roman"/>
          <w:b w:val="0"/>
          <w:bCs w:val="0"/>
          <w:color w:val="auto"/>
          <w:sz w:val="32"/>
          <w:szCs w:val="32"/>
          <w:highlight w:val="none"/>
          <w:shd w:val="clear" w:color="auto" w:fill="auto"/>
          <w:lang w:eastAsia="zh-CN"/>
        </w:rPr>
        <w:t>出口航运需求。</w:t>
      </w:r>
      <w:r>
        <w:rPr>
          <w:rFonts w:hint="eastAsia" w:ascii="仿宋_GB2312" w:hAnsi="仿宋_GB2312" w:eastAsia="仿宋_GB2312" w:cs="仿宋_GB2312"/>
          <w:color w:val="auto"/>
          <w:kern w:val="2"/>
          <w:sz w:val="32"/>
          <w:szCs w:val="32"/>
          <w:highlight w:val="none"/>
          <w:lang w:val="en-US" w:eastAsia="zh-CN" w:bidi="ar-SA"/>
        </w:rPr>
        <w:t>通过系统完善基础设施网络，将江口港建设成为联通西南、衔接粤港澳大湾区与北部湾经济区的区域性枢纽，有力支撑柳州向海经济发展。</w:t>
      </w:r>
    </w:p>
    <w:p w14:paraId="35D2FBBE">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提升</w:t>
      </w:r>
      <w:r>
        <w:rPr>
          <w:rFonts w:hint="eastAsia" w:ascii="Times New Roman" w:hAnsi="Times New Roman" w:eastAsia="仿宋_GB2312" w:cs="Times New Roman"/>
          <w:b/>
          <w:bCs/>
          <w:color w:val="auto"/>
          <w:sz w:val="32"/>
          <w:szCs w:val="32"/>
          <w:highlight w:val="none"/>
          <w:lang w:val="en-US" w:eastAsia="zh-CN"/>
        </w:rPr>
        <w:t>城乡交通</w:t>
      </w:r>
      <w:r>
        <w:rPr>
          <w:rFonts w:hint="default" w:ascii="Times New Roman" w:hAnsi="Times New Roman" w:eastAsia="仿宋_GB2312" w:cs="Times New Roman"/>
          <w:b/>
          <w:bCs/>
          <w:color w:val="auto"/>
          <w:sz w:val="32"/>
          <w:szCs w:val="32"/>
          <w:highlight w:val="none"/>
          <w:lang w:val="en-US" w:eastAsia="zh-CN"/>
        </w:rPr>
        <w:t>服务水平</w:t>
      </w:r>
      <w:r>
        <w:rPr>
          <w:rFonts w:hint="eastAsia"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以国家新一轮农村公路提升行动为契机，</w:t>
      </w:r>
      <w:r>
        <w:rPr>
          <w:rFonts w:hint="eastAsia" w:ascii="Times New Roman" w:hAnsi="Times New Roman" w:eastAsia="仿宋_GB2312" w:cs="Times New Roman"/>
          <w:color w:val="auto"/>
          <w:sz w:val="32"/>
          <w:szCs w:val="32"/>
          <w:highlight w:val="none"/>
          <w:lang w:val="en-US" w:eastAsia="zh-CN"/>
        </w:rPr>
        <w:t>深入实施全国城乡交通运输一体化示范县建设，落实</w:t>
      </w:r>
      <w:r>
        <w:rPr>
          <w:rFonts w:hint="default" w:ascii="Times New Roman" w:hAnsi="Times New Roman" w:eastAsia="仿宋_GB2312" w:cs="Times New Roman"/>
          <w:color w:val="auto"/>
          <w:sz w:val="32"/>
          <w:szCs w:val="32"/>
          <w:highlight w:val="none"/>
          <w:lang w:val="en-US" w:eastAsia="zh-CN"/>
        </w:rPr>
        <w:t>建好、管好、护好、运营好</w:t>
      </w:r>
      <w:r>
        <w:rPr>
          <w:rFonts w:hint="eastAsia" w:ascii="仿宋_GB2312" w:hAnsi="仿宋_GB2312" w:eastAsia="仿宋_GB2312" w:cs="仿宋_GB2312"/>
          <w:color w:val="auto"/>
          <w:sz w:val="32"/>
          <w:szCs w:val="32"/>
          <w:highlight w:val="none"/>
          <w:lang w:val="en-US" w:eastAsia="zh-CN"/>
        </w:rPr>
        <w:t>的“四好农村路”要</w:t>
      </w:r>
      <w:r>
        <w:rPr>
          <w:rFonts w:hint="eastAsia" w:ascii="Times New Roman" w:hAnsi="Times New Roman" w:eastAsia="仿宋_GB2312" w:cs="Times New Roman"/>
          <w:color w:val="auto"/>
          <w:sz w:val="32"/>
          <w:szCs w:val="32"/>
          <w:highlight w:val="none"/>
          <w:lang w:val="en-US" w:eastAsia="zh-CN"/>
        </w:rPr>
        <w:t>求，推动农村公路骨干路网扩面提档升级和基础路网延伸完善，打通“断头路”，畅通“微循环”。高标准推进旅游公路网络建设，坚持“依山就势、因地制宜”理念，串联沿线自然景观、古村古镇、产业园区等核心资源，科学规划线路走向与线形设计，打造“路随景出、景由路生”的景观廊道。完善旅游公路配套功能，建设集停车休憩、信息咨询、文创展销、充电补给于一体的多功能服务驿站。大力发展“农村公路+”模式，推动农村公路与沿线配套设施、农村客运、现代物流、邮政快递、产业园区、旅游景区等一体化建设，促进共建共管共享共用。积极探索农村交通运输领域新型运输方式和业态发展，依托旅游公路布局低空经济起降点与航线网络，发展“低空观光+云端摆渡”服务，实现景区间快速串联与沉浸式游览体验；推广“人工+无人机”道路巡检养护模式，提升旅游公路管护效率与安全水平，激活城乡文旅消费新动能。</w:t>
      </w:r>
    </w:p>
    <w:p w14:paraId="178A646D">
      <w:pPr>
        <w:rPr>
          <w:rFonts w:hint="eastAsia"/>
          <w:color w:val="auto"/>
          <w:highlight w:val="none"/>
          <w:lang w:val="en-US" w:eastAsia="zh-CN"/>
        </w:rPr>
      </w:pPr>
    </w:p>
    <w:bookmarkEnd w:id="209"/>
    <w:bookmarkEnd w:id="210"/>
    <w:tbl>
      <w:tblPr>
        <w:tblStyle w:val="2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0"/>
      </w:tblGrid>
      <w:tr w14:paraId="0A32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030" w:type="dxa"/>
            <w:vAlign w:val="center"/>
          </w:tcPr>
          <w:p w14:paraId="4C0C4BE2">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现代</w:t>
            </w:r>
            <w:r>
              <w:rPr>
                <w:rFonts w:hint="eastAsia" w:ascii="Times New Roman" w:cs="Times New Roman"/>
                <w:color w:val="auto"/>
                <w:highlight w:val="none"/>
                <w:lang w:val="en-US" w:eastAsia="zh-CN"/>
              </w:rPr>
              <w:t>交</w:t>
            </w:r>
            <w:r>
              <w:rPr>
                <w:rFonts w:hint="default" w:ascii="Times New Roman" w:hAnsi="Times New Roman" w:cs="Times New Roman"/>
                <w:color w:val="auto"/>
                <w:highlight w:val="none"/>
                <w:lang w:val="en-US" w:eastAsia="zh-CN"/>
              </w:rPr>
              <w:t>通领域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default" w:ascii="Times New Roman" w:hAnsi="Times New Roman" w:cs="Times New Roman"/>
                <w:color w:val="auto"/>
                <w:highlight w:val="none"/>
              </w:rPr>
              <w:t>项目</w:t>
            </w:r>
          </w:p>
        </w:tc>
      </w:tr>
      <w:tr w14:paraId="1C48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0" w:type="dxa"/>
          </w:tcPr>
          <w:p w14:paraId="644E9DDB">
            <w:pPr>
              <w:pStyle w:val="54"/>
              <w:keepNext w:val="0"/>
              <w:keepLines w:val="0"/>
              <w:pageBreakBefore w:val="0"/>
              <w:widowControl w:val="0"/>
              <w:kinsoku/>
              <w:wordWrap/>
              <w:overflowPunct/>
              <w:topLinePunct w:val="0"/>
              <w:autoSpaceDE/>
              <w:autoSpaceDN/>
              <w:bidi w:val="0"/>
              <w:adjustRightInd/>
              <w:snapToGrid/>
              <w:spacing w:line="400" w:lineRule="exact"/>
              <w:ind w:left="0" w:leftChars="0" w:firstLine="562" w:firstLineChars="200"/>
              <w:textAlignment w:val="auto"/>
              <w:rPr>
                <w:rFonts w:hint="eastAsia"/>
                <w:bCs/>
                <w:color w:val="auto"/>
                <w:sz w:val="28"/>
                <w:szCs w:val="28"/>
                <w:highlight w:val="none"/>
                <w:lang w:val="en-US" w:eastAsia="zh-CN"/>
              </w:rPr>
            </w:pPr>
            <w:r>
              <w:rPr>
                <w:b/>
                <w:color w:val="auto"/>
                <w:sz w:val="28"/>
                <w:szCs w:val="28"/>
                <w:highlight w:val="none"/>
              </w:rPr>
              <w:t>铁路项目</w:t>
            </w:r>
          </w:p>
          <w:p w14:paraId="5261C7EE">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
                <w:color w:val="auto"/>
                <w:sz w:val="28"/>
                <w:szCs w:val="28"/>
                <w:highlight w:val="none"/>
              </w:rPr>
            </w:pPr>
            <w:r>
              <w:rPr>
                <w:rFonts w:hint="eastAsia"/>
                <w:bCs/>
                <w:color w:val="auto"/>
                <w:sz w:val="28"/>
                <w:szCs w:val="28"/>
                <w:highlight w:val="none"/>
                <w:lang w:val="en-US" w:eastAsia="zh-CN"/>
              </w:rPr>
              <w:t>配合推进</w:t>
            </w:r>
            <w:r>
              <w:rPr>
                <w:bCs/>
                <w:color w:val="auto"/>
                <w:sz w:val="28"/>
                <w:szCs w:val="28"/>
                <w:highlight w:val="none"/>
              </w:rPr>
              <w:t>南宁经柳州至衡阳高铁（鹿寨段）、柳州经贺州至韶关铁路（鹿寨段）</w:t>
            </w:r>
            <w:r>
              <w:rPr>
                <w:rFonts w:hint="eastAsia"/>
                <w:bCs/>
                <w:color w:val="auto"/>
                <w:sz w:val="28"/>
                <w:szCs w:val="28"/>
                <w:highlight w:val="none"/>
              </w:rPr>
              <w:t>等</w:t>
            </w:r>
            <w:r>
              <w:rPr>
                <w:bCs/>
                <w:color w:val="auto"/>
                <w:sz w:val="28"/>
                <w:szCs w:val="28"/>
                <w:highlight w:val="none"/>
              </w:rPr>
              <w:t>项目</w:t>
            </w:r>
            <w:r>
              <w:rPr>
                <w:rFonts w:hint="eastAsia"/>
                <w:bCs/>
                <w:color w:val="auto"/>
                <w:sz w:val="28"/>
                <w:szCs w:val="28"/>
                <w:highlight w:val="none"/>
                <w:lang w:val="en-US" w:eastAsia="zh-CN"/>
              </w:rPr>
              <w:t>建设</w:t>
            </w:r>
            <w:r>
              <w:rPr>
                <w:rFonts w:hint="eastAsia"/>
                <w:bCs/>
                <w:color w:val="auto"/>
                <w:sz w:val="28"/>
                <w:szCs w:val="28"/>
                <w:highlight w:val="none"/>
              </w:rPr>
              <w:t>；谋划</w:t>
            </w:r>
            <w:r>
              <w:rPr>
                <w:rFonts w:hint="eastAsia"/>
                <w:bCs/>
                <w:color w:val="auto"/>
                <w:sz w:val="28"/>
                <w:szCs w:val="28"/>
                <w:highlight w:val="none"/>
                <w:lang w:val="en-US" w:eastAsia="zh-CN"/>
              </w:rPr>
              <w:t>柳州至鹿寨城郊</w:t>
            </w:r>
            <w:r>
              <w:rPr>
                <w:rFonts w:hint="eastAsia"/>
                <w:bCs/>
                <w:color w:val="auto"/>
                <w:sz w:val="28"/>
                <w:szCs w:val="28"/>
                <w:highlight w:val="none"/>
              </w:rPr>
              <w:t>铁路</w:t>
            </w:r>
            <w:r>
              <w:rPr>
                <w:rFonts w:hint="eastAsia"/>
                <w:bCs/>
                <w:color w:val="auto"/>
                <w:sz w:val="28"/>
                <w:szCs w:val="28"/>
                <w:highlight w:val="none"/>
                <w:lang w:eastAsia="zh-CN"/>
              </w:rPr>
              <w:t>等项目</w:t>
            </w:r>
            <w:r>
              <w:rPr>
                <w:bCs/>
                <w:color w:val="auto"/>
                <w:sz w:val="28"/>
                <w:szCs w:val="28"/>
                <w:highlight w:val="none"/>
              </w:rPr>
              <w:t>。</w:t>
            </w:r>
          </w:p>
          <w:p w14:paraId="53368B59">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
                <w:color w:val="auto"/>
                <w:sz w:val="28"/>
                <w:szCs w:val="28"/>
                <w:highlight w:val="none"/>
              </w:rPr>
            </w:pPr>
            <w:r>
              <w:rPr>
                <w:b/>
                <w:color w:val="auto"/>
                <w:sz w:val="28"/>
                <w:szCs w:val="28"/>
                <w:highlight w:val="none"/>
              </w:rPr>
              <w:t>公路项目</w:t>
            </w:r>
          </w:p>
          <w:p w14:paraId="7BD29063">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Cs/>
                <w:color w:val="auto"/>
                <w:sz w:val="28"/>
                <w:szCs w:val="28"/>
                <w:highlight w:val="none"/>
              </w:rPr>
            </w:pPr>
            <w:r>
              <w:rPr>
                <w:b/>
                <w:color w:val="auto"/>
                <w:sz w:val="28"/>
                <w:szCs w:val="28"/>
                <w:highlight w:val="none"/>
              </w:rPr>
              <w:t>高速公路：</w:t>
            </w:r>
            <w:r>
              <w:rPr>
                <w:rFonts w:hint="eastAsia"/>
                <w:bCs/>
                <w:color w:val="auto"/>
                <w:sz w:val="28"/>
                <w:szCs w:val="28"/>
                <w:highlight w:val="none"/>
                <w:lang w:val="en-US" w:eastAsia="zh-CN"/>
              </w:rPr>
              <w:t>推进柳州高速过境线公路（罗城经柳城至鹿寨段）、桂林至钦州港公路（永福三皇至柳州段）</w:t>
            </w:r>
            <w:r>
              <w:rPr>
                <w:bCs/>
                <w:color w:val="auto"/>
                <w:sz w:val="28"/>
                <w:szCs w:val="28"/>
                <w:highlight w:val="none"/>
              </w:rPr>
              <w:t>、柳州至金秀公路（柳州至桐木段）等项目。</w:t>
            </w:r>
          </w:p>
          <w:p w14:paraId="3B16252B">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
                <w:color w:val="auto"/>
                <w:sz w:val="28"/>
                <w:szCs w:val="28"/>
                <w:highlight w:val="none"/>
              </w:rPr>
            </w:pPr>
            <w:r>
              <w:rPr>
                <w:b/>
                <w:color w:val="auto"/>
                <w:sz w:val="28"/>
                <w:szCs w:val="28"/>
                <w:highlight w:val="none"/>
              </w:rPr>
              <w:t>国省道：</w:t>
            </w:r>
            <w:r>
              <w:rPr>
                <w:rFonts w:hint="eastAsia"/>
                <w:bCs/>
                <w:color w:val="auto"/>
                <w:sz w:val="28"/>
                <w:szCs w:val="28"/>
                <w:highlight w:val="none"/>
                <w:lang w:val="en-US" w:eastAsia="zh-CN"/>
              </w:rPr>
              <w:t>推进</w:t>
            </w:r>
            <w:r>
              <w:rPr>
                <w:bCs/>
                <w:color w:val="auto"/>
                <w:sz w:val="28"/>
                <w:szCs w:val="28"/>
                <w:highlight w:val="none"/>
              </w:rPr>
              <w:t>S208高坡至中渡二级公</w:t>
            </w:r>
            <w:r>
              <w:rPr>
                <w:rFonts w:hint="eastAsia"/>
                <w:bCs/>
                <w:color w:val="auto"/>
                <w:sz w:val="28"/>
                <w:szCs w:val="28"/>
                <w:highlight w:val="none"/>
                <w:lang w:eastAsia="zh-CN"/>
              </w:rPr>
              <w:t>路、</w:t>
            </w:r>
            <w:r>
              <w:rPr>
                <w:rFonts w:ascii="Times New Roman" w:hAnsi="Times New Roman" w:eastAsia="仿宋_GB2312" w:cs="Times New Roman"/>
                <w:color w:val="auto"/>
                <w:sz w:val="28"/>
                <w:szCs w:val="28"/>
                <w:highlight w:val="none"/>
                <w:lang w:val="zh-TW"/>
              </w:rPr>
              <w:t>S507柳东新区至江口乡公路改扩建</w:t>
            </w:r>
            <w:r>
              <w:rPr>
                <w:rFonts w:hint="eastAsia" w:cs="Times New Roman"/>
                <w:color w:val="auto"/>
                <w:sz w:val="28"/>
                <w:szCs w:val="28"/>
                <w:highlight w:val="none"/>
                <w:lang w:val="en-US" w:eastAsia="zh-CN"/>
              </w:rPr>
              <w:t>等项目</w:t>
            </w:r>
            <w:r>
              <w:rPr>
                <w:bCs/>
                <w:color w:val="auto"/>
                <w:sz w:val="28"/>
                <w:szCs w:val="28"/>
                <w:highlight w:val="none"/>
              </w:rPr>
              <w:t>。</w:t>
            </w:r>
          </w:p>
          <w:p w14:paraId="3D518718">
            <w:pPr>
              <w:pStyle w:val="54"/>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val="0"/>
                <w:color w:val="auto"/>
                <w:sz w:val="28"/>
                <w:szCs w:val="28"/>
                <w:highlight w:val="none"/>
                <w:lang w:val="en-US" w:eastAsia="zh-CN"/>
              </w:rPr>
            </w:pPr>
            <w:r>
              <w:rPr>
                <w:b/>
                <w:color w:val="auto"/>
                <w:sz w:val="28"/>
                <w:szCs w:val="28"/>
                <w:highlight w:val="none"/>
              </w:rPr>
              <w:t>城乡道路：</w:t>
            </w:r>
            <w:r>
              <w:rPr>
                <w:rFonts w:hint="eastAsia"/>
                <w:b w:val="0"/>
                <w:bCs/>
                <w:color w:val="auto"/>
                <w:sz w:val="28"/>
                <w:szCs w:val="28"/>
                <w:highlight w:val="none"/>
                <w:lang w:val="en-US" w:eastAsia="zh-CN"/>
              </w:rPr>
              <w:t>推进</w:t>
            </w:r>
            <w:r>
              <w:rPr>
                <w:bCs/>
                <w:color w:val="auto"/>
                <w:sz w:val="28"/>
                <w:szCs w:val="28"/>
                <w:highlight w:val="none"/>
              </w:rPr>
              <w:t>鹿寨城北至柳东新区公路、雒容至江口二级公路（鹿寨段）</w:t>
            </w:r>
            <w:r>
              <w:rPr>
                <w:rFonts w:hint="eastAsia"/>
                <w:bCs/>
                <w:color w:val="auto"/>
                <w:sz w:val="28"/>
                <w:szCs w:val="28"/>
                <w:highlight w:val="none"/>
                <w:lang w:eastAsia="zh-CN"/>
              </w:rPr>
              <w:t>、</w:t>
            </w:r>
            <w:r>
              <w:rPr>
                <w:bCs/>
                <w:color w:val="auto"/>
                <w:sz w:val="28"/>
                <w:szCs w:val="28"/>
                <w:highlight w:val="none"/>
              </w:rPr>
              <w:t>鹿寨北站至广西柳州汽车城公路、鹿寨北站至东泉公路、融安桥板至鹿寨屯秋三级公路、农村公路双车道等项目</w:t>
            </w:r>
            <w:r>
              <w:rPr>
                <w:rFonts w:hint="eastAsia"/>
                <w:bCs/>
                <w:color w:val="auto"/>
                <w:sz w:val="28"/>
                <w:szCs w:val="28"/>
                <w:highlight w:val="none"/>
                <w:lang w:val="en-US" w:eastAsia="zh-CN"/>
              </w:rPr>
              <w:t>，谋划</w:t>
            </w:r>
            <w:r>
              <w:rPr>
                <w:bCs/>
                <w:color w:val="auto"/>
                <w:sz w:val="28"/>
                <w:szCs w:val="28"/>
                <w:highlight w:val="none"/>
              </w:rPr>
              <w:t>大阳至平山公路、导江至四排公路、黄冕至拉沟公路、江口至雒容公路、导江至雒容公路</w:t>
            </w:r>
            <w:r>
              <w:rPr>
                <w:rFonts w:hint="eastAsia"/>
                <w:bCs/>
                <w:color w:val="auto"/>
                <w:sz w:val="28"/>
                <w:szCs w:val="28"/>
                <w:highlight w:val="none"/>
                <w:lang w:val="en-US" w:eastAsia="zh-CN"/>
              </w:rPr>
              <w:t>等项目</w:t>
            </w:r>
            <w:r>
              <w:rPr>
                <w:bCs/>
                <w:color w:val="auto"/>
                <w:sz w:val="28"/>
                <w:szCs w:val="28"/>
                <w:highlight w:val="none"/>
              </w:rPr>
              <w:t>。</w:t>
            </w:r>
          </w:p>
        </w:tc>
      </w:tr>
    </w:tbl>
    <w:p w14:paraId="055910B6">
      <w:pPr>
        <w:pStyle w:val="2"/>
        <w:bidi w:val="0"/>
        <w:rPr>
          <w:rFonts w:hint="default"/>
          <w:color w:val="auto"/>
          <w:highlight w:val="none"/>
          <w:lang w:val="en-US" w:eastAsia="zh-CN"/>
        </w:rPr>
      </w:pPr>
    </w:p>
    <w:p w14:paraId="2484D45C">
      <w:pPr>
        <w:pStyle w:val="5"/>
        <w:bidi w:val="0"/>
        <w:jc w:val="center"/>
        <w:outlineLvl w:val="0"/>
        <w:rPr>
          <w:rFonts w:hint="default"/>
          <w:b w:val="0"/>
          <w:bCs/>
          <w:color w:val="auto"/>
          <w:sz w:val="36"/>
          <w:szCs w:val="36"/>
          <w:highlight w:val="none"/>
          <w:lang w:eastAsia="zh-CN"/>
        </w:rPr>
      </w:pPr>
      <w:bookmarkStart w:id="211" w:name="_Toc14737"/>
      <w:bookmarkStart w:id="212" w:name="_Toc2861"/>
      <w:bookmarkStart w:id="213" w:name="_Toc17554"/>
      <w:r>
        <w:rPr>
          <w:rFonts w:hint="default"/>
          <w:b w:val="0"/>
          <w:bCs/>
          <w:color w:val="auto"/>
          <w:sz w:val="36"/>
          <w:szCs w:val="36"/>
          <w:highlight w:val="none"/>
        </w:rPr>
        <w:t>第二节</w:t>
      </w:r>
      <w:r>
        <w:rPr>
          <w:rFonts w:hint="default"/>
          <w:b w:val="0"/>
          <w:bCs/>
          <w:color w:val="auto"/>
          <w:sz w:val="36"/>
          <w:szCs w:val="36"/>
          <w:highlight w:val="none"/>
          <w:lang w:val="en-US" w:eastAsia="zh-CN"/>
        </w:rPr>
        <w:t xml:space="preserve">  </w:t>
      </w:r>
      <w:r>
        <w:rPr>
          <w:rFonts w:hint="default"/>
          <w:b w:val="0"/>
          <w:bCs/>
          <w:color w:val="auto"/>
          <w:sz w:val="36"/>
          <w:szCs w:val="36"/>
          <w:highlight w:val="none"/>
        </w:rPr>
        <w:t>完善安全集约的现代水利保障网络</w:t>
      </w:r>
      <w:bookmarkEnd w:id="211"/>
      <w:bookmarkEnd w:id="212"/>
      <w:bookmarkEnd w:id="213"/>
    </w:p>
    <w:p w14:paraId="1B3874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40"/>
          <w:highlight w:val="none"/>
          <w:lang w:val="en-US" w:eastAsia="zh-CN"/>
        </w:rPr>
      </w:pPr>
      <w:r>
        <w:rPr>
          <w:rFonts w:hint="eastAsia" w:ascii="Times New Roman" w:hAnsi="Times New Roman" w:eastAsia="仿宋_GB2312" w:cs="Times New Roman"/>
          <w:color w:val="auto"/>
          <w:sz w:val="32"/>
          <w:szCs w:val="40"/>
          <w:highlight w:val="none"/>
          <w:lang w:val="en-US" w:eastAsia="zh-CN"/>
        </w:rPr>
        <w:t>突出系统谋划、统筹推进，着力补短板、强弱项，优布局、提品质，加快构建“系统完备、安全可靠，集约高效、绿色智能，循环通畅、调控有序”的现代化水网，为鹿寨全面建设社会主义现代化提供有力的水安全保障。</w:t>
      </w:r>
    </w:p>
    <w:p w14:paraId="3215382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全力保障江河安澜。</w:t>
      </w:r>
      <w:r>
        <w:rPr>
          <w:rFonts w:hint="eastAsia" w:ascii="仿宋_GB2312" w:hAnsi="仿宋_GB2312" w:eastAsia="仿宋_GB2312" w:cs="仿宋_GB2312"/>
          <w:color w:val="auto"/>
          <w:kern w:val="2"/>
          <w:sz w:val="32"/>
          <w:szCs w:val="32"/>
          <w:highlight w:val="none"/>
          <w:lang w:val="en-US" w:eastAsia="zh-CN" w:bidi="ar-SA"/>
        </w:rPr>
        <w:t>优化流域防洪减灾体系布局，统筹处理好洪水蓄、滞、泄、排关系，提升洪涝灾害防御能力和应急抢险救灾能力。完善流域防洪工程体系，提升已建水库防洪能力，推进洛清江、石榴河等县域干流堤防达标建设，加快中小河流系统治理，实施农村水系综合整治。</w:t>
      </w:r>
      <w:r>
        <w:rPr>
          <w:rFonts w:hint="eastAsia" w:ascii="Times New Roman" w:hAnsi="Times New Roman" w:eastAsia="仿宋_GB2312" w:cs="Times New Roman"/>
          <w:color w:val="auto"/>
          <w:sz w:val="32"/>
          <w:szCs w:val="40"/>
          <w:highlight w:val="none"/>
          <w:lang w:val="en-US" w:eastAsia="zh-CN"/>
        </w:rPr>
        <w:t>坚持旱涝同防同治，</w:t>
      </w:r>
      <w:r>
        <w:rPr>
          <w:rFonts w:hint="eastAsia" w:ascii="仿宋_GB2312" w:hAnsi="仿宋_GB2312" w:eastAsia="仿宋_GB2312" w:cs="仿宋_GB2312"/>
          <w:color w:val="auto"/>
          <w:kern w:val="2"/>
          <w:sz w:val="32"/>
          <w:szCs w:val="32"/>
          <w:highlight w:val="none"/>
          <w:lang w:val="en-US" w:eastAsia="zh-CN" w:bidi="ar-SA"/>
        </w:rPr>
        <w:t>健全洪涝灾害防御工作体系，完善科学专业、支撑有力、反应迅速的决策支持机制，加强气象水文监测、山洪灾害防治、防洪排涝体系等建设，增强险情灾情应对处置能力。</w:t>
      </w:r>
      <w:r>
        <w:rPr>
          <w:rFonts w:hint="default" w:ascii="仿宋_GB2312" w:hAnsi="仿宋_GB2312" w:eastAsia="仿宋_GB2312" w:cs="仿宋_GB2312"/>
          <w:color w:val="auto"/>
          <w:kern w:val="2"/>
          <w:sz w:val="32"/>
          <w:szCs w:val="32"/>
          <w:highlight w:val="none"/>
          <w:lang w:val="en-US" w:eastAsia="zh-CN" w:bidi="ar-SA"/>
        </w:rPr>
        <w:t>推进智慧水利建设，构建数字孪生流域，</w:t>
      </w:r>
      <w:r>
        <w:rPr>
          <w:rFonts w:hint="eastAsia" w:ascii="仿宋_GB2312" w:hAnsi="仿宋_GB2312" w:eastAsia="仿宋_GB2312" w:cs="仿宋_GB2312"/>
          <w:color w:val="auto"/>
          <w:kern w:val="2"/>
          <w:sz w:val="32"/>
          <w:szCs w:val="32"/>
          <w:highlight w:val="none"/>
          <w:lang w:val="en-US" w:eastAsia="zh-CN" w:bidi="ar-SA"/>
        </w:rPr>
        <w:t>加强水利智能化应用，不断提高</w:t>
      </w:r>
      <w:r>
        <w:rPr>
          <w:rFonts w:hint="default" w:ascii="仿宋_GB2312" w:hAnsi="仿宋_GB2312" w:eastAsia="仿宋_GB2312" w:cs="仿宋_GB2312"/>
          <w:color w:val="auto"/>
          <w:kern w:val="2"/>
          <w:sz w:val="32"/>
          <w:szCs w:val="32"/>
          <w:highlight w:val="none"/>
          <w:lang w:val="en-US" w:eastAsia="zh-CN" w:bidi="ar-SA"/>
        </w:rPr>
        <w:t>行业监管</w:t>
      </w:r>
      <w:r>
        <w:rPr>
          <w:rFonts w:hint="eastAsia" w:ascii="仿宋_GB2312" w:hAnsi="仿宋_GB2312" w:eastAsia="仿宋_GB2312" w:cs="仿宋_GB2312"/>
          <w:color w:val="auto"/>
          <w:kern w:val="2"/>
          <w:sz w:val="32"/>
          <w:szCs w:val="32"/>
          <w:highlight w:val="none"/>
          <w:lang w:val="en-US" w:eastAsia="zh-CN" w:bidi="ar-SA"/>
        </w:rPr>
        <w:t>水平</w:t>
      </w:r>
      <w:r>
        <w:rPr>
          <w:rFonts w:hint="default" w:ascii="仿宋_GB2312" w:hAnsi="仿宋_GB2312" w:eastAsia="仿宋_GB2312" w:cs="仿宋_GB2312"/>
          <w:color w:val="auto"/>
          <w:kern w:val="2"/>
          <w:sz w:val="32"/>
          <w:szCs w:val="32"/>
          <w:highlight w:val="none"/>
          <w:lang w:val="en-US" w:eastAsia="zh-CN" w:bidi="ar-SA"/>
        </w:rPr>
        <w:t>。强化涉水事务管理</w:t>
      </w:r>
      <w:r>
        <w:rPr>
          <w:rFonts w:hint="eastAsia" w:ascii="仿宋_GB2312" w:hAnsi="仿宋_GB2312"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sz w:val="32"/>
          <w:szCs w:val="40"/>
          <w:highlight w:val="none"/>
          <w:lang w:val="en-US" w:eastAsia="zh-CN"/>
        </w:rPr>
        <w:t>深化</w:t>
      </w:r>
      <w:r>
        <w:rPr>
          <w:rFonts w:hint="eastAsia" w:ascii="仿宋_GB2312" w:hAnsi="仿宋_GB2312" w:eastAsia="仿宋_GB2312" w:cs="仿宋_GB2312"/>
          <w:color w:val="auto"/>
          <w:sz w:val="32"/>
          <w:szCs w:val="40"/>
          <w:highlight w:val="none"/>
          <w:lang w:val="en-US" w:eastAsia="zh-CN"/>
        </w:rPr>
        <w:t>“河长+检察长+警长+排长+民间河长”的“五长联动”协</w:t>
      </w:r>
      <w:r>
        <w:rPr>
          <w:rFonts w:hint="default" w:ascii="Times New Roman" w:hAnsi="Times New Roman" w:eastAsia="仿宋_GB2312" w:cs="Times New Roman"/>
          <w:color w:val="auto"/>
          <w:sz w:val="32"/>
          <w:szCs w:val="40"/>
          <w:highlight w:val="none"/>
          <w:lang w:val="en-US" w:eastAsia="zh-CN"/>
        </w:rPr>
        <w:t>同</w:t>
      </w:r>
      <w:r>
        <w:rPr>
          <w:rFonts w:hint="eastAsia" w:ascii="Times New Roman" w:hAnsi="Times New Roman" w:eastAsia="仿宋_GB2312" w:cs="Times New Roman"/>
          <w:color w:val="auto"/>
          <w:sz w:val="32"/>
          <w:szCs w:val="40"/>
          <w:highlight w:val="none"/>
          <w:lang w:val="en-US" w:eastAsia="zh-CN"/>
        </w:rPr>
        <w:t>，提升</w:t>
      </w:r>
      <w:r>
        <w:rPr>
          <w:rFonts w:hint="eastAsia" w:ascii="仿宋_GB2312" w:hAnsi="仿宋_GB2312" w:eastAsia="仿宋_GB2312" w:cs="仿宋_GB2312"/>
          <w:color w:val="auto"/>
          <w:kern w:val="2"/>
          <w:sz w:val="32"/>
          <w:szCs w:val="32"/>
          <w:highlight w:val="none"/>
          <w:lang w:val="en-US" w:eastAsia="zh-CN" w:bidi="ar-SA"/>
        </w:rPr>
        <w:t>县域</w:t>
      </w:r>
      <w:r>
        <w:rPr>
          <w:rFonts w:hint="default" w:ascii="仿宋_GB2312" w:hAnsi="仿宋_GB2312" w:eastAsia="仿宋_GB2312" w:cs="仿宋_GB2312"/>
          <w:color w:val="auto"/>
          <w:sz w:val="32"/>
          <w:szCs w:val="40"/>
          <w:highlight w:val="none"/>
          <w:lang w:val="en-US" w:eastAsia="zh-CN"/>
        </w:rPr>
        <w:t>河湖水域岸线监管</w:t>
      </w:r>
      <w:r>
        <w:rPr>
          <w:rFonts w:hint="eastAsia" w:ascii="仿宋_GB2312" w:hAnsi="仿宋_GB2312" w:eastAsia="仿宋_GB2312" w:cs="仿宋_GB2312"/>
          <w:color w:val="auto"/>
          <w:kern w:val="2"/>
          <w:sz w:val="32"/>
          <w:szCs w:val="32"/>
          <w:highlight w:val="none"/>
          <w:lang w:val="en-US" w:eastAsia="zh-CN" w:bidi="ar-SA"/>
        </w:rPr>
        <w:t>能力。</w:t>
      </w:r>
    </w:p>
    <w:p w14:paraId="0E56AB95">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强化供水安全保障能力。</w:t>
      </w:r>
      <w:r>
        <w:rPr>
          <w:rFonts w:hint="eastAsia" w:ascii="Times New Roman" w:hAnsi="Times New Roman" w:eastAsia="仿宋_GB2312" w:cs="Times New Roman"/>
          <w:b w:val="0"/>
          <w:bCs w:val="0"/>
          <w:color w:val="auto"/>
          <w:sz w:val="32"/>
          <w:szCs w:val="32"/>
          <w:highlight w:val="none"/>
          <w:lang w:val="en-US" w:eastAsia="zh-CN"/>
        </w:rPr>
        <w:t>强化水资源刚性约束，坚持以水定城、以水定地、以水定人、以水定产，严格水资源论证和取水许可管理。深入推进节水型社会建设，健全节水激励约束机制，推动农业节水增效，推动工业节水减排，推动城镇节水降损。加强对洛清江、古赏河等主干流域水资源动态监测分析，增强水资源总体调配能力，优先满足城乡居民生活用水，保障基本生态用水，统筹生产用水，提高缺水地区供水保障程度和抗风险能力。高质量贯彻落实国家水资源安全战略储备体系和地下水储备制度，加强水源调蓄能力和应急备用水源建设，全方位增强水资源安全保障。</w:t>
      </w:r>
    </w:p>
    <w:p w14:paraId="74AADA9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提高乡村振兴水利保障能力。</w:t>
      </w:r>
      <w:r>
        <w:rPr>
          <w:rFonts w:hint="default" w:ascii="Times New Roman" w:hAnsi="Times New Roman" w:eastAsia="仿宋_GB2312" w:cs="Times New Roman"/>
          <w:b w:val="0"/>
          <w:bCs w:val="0"/>
          <w:color w:val="auto"/>
          <w:sz w:val="32"/>
          <w:szCs w:val="40"/>
          <w:highlight w:val="none"/>
          <w:lang w:val="en-US" w:eastAsia="zh-CN"/>
        </w:rPr>
        <w:t>加快完善农村供水保障网</w:t>
      </w:r>
      <w:r>
        <w:rPr>
          <w:rFonts w:hint="eastAsia" w:ascii="Times New Roman" w:hAnsi="Times New Roman" w:eastAsia="仿宋_GB2312" w:cs="Times New Roman"/>
          <w:b w:val="0"/>
          <w:bCs w:val="0"/>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en-US" w:eastAsia="zh-CN"/>
        </w:rPr>
        <w:t>推进</w:t>
      </w:r>
      <w:r>
        <w:rPr>
          <w:rFonts w:hint="default" w:ascii="Times New Roman" w:hAnsi="Times New Roman" w:eastAsia="仿宋_GB2312" w:cs="Times New Roman"/>
          <w:color w:val="auto"/>
          <w:sz w:val="32"/>
          <w:szCs w:val="40"/>
          <w:highlight w:val="none"/>
          <w:lang w:val="en-US" w:eastAsia="zh-CN"/>
        </w:rPr>
        <w:t>农村供水规模化、标准化建设</w:t>
      </w:r>
      <w:r>
        <w:rPr>
          <w:rFonts w:hint="eastAsia" w:ascii="Times New Roman" w:hAnsi="Times New Roman" w:eastAsia="仿宋_GB2312" w:cs="Times New Roman"/>
          <w:color w:val="auto"/>
          <w:sz w:val="32"/>
          <w:szCs w:val="40"/>
          <w:highlight w:val="none"/>
          <w:lang w:val="en-US" w:eastAsia="zh-CN"/>
        </w:rPr>
        <w:t>，实现</w:t>
      </w:r>
      <w:r>
        <w:rPr>
          <w:rFonts w:hint="default" w:ascii="Times New Roman" w:hAnsi="Times New Roman" w:eastAsia="仿宋_GB2312" w:cs="Times New Roman"/>
          <w:color w:val="auto"/>
          <w:sz w:val="32"/>
          <w:szCs w:val="40"/>
          <w:highlight w:val="none"/>
          <w:lang w:val="en-US" w:eastAsia="zh-CN"/>
        </w:rPr>
        <w:t>城乡供水实现</w:t>
      </w:r>
      <w:r>
        <w:rPr>
          <w:rFonts w:hint="eastAsia" w:ascii="仿宋_GB2312" w:hAnsi="仿宋_GB2312" w:eastAsia="仿宋_GB2312" w:cs="仿宋_GB2312"/>
          <w:color w:val="auto"/>
          <w:sz w:val="32"/>
          <w:szCs w:val="40"/>
          <w:highlight w:val="none"/>
          <w:lang w:val="en-US" w:eastAsia="zh-CN"/>
        </w:rPr>
        <w:t>“同源、同网、同质、同服务、同监管”</w:t>
      </w:r>
      <w:r>
        <w:rPr>
          <w:rFonts w:hint="default" w:ascii="Times New Roman" w:hAnsi="Times New Roman" w:eastAsia="仿宋_GB2312" w:cs="Times New Roman"/>
          <w:color w:val="auto"/>
          <w:sz w:val="32"/>
          <w:szCs w:val="40"/>
          <w:highlight w:val="none"/>
          <w:lang w:val="en-US" w:eastAsia="zh-CN"/>
        </w:rPr>
        <w:t>，全面提升农村供水保障水平，让农村居民持续享有更优质、更可靠的供水服务</w:t>
      </w:r>
      <w:r>
        <w:rPr>
          <w:rFonts w:hint="default" w:ascii="Times New Roman" w:hAnsi="Times New Roman" w:eastAsia="仿宋_GB2312" w:cs="Times New Roman"/>
          <w:b w:val="0"/>
          <w:bCs w:val="0"/>
          <w:color w:val="auto"/>
          <w:sz w:val="32"/>
          <w:szCs w:val="40"/>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大力推进农业节水设施建设</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大面积推广喷灌、滴灌、微灌等高</w:t>
      </w:r>
      <w:r>
        <w:rPr>
          <w:rFonts w:hint="default" w:ascii="Times New Roman" w:hAnsi="Times New Roman" w:eastAsia="仿宋_GB2312" w:cs="Times New Roman"/>
          <w:color w:val="auto"/>
          <w:sz w:val="32"/>
          <w:szCs w:val="32"/>
          <w:highlight w:val="none"/>
          <w:lang w:val="en-US" w:eastAsia="zh-CN"/>
        </w:rPr>
        <w:t>效节水灌溉技术，</w:t>
      </w:r>
      <w:r>
        <w:rPr>
          <w:rFonts w:hint="eastAsia" w:ascii="Times New Roman" w:hAnsi="Times New Roman" w:eastAsia="仿宋_GB2312" w:cs="Times New Roman"/>
          <w:color w:val="auto"/>
          <w:sz w:val="32"/>
          <w:szCs w:val="32"/>
          <w:highlight w:val="none"/>
          <w:lang w:val="en-US" w:eastAsia="zh-CN"/>
        </w:rPr>
        <w:t>持续拓展</w:t>
      </w:r>
      <w:r>
        <w:rPr>
          <w:rFonts w:hint="default" w:ascii="Times New Roman" w:hAnsi="Times New Roman" w:eastAsia="仿宋_GB2312" w:cs="Times New Roman"/>
          <w:color w:val="auto"/>
          <w:sz w:val="32"/>
          <w:szCs w:val="32"/>
          <w:highlight w:val="none"/>
          <w:lang w:val="en-US" w:eastAsia="zh-CN"/>
        </w:rPr>
        <w:t>节水灌溉面。健全农业水利基础设施网络，实施石榴河、龙母河等中型灌区续建配套与现代化改造工程，维护好现有灌区渠道，提高农业用水效率和抗旱能力。</w:t>
      </w:r>
    </w:p>
    <w:p w14:paraId="370012B9">
      <w:pPr>
        <w:rPr>
          <w:rFonts w:hint="eastAsia"/>
          <w:color w:val="auto"/>
          <w:highlight w:val="none"/>
          <w:lang w:val="en-US" w:eastAsia="zh-CN"/>
        </w:rPr>
      </w:pPr>
    </w:p>
    <w:tbl>
      <w:tblPr>
        <w:tblStyle w:val="21"/>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14:paraId="2DD6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8504" w:type="dxa"/>
            <w:vAlign w:val="center"/>
          </w:tcPr>
          <w:p w14:paraId="6FE09FCF">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现代水利领域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default" w:ascii="Times New Roman" w:hAnsi="Times New Roman" w:cs="Times New Roman"/>
                <w:color w:val="auto"/>
                <w:highlight w:val="none"/>
              </w:rPr>
              <w:t>项目</w:t>
            </w:r>
          </w:p>
        </w:tc>
      </w:tr>
      <w:tr w14:paraId="49F0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8504" w:type="dxa"/>
          </w:tcPr>
          <w:p w14:paraId="44588E28">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color w:val="auto"/>
                <w:sz w:val="28"/>
                <w:szCs w:val="28"/>
                <w:highlight w:val="none"/>
                <w:lang w:val="zh-TW"/>
              </w:rPr>
            </w:pPr>
            <w:r>
              <w:rPr>
                <w:rFonts w:hint="eastAsia" w:ascii="仿宋_GB2312" w:hAnsi="仿宋_GB2312" w:eastAsia="仿宋_GB2312" w:cs="仿宋_GB2312"/>
                <w:b/>
                <w:bCs w:val="0"/>
                <w:color w:val="auto"/>
                <w:sz w:val="28"/>
                <w:szCs w:val="28"/>
                <w:highlight w:val="none"/>
                <w:lang w:val="zh-TW"/>
              </w:rPr>
              <w:t>基础设施：</w:t>
            </w:r>
            <w:r>
              <w:rPr>
                <w:rFonts w:hint="eastAsia" w:ascii="仿宋_GB2312" w:hAnsi="仿宋_GB2312" w:eastAsia="仿宋_GB2312" w:cs="仿宋_GB2312"/>
                <w:b w:val="0"/>
                <w:bCs/>
                <w:color w:val="auto"/>
                <w:sz w:val="28"/>
                <w:szCs w:val="28"/>
                <w:highlight w:val="none"/>
                <w:lang w:val="zh-TW"/>
              </w:rPr>
              <w:t>推进鹿寨县石榴河、九牛冲、龙母</w:t>
            </w:r>
            <w:r>
              <w:rPr>
                <w:rFonts w:hint="eastAsia" w:ascii="仿宋_GB2312" w:hAnsi="仿宋_GB2312" w:cs="仿宋_GB2312"/>
                <w:b w:val="0"/>
                <w:bCs/>
                <w:color w:val="auto"/>
                <w:sz w:val="28"/>
                <w:szCs w:val="28"/>
                <w:highlight w:val="none"/>
                <w:lang w:val="zh-TW" w:eastAsia="zh-CN"/>
              </w:rPr>
              <w:t>、里定</w:t>
            </w:r>
            <w:r>
              <w:rPr>
                <w:rFonts w:hint="eastAsia" w:ascii="仿宋_GB2312" w:hAnsi="仿宋_GB2312" w:eastAsia="仿宋_GB2312" w:cs="仿宋_GB2312"/>
                <w:b w:val="0"/>
                <w:bCs/>
                <w:color w:val="auto"/>
                <w:sz w:val="28"/>
                <w:szCs w:val="28"/>
                <w:highlight w:val="none"/>
                <w:lang w:val="zh-TW"/>
              </w:rPr>
              <w:t>等灌区续建配套与现代化改造、水库防洪加固、小型引调水工程等项目。</w:t>
            </w:r>
          </w:p>
          <w:p w14:paraId="2D71BA54">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Times New Roman" w:hAnsi="Times New Roman" w:cs="Times New Roman"/>
                <w:b w:val="0"/>
                <w:bCs/>
                <w:color w:val="auto"/>
                <w:sz w:val="28"/>
                <w:szCs w:val="28"/>
                <w:highlight w:val="none"/>
                <w:lang w:val="en-US" w:eastAsia="zh-CN"/>
              </w:rPr>
            </w:pPr>
            <w:r>
              <w:rPr>
                <w:rFonts w:hint="eastAsia" w:ascii="仿宋_GB2312" w:hAnsi="仿宋_GB2312" w:eastAsia="仿宋_GB2312" w:cs="仿宋_GB2312"/>
                <w:b/>
                <w:bCs w:val="0"/>
                <w:color w:val="auto"/>
                <w:sz w:val="28"/>
                <w:szCs w:val="28"/>
                <w:highlight w:val="none"/>
                <w:lang w:val="zh-TW"/>
              </w:rPr>
              <w:t>智慧水利</w:t>
            </w:r>
            <w:r>
              <w:rPr>
                <w:rFonts w:hint="eastAsia" w:ascii="仿宋_GB2312" w:hAnsi="仿宋_GB2312" w:eastAsia="仿宋_GB2312" w:cs="仿宋_GB2312"/>
                <w:b w:val="0"/>
                <w:bCs/>
                <w:color w:val="auto"/>
                <w:sz w:val="28"/>
                <w:szCs w:val="28"/>
                <w:highlight w:val="none"/>
                <w:lang w:val="zh-TW"/>
              </w:rPr>
              <w:t>：推进县域</w:t>
            </w:r>
            <w:r>
              <w:rPr>
                <w:rFonts w:hint="default" w:ascii="Times New Roman" w:hAnsi="Times New Roman" w:eastAsia="仿宋_GB2312" w:cs="Times New Roman"/>
                <w:b w:val="0"/>
                <w:bCs/>
                <w:color w:val="auto"/>
                <w:sz w:val="28"/>
                <w:szCs w:val="28"/>
                <w:highlight w:val="none"/>
                <w:lang w:val="zh-TW"/>
              </w:rPr>
              <w:t>83</w:t>
            </w:r>
            <w:r>
              <w:rPr>
                <w:rFonts w:hint="eastAsia" w:ascii="仿宋_GB2312" w:hAnsi="仿宋_GB2312" w:eastAsia="仿宋_GB2312" w:cs="仿宋_GB2312"/>
                <w:b w:val="0"/>
                <w:bCs/>
                <w:color w:val="auto"/>
                <w:sz w:val="28"/>
                <w:szCs w:val="28"/>
                <w:highlight w:val="none"/>
                <w:lang w:val="zh-TW"/>
              </w:rPr>
              <w:t>座水库标准化、智慧化改造，配套无人机巡查与智能监测系统建设。</w:t>
            </w:r>
          </w:p>
        </w:tc>
      </w:tr>
    </w:tbl>
    <w:p w14:paraId="43BD3EE0">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214" w:name="_Toc29244"/>
      <w:bookmarkStart w:id="215" w:name="_Toc23536"/>
      <w:bookmarkStart w:id="216" w:name="_Toc10064"/>
      <w:r>
        <w:rPr>
          <w:rFonts w:hint="default"/>
          <w:b w:val="0"/>
          <w:bCs/>
          <w:color w:val="auto"/>
          <w:sz w:val="36"/>
          <w:szCs w:val="36"/>
          <w:highlight w:val="none"/>
          <w:lang w:val="en-US" w:eastAsia="zh-CN"/>
        </w:rPr>
        <w:t>第三节  构建清洁低碳安全高效的新型能源体系</w:t>
      </w:r>
      <w:bookmarkEnd w:id="214"/>
      <w:bookmarkEnd w:id="215"/>
    </w:p>
    <w:p w14:paraId="201C0D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深入落实能源安全新战略</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坚持系统融合、一体开发，增强能源供应可靠性和系统稳</w:t>
      </w:r>
      <w:r>
        <w:rPr>
          <w:rFonts w:hint="eastAsia" w:ascii="仿宋_GB2312" w:hAnsi="仿宋_GB2312" w:eastAsia="仿宋_GB2312" w:cs="仿宋_GB2312"/>
          <w:color w:val="auto"/>
          <w:kern w:val="2"/>
          <w:sz w:val="32"/>
          <w:szCs w:val="32"/>
          <w:highlight w:val="none"/>
          <w:lang w:val="en-US" w:eastAsia="zh-CN" w:bidi="ar-SA"/>
        </w:rPr>
        <w:t>定性</w:t>
      </w:r>
      <w:r>
        <w:rPr>
          <w:rFonts w:hint="default" w:ascii="仿宋_GB2312" w:hAnsi="仿宋_GB2312" w:eastAsia="仿宋_GB2312" w:cs="仿宋_GB2312"/>
          <w:color w:val="auto"/>
          <w:kern w:val="2"/>
          <w:sz w:val="32"/>
          <w:szCs w:val="32"/>
          <w:highlight w:val="none"/>
          <w:lang w:val="en-US" w:eastAsia="zh-CN" w:bidi="ar-SA"/>
        </w:rPr>
        <w:t>，为</w:t>
      </w:r>
      <w:r>
        <w:rPr>
          <w:rFonts w:hint="eastAsia" w:ascii="仿宋_GB2312" w:hAnsi="仿宋_GB2312" w:eastAsia="仿宋_GB2312" w:cs="仿宋_GB2312"/>
          <w:color w:val="auto"/>
          <w:kern w:val="2"/>
          <w:sz w:val="32"/>
          <w:szCs w:val="32"/>
          <w:highlight w:val="none"/>
          <w:lang w:val="en-US" w:eastAsia="zh-CN" w:bidi="ar-SA"/>
        </w:rPr>
        <w:t>鹿寨高质量发展</w:t>
      </w:r>
      <w:r>
        <w:rPr>
          <w:rFonts w:hint="default" w:ascii="仿宋_GB2312" w:hAnsi="仿宋_GB2312" w:eastAsia="仿宋_GB2312" w:cs="仿宋_GB2312"/>
          <w:color w:val="auto"/>
          <w:kern w:val="2"/>
          <w:sz w:val="32"/>
          <w:szCs w:val="32"/>
          <w:highlight w:val="none"/>
          <w:lang w:val="en-US" w:eastAsia="zh-CN" w:bidi="ar-SA"/>
        </w:rPr>
        <w:t>提供更加安全可靠的绿色能源保障。</w:t>
      </w:r>
    </w:p>
    <w:p w14:paraId="4A5EB0B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b/>
          <w:bCs/>
          <w:color w:val="auto"/>
          <w:kern w:val="2"/>
          <w:sz w:val="32"/>
          <w:szCs w:val="32"/>
          <w:highlight w:val="none"/>
          <w:lang w:val="en-US" w:eastAsia="zh-CN" w:bidi="ar-SA"/>
        </w:rPr>
        <w:t>提升能源安全保障能力</w:t>
      </w:r>
      <w:r>
        <w:rPr>
          <w:rFonts w:hint="eastAsia" w:ascii="仿宋_GB2312" w:hAnsi="仿宋_GB2312"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坚持统筹规划，</w:t>
      </w:r>
      <w:r>
        <w:rPr>
          <w:rFonts w:hint="default" w:ascii="仿宋_GB2312" w:hAnsi="仿宋_GB2312" w:eastAsia="仿宋_GB2312" w:cs="仿宋_GB2312"/>
          <w:color w:val="auto"/>
          <w:kern w:val="2"/>
          <w:sz w:val="32"/>
          <w:szCs w:val="32"/>
          <w:highlight w:val="none"/>
          <w:lang w:val="en-US" w:eastAsia="zh-CN" w:bidi="ar-SA"/>
        </w:rPr>
        <w:t>科学布局集中式</w:t>
      </w:r>
      <w:r>
        <w:rPr>
          <w:rFonts w:hint="eastAsia" w:ascii="仿宋_GB2312" w:hAnsi="仿宋_GB2312" w:eastAsia="仿宋_GB2312" w:cs="仿宋_GB2312"/>
          <w:color w:val="auto"/>
          <w:kern w:val="2"/>
          <w:sz w:val="32"/>
          <w:szCs w:val="32"/>
          <w:highlight w:val="none"/>
          <w:lang w:val="en-US" w:eastAsia="zh-CN" w:bidi="ar-SA"/>
        </w:rPr>
        <w:t>与</w:t>
      </w:r>
      <w:r>
        <w:rPr>
          <w:rFonts w:hint="default" w:ascii="仿宋_GB2312" w:hAnsi="仿宋_GB2312" w:eastAsia="仿宋_GB2312" w:cs="仿宋_GB2312"/>
          <w:color w:val="auto"/>
          <w:kern w:val="2"/>
          <w:sz w:val="32"/>
          <w:szCs w:val="32"/>
          <w:highlight w:val="none"/>
          <w:lang w:val="en-US" w:eastAsia="zh-CN" w:bidi="ar-SA"/>
        </w:rPr>
        <w:t>分布式新能源项目，</w:t>
      </w:r>
      <w:r>
        <w:rPr>
          <w:rFonts w:hint="eastAsia" w:ascii="仿宋_GB2312" w:hAnsi="仿宋_GB2312" w:eastAsia="仿宋_GB2312" w:cs="仿宋_GB2312"/>
          <w:color w:val="auto"/>
          <w:kern w:val="2"/>
          <w:sz w:val="32"/>
          <w:szCs w:val="32"/>
          <w:highlight w:val="none"/>
          <w:lang w:val="en-US" w:eastAsia="zh-CN" w:bidi="ar-SA"/>
        </w:rPr>
        <w:t>强化</w:t>
      </w:r>
      <w:r>
        <w:rPr>
          <w:rFonts w:hint="default" w:ascii="仿宋_GB2312" w:hAnsi="仿宋_GB2312" w:eastAsia="仿宋_GB2312" w:cs="仿宋_GB2312"/>
          <w:color w:val="auto"/>
          <w:kern w:val="2"/>
          <w:sz w:val="32"/>
          <w:szCs w:val="32"/>
          <w:highlight w:val="none"/>
          <w:lang w:val="en-US" w:eastAsia="zh-CN" w:bidi="ar-SA"/>
        </w:rPr>
        <w:t>与电网规划</w:t>
      </w:r>
      <w:r>
        <w:rPr>
          <w:rFonts w:hint="eastAsia" w:ascii="仿宋_GB2312" w:hAnsi="仿宋_GB2312" w:eastAsia="仿宋_GB2312" w:cs="仿宋_GB2312"/>
          <w:color w:val="auto"/>
          <w:kern w:val="2"/>
          <w:sz w:val="32"/>
          <w:szCs w:val="32"/>
          <w:highlight w:val="none"/>
          <w:lang w:val="en-US" w:eastAsia="zh-CN" w:bidi="ar-SA"/>
        </w:rPr>
        <w:t>有效</w:t>
      </w:r>
      <w:r>
        <w:rPr>
          <w:rFonts w:hint="default" w:ascii="仿宋_GB2312" w:hAnsi="仿宋_GB2312" w:eastAsia="仿宋_GB2312" w:cs="仿宋_GB2312"/>
          <w:color w:val="auto"/>
          <w:kern w:val="2"/>
          <w:sz w:val="32"/>
          <w:szCs w:val="32"/>
          <w:highlight w:val="none"/>
          <w:lang w:val="en-US" w:eastAsia="zh-CN" w:bidi="ar-SA"/>
        </w:rPr>
        <w:t>衔接，提升电网承载</w:t>
      </w:r>
      <w:r>
        <w:rPr>
          <w:rFonts w:hint="eastAsia" w:ascii="仿宋_GB2312" w:hAnsi="仿宋_GB2312" w:eastAsia="仿宋_GB2312" w:cs="仿宋_GB2312"/>
          <w:color w:val="auto"/>
          <w:kern w:val="2"/>
          <w:sz w:val="32"/>
          <w:szCs w:val="32"/>
          <w:highlight w:val="none"/>
          <w:lang w:val="en-US" w:eastAsia="zh-CN" w:bidi="ar-SA"/>
        </w:rPr>
        <w:t>能</w:t>
      </w:r>
      <w:r>
        <w:rPr>
          <w:rFonts w:hint="default" w:ascii="仿宋_GB2312" w:hAnsi="仿宋_GB2312" w:eastAsia="仿宋_GB2312" w:cs="仿宋_GB2312"/>
          <w:color w:val="auto"/>
          <w:kern w:val="2"/>
          <w:sz w:val="32"/>
          <w:szCs w:val="32"/>
          <w:highlight w:val="none"/>
          <w:lang w:val="en-US" w:eastAsia="zh-CN" w:bidi="ar-SA"/>
        </w:rPr>
        <w:t>力。</w:t>
      </w:r>
      <w:r>
        <w:rPr>
          <w:rFonts w:hint="eastAsia" w:ascii="仿宋_GB2312" w:hAnsi="仿宋_GB2312" w:eastAsia="仿宋_GB2312" w:cs="仿宋_GB2312"/>
          <w:color w:val="auto"/>
          <w:kern w:val="2"/>
          <w:sz w:val="32"/>
          <w:szCs w:val="32"/>
          <w:highlight w:val="none"/>
          <w:lang w:val="en-US" w:eastAsia="zh-CN" w:bidi="ar-SA"/>
        </w:rPr>
        <w:t>在交通领域，推动公路边坡、车站、港口等场所配套建设新能源与周边用能一体化系统，布局新能源重卡补能基础设施，推广光储充换一体化模式，构建交通与能源协同保障体系。积极推进建筑光伏一体化及“光储直柔”</w:t>
      </w:r>
      <w:r>
        <w:rPr>
          <w:rStyle w:val="25"/>
          <w:rFonts w:hint="default" w:ascii="Times New Roman" w:hAnsi="Times New Roman" w:eastAsia="仿宋_GB2312" w:cs="Times New Roman"/>
          <w:color w:val="auto"/>
          <w:kern w:val="2"/>
          <w:sz w:val="32"/>
          <w:szCs w:val="32"/>
          <w:highlight w:val="none"/>
          <w:lang w:val="en-US" w:eastAsia="zh-CN" w:bidi="ar-SA"/>
        </w:rPr>
        <w:t>[</w:t>
      </w:r>
      <w:r>
        <w:rPr>
          <w:rStyle w:val="25"/>
          <w:rFonts w:hint="default" w:ascii="Times New Roman" w:hAnsi="Times New Roman" w:eastAsia="仿宋_GB2312" w:cs="Times New Roman"/>
          <w:color w:val="auto"/>
          <w:kern w:val="2"/>
          <w:sz w:val="32"/>
          <w:szCs w:val="32"/>
          <w:highlight w:val="none"/>
          <w:lang w:val="en-US" w:eastAsia="zh-CN" w:bidi="ar-SA"/>
        </w:rPr>
        <w:endnoteReference w:id="15"/>
      </w:r>
      <w:r>
        <w:rPr>
          <w:rStyle w:val="25"/>
          <w:rFonts w:hint="default"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新型建筑建设，拓宽能源自给渠道。深化能源领域改革，在严守用地政策前提下，有序发展分散式风电、分布式光伏、水能等清洁能源，提升乡村电力自主可靠供应能力。同步</w:t>
      </w:r>
      <w:r>
        <w:rPr>
          <w:rFonts w:hint="default" w:ascii="仿宋_GB2312" w:hAnsi="仿宋_GB2312" w:eastAsia="仿宋_GB2312" w:cs="仿宋_GB2312"/>
          <w:color w:val="auto"/>
          <w:kern w:val="2"/>
          <w:sz w:val="32"/>
          <w:szCs w:val="32"/>
          <w:highlight w:val="none"/>
          <w:lang w:val="en-US" w:eastAsia="zh-CN" w:bidi="ar-SA"/>
        </w:rPr>
        <w:t>推进</w:t>
      </w:r>
      <w:r>
        <w:rPr>
          <w:rFonts w:hint="eastAsia" w:ascii="仿宋_GB2312" w:hAnsi="仿宋_GB2312" w:eastAsia="仿宋_GB2312" w:cs="仿宋_GB2312"/>
          <w:color w:val="auto"/>
          <w:kern w:val="2"/>
          <w:sz w:val="32"/>
          <w:szCs w:val="32"/>
          <w:highlight w:val="none"/>
          <w:lang w:val="en-US" w:eastAsia="zh-CN" w:bidi="ar-SA"/>
        </w:rPr>
        <w:t>农村电网</w:t>
      </w:r>
      <w:r>
        <w:rPr>
          <w:rFonts w:hint="default" w:ascii="仿宋_GB2312" w:hAnsi="仿宋_GB2312" w:eastAsia="仿宋_GB2312" w:cs="仿宋_GB2312"/>
          <w:color w:val="auto"/>
          <w:kern w:val="2"/>
          <w:sz w:val="32"/>
          <w:szCs w:val="32"/>
          <w:highlight w:val="none"/>
          <w:lang w:val="en-US" w:eastAsia="zh-CN" w:bidi="ar-SA"/>
        </w:rPr>
        <w:t>数字化</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智能化改造，</w:t>
      </w:r>
      <w:r>
        <w:rPr>
          <w:rFonts w:hint="eastAsia" w:ascii="仿宋_GB2312" w:hAnsi="仿宋_GB2312" w:eastAsia="仿宋_GB2312" w:cs="仿宋_GB2312"/>
          <w:color w:val="auto"/>
          <w:kern w:val="2"/>
          <w:sz w:val="32"/>
          <w:szCs w:val="32"/>
          <w:highlight w:val="none"/>
          <w:lang w:val="en-US" w:eastAsia="zh-CN" w:bidi="ar-SA"/>
        </w:rPr>
        <w:t>加快</w:t>
      </w:r>
      <w:r>
        <w:rPr>
          <w:rFonts w:hint="default" w:ascii="仿宋_GB2312" w:hAnsi="仿宋_GB2312" w:eastAsia="仿宋_GB2312" w:cs="仿宋_GB2312"/>
          <w:color w:val="auto"/>
          <w:kern w:val="2"/>
          <w:sz w:val="32"/>
          <w:szCs w:val="32"/>
          <w:highlight w:val="none"/>
          <w:lang w:val="en-US" w:eastAsia="zh-CN" w:bidi="ar-SA"/>
        </w:rPr>
        <w:t>智能配电站</w:t>
      </w:r>
      <w:r>
        <w:rPr>
          <w:rFonts w:hint="eastAsia" w:ascii="仿宋_GB2312" w:hAnsi="仿宋_GB2312" w:eastAsia="仿宋_GB2312" w:cs="仿宋_GB2312"/>
          <w:color w:val="auto"/>
          <w:kern w:val="2"/>
          <w:sz w:val="32"/>
          <w:szCs w:val="32"/>
          <w:highlight w:val="none"/>
          <w:lang w:val="en-US" w:eastAsia="zh-CN" w:bidi="ar-SA"/>
        </w:rPr>
        <w:t>等设施</w:t>
      </w:r>
      <w:r>
        <w:rPr>
          <w:rFonts w:hint="default" w:ascii="仿宋_GB2312" w:hAnsi="仿宋_GB2312" w:eastAsia="仿宋_GB2312" w:cs="仿宋_GB2312"/>
          <w:color w:val="auto"/>
          <w:kern w:val="2"/>
          <w:sz w:val="32"/>
          <w:szCs w:val="32"/>
          <w:highlight w:val="none"/>
          <w:lang w:val="en-US" w:eastAsia="zh-CN" w:bidi="ar-SA"/>
        </w:rPr>
        <w:t>建设，提</w:t>
      </w:r>
      <w:r>
        <w:rPr>
          <w:rFonts w:hint="eastAsia" w:ascii="仿宋_GB2312" w:hAnsi="仿宋_GB2312" w:eastAsia="仿宋_GB2312" w:cs="仿宋_GB2312"/>
          <w:color w:val="auto"/>
          <w:kern w:val="2"/>
          <w:sz w:val="32"/>
          <w:szCs w:val="32"/>
          <w:highlight w:val="none"/>
          <w:lang w:val="en-US" w:eastAsia="zh-CN" w:bidi="ar-SA"/>
        </w:rPr>
        <w:t>升</w:t>
      </w:r>
      <w:r>
        <w:rPr>
          <w:rFonts w:hint="default" w:ascii="仿宋_GB2312" w:hAnsi="仿宋_GB2312" w:eastAsia="仿宋_GB2312" w:cs="仿宋_GB2312"/>
          <w:color w:val="auto"/>
          <w:kern w:val="2"/>
          <w:sz w:val="32"/>
          <w:szCs w:val="32"/>
          <w:highlight w:val="none"/>
          <w:lang w:val="en-US" w:eastAsia="zh-CN" w:bidi="ar-SA"/>
        </w:rPr>
        <w:t>农网自动化覆盖</w:t>
      </w:r>
      <w:r>
        <w:rPr>
          <w:rFonts w:hint="eastAsia" w:ascii="仿宋_GB2312" w:hAnsi="仿宋_GB2312" w:eastAsia="仿宋_GB2312" w:cs="仿宋_GB2312"/>
          <w:color w:val="auto"/>
          <w:kern w:val="2"/>
          <w:sz w:val="32"/>
          <w:szCs w:val="32"/>
          <w:highlight w:val="none"/>
          <w:lang w:val="en-US" w:eastAsia="zh-CN" w:bidi="ar-SA"/>
        </w:rPr>
        <w:t>率，全面夯实城乡能源安全基础。</w:t>
      </w:r>
    </w:p>
    <w:p w14:paraId="089D08B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b/>
          <w:bCs/>
          <w:color w:val="auto"/>
          <w:kern w:val="2"/>
          <w:sz w:val="32"/>
          <w:szCs w:val="32"/>
          <w:highlight w:val="none"/>
          <w:lang w:val="en-US" w:eastAsia="zh-CN" w:bidi="ar-SA"/>
        </w:rPr>
        <w:t>提升民生用能服务保障水平。</w:t>
      </w:r>
      <w:r>
        <w:rPr>
          <w:rFonts w:hint="eastAsia" w:ascii="仿宋_GB2312" w:hAnsi="仿宋_GB2312" w:eastAsia="仿宋_GB2312" w:cs="仿宋_GB2312"/>
          <w:color w:val="auto"/>
          <w:kern w:val="2"/>
          <w:sz w:val="32"/>
          <w:szCs w:val="32"/>
          <w:highlight w:val="none"/>
          <w:lang w:val="en-US" w:eastAsia="zh-CN" w:bidi="ar-SA"/>
        </w:rPr>
        <w:t>持续推动</w:t>
      </w:r>
      <w:r>
        <w:rPr>
          <w:rFonts w:hint="default" w:ascii="仿宋_GB2312" w:hAnsi="仿宋_GB2312" w:eastAsia="仿宋_GB2312" w:cs="仿宋_GB2312"/>
          <w:color w:val="auto"/>
          <w:kern w:val="2"/>
          <w:sz w:val="32"/>
          <w:szCs w:val="32"/>
          <w:highlight w:val="none"/>
          <w:lang w:val="en-US" w:eastAsia="zh-CN" w:bidi="ar-SA"/>
        </w:rPr>
        <w:t>充电基础设施体系</w:t>
      </w:r>
      <w:r>
        <w:rPr>
          <w:rFonts w:hint="eastAsia" w:ascii="仿宋_GB2312" w:hAnsi="仿宋_GB2312" w:eastAsia="仿宋_GB2312" w:cs="仿宋_GB2312"/>
          <w:color w:val="auto"/>
          <w:kern w:val="2"/>
          <w:sz w:val="32"/>
          <w:szCs w:val="32"/>
          <w:highlight w:val="none"/>
          <w:lang w:val="en-US" w:eastAsia="zh-CN" w:bidi="ar-SA"/>
        </w:rPr>
        <w:t>高质量发展，</w:t>
      </w:r>
      <w:r>
        <w:rPr>
          <w:rFonts w:hint="default" w:ascii="仿宋_GB2312" w:hAnsi="仿宋_GB2312" w:eastAsia="仿宋_GB2312" w:cs="仿宋_GB2312"/>
          <w:color w:val="auto"/>
          <w:kern w:val="2"/>
          <w:sz w:val="32"/>
          <w:szCs w:val="32"/>
          <w:highlight w:val="none"/>
          <w:lang w:val="en-US" w:eastAsia="zh-CN" w:bidi="ar-SA"/>
        </w:rPr>
        <w:t>以</w:t>
      </w:r>
      <w:r>
        <w:rPr>
          <w:rFonts w:hint="eastAsia" w:ascii="仿宋_GB2312" w:hAnsi="仿宋_GB2312" w:eastAsia="仿宋_GB2312" w:cs="仿宋_GB2312"/>
          <w:color w:val="auto"/>
          <w:kern w:val="2"/>
          <w:sz w:val="32"/>
          <w:szCs w:val="32"/>
          <w:highlight w:val="none"/>
          <w:lang w:val="en-US" w:eastAsia="zh-CN" w:bidi="ar-SA"/>
        </w:rPr>
        <w:t>城乡</w:t>
      </w:r>
      <w:r>
        <w:rPr>
          <w:rFonts w:hint="default" w:ascii="仿宋_GB2312" w:hAnsi="仿宋_GB2312" w:eastAsia="仿宋_GB2312" w:cs="仿宋_GB2312"/>
          <w:color w:val="auto"/>
          <w:kern w:val="2"/>
          <w:sz w:val="32"/>
          <w:szCs w:val="32"/>
          <w:highlight w:val="none"/>
          <w:lang w:val="en-US" w:eastAsia="zh-CN" w:bidi="ar-SA"/>
        </w:rPr>
        <w:t>道路交通网络为</w:t>
      </w:r>
      <w:r>
        <w:rPr>
          <w:rFonts w:hint="eastAsia" w:ascii="仿宋_GB2312" w:hAnsi="仿宋_GB2312" w:eastAsia="仿宋_GB2312" w:cs="仿宋_GB2312"/>
          <w:color w:val="auto"/>
          <w:kern w:val="2"/>
          <w:sz w:val="32"/>
          <w:szCs w:val="32"/>
          <w:highlight w:val="none"/>
          <w:lang w:val="en-US" w:eastAsia="zh-CN" w:bidi="ar-SA"/>
        </w:rPr>
        <w:t>框架</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聚焦</w:t>
      </w:r>
      <w:r>
        <w:rPr>
          <w:rFonts w:hint="default" w:ascii="仿宋_GB2312" w:hAnsi="仿宋_GB2312" w:eastAsia="仿宋_GB2312" w:cs="仿宋_GB2312"/>
          <w:color w:val="auto"/>
          <w:kern w:val="2"/>
          <w:sz w:val="32"/>
          <w:szCs w:val="32"/>
          <w:highlight w:val="none"/>
          <w:lang w:val="en-US" w:eastAsia="zh-CN" w:bidi="ar-SA"/>
        </w:rPr>
        <w:t>居住区、办公区</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商业</w:t>
      </w:r>
      <w:r>
        <w:rPr>
          <w:rFonts w:hint="eastAsia" w:ascii="仿宋_GB2312" w:hAnsi="仿宋_GB2312" w:eastAsia="仿宋_GB2312" w:cs="仿宋_GB2312"/>
          <w:color w:val="auto"/>
          <w:kern w:val="2"/>
          <w:sz w:val="32"/>
          <w:szCs w:val="32"/>
          <w:highlight w:val="none"/>
          <w:lang w:val="en-US" w:eastAsia="zh-CN" w:bidi="ar-SA"/>
        </w:rPr>
        <w:t>中心</w:t>
      </w:r>
      <w:r>
        <w:rPr>
          <w:rFonts w:hint="default" w:ascii="仿宋_GB2312" w:hAnsi="仿宋_GB2312" w:eastAsia="仿宋_GB2312" w:cs="仿宋_GB2312"/>
          <w:color w:val="auto"/>
          <w:kern w:val="2"/>
          <w:sz w:val="32"/>
          <w:szCs w:val="32"/>
          <w:highlight w:val="none"/>
          <w:lang w:val="en-US" w:eastAsia="zh-CN" w:bidi="ar-SA"/>
        </w:rPr>
        <w:t>、工业</w:t>
      </w:r>
      <w:r>
        <w:rPr>
          <w:rFonts w:hint="eastAsia" w:ascii="仿宋_GB2312" w:hAnsi="仿宋_GB2312" w:eastAsia="仿宋_GB2312" w:cs="仿宋_GB2312"/>
          <w:color w:val="auto"/>
          <w:kern w:val="2"/>
          <w:sz w:val="32"/>
          <w:szCs w:val="32"/>
          <w:highlight w:val="none"/>
          <w:lang w:val="en-US" w:eastAsia="zh-CN" w:bidi="ar-SA"/>
        </w:rPr>
        <w:t>园区</w:t>
      </w:r>
      <w:r>
        <w:rPr>
          <w:rFonts w:hint="default" w:ascii="仿宋_GB2312" w:hAnsi="仿宋_GB2312" w:eastAsia="仿宋_GB2312" w:cs="仿宋_GB2312"/>
          <w:color w:val="auto"/>
          <w:kern w:val="2"/>
          <w:sz w:val="32"/>
          <w:szCs w:val="32"/>
          <w:highlight w:val="none"/>
          <w:lang w:val="en-US" w:eastAsia="zh-CN" w:bidi="ar-SA"/>
        </w:rPr>
        <w:t>、休闲</w:t>
      </w:r>
      <w:r>
        <w:rPr>
          <w:rFonts w:hint="eastAsia" w:ascii="仿宋_GB2312" w:hAnsi="仿宋_GB2312" w:eastAsia="仿宋_GB2312" w:cs="仿宋_GB2312"/>
          <w:color w:val="auto"/>
          <w:kern w:val="2"/>
          <w:sz w:val="32"/>
          <w:szCs w:val="32"/>
          <w:highlight w:val="none"/>
          <w:lang w:val="en-US" w:eastAsia="zh-CN" w:bidi="ar-SA"/>
        </w:rPr>
        <w:t>场所等</w:t>
      </w:r>
      <w:r>
        <w:rPr>
          <w:rFonts w:hint="default" w:ascii="仿宋_GB2312" w:hAnsi="仿宋_GB2312" w:eastAsia="仿宋_GB2312" w:cs="仿宋_GB2312"/>
          <w:color w:val="auto"/>
          <w:kern w:val="2"/>
          <w:sz w:val="32"/>
          <w:szCs w:val="32"/>
          <w:highlight w:val="none"/>
          <w:lang w:val="en-US" w:eastAsia="zh-CN" w:bidi="ar-SA"/>
        </w:rPr>
        <w:t>重点</w:t>
      </w:r>
      <w:r>
        <w:rPr>
          <w:rFonts w:hint="eastAsia" w:ascii="仿宋_GB2312" w:hAnsi="仿宋_GB2312" w:eastAsia="仿宋_GB2312" w:cs="仿宋_GB2312"/>
          <w:color w:val="auto"/>
          <w:kern w:val="2"/>
          <w:sz w:val="32"/>
          <w:szCs w:val="32"/>
          <w:highlight w:val="none"/>
          <w:lang w:val="en-US" w:eastAsia="zh-CN" w:bidi="ar-SA"/>
        </w:rPr>
        <w:t>区域</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加快布局</w:t>
      </w:r>
      <w:r>
        <w:rPr>
          <w:rFonts w:hint="default" w:ascii="仿宋_GB2312" w:hAnsi="仿宋_GB2312" w:eastAsia="仿宋_GB2312" w:cs="仿宋_GB2312"/>
          <w:color w:val="auto"/>
          <w:kern w:val="2"/>
          <w:sz w:val="32"/>
          <w:szCs w:val="32"/>
          <w:highlight w:val="none"/>
          <w:lang w:val="en-US" w:eastAsia="zh-CN" w:bidi="ar-SA"/>
        </w:rPr>
        <w:t>超级充电桩、智能有序充电桩等</w:t>
      </w:r>
      <w:r>
        <w:rPr>
          <w:rFonts w:hint="eastAsia" w:ascii="仿宋_GB2312" w:hAnsi="仿宋_GB2312" w:eastAsia="仿宋_GB2312" w:cs="仿宋_GB2312"/>
          <w:color w:val="auto"/>
          <w:kern w:val="2"/>
          <w:sz w:val="32"/>
          <w:szCs w:val="32"/>
          <w:highlight w:val="none"/>
          <w:lang w:val="en-US" w:eastAsia="zh-CN" w:bidi="ar-SA"/>
        </w:rPr>
        <w:t>设施</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稳步提升充换电基础设施智能化水平。依托柳州纳入国家</w:t>
      </w:r>
      <w:r>
        <w:rPr>
          <w:rFonts w:hint="default" w:ascii="仿宋_GB2312" w:hAnsi="仿宋_GB2312" w:eastAsia="仿宋_GB2312" w:cs="仿宋_GB2312"/>
          <w:color w:val="auto"/>
          <w:kern w:val="2"/>
          <w:sz w:val="32"/>
          <w:szCs w:val="32"/>
          <w:highlight w:val="none"/>
          <w:lang w:val="en-US" w:eastAsia="zh-CN" w:bidi="ar-SA"/>
        </w:rPr>
        <w:t>车网互动规模化应用试点</w:t>
      </w:r>
      <w:r>
        <w:rPr>
          <w:rFonts w:hint="eastAsia" w:ascii="仿宋_GB2312" w:hAnsi="仿宋_GB2312" w:eastAsia="仿宋_GB2312" w:cs="仿宋_GB2312"/>
          <w:color w:val="auto"/>
          <w:kern w:val="2"/>
          <w:sz w:val="32"/>
          <w:szCs w:val="32"/>
          <w:highlight w:val="none"/>
          <w:lang w:val="en-US" w:eastAsia="zh-CN" w:bidi="ar-SA"/>
        </w:rPr>
        <w:t>契机</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加快</w:t>
      </w:r>
      <w:r>
        <w:rPr>
          <w:rFonts w:hint="default" w:ascii="仿宋_GB2312" w:hAnsi="仿宋_GB2312" w:eastAsia="仿宋_GB2312" w:cs="仿宋_GB2312"/>
          <w:color w:val="auto"/>
          <w:kern w:val="2"/>
          <w:sz w:val="32"/>
          <w:szCs w:val="32"/>
          <w:highlight w:val="none"/>
          <w:lang w:val="en-US" w:eastAsia="zh-CN" w:bidi="ar-SA"/>
        </w:rPr>
        <w:t>推</w:t>
      </w:r>
      <w:r>
        <w:rPr>
          <w:rFonts w:hint="eastAsia" w:ascii="仿宋_GB2312" w:hAnsi="仿宋_GB2312" w:eastAsia="仿宋_GB2312" w:cs="仿宋_GB2312"/>
          <w:color w:val="auto"/>
          <w:kern w:val="2"/>
          <w:sz w:val="32"/>
          <w:szCs w:val="32"/>
          <w:highlight w:val="none"/>
          <w:lang w:val="en-US" w:eastAsia="zh-CN" w:bidi="ar-SA"/>
        </w:rPr>
        <w:t>进覆盖县域城乡的</w:t>
      </w:r>
      <w:r>
        <w:rPr>
          <w:rFonts w:hint="default" w:ascii="仿宋_GB2312" w:hAnsi="仿宋_GB2312" w:eastAsia="仿宋_GB2312" w:cs="仿宋_GB2312"/>
          <w:color w:val="auto"/>
          <w:kern w:val="2"/>
          <w:sz w:val="32"/>
          <w:szCs w:val="32"/>
          <w:highlight w:val="none"/>
          <w:lang w:val="en-US" w:eastAsia="zh-CN" w:bidi="ar-SA"/>
        </w:rPr>
        <w:t>多场景充电基础设施建设。</w:t>
      </w:r>
      <w:r>
        <w:rPr>
          <w:rFonts w:hint="eastAsia" w:ascii="仿宋_GB2312" w:hAnsi="仿宋_GB2312" w:eastAsia="仿宋_GB2312" w:cs="仿宋_GB2312"/>
          <w:color w:val="auto"/>
          <w:kern w:val="2"/>
          <w:sz w:val="32"/>
          <w:szCs w:val="32"/>
          <w:highlight w:val="none"/>
          <w:lang w:val="en-US" w:eastAsia="zh-CN" w:bidi="ar-SA"/>
        </w:rPr>
        <w:t>鼓励社会资本参与，规划建设融合光伏发电、绿色储能、液冷超充、虚拟电厂、无线充电等新型能源技术的智慧综合能源站。</w:t>
      </w:r>
      <w:r>
        <w:rPr>
          <w:rFonts w:hint="default" w:ascii="仿宋_GB2312" w:hAnsi="仿宋_GB2312" w:eastAsia="仿宋_GB2312" w:cs="仿宋_GB2312"/>
          <w:color w:val="auto"/>
          <w:kern w:val="2"/>
          <w:sz w:val="32"/>
          <w:szCs w:val="32"/>
          <w:highlight w:val="none"/>
          <w:lang w:val="en-US" w:eastAsia="zh-CN" w:bidi="ar-SA"/>
        </w:rPr>
        <w:t>到</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30</w:t>
      </w:r>
      <w:r>
        <w:rPr>
          <w:rFonts w:hint="default" w:ascii="仿宋_GB2312" w:hAnsi="仿宋_GB2312" w:eastAsia="仿宋_GB2312" w:cs="仿宋_GB2312"/>
          <w:color w:val="auto"/>
          <w:kern w:val="2"/>
          <w:sz w:val="32"/>
          <w:szCs w:val="32"/>
          <w:highlight w:val="none"/>
          <w:lang w:val="en-US" w:eastAsia="zh-CN" w:bidi="ar-SA"/>
        </w:rPr>
        <w:t>年，建成覆盖</w:t>
      </w:r>
      <w:r>
        <w:rPr>
          <w:rFonts w:hint="eastAsia" w:ascii="仿宋_GB2312" w:hAnsi="仿宋_GB2312" w:eastAsia="仿宋_GB2312" w:cs="仿宋_GB2312"/>
          <w:color w:val="auto"/>
          <w:kern w:val="2"/>
          <w:sz w:val="32"/>
          <w:szCs w:val="32"/>
          <w:highlight w:val="none"/>
          <w:lang w:val="en-US" w:eastAsia="zh-CN" w:bidi="ar-SA"/>
        </w:rPr>
        <w:t>广泛</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结构合理</w:t>
      </w:r>
      <w:r>
        <w:rPr>
          <w:rFonts w:hint="default" w:ascii="仿宋_GB2312" w:hAnsi="仿宋_GB2312" w:eastAsia="仿宋_GB2312" w:cs="仿宋_GB2312"/>
          <w:color w:val="auto"/>
          <w:kern w:val="2"/>
          <w:sz w:val="32"/>
          <w:szCs w:val="32"/>
          <w:highlight w:val="none"/>
          <w:lang w:val="en-US" w:eastAsia="zh-CN" w:bidi="ar-SA"/>
        </w:rPr>
        <w:t>、智能</w:t>
      </w:r>
      <w:r>
        <w:rPr>
          <w:rFonts w:hint="eastAsia" w:ascii="仿宋_GB2312" w:hAnsi="仿宋_GB2312" w:eastAsia="仿宋_GB2312" w:cs="仿宋_GB2312"/>
          <w:color w:val="auto"/>
          <w:kern w:val="2"/>
          <w:sz w:val="32"/>
          <w:szCs w:val="32"/>
          <w:highlight w:val="none"/>
          <w:lang w:val="en-US" w:eastAsia="zh-CN" w:bidi="ar-SA"/>
        </w:rPr>
        <w:t>高效、适度超前</w:t>
      </w:r>
      <w:r>
        <w:rPr>
          <w:rFonts w:hint="default" w:ascii="仿宋_GB2312" w:hAnsi="仿宋_GB2312" w:eastAsia="仿宋_GB2312" w:cs="仿宋_GB2312"/>
          <w:color w:val="auto"/>
          <w:kern w:val="2"/>
          <w:sz w:val="32"/>
          <w:szCs w:val="32"/>
          <w:highlight w:val="none"/>
          <w:lang w:val="en-US" w:eastAsia="zh-CN" w:bidi="ar-SA"/>
        </w:rPr>
        <w:t>的城乡充电基础设施</w:t>
      </w:r>
      <w:r>
        <w:rPr>
          <w:rFonts w:hint="eastAsia" w:ascii="仿宋_GB2312" w:hAnsi="仿宋_GB2312" w:eastAsia="仿宋_GB2312" w:cs="仿宋_GB2312"/>
          <w:color w:val="auto"/>
          <w:kern w:val="2"/>
          <w:sz w:val="32"/>
          <w:szCs w:val="32"/>
          <w:highlight w:val="none"/>
          <w:lang w:val="en-US" w:eastAsia="zh-CN" w:bidi="ar-SA"/>
        </w:rPr>
        <w:t>网络</w:t>
      </w:r>
      <w:r>
        <w:rPr>
          <w:rFonts w:hint="default" w:ascii="仿宋_GB2312" w:hAnsi="仿宋_GB2312" w:eastAsia="仿宋_GB2312" w:cs="仿宋_GB2312"/>
          <w:color w:val="auto"/>
          <w:kern w:val="2"/>
          <w:sz w:val="32"/>
          <w:szCs w:val="32"/>
          <w:highlight w:val="none"/>
          <w:lang w:val="en-US" w:eastAsia="zh-CN" w:bidi="ar-SA"/>
        </w:rPr>
        <w:t>。</w:t>
      </w:r>
    </w:p>
    <w:p w14:paraId="1CBC8DE1">
      <w:pPr>
        <w:pStyle w:val="4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提升</w:t>
      </w:r>
      <w:r>
        <w:rPr>
          <w:rFonts w:hint="default" w:ascii="Times New Roman" w:hAnsi="Times New Roman" w:eastAsia="仿宋_GB2312" w:cs="Times New Roman"/>
          <w:b/>
          <w:bCs/>
          <w:color w:val="auto"/>
          <w:sz w:val="32"/>
          <w:szCs w:val="32"/>
          <w:highlight w:val="none"/>
          <w:lang w:eastAsia="zh-CN"/>
        </w:rPr>
        <w:t>韧性能源供应链水平。</w:t>
      </w:r>
      <w:r>
        <w:rPr>
          <w:rFonts w:hint="eastAsia" w:ascii="Times New Roman" w:hAnsi="Times New Roman" w:eastAsia="仿宋_GB2312" w:cs="Times New Roman"/>
          <w:b w:val="0"/>
          <w:bCs w:val="0"/>
          <w:color w:val="auto"/>
          <w:sz w:val="32"/>
          <w:szCs w:val="32"/>
          <w:highlight w:val="none"/>
          <w:lang w:eastAsia="zh-CN"/>
        </w:rPr>
        <w:t>持续</w:t>
      </w:r>
      <w:r>
        <w:rPr>
          <w:rFonts w:hint="eastAsia" w:ascii="仿宋_GB2312" w:hAnsi="仿宋_GB2312" w:eastAsia="仿宋_GB2312" w:cs="仿宋_GB2312"/>
          <w:color w:val="auto"/>
          <w:kern w:val="2"/>
          <w:sz w:val="32"/>
          <w:szCs w:val="32"/>
          <w:highlight w:val="none"/>
          <w:lang w:val="en-US" w:eastAsia="zh-CN" w:bidi="ar-SA"/>
        </w:rPr>
        <w:t>推动落实</w:t>
      </w:r>
      <w:r>
        <w:rPr>
          <w:rFonts w:hint="default" w:ascii="仿宋_GB2312" w:hAnsi="仿宋_GB2312" w:eastAsia="仿宋_GB2312" w:cs="仿宋_GB2312"/>
          <w:color w:val="auto"/>
          <w:kern w:val="2"/>
          <w:sz w:val="32"/>
          <w:szCs w:val="32"/>
          <w:highlight w:val="none"/>
          <w:lang w:val="en-US" w:eastAsia="zh-CN" w:bidi="ar-SA"/>
        </w:rPr>
        <w:t>新一轮“获得电力”服务水平提升政策，全力</w:t>
      </w:r>
      <w:r>
        <w:rPr>
          <w:rFonts w:hint="eastAsia" w:ascii="仿宋_GB2312" w:hAnsi="仿宋_GB2312" w:eastAsia="仿宋_GB2312" w:cs="仿宋_GB2312"/>
          <w:color w:val="auto"/>
          <w:kern w:val="2"/>
          <w:sz w:val="32"/>
          <w:szCs w:val="32"/>
          <w:highlight w:val="none"/>
          <w:lang w:val="en-US" w:eastAsia="zh-CN" w:bidi="ar-SA"/>
        </w:rPr>
        <w:t>构建</w:t>
      </w:r>
      <w:r>
        <w:rPr>
          <w:rFonts w:hint="default" w:ascii="仿宋_GB2312" w:hAnsi="仿宋_GB2312" w:eastAsia="仿宋_GB2312" w:cs="仿宋_GB2312"/>
          <w:color w:val="auto"/>
          <w:kern w:val="2"/>
          <w:sz w:val="32"/>
          <w:szCs w:val="32"/>
          <w:highlight w:val="none"/>
          <w:lang w:val="en-US" w:eastAsia="zh-CN" w:bidi="ar-SA"/>
        </w:rPr>
        <w:t>现代化用电营商环境</w:t>
      </w:r>
      <w:r>
        <w:rPr>
          <w:rFonts w:hint="eastAsia" w:ascii="仿宋_GB2312" w:hAnsi="仿宋_GB2312" w:eastAsia="仿宋_GB2312" w:cs="仿宋_GB2312"/>
          <w:color w:val="auto"/>
          <w:kern w:val="2"/>
          <w:sz w:val="32"/>
          <w:szCs w:val="32"/>
          <w:highlight w:val="none"/>
          <w:lang w:val="en-US" w:eastAsia="zh-CN" w:bidi="ar-SA"/>
        </w:rPr>
        <w:t>，进一步压缩办电成本和时间</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支持</w:t>
      </w:r>
      <w:r>
        <w:rPr>
          <w:rFonts w:hint="default" w:ascii="仿宋_GB2312" w:hAnsi="仿宋_GB2312" w:eastAsia="仿宋_GB2312" w:cs="仿宋_GB2312"/>
          <w:color w:val="auto"/>
          <w:kern w:val="2"/>
          <w:sz w:val="32"/>
          <w:szCs w:val="32"/>
          <w:highlight w:val="none"/>
          <w:lang w:val="en-US" w:eastAsia="zh-CN" w:bidi="ar-SA"/>
        </w:rPr>
        <w:t>油气基础设施更新改造</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鼓励企业对</w:t>
      </w:r>
      <w:r>
        <w:rPr>
          <w:rFonts w:hint="eastAsia" w:ascii="仿宋_GB2312" w:hAnsi="仿宋_GB2312" w:eastAsia="仿宋_GB2312" w:cs="仿宋_GB2312"/>
          <w:color w:val="auto"/>
          <w:kern w:val="2"/>
          <w:sz w:val="32"/>
          <w:szCs w:val="32"/>
          <w:highlight w:val="none"/>
          <w:lang w:val="en-US" w:eastAsia="zh-CN" w:bidi="ar-SA"/>
        </w:rPr>
        <w:t>标</w:t>
      </w:r>
      <w:r>
        <w:rPr>
          <w:rFonts w:hint="default" w:ascii="仿宋_GB2312" w:hAnsi="仿宋_GB2312" w:eastAsia="仿宋_GB2312" w:cs="仿宋_GB2312"/>
          <w:color w:val="auto"/>
          <w:kern w:val="2"/>
          <w:sz w:val="32"/>
          <w:szCs w:val="32"/>
          <w:highlight w:val="none"/>
          <w:lang w:val="en-US" w:eastAsia="zh-CN" w:bidi="ar-SA"/>
        </w:rPr>
        <w:t>国家可再生能源能效标杆和基准水平，</w:t>
      </w:r>
      <w:r>
        <w:rPr>
          <w:rFonts w:hint="eastAsia" w:ascii="仿宋_GB2312" w:hAnsi="仿宋_GB2312" w:eastAsia="仿宋_GB2312" w:cs="仿宋_GB2312"/>
          <w:color w:val="auto"/>
          <w:kern w:val="2"/>
          <w:sz w:val="32"/>
          <w:szCs w:val="32"/>
          <w:highlight w:val="none"/>
          <w:lang w:val="en-US" w:eastAsia="zh-CN" w:bidi="ar-SA"/>
        </w:rPr>
        <w:t>对已建成的</w:t>
      </w:r>
      <w:r>
        <w:rPr>
          <w:rFonts w:hint="default" w:ascii="仿宋_GB2312" w:hAnsi="仿宋_GB2312" w:eastAsia="仿宋_GB2312" w:cs="仿宋_GB2312"/>
          <w:color w:val="auto"/>
          <w:kern w:val="2"/>
          <w:sz w:val="32"/>
          <w:szCs w:val="32"/>
          <w:highlight w:val="none"/>
          <w:lang w:val="en-US" w:eastAsia="zh-CN" w:bidi="ar-SA"/>
        </w:rPr>
        <w:t>风电</w:t>
      </w:r>
      <w:r>
        <w:rPr>
          <w:rFonts w:hint="eastAsia" w:ascii="仿宋_GB2312" w:hAnsi="仿宋_GB2312" w:eastAsia="仿宋_GB2312" w:cs="仿宋_GB2312"/>
          <w:color w:val="auto"/>
          <w:kern w:val="2"/>
          <w:sz w:val="32"/>
          <w:szCs w:val="32"/>
          <w:highlight w:val="none"/>
          <w:lang w:val="en-US" w:eastAsia="zh-CN" w:bidi="ar-SA"/>
        </w:rPr>
        <w:t>项目有序实施</w:t>
      </w:r>
      <w:r>
        <w:rPr>
          <w:rFonts w:hint="default" w:ascii="仿宋_GB2312" w:hAnsi="仿宋_GB2312" w:eastAsia="仿宋_GB2312" w:cs="仿宋_GB2312"/>
          <w:color w:val="auto"/>
          <w:kern w:val="2"/>
          <w:sz w:val="32"/>
          <w:szCs w:val="32"/>
          <w:highlight w:val="none"/>
          <w:lang w:val="en-US" w:eastAsia="zh-CN" w:bidi="ar-SA"/>
        </w:rPr>
        <w:t>设备改造</w:t>
      </w:r>
      <w:r>
        <w:rPr>
          <w:rFonts w:hint="eastAsia" w:ascii="仿宋_GB2312" w:hAnsi="仿宋_GB2312" w:eastAsia="仿宋_GB2312" w:cs="仿宋_GB2312"/>
          <w:color w:val="auto"/>
          <w:kern w:val="2"/>
          <w:sz w:val="32"/>
          <w:szCs w:val="32"/>
          <w:highlight w:val="none"/>
          <w:lang w:val="en-US" w:eastAsia="zh-CN" w:bidi="ar-SA"/>
        </w:rPr>
        <w:t>与技术</w:t>
      </w:r>
      <w:r>
        <w:rPr>
          <w:rFonts w:hint="default" w:ascii="仿宋_GB2312" w:hAnsi="仿宋_GB2312" w:eastAsia="仿宋_GB2312" w:cs="仿宋_GB2312"/>
          <w:color w:val="auto"/>
          <w:kern w:val="2"/>
          <w:sz w:val="32"/>
          <w:szCs w:val="32"/>
          <w:highlight w:val="none"/>
          <w:lang w:val="en-US" w:eastAsia="zh-CN" w:bidi="ar-SA"/>
        </w:rPr>
        <w:t>升级，提升发电效率、</w:t>
      </w:r>
      <w:r>
        <w:rPr>
          <w:rFonts w:hint="eastAsia" w:ascii="仿宋_GB2312" w:hAnsi="仿宋_GB2312" w:eastAsia="仿宋_GB2312" w:cs="仿宋_GB2312"/>
          <w:color w:val="auto"/>
          <w:kern w:val="2"/>
          <w:sz w:val="32"/>
          <w:szCs w:val="32"/>
          <w:highlight w:val="none"/>
          <w:lang w:val="en-US" w:eastAsia="zh-CN" w:bidi="ar-SA"/>
        </w:rPr>
        <w:t>运行</w:t>
      </w:r>
      <w:r>
        <w:rPr>
          <w:rFonts w:hint="default" w:ascii="仿宋_GB2312" w:hAnsi="仿宋_GB2312" w:eastAsia="仿宋_GB2312" w:cs="仿宋_GB2312"/>
          <w:color w:val="auto"/>
          <w:kern w:val="2"/>
          <w:sz w:val="32"/>
          <w:szCs w:val="32"/>
          <w:highlight w:val="none"/>
          <w:lang w:val="en-US" w:eastAsia="zh-CN" w:bidi="ar-SA"/>
        </w:rPr>
        <w:t>安全性和</w:t>
      </w:r>
      <w:r>
        <w:rPr>
          <w:rFonts w:hint="eastAsia" w:ascii="仿宋_GB2312" w:hAnsi="仿宋_GB2312" w:eastAsia="仿宋_GB2312" w:cs="仿宋_GB2312"/>
          <w:color w:val="auto"/>
          <w:kern w:val="2"/>
          <w:sz w:val="32"/>
          <w:szCs w:val="32"/>
          <w:highlight w:val="none"/>
          <w:lang w:val="en-US" w:eastAsia="zh-CN" w:bidi="ar-SA"/>
        </w:rPr>
        <w:t>项目</w:t>
      </w:r>
      <w:r>
        <w:rPr>
          <w:rFonts w:hint="default" w:ascii="仿宋_GB2312" w:hAnsi="仿宋_GB2312" w:eastAsia="仿宋_GB2312" w:cs="仿宋_GB2312"/>
          <w:color w:val="auto"/>
          <w:kern w:val="2"/>
          <w:sz w:val="32"/>
          <w:szCs w:val="32"/>
          <w:highlight w:val="none"/>
          <w:lang w:val="en-US" w:eastAsia="zh-CN" w:bidi="ar-SA"/>
        </w:rPr>
        <w:t>经济性。</w:t>
      </w:r>
      <w:r>
        <w:rPr>
          <w:rFonts w:hint="eastAsia" w:ascii="Times New Roman" w:hAnsi="Times New Roman" w:eastAsia="仿宋_GB2312" w:cs="Times New Roman"/>
          <w:color w:val="auto"/>
          <w:sz w:val="32"/>
          <w:szCs w:val="40"/>
          <w:highlight w:val="none"/>
          <w:lang w:val="en-US" w:eastAsia="zh-CN"/>
        </w:rPr>
        <w:t>加快</w:t>
      </w:r>
      <w:r>
        <w:rPr>
          <w:rFonts w:hint="default" w:ascii="Times New Roman" w:hAnsi="Times New Roman" w:eastAsia="仿宋_GB2312" w:cs="Times New Roman"/>
          <w:color w:val="auto"/>
          <w:sz w:val="32"/>
          <w:szCs w:val="40"/>
          <w:highlight w:val="none"/>
          <w:lang w:val="en-US" w:eastAsia="zh-CN"/>
        </w:rPr>
        <w:t>推进对亭水利枢纽建设</w:t>
      </w:r>
      <w:r>
        <w:rPr>
          <w:rFonts w:hint="eastAsia" w:ascii="Times New Roman" w:hAnsi="Times New Roman" w:eastAsia="仿宋_GB2312" w:cs="Times New Roman"/>
          <w:color w:val="auto"/>
          <w:sz w:val="32"/>
          <w:szCs w:val="40"/>
          <w:highlight w:val="none"/>
          <w:lang w:val="en-US" w:eastAsia="zh-CN"/>
        </w:rPr>
        <w:t>和</w:t>
      </w:r>
      <w:r>
        <w:rPr>
          <w:rFonts w:hint="default" w:ascii="Times New Roman" w:hAnsi="Times New Roman" w:eastAsia="仿宋_GB2312" w:cs="Times New Roman"/>
          <w:color w:val="auto"/>
          <w:sz w:val="32"/>
          <w:szCs w:val="40"/>
          <w:highlight w:val="none"/>
          <w:lang w:val="en-US" w:eastAsia="zh-CN"/>
        </w:rPr>
        <w:t>洛清江干流梯级水电站开发。</w:t>
      </w:r>
      <w:r>
        <w:rPr>
          <w:rFonts w:hint="eastAsia" w:ascii="Times New Roman" w:hAnsi="Times New Roman" w:eastAsia="仿宋_GB2312" w:cs="Times New Roman"/>
          <w:b w:val="0"/>
          <w:bCs w:val="0"/>
          <w:color w:val="auto"/>
          <w:sz w:val="32"/>
          <w:szCs w:val="32"/>
          <w:highlight w:val="none"/>
          <w:lang w:eastAsia="zh-CN"/>
        </w:rPr>
        <w:t>全力推动</w:t>
      </w:r>
      <w:r>
        <w:rPr>
          <w:rFonts w:hint="default" w:ascii="Times New Roman" w:hAnsi="Times New Roman" w:eastAsia="仿宋_GB2312" w:cs="Times New Roman"/>
          <w:b w:val="0"/>
          <w:bCs w:val="0"/>
          <w:color w:val="auto"/>
          <w:sz w:val="32"/>
          <w:szCs w:val="32"/>
          <w:highlight w:val="none"/>
          <w:lang w:val="en-US" w:eastAsia="zh-CN"/>
        </w:rPr>
        <w:t>马龙变电站等送变电工程</w:t>
      </w:r>
      <w:r>
        <w:rPr>
          <w:rFonts w:hint="eastAsia" w:ascii="Times New Roman" w:hAnsi="Times New Roman" w:eastAsia="仿宋_GB2312" w:cs="Times New Roman"/>
          <w:b w:val="0"/>
          <w:bCs w:val="0"/>
          <w:color w:val="auto"/>
          <w:sz w:val="32"/>
          <w:szCs w:val="32"/>
          <w:highlight w:val="none"/>
          <w:lang w:val="en-US" w:eastAsia="zh-CN"/>
        </w:rPr>
        <w:t>建设</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eastAsia="zh-CN"/>
        </w:rPr>
        <w:t>不断增强</w:t>
      </w:r>
      <w:r>
        <w:rPr>
          <w:rFonts w:hint="default" w:ascii="Times New Roman" w:hAnsi="Times New Roman" w:eastAsia="仿宋_GB2312" w:cs="Times New Roman"/>
          <w:b w:val="0"/>
          <w:bCs w:val="0"/>
          <w:color w:val="auto"/>
          <w:sz w:val="32"/>
          <w:szCs w:val="32"/>
          <w:highlight w:val="none"/>
        </w:rPr>
        <w:t>配电网接纳能力、适应能力</w:t>
      </w:r>
      <w:r>
        <w:rPr>
          <w:rFonts w:hint="eastAsia" w:ascii="Times New Roman" w:hAnsi="Times New Roman" w:eastAsia="仿宋_GB2312" w:cs="Times New Roman"/>
          <w:b w:val="0"/>
          <w:bCs w:val="0"/>
          <w:color w:val="auto"/>
          <w:sz w:val="32"/>
          <w:szCs w:val="32"/>
          <w:highlight w:val="none"/>
          <w:lang w:eastAsia="zh-CN"/>
        </w:rPr>
        <w:t>与供电</w:t>
      </w:r>
      <w:r>
        <w:rPr>
          <w:rFonts w:hint="default" w:ascii="Times New Roman" w:hAnsi="Times New Roman" w:eastAsia="仿宋_GB2312" w:cs="Times New Roman"/>
          <w:b w:val="0"/>
          <w:bCs w:val="0"/>
          <w:color w:val="auto"/>
          <w:sz w:val="32"/>
          <w:szCs w:val="32"/>
          <w:highlight w:val="none"/>
        </w:rPr>
        <w:t>可靠性</w:t>
      </w:r>
      <w:r>
        <w:rPr>
          <w:rFonts w:hint="default" w:ascii="Times New Roman" w:hAnsi="Times New Roman" w:eastAsia="仿宋_GB2312" w:cs="Times New Roman"/>
          <w:b w:val="0"/>
          <w:bCs w:val="0"/>
          <w:color w:val="auto"/>
          <w:sz w:val="32"/>
          <w:szCs w:val="32"/>
          <w:highlight w:val="none"/>
          <w:lang w:eastAsia="zh-CN"/>
        </w:rPr>
        <w:t>。</w:t>
      </w:r>
    </w:p>
    <w:p w14:paraId="6B0126FE">
      <w:pPr>
        <w:rPr>
          <w:rFonts w:hint="default"/>
          <w:color w:val="auto"/>
          <w:highlight w:val="none"/>
          <w:lang w:eastAsia="zh-CN"/>
        </w:rPr>
      </w:pPr>
    </w:p>
    <w:bookmarkEnd w:id="216"/>
    <w:tbl>
      <w:tblPr>
        <w:tblStyle w:val="21"/>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14:paraId="38C5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8504" w:type="dxa"/>
            <w:vAlign w:val="center"/>
          </w:tcPr>
          <w:p w14:paraId="32CC2B57">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能源领域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点实施</w:t>
            </w:r>
            <w:r>
              <w:rPr>
                <w:rFonts w:hint="default" w:ascii="Times New Roman" w:hAnsi="Times New Roman" w:cs="Times New Roman"/>
                <w:color w:val="auto"/>
                <w:highlight w:val="none"/>
              </w:rPr>
              <w:t>项目</w:t>
            </w:r>
          </w:p>
        </w:tc>
      </w:tr>
      <w:tr w14:paraId="494D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8504" w:type="dxa"/>
          </w:tcPr>
          <w:p w14:paraId="41A99876">
            <w:pPr>
              <w:pStyle w:val="54"/>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cs="Times New Roman"/>
                <w:b w:val="0"/>
                <w:bCs/>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推进</w:t>
            </w:r>
            <w:r>
              <w:rPr>
                <w:rFonts w:hint="eastAsia" w:cs="Times New Roman"/>
                <w:color w:val="auto"/>
                <w:sz w:val="28"/>
                <w:szCs w:val="28"/>
                <w:highlight w:val="none"/>
                <w:lang w:val="en-US" w:eastAsia="zh-CN"/>
              </w:rPr>
              <w:t>昆柳龙直流稳控储能汇集站、汽车零部件园区微电网、古偿河水库坝后电站、综合能源电站、农村电网升级改造、鹿寨35kV送变电工程、220kV清江（鹿南）站送变电工程、</w:t>
            </w:r>
            <w:r>
              <w:rPr>
                <w:rFonts w:hint="eastAsia"/>
                <w:b w:val="0"/>
                <w:bCs/>
                <w:color w:val="auto"/>
                <w:sz w:val="28"/>
                <w:szCs w:val="28"/>
                <w:highlight w:val="none"/>
              </w:rPr>
              <w:t>洛清江对亭水利枢纽</w:t>
            </w:r>
            <w:r>
              <w:rPr>
                <w:rFonts w:hint="eastAsia"/>
                <w:b w:val="0"/>
                <w:bCs/>
                <w:color w:val="auto"/>
                <w:sz w:val="28"/>
                <w:szCs w:val="28"/>
                <w:highlight w:val="none"/>
                <w:lang w:eastAsia="zh-CN"/>
              </w:rPr>
              <w:t>、</w:t>
            </w:r>
            <w:r>
              <w:rPr>
                <w:rFonts w:hint="eastAsia" w:cs="Times New Roman"/>
                <w:color w:val="auto"/>
                <w:sz w:val="28"/>
                <w:szCs w:val="28"/>
                <w:highlight w:val="none"/>
                <w:lang w:val="en-US" w:eastAsia="zh-CN"/>
              </w:rPr>
              <w:t>鹿寨燃气用户“瓶改管”</w:t>
            </w:r>
            <w:r>
              <w:rPr>
                <w:rFonts w:hint="eastAsia"/>
                <w:b w:val="0"/>
                <w:bCs/>
                <w:color w:val="auto"/>
                <w:sz w:val="28"/>
                <w:szCs w:val="28"/>
                <w:highlight w:val="none"/>
                <w:lang w:val="en-US" w:eastAsia="zh-CN"/>
              </w:rPr>
              <w:t>等项目</w:t>
            </w:r>
            <w:r>
              <w:rPr>
                <w:rFonts w:hint="eastAsia" w:ascii="Times New Roman" w:hAnsi="Times New Roman" w:cs="Times New Roman"/>
                <w:color w:val="auto"/>
                <w:sz w:val="28"/>
                <w:szCs w:val="28"/>
                <w:highlight w:val="none"/>
                <w:lang w:val="zh-TW" w:eastAsia="zh-CN"/>
              </w:rPr>
              <w:t>。</w:t>
            </w:r>
          </w:p>
        </w:tc>
      </w:tr>
    </w:tbl>
    <w:p w14:paraId="45D8FBF6">
      <w:pPr>
        <w:pStyle w:val="2"/>
        <w:bidi w:val="0"/>
        <w:rPr>
          <w:rFonts w:hint="eastAsia"/>
          <w:color w:val="auto"/>
          <w:sz w:val="36"/>
          <w:szCs w:val="36"/>
          <w:highlight w:val="none"/>
          <w:lang w:val="en-US" w:eastAsia="zh-CN"/>
        </w:rPr>
      </w:pPr>
    </w:p>
    <w:p w14:paraId="3CAD1DEC">
      <w:pPr>
        <w:pStyle w:val="5"/>
        <w:bidi w:val="0"/>
        <w:jc w:val="center"/>
        <w:outlineLvl w:val="0"/>
        <w:rPr>
          <w:rFonts w:hint="default"/>
          <w:b w:val="0"/>
          <w:bCs/>
          <w:color w:val="auto"/>
          <w:sz w:val="36"/>
          <w:szCs w:val="36"/>
          <w:highlight w:val="none"/>
          <w:lang w:val="en-US" w:eastAsia="zh-CN"/>
        </w:rPr>
      </w:pPr>
      <w:bookmarkStart w:id="217" w:name="_Toc25846"/>
      <w:bookmarkStart w:id="218" w:name="_Toc31941"/>
      <w:r>
        <w:rPr>
          <w:rFonts w:hint="default"/>
          <w:b w:val="0"/>
          <w:bCs/>
          <w:color w:val="auto"/>
          <w:sz w:val="36"/>
          <w:szCs w:val="36"/>
          <w:highlight w:val="none"/>
          <w:lang w:val="en-US" w:eastAsia="zh-CN"/>
        </w:rPr>
        <w:t>第四节  系统</w:t>
      </w:r>
      <w:r>
        <w:rPr>
          <w:rFonts w:hint="eastAsia"/>
          <w:b w:val="0"/>
          <w:bCs/>
          <w:color w:val="auto"/>
          <w:sz w:val="36"/>
          <w:szCs w:val="36"/>
          <w:highlight w:val="none"/>
          <w:lang w:val="en-US" w:eastAsia="zh-CN"/>
        </w:rPr>
        <w:t>推进</w:t>
      </w:r>
      <w:r>
        <w:rPr>
          <w:rFonts w:hint="default"/>
          <w:b w:val="0"/>
          <w:bCs/>
          <w:color w:val="auto"/>
          <w:sz w:val="36"/>
          <w:szCs w:val="36"/>
          <w:highlight w:val="none"/>
          <w:lang w:val="en-US" w:eastAsia="zh-CN"/>
        </w:rPr>
        <w:t>新型基础设施</w:t>
      </w:r>
      <w:r>
        <w:rPr>
          <w:rFonts w:hint="eastAsia"/>
          <w:b w:val="0"/>
          <w:bCs/>
          <w:color w:val="auto"/>
          <w:sz w:val="36"/>
          <w:szCs w:val="36"/>
          <w:highlight w:val="none"/>
          <w:lang w:val="en-US" w:eastAsia="zh-CN"/>
        </w:rPr>
        <w:t>建设</w:t>
      </w:r>
      <w:bookmarkEnd w:id="217"/>
      <w:bookmarkEnd w:id="218"/>
    </w:p>
    <w:p w14:paraId="0078774D">
      <w:pPr>
        <w:pStyle w:val="4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坚持实事求是、因地制宜，坚持科技创新、数字赋能，探索推动新一代信息技术与城</w:t>
      </w:r>
      <w:r>
        <w:rPr>
          <w:rFonts w:hint="eastAsia" w:ascii="仿宋_GB2312" w:hAnsi="仿宋_GB2312" w:eastAsia="仿宋_GB2312" w:cs="仿宋_GB2312"/>
          <w:color w:val="auto"/>
          <w:kern w:val="2"/>
          <w:sz w:val="32"/>
          <w:szCs w:val="32"/>
          <w:highlight w:val="none"/>
          <w:lang w:val="en-US" w:eastAsia="zh-CN" w:bidi="ar-SA"/>
        </w:rPr>
        <w:t>乡</w:t>
      </w:r>
      <w:r>
        <w:rPr>
          <w:rFonts w:hint="default" w:ascii="仿宋_GB2312" w:hAnsi="仿宋_GB2312" w:eastAsia="仿宋_GB2312" w:cs="仿宋_GB2312"/>
          <w:color w:val="auto"/>
          <w:kern w:val="2"/>
          <w:sz w:val="32"/>
          <w:szCs w:val="32"/>
          <w:highlight w:val="none"/>
          <w:lang w:val="en-US" w:eastAsia="zh-CN" w:bidi="ar-SA"/>
        </w:rPr>
        <w:t>基础设施建设深度融合，构建智能高效的新型城市基础设施体系，持续提升</w:t>
      </w:r>
      <w:r>
        <w:rPr>
          <w:rFonts w:hint="eastAsia" w:ascii="仿宋_GB2312" w:hAnsi="仿宋_GB2312" w:eastAsia="仿宋_GB2312" w:cs="仿宋_GB2312"/>
          <w:color w:val="auto"/>
          <w:kern w:val="2"/>
          <w:sz w:val="32"/>
          <w:szCs w:val="32"/>
          <w:highlight w:val="none"/>
          <w:lang w:val="en-US" w:eastAsia="zh-CN" w:bidi="ar-SA"/>
        </w:rPr>
        <w:t>城乡公共服务</w:t>
      </w:r>
      <w:r>
        <w:rPr>
          <w:rFonts w:hint="default" w:ascii="仿宋_GB2312" w:hAnsi="仿宋_GB2312" w:eastAsia="仿宋_GB2312" w:cs="仿宋_GB2312"/>
          <w:color w:val="auto"/>
          <w:kern w:val="2"/>
          <w:sz w:val="32"/>
          <w:szCs w:val="32"/>
          <w:highlight w:val="none"/>
          <w:lang w:val="en-US" w:eastAsia="zh-CN" w:bidi="ar-SA"/>
        </w:rPr>
        <w:t>设施韧性、管理韧性、空间韧性。</w:t>
      </w:r>
    </w:p>
    <w:p w14:paraId="0C9D064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bCs/>
          <w:color w:val="auto"/>
          <w:sz w:val="32"/>
          <w:szCs w:val="40"/>
          <w:highlight w:val="none"/>
          <w:lang w:val="en-US" w:eastAsia="zh-CN"/>
        </w:rPr>
        <w:t>构建城市新基建</w:t>
      </w:r>
      <w:r>
        <w:rPr>
          <w:rFonts w:hint="eastAsia" w:ascii="Times New Roman" w:hAnsi="Times New Roman" w:eastAsia="仿宋_GB2312" w:cs="Times New Roman"/>
          <w:b/>
          <w:bCs/>
          <w:color w:val="auto"/>
          <w:sz w:val="32"/>
          <w:szCs w:val="40"/>
          <w:highlight w:val="none"/>
          <w:lang w:val="en-US" w:eastAsia="zh-CN"/>
        </w:rPr>
        <w:t>，</w:t>
      </w:r>
      <w:r>
        <w:rPr>
          <w:rFonts w:hint="default" w:ascii="Times New Roman" w:hAnsi="Times New Roman" w:eastAsia="仿宋_GB2312" w:cs="Times New Roman"/>
          <w:b/>
          <w:bCs/>
          <w:color w:val="auto"/>
          <w:sz w:val="32"/>
          <w:szCs w:val="40"/>
          <w:highlight w:val="none"/>
          <w:lang w:val="en-US" w:eastAsia="zh-CN"/>
        </w:rPr>
        <w:t>筑牢智慧底座。</w:t>
      </w:r>
      <w:r>
        <w:rPr>
          <w:rFonts w:hint="default" w:ascii="Times New Roman" w:hAnsi="Times New Roman" w:eastAsia="仿宋_GB2312" w:cs="Times New Roman"/>
          <w:b w:val="0"/>
          <w:bCs w:val="0"/>
          <w:color w:val="auto"/>
          <w:sz w:val="32"/>
          <w:szCs w:val="40"/>
          <w:highlight w:val="none"/>
          <w:lang w:val="en-US" w:eastAsia="zh-CN"/>
        </w:rPr>
        <w:t>夯实智能化综合性数字基础设施，升级高速网络，实施</w:t>
      </w:r>
      <w:r>
        <w:rPr>
          <w:rFonts w:hint="eastAsia" w:ascii="仿宋_GB2312" w:hAnsi="仿宋_GB2312" w:eastAsia="仿宋_GB2312" w:cs="仿宋_GB2312"/>
          <w:b w:val="0"/>
          <w:bCs w:val="0"/>
          <w:color w:val="auto"/>
          <w:sz w:val="32"/>
          <w:szCs w:val="40"/>
          <w:highlight w:val="none"/>
          <w:lang w:val="en-US" w:eastAsia="zh-CN"/>
        </w:rPr>
        <w:t>“双千兆”</w:t>
      </w:r>
      <w:r>
        <w:rPr>
          <w:rStyle w:val="25"/>
          <w:rFonts w:hint="default" w:ascii="Times New Roman" w:hAnsi="Times New Roman" w:eastAsia="仿宋_GB2312" w:cs="Times New Roman"/>
          <w:b w:val="0"/>
          <w:bCs w:val="0"/>
          <w:color w:val="auto"/>
          <w:sz w:val="32"/>
          <w:szCs w:val="40"/>
          <w:highlight w:val="none"/>
          <w:lang w:val="en-US" w:eastAsia="zh-CN"/>
        </w:rPr>
        <w:t>[</w:t>
      </w:r>
      <w:r>
        <w:rPr>
          <w:rStyle w:val="25"/>
          <w:rFonts w:hint="default" w:ascii="Times New Roman" w:hAnsi="Times New Roman" w:eastAsia="仿宋_GB2312" w:cs="Times New Roman"/>
          <w:b w:val="0"/>
          <w:bCs w:val="0"/>
          <w:color w:val="auto"/>
          <w:sz w:val="32"/>
          <w:szCs w:val="40"/>
          <w:highlight w:val="none"/>
          <w:lang w:val="en-US" w:eastAsia="zh-CN"/>
        </w:rPr>
        <w:endnoteReference w:id="16"/>
      </w:r>
      <w:r>
        <w:rPr>
          <w:rStyle w:val="25"/>
          <w:rFonts w:hint="default" w:ascii="Times New Roman" w:hAnsi="Times New Roman" w:eastAsia="仿宋_GB2312" w:cs="Times New Roman"/>
          <w:b w:val="0"/>
          <w:bCs w:val="0"/>
          <w:color w:val="auto"/>
          <w:sz w:val="32"/>
          <w:szCs w:val="40"/>
          <w:highlight w:val="none"/>
          <w:lang w:val="en-US" w:eastAsia="zh-CN"/>
        </w:rPr>
        <w:t>]</w:t>
      </w:r>
      <w:r>
        <w:rPr>
          <w:rFonts w:hint="eastAsia" w:ascii="仿宋_GB2312" w:hAnsi="仿宋_GB2312" w:eastAsia="仿宋_GB2312" w:cs="仿宋_GB2312"/>
          <w:b w:val="0"/>
          <w:bCs w:val="0"/>
          <w:color w:val="auto"/>
          <w:sz w:val="32"/>
          <w:szCs w:val="40"/>
          <w:highlight w:val="none"/>
          <w:lang w:val="en-US" w:eastAsia="zh-CN"/>
        </w:rPr>
        <w:t>网</w:t>
      </w:r>
      <w:r>
        <w:rPr>
          <w:rFonts w:hint="default" w:ascii="Times New Roman" w:hAnsi="Times New Roman" w:eastAsia="仿宋_GB2312" w:cs="Times New Roman"/>
          <w:b w:val="0"/>
          <w:bCs w:val="0"/>
          <w:color w:val="auto"/>
          <w:sz w:val="32"/>
          <w:szCs w:val="40"/>
          <w:highlight w:val="none"/>
          <w:lang w:val="en-US" w:eastAsia="zh-CN"/>
        </w:rPr>
        <w:t>络协同行动计划，提</w:t>
      </w:r>
      <w:r>
        <w:rPr>
          <w:rFonts w:hint="eastAsia" w:ascii="仿宋_GB2312" w:hAnsi="仿宋_GB2312" w:eastAsia="仿宋_GB2312" w:cs="仿宋_GB2312"/>
          <w:b w:val="0"/>
          <w:bCs w:val="0"/>
          <w:color w:val="auto"/>
          <w:sz w:val="32"/>
          <w:szCs w:val="40"/>
          <w:highlight w:val="none"/>
          <w:lang w:val="en-US" w:eastAsia="zh-CN"/>
        </w:rPr>
        <w:t>升</w:t>
      </w:r>
      <w:r>
        <w:rPr>
          <w:rFonts w:hint="default" w:ascii="Times New Roman" w:hAnsi="Times New Roman" w:eastAsia="仿宋_GB2312" w:cs="Times New Roman"/>
          <w:b w:val="0"/>
          <w:bCs w:val="0"/>
          <w:color w:val="auto"/>
          <w:sz w:val="32"/>
          <w:szCs w:val="40"/>
          <w:highlight w:val="none"/>
          <w:lang w:val="en-US" w:eastAsia="zh-CN"/>
        </w:rPr>
        <w:t>城乡光纤网络覆盖质量与接入能力，在产业园区、重点乡镇、交通枢纽等区域推进深度覆盖，推动数据中心、通信基站等数字基础设施的绿色化改造，提升效能水平。深化数据资源</w:t>
      </w:r>
      <w:r>
        <w:rPr>
          <w:rFonts w:hint="eastAsia" w:ascii="Times New Roman" w:hAnsi="Times New Roman" w:eastAsia="仿宋_GB2312" w:cs="Times New Roman"/>
          <w:b w:val="0"/>
          <w:bCs w:val="0"/>
          <w:color w:val="auto"/>
          <w:sz w:val="32"/>
          <w:szCs w:val="40"/>
          <w:highlight w:val="none"/>
          <w:lang w:val="en-US" w:eastAsia="zh-CN"/>
        </w:rPr>
        <w:t>汇聚</w:t>
      </w:r>
      <w:r>
        <w:rPr>
          <w:rFonts w:hint="default" w:ascii="Times New Roman" w:hAnsi="Times New Roman" w:eastAsia="仿宋_GB2312" w:cs="Times New Roman"/>
          <w:b w:val="0"/>
          <w:bCs w:val="0"/>
          <w:color w:val="auto"/>
          <w:sz w:val="32"/>
          <w:szCs w:val="40"/>
          <w:highlight w:val="none"/>
          <w:lang w:val="en-US" w:eastAsia="zh-CN"/>
        </w:rPr>
        <w:t>治理，建立数据资源目录体系，实施数据分类分级管理，依托自治区、柳州市一体化数据平台，持续扩大公共数据汇聚范围，推动</w:t>
      </w:r>
      <w:r>
        <w:rPr>
          <w:rFonts w:hint="eastAsia" w:ascii="Times New Roman" w:hAnsi="Times New Roman" w:eastAsia="仿宋_GB2312" w:cs="Times New Roman"/>
          <w:b w:val="0"/>
          <w:bCs w:val="0"/>
          <w:color w:val="auto"/>
          <w:sz w:val="32"/>
          <w:szCs w:val="40"/>
          <w:highlight w:val="none"/>
          <w:lang w:val="en-US" w:eastAsia="zh-CN"/>
        </w:rPr>
        <w:t>政务服务</w:t>
      </w:r>
      <w:r>
        <w:rPr>
          <w:rFonts w:hint="default" w:ascii="Times New Roman" w:hAnsi="Times New Roman" w:eastAsia="仿宋_GB2312" w:cs="Times New Roman"/>
          <w:b w:val="0"/>
          <w:bCs w:val="0"/>
          <w:color w:val="auto"/>
          <w:sz w:val="32"/>
          <w:szCs w:val="40"/>
          <w:highlight w:val="none"/>
          <w:lang w:val="en-US" w:eastAsia="zh-CN"/>
        </w:rPr>
        <w:t>、民生服务、应急管理等领域数据共享，提升数据质量。探索数据开发利用，鼓励社会力量参与数据产品和服务开发，培育本地数据服务商，深化大数据分析在宏观决策、城市管理、风险预警、精准服务等方面的应用。</w:t>
      </w:r>
    </w:p>
    <w:p w14:paraId="594B15A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bCs/>
          <w:color w:val="auto"/>
          <w:sz w:val="32"/>
          <w:szCs w:val="40"/>
          <w:highlight w:val="none"/>
          <w:lang w:val="en-US" w:eastAsia="zh-CN"/>
        </w:rPr>
        <w:t>构建便捷高效的信息网络体系。</w:t>
      </w:r>
      <w:r>
        <w:rPr>
          <w:rFonts w:hint="default" w:ascii="Times New Roman" w:hAnsi="Times New Roman" w:eastAsia="仿宋_GB2312" w:cs="Times New Roman"/>
          <w:color w:val="auto"/>
          <w:sz w:val="32"/>
          <w:szCs w:val="40"/>
          <w:highlight w:val="none"/>
          <w:lang w:val="en-US" w:eastAsia="zh-CN"/>
        </w:rPr>
        <w:t>加快推动移动通信建设，布局6G网络，打</w:t>
      </w:r>
      <w:r>
        <w:rPr>
          <w:rFonts w:hint="eastAsia" w:ascii="仿宋_GB2312" w:hAnsi="仿宋_GB2312" w:eastAsia="仿宋_GB2312" w:cs="仿宋_GB2312"/>
          <w:color w:val="auto"/>
          <w:sz w:val="32"/>
          <w:szCs w:val="40"/>
          <w:highlight w:val="none"/>
          <w:lang w:val="en-US" w:eastAsia="zh-CN"/>
        </w:rPr>
        <w:t>造“数字鹿寨”全</w:t>
      </w:r>
      <w:r>
        <w:rPr>
          <w:rFonts w:hint="default" w:ascii="Times New Roman" w:hAnsi="Times New Roman" w:eastAsia="仿宋_GB2312" w:cs="Times New Roman"/>
          <w:color w:val="auto"/>
          <w:sz w:val="32"/>
          <w:szCs w:val="40"/>
          <w:highlight w:val="none"/>
          <w:lang w:val="en-US" w:eastAsia="zh-CN"/>
        </w:rPr>
        <w:t>域物联网平台，聚焦汽车零部件、农产品深加工等传统优势产业数字化转型，鼓励支持企业上云用数赋智，加</w:t>
      </w:r>
      <w:r>
        <w:rPr>
          <w:rFonts w:hint="eastAsia" w:ascii="仿宋_GB2312" w:hAnsi="仿宋_GB2312" w:eastAsia="仿宋_GB2312" w:cs="仿宋_GB2312"/>
          <w:color w:val="auto"/>
          <w:sz w:val="32"/>
          <w:szCs w:val="40"/>
          <w:highlight w:val="none"/>
          <w:lang w:val="en-US" w:eastAsia="zh-CN"/>
        </w:rPr>
        <w:t>快“</w:t>
      </w:r>
      <w:r>
        <w:rPr>
          <w:rFonts w:hint="default" w:ascii="Times New Roman" w:hAnsi="Times New Roman" w:eastAsia="仿宋_GB2312" w:cs="Times New Roman"/>
          <w:color w:val="auto"/>
          <w:sz w:val="32"/>
          <w:szCs w:val="40"/>
          <w:highlight w:val="none"/>
          <w:lang w:val="en-US" w:eastAsia="zh-CN"/>
        </w:rPr>
        <w:t>5G</w:t>
      </w:r>
      <w:r>
        <w:rPr>
          <w:rFonts w:hint="eastAsia" w:ascii="Times New Roman" w:hAnsi="Times New Roman" w:eastAsia="仿宋_GB2312" w:cs="Times New Roman"/>
          <w:color w:val="auto"/>
          <w:sz w:val="32"/>
          <w:szCs w:val="40"/>
          <w:highlight w:val="none"/>
          <w:lang w:val="en-US" w:eastAsia="zh-CN"/>
        </w:rPr>
        <w:t>+</w:t>
      </w:r>
      <w:r>
        <w:rPr>
          <w:rFonts w:hint="default" w:ascii="Times New Roman" w:hAnsi="Times New Roman" w:eastAsia="仿宋_GB2312" w:cs="Times New Roman"/>
          <w:color w:val="auto"/>
          <w:sz w:val="32"/>
          <w:szCs w:val="40"/>
          <w:highlight w:val="none"/>
          <w:lang w:val="en-US" w:eastAsia="zh-CN"/>
        </w:rPr>
        <w:t>工业互联网</w:t>
      </w:r>
      <w:r>
        <w:rPr>
          <w:rFonts w:hint="eastAsia" w:ascii="仿宋_GB2312" w:hAnsi="仿宋_GB2312" w:eastAsia="仿宋_GB2312" w:cs="仿宋_GB2312"/>
          <w:color w:val="auto"/>
          <w:sz w:val="32"/>
          <w:szCs w:val="40"/>
          <w:highlight w:val="none"/>
          <w:lang w:val="en-US" w:eastAsia="zh-CN"/>
        </w:rPr>
        <w:t>”场</w:t>
      </w:r>
      <w:r>
        <w:rPr>
          <w:rFonts w:hint="default" w:ascii="Times New Roman" w:hAnsi="Times New Roman" w:eastAsia="仿宋_GB2312" w:cs="Times New Roman"/>
          <w:color w:val="auto"/>
          <w:sz w:val="32"/>
          <w:szCs w:val="40"/>
          <w:highlight w:val="none"/>
          <w:lang w:val="en-US" w:eastAsia="zh-CN"/>
        </w:rPr>
        <w:t>景落地。深化</w:t>
      </w:r>
      <w:r>
        <w:rPr>
          <w:rFonts w:hint="eastAsia" w:ascii="仿宋_GB2312" w:hAnsi="仿宋_GB2312" w:eastAsia="仿宋_GB2312" w:cs="仿宋_GB2312"/>
          <w:color w:val="auto"/>
          <w:sz w:val="32"/>
          <w:szCs w:val="40"/>
          <w:highlight w:val="none"/>
          <w:lang w:val="en-US" w:eastAsia="zh-CN"/>
        </w:rPr>
        <w:t>“一网通办”改</w:t>
      </w:r>
      <w:r>
        <w:rPr>
          <w:rFonts w:hint="default" w:ascii="Times New Roman" w:hAnsi="Times New Roman" w:eastAsia="仿宋_GB2312" w:cs="Times New Roman"/>
          <w:color w:val="auto"/>
          <w:sz w:val="32"/>
          <w:szCs w:val="40"/>
          <w:highlight w:val="none"/>
          <w:lang w:val="en-US" w:eastAsia="zh-CN"/>
        </w:rPr>
        <w:t>革，推进乡村数字治理，促</w:t>
      </w:r>
      <w:r>
        <w:rPr>
          <w:rFonts w:hint="eastAsia" w:ascii="仿宋_GB2312" w:hAnsi="仿宋_GB2312" w:eastAsia="仿宋_GB2312" w:cs="仿宋_GB2312"/>
          <w:color w:val="auto"/>
          <w:sz w:val="32"/>
          <w:szCs w:val="40"/>
          <w:highlight w:val="none"/>
          <w:lang w:val="en-US" w:eastAsia="zh-CN"/>
        </w:rPr>
        <w:t>进“雪亮工程”</w:t>
      </w:r>
      <w:r>
        <w:rPr>
          <w:rFonts w:hint="default" w:ascii="Times New Roman" w:hAnsi="Times New Roman" w:eastAsia="仿宋_GB2312" w:cs="Times New Roman"/>
          <w:color w:val="auto"/>
          <w:sz w:val="32"/>
          <w:szCs w:val="40"/>
          <w:highlight w:val="none"/>
          <w:lang w:val="en-US" w:eastAsia="zh-CN"/>
        </w:rPr>
        <w:t>在乡村治理中的应用。</w:t>
      </w:r>
      <w:r>
        <w:rPr>
          <w:rFonts w:hint="eastAsia" w:ascii="Times New Roman" w:hAnsi="Times New Roman" w:eastAsia="仿宋_GB2312" w:cs="Times New Roman"/>
          <w:b w:val="0"/>
          <w:bCs w:val="0"/>
          <w:color w:val="auto"/>
          <w:sz w:val="32"/>
          <w:szCs w:val="40"/>
          <w:highlight w:val="none"/>
          <w:lang w:val="en-US" w:eastAsia="zh-CN"/>
        </w:rPr>
        <w:t>持续推进</w:t>
      </w:r>
      <w:r>
        <w:rPr>
          <w:rFonts w:hint="default" w:ascii="Times New Roman" w:hAnsi="Times New Roman" w:eastAsia="仿宋_GB2312" w:cs="Times New Roman"/>
          <w:b w:val="0"/>
          <w:bCs w:val="0"/>
          <w:color w:val="auto"/>
          <w:sz w:val="32"/>
          <w:szCs w:val="40"/>
          <w:highlight w:val="none"/>
          <w:lang w:val="en-US" w:eastAsia="zh-CN"/>
        </w:rPr>
        <w:t>新一代信息技术在交通、能源、水利、市政等管理领域以及教育、医疗、文化、社会保险等公共服务领域的应用推广，提升社会治理、公共服务等数字化智能水平。</w:t>
      </w:r>
    </w:p>
    <w:p w14:paraId="08039849">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auto"/>
          <w:kern w:val="2"/>
          <w:sz w:val="32"/>
          <w:szCs w:val="40"/>
          <w:highlight w:val="none"/>
          <w:lang w:val="en-US" w:eastAsia="zh-CN" w:bidi="ar-SA"/>
        </w:rPr>
      </w:pPr>
      <w:r>
        <w:rPr>
          <w:rFonts w:hint="default" w:ascii="Times New Roman" w:hAnsi="Times New Roman" w:eastAsia="仿宋_GB2312" w:cs="Times New Roman"/>
          <w:b/>
          <w:bCs/>
          <w:color w:val="auto"/>
          <w:kern w:val="2"/>
          <w:sz w:val="32"/>
          <w:szCs w:val="40"/>
          <w:highlight w:val="none"/>
          <w:lang w:val="en-US" w:eastAsia="zh-CN" w:bidi="ar-SA"/>
        </w:rPr>
        <w:t>提升</w:t>
      </w:r>
      <w:r>
        <w:rPr>
          <w:rFonts w:hint="eastAsia" w:ascii="Times New Roman" w:hAnsi="Times New Roman" w:eastAsia="仿宋_GB2312" w:cs="Times New Roman"/>
          <w:b/>
          <w:bCs/>
          <w:color w:val="auto"/>
          <w:kern w:val="2"/>
          <w:sz w:val="32"/>
          <w:szCs w:val="40"/>
          <w:highlight w:val="none"/>
          <w:lang w:val="en-US" w:eastAsia="zh-CN" w:bidi="ar-SA"/>
        </w:rPr>
        <w:t>设施要素管理韧性</w:t>
      </w:r>
      <w:r>
        <w:rPr>
          <w:rFonts w:hint="default" w:ascii="Times New Roman" w:hAnsi="Times New Roman" w:eastAsia="仿宋_GB2312" w:cs="Times New Roman"/>
          <w:b/>
          <w:bCs/>
          <w:color w:val="auto"/>
          <w:kern w:val="2"/>
          <w:sz w:val="32"/>
          <w:szCs w:val="40"/>
          <w:highlight w:val="none"/>
          <w:lang w:val="en-US" w:eastAsia="zh-CN" w:bidi="ar-SA"/>
        </w:rPr>
        <w:t>。</w:t>
      </w:r>
      <w:r>
        <w:rPr>
          <w:rFonts w:hint="default" w:ascii="Times New Roman" w:hAnsi="Times New Roman" w:eastAsia="仿宋_GB2312" w:cs="Times New Roman"/>
          <w:color w:val="auto"/>
          <w:kern w:val="2"/>
          <w:sz w:val="32"/>
          <w:szCs w:val="40"/>
          <w:highlight w:val="none"/>
          <w:lang w:val="en-US" w:eastAsia="zh-CN" w:bidi="ar-SA"/>
        </w:rPr>
        <w:t>加强设施设备、智慧应用和重要数据资源的安全管控，推动安全可控技术和产品应用。强化网络枢纽、数据中心等信息基础设施抗毁韧性，提高新型城市基础设施安全风险抵御能力。严格落实网络和数据安全法律法规和政策标准，推动信息平台共建共享，探索研究完善</w:t>
      </w:r>
      <w:r>
        <w:rPr>
          <w:rFonts w:hint="eastAsia" w:ascii="Times New Roman" w:hAnsi="Times New Roman" w:eastAsia="仿宋_GB2312" w:cs="Times New Roman"/>
          <w:color w:val="auto"/>
          <w:kern w:val="2"/>
          <w:sz w:val="32"/>
          <w:szCs w:val="40"/>
          <w:highlight w:val="none"/>
          <w:lang w:val="en-US" w:eastAsia="zh-CN" w:bidi="ar-SA"/>
        </w:rPr>
        <w:t>城镇</w:t>
      </w:r>
      <w:r>
        <w:rPr>
          <w:rFonts w:hint="default" w:ascii="Times New Roman" w:hAnsi="Times New Roman" w:eastAsia="仿宋_GB2312" w:cs="Times New Roman"/>
          <w:color w:val="auto"/>
          <w:kern w:val="2"/>
          <w:sz w:val="32"/>
          <w:szCs w:val="40"/>
          <w:highlight w:val="none"/>
          <w:lang w:val="en-US" w:eastAsia="zh-CN" w:bidi="ar-SA"/>
        </w:rPr>
        <w:t>地下管线等数据应用机制。构建韧性安全城市体系，建立网络安全责任制，完善监测预警、应急处置、攻防演练机制，提升</w:t>
      </w:r>
      <w:r>
        <w:rPr>
          <w:rFonts w:hint="eastAsia" w:ascii="Times New Roman" w:hAnsi="Times New Roman" w:eastAsia="仿宋_GB2312" w:cs="Times New Roman"/>
          <w:color w:val="auto"/>
          <w:kern w:val="2"/>
          <w:sz w:val="32"/>
          <w:szCs w:val="40"/>
          <w:highlight w:val="none"/>
          <w:lang w:val="en-US" w:eastAsia="zh-CN" w:bidi="ar-SA"/>
        </w:rPr>
        <w:t>各类</w:t>
      </w:r>
      <w:r>
        <w:rPr>
          <w:rFonts w:hint="default" w:ascii="Times New Roman" w:hAnsi="Times New Roman" w:eastAsia="仿宋_GB2312" w:cs="Times New Roman"/>
          <w:color w:val="auto"/>
          <w:kern w:val="2"/>
          <w:sz w:val="32"/>
          <w:szCs w:val="40"/>
          <w:highlight w:val="none"/>
          <w:lang w:val="en-US" w:eastAsia="zh-CN" w:bidi="ar-SA"/>
        </w:rPr>
        <w:t>突发事件的</w:t>
      </w:r>
      <w:r>
        <w:rPr>
          <w:rFonts w:hint="eastAsia" w:ascii="Times New Roman" w:hAnsi="Times New Roman" w:eastAsia="仿宋_GB2312" w:cs="Times New Roman"/>
          <w:color w:val="auto"/>
          <w:kern w:val="2"/>
          <w:sz w:val="32"/>
          <w:szCs w:val="40"/>
          <w:highlight w:val="none"/>
          <w:lang w:val="en-US" w:eastAsia="zh-CN" w:bidi="ar-SA"/>
        </w:rPr>
        <w:t>响应</w:t>
      </w:r>
      <w:r>
        <w:rPr>
          <w:rFonts w:hint="default" w:ascii="Times New Roman" w:hAnsi="Times New Roman" w:eastAsia="仿宋_GB2312" w:cs="Times New Roman"/>
          <w:color w:val="auto"/>
          <w:kern w:val="2"/>
          <w:sz w:val="32"/>
          <w:szCs w:val="40"/>
          <w:highlight w:val="none"/>
          <w:lang w:val="en-US" w:eastAsia="zh-CN" w:bidi="ar-SA"/>
        </w:rPr>
        <w:t>和处理能力。</w:t>
      </w:r>
    </w:p>
    <w:p w14:paraId="4730881A">
      <w:pPr>
        <w:rPr>
          <w:rFonts w:hint="eastAsia"/>
          <w:color w:val="auto"/>
          <w:highlight w:val="none"/>
          <w:lang w:val="en-US" w:eastAsia="zh-CN"/>
        </w:rPr>
      </w:pPr>
    </w:p>
    <w:tbl>
      <w:tblPr>
        <w:tblStyle w:val="21"/>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5"/>
      </w:tblGrid>
      <w:tr w14:paraId="7F64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95" w:type="dxa"/>
            <w:vAlign w:val="center"/>
          </w:tcPr>
          <w:p w14:paraId="4EB5C887">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eastAsia" w:ascii="Times New Roman" w:cs="Times New Roman"/>
                <w:color w:val="auto"/>
                <w:highlight w:val="none"/>
                <w:lang w:val="en-US" w:eastAsia="zh-CN"/>
              </w:rPr>
              <w:t>8</w:t>
            </w:r>
            <w:r>
              <w:rPr>
                <w:rFonts w:hint="default" w:ascii="Times New Roman" w:hAnsi="Times New Roman" w:cs="Times New Roman"/>
                <w:color w:val="auto"/>
                <w:highlight w:val="none"/>
              </w:rPr>
              <w:t>-</w:t>
            </w:r>
            <w:r>
              <w:rPr>
                <w:rFonts w:hint="eastAsia" w:ascii="Times New Roman" w:cs="Times New Roman"/>
                <w:color w:val="auto"/>
                <w:highlight w:val="none"/>
                <w:lang w:val="en-US" w:eastAsia="zh-CN"/>
              </w:rPr>
              <w:t>4：新型基础设施</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eastAsia" w:ascii="Times New Roman" w:hAnsi="Times New Roman" w:cs="Times New Roman"/>
                <w:color w:val="auto"/>
                <w:highlight w:val="none"/>
                <w:lang w:val="en-US" w:eastAsia="zh-CN"/>
              </w:rPr>
              <w:t>实施</w:t>
            </w:r>
            <w:r>
              <w:rPr>
                <w:rFonts w:hint="default" w:ascii="Times New Roman" w:hAnsi="Times New Roman" w:cs="Times New Roman"/>
                <w:color w:val="auto"/>
                <w:highlight w:val="none"/>
              </w:rPr>
              <w:t>项目</w:t>
            </w:r>
          </w:p>
        </w:tc>
      </w:tr>
      <w:tr w14:paraId="5742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8795" w:type="dxa"/>
            <w:vAlign w:val="center"/>
          </w:tcPr>
          <w:p w14:paraId="5AAD9EAB">
            <w:pPr>
              <w:pStyle w:val="54"/>
              <w:keepNext/>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Times New Roman" w:hAnsi="Times New Roman" w:eastAsia="仿宋_GB2312" w:cs="Times New Roman"/>
                <w:b w:val="0"/>
                <w:bCs/>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zh-TW"/>
              </w:rPr>
              <w:t>推进</w:t>
            </w:r>
            <w:r>
              <w:rPr>
                <w:rFonts w:hint="eastAsia" w:cs="Times New Roman"/>
                <w:color w:val="auto"/>
                <w:sz w:val="28"/>
                <w:szCs w:val="28"/>
                <w:highlight w:val="none"/>
                <w:lang w:val="zh-TW" w:eastAsia="zh-CN"/>
              </w:rPr>
              <w:t>“</w:t>
            </w:r>
            <w:r>
              <w:rPr>
                <w:rFonts w:hint="eastAsia" w:ascii="Times New Roman" w:hAnsi="Times New Roman" w:eastAsia="仿宋_GB2312" w:cs="Times New Roman"/>
                <w:color w:val="auto"/>
                <w:sz w:val="28"/>
                <w:szCs w:val="28"/>
                <w:highlight w:val="none"/>
                <w:lang w:val="zh-TW"/>
              </w:rPr>
              <w:t>双千兆”与5G/6G网络全覆盖工程、智慧停车等项目；搭建“5G</w:t>
            </w:r>
            <w:r>
              <w:rPr>
                <w:rFonts w:hint="eastAsia" w:cs="Times New Roman"/>
                <w:color w:val="auto"/>
                <w:sz w:val="28"/>
                <w:szCs w:val="28"/>
                <w:highlight w:val="none"/>
                <w:lang w:val="zh-TW" w:eastAsia="zh-CN"/>
              </w:rPr>
              <w:t>+</w:t>
            </w:r>
            <w:r>
              <w:rPr>
                <w:rFonts w:hint="eastAsia" w:ascii="Times New Roman" w:hAnsi="Times New Roman" w:eastAsia="仿宋_GB2312" w:cs="Times New Roman"/>
                <w:color w:val="auto"/>
                <w:sz w:val="28"/>
                <w:szCs w:val="28"/>
                <w:highlight w:val="none"/>
                <w:lang w:val="zh-TW"/>
              </w:rPr>
              <w:t>工业互联网”产业数字化赋能平台。</w:t>
            </w:r>
          </w:p>
        </w:tc>
      </w:tr>
    </w:tbl>
    <w:p w14:paraId="1E20AAE8">
      <w:pPr>
        <w:pStyle w:val="2"/>
        <w:bidi w:val="0"/>
        <w:rPr>
          <w:rStyle w:val="24"/>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612C7B60">
      <w:pPr>
        <w:rPr>
          <w:rFonts w:hint="eastAsia" w:ascii="方正小标宋简体" w:hAnsi="方正小标宋简体" w:eastAsia="方正小标宋简体" w:cs="方正小标宋简体"/>
          <w:b w:val="0"/>
          <w:bCs/>
          <w:color w:val="auto"/>
          <w:highlight w:val="none"/>
          <w:u w:val="none"/>
          <w:lang w:val="en-US" w:eastAsia="zh-CN"/>
        </w:rPr>
      </w:pPr>
      <w:bookmarkStart w:id="219" w:name="_Toc4348"/>
      <w:bookmarkStart w:id="220" w:name="_Toc18054"/>
      <w:bookmarkStart w:id="221" w:name="_Toc25437"/>
      <w:r>
        <w:rPr>
          <w:rFonts w:hint="eastAsia" w:ascii="方正小标宋简体" w:hAnsi="方正小标宋简体" w:eastAsia="方正小标宋简体" w:cs="方正小标宋简体"/>
          <w:b w:val="0"/>
          <w:bCs/>
          <w:color w:val="auto"/>
          <w:highlight w:val="none"/>
          <w:u w:val="none"/>
          <w:lang w:val="en-US" w:eastAsia="zh-CN"/>
        </w:rPr>
        <w:br w:type="page"/>
      </w:r>
    </w:p>
    <w:p w14:paraId="0C40B443">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u w:val="none"/>
          <w:lang w:val="en-US" w:eastAsia="zh-CN"/>
        </w:rPr>
      </w:pPr>
      <w:bookmarkStart w:id="222" w:name="_Toc25951"/>
      <w:r>
        <w:rPr>
          <w:rFonts w:hint="eastAsia" w:ascii="方正小标宋简体" w:hAnsi="方正小标宋简体" w:eastAsia="方正小标宋简体" w:cs="方正小标宋简体"/>
          <w:b w:val="0"/>
          <w:bCs/>
          <w:color w:val="auto"/>
          <w:highlight w:val="none"/>
          <w:u w:val="none"/>
          <w:lang w:val="en-US" w:eastAsia="zh-CN"/>
        </w:rPr>
        <w:t>第九章</w:t>
      </w:r>
      <w:bookmarkEnd w:id="219"/>
      <w:bookmarkEnd w:id="220"/>
      <w:bookmarkEnd w:id="221"/>
      <w:bookmarkEnd w:id="222"/>
      <w:bookmarkStart w:id="223" w:name="_Toc27158"/>
      <w:bookmarkStart w:id="224" w:name="_Toc8696"/>
    </w:p>
    <w:bookmarkEnd w:id="223"/>
    <w:bookmarkEnd w:id="224"/>
    <w:p w14:paraId="655F6734">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z w:val="44"/>
          <w:szCs w:val="44"/>
          <w:highlight w:val="none"/>
          <w:u w:val="none"/>
          <w:lang w:val="en-US" w:eastAsia="zh-CN"/>
        </w:rPr>
      </w:pPr>
      <w:bookmarkStart w:id="225" w:name="_Toc2069"/>
      <w:bookmarkStart w:id="226" w:name="_Toc3328"/>
      <w:r>
        <w:rPr>
          <w:rFonts w:hint="eastAsia" w:ascii="方正小标宋简体" w:hAnsi="方正小标宋简体" w:eastAsia="方正小标宋简体" w:cs="方正小标宋简体"/>
          <w:b w:val="0"/>
          <w:bCs/>
          <w:color w:val="auto"/>
          <w:sz w:val="44"/>
          <w:szCs w:val="44"/>
          <w:highlight w:val="none"/>
          <w:u w:val="none"/>
          <w:lang w:val="en-US" w:eastAsia="zh-CN"/>
        </w:rPr>
        <w:t>持续深化改革扩大开放  增强高质量发展动力</w:t>
      </w:r>
      <w:bookmarkEnd w:id="225"/>
      <w:bookmarkEnd w:id="226"/>
    </w:p>
    <w:p w14:paraId="5ACD98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bookmarkStart w:id="227" w:name="_Toc13408"/>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认真贯彻党中央进一步全面深化改革的决策部署，坚持和落实“两个毫不动摇”，扎实推动各领域改革任务落实落细，</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着力破除壁垒，</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扩大高水平开放，</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主动服务向海发展大格局，推动形成区域协调、要素流动、互利共赢的开放合作新格局，为鹿寨高质量发展注入持久动力。</w:t>
      </w:r>
    </w:p>
    <w:p w14:paraId="6EC79C3B">
      <w:pPr>
        <w:pStyle w:val="5"/>
        <w:bidi w:val="0"/>
        <w:jc w:val="center"/>
        <w:outlineLvl w:val="0"/>
        <w:rPr>
          <w:rFonts w:hint="eastAsia" w:ascii="黑体" w:hAnsi="黑体" w:eastAsia="黑体" w:cs="黑体"/>
          <w:b w:val="0"/>
          <w:bCs w:val="0"/>
          <w:color w:val="auto"/>
          <w:kern w:val="2"/>
          <w:sz w:val="36"/>
          <w:szCs w:val="36"/>
          <w:highlight w:val="none"/>
          <w:u w:val="none"/>
          <w:lang w:val="en-US" w:eastAsia="zh-CN" w:bidi="ar-SA"/>
        </w:rPr>
      </w:pPr>
      <w:bookmarkStart w:id="228" w:name="_Toc3521"/>
      <w:bookmarkStart w:id="229" w:name="_Toc1677"/>
      <w:r>
        <w:rPr>
          <w:rFonts w:hint="eastAsia" w:ascii="黑体" w:hAnsi="黑体" w:eastAsia="黑体" w:cs="黑体"/>
          <w:b w:val="0"/>
          <w:bCs w:val="0"/>
          <w:color w:val="auto"/>
          <w:kern w:val="2"/>
          <w:sz w:val="36"/>
          <w:szCs w:val="36"/>
          <w:highlight w:val="none"/>
          <w:u w:val="none"/>
          <w:lang w:val="en-US" w:eastAsia="zh-CN" w:bidi="ar-SA"/>
        </w:rPr>
        <w:t>第一节  激发各类</w:t>
      </w:r>
      <w:r>
        <w:rPr>
          <w:rFonts w:hint="eastAsia" w:ascii="黑体" w:hAnsi="黑体" w:cs="黑体"/>
          <w:b w:val="0"/>
          <w:bCs w:val="0"/>
          <w:color w:val="auto"/>
          <w:kern w:val="2"/>
          <w:sz w:val="36"/>
          <w:szCs w:val="36"/>
          <w:highlight w:val="none"/>
          <w:u w:val="none"/>
          <w:lang w:val="en-US" w:eastAsia="zh-CN" w:bidi="ar-SA"/>
        </w:rPr>
        <w:t>经营</w:t>
      </w:r>
      <w:r>
        <w:rPr>
          <w:rFonts w:hint="eastAsia" w:ascii="黑体" w:hAnsi="黑体" w:eastAsia="黑体" w:cs="黑体"/>
          <w:b w:val="0"/>
          <w:bCs w:val="0"/>
          <w:color w:val="auto"/>
          <w:kern w:val="2"/>
          <w:sz w:val="36"/>
          <w:szCs w:val="36"/>
          <w:highlight w:val="none"/>
          <w:u w:val="none"/>
          <w:lang w:val="en-US" w:eastAsia="zh-CN" w:bidi="ar-SA"/>
        </w:rPr>
        <w:t>主体发展活力</w:t>
      </w:r>
      <w:bookmarkEnd w:id="228"/>
      <w:bookmarkEnd w:id="229"/>
    </w:p>
    <w:p w14:paraId="346C1ED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坚持法治保障、精准扶持与治理完善协同发力，系统优化经营主体发展生态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，培育壮大经营主体，更大激发市场活力和社会创造力，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推动全县民营经济持续健康发展</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p>
    <w:p w14:paraId="063E057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b/>
          <w:bCs/>
          <w:color w:val="auto"/>
          <w:sz w:val="32"/>
          <w:szCs w:val="32"/>
          <w:highlight w:val="none"/>
          <w:u w:val="none"/>
          <w:lang w:val="en-US" w:eastAsia="zh-CN"/>
        </w:rPr>
        <w:t>促进民营经济高质量发展。</w:t>
      </w:r>
      <w:r>
        <w:rPr>
          <w:rFonts w:hint="eastAsia" w:ascii="仿宋_GB2312" w:hAnsi="仿宋_GB2312" w:eastAsia="仿宋_GB2312" w:cs="仿宋_GB2312"/>
          <w:b w:val="0"/>
          <w:bCs w:val="0"/>
          <w:color w:val="auto"/>
          <w:kern w:val="2"/>
          <w:sz w:val="32"/>
          <w:szCs w:val="32"/>
          <w:highlight w:val="none"/>
          <w:u w:val="none"/>
          <w:lang w:val="en-US" w:eastAsia="zh-CN" w:bidi="ar-SA"/>
        </w:rPr>
        <w:t>深入贯彻《中华人民共和国民营经济促进法》，</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建立促进民营经济发展工作协调机制，协调解决民营经济发展中的重大问题</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。维护公平竞争，</w:t>
      </w:r>
      <w:r>
        <w:rPr>
          <w:rFonts w:hint="eastAsia" w:ascii="仿宋_GB2312" w:hAnsi="仿宋_GB2312" w:eastAsia="仿宋_GB2312" w:cs="仿宋_GB2312"/>
          <w:b w:val="0"/>
          <w:bCs w:val="0"/>
          <w:color w:val="auto"/>
          <w:kern w:val="2"/>
          <w:sz w:val="32"/>
          <w:szCs w:val="32"/>
          <w:highlight w:val="none"/>
          <w:u w:val="none"/>
          <w:lang w:val="en-US" w:eastAsia="zh-CN" w:bidi="ar-SA"/>
        </w:rPr>
        <w:t>依法保障民营企业平等使用资源要素、公平参与市场竞争、同等受法律保护的各项权利。</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优化服务保障，完善畅通有效的政企沟通机制，推动各项涉企政策落实</w:t>
      </w:r>
      <w:r>
        <w:rPr>
          <w:rFonts w:hint="eastAsia" w:ascii="仿宋_GB2312" w:hAnsi="仿宋_GB2312" w:eastAsia="仿宋_GB2312" w:cs="仿宋_GB2312"/>
          <w:b w:val="0"/>
          <w:bCs w:val="0"/>
          <w:color w:val="auto"/>
          <w:kern w:val="2"/>
          <w:sz w:val="32"/>
          <w:szCs w:val="32"/>
          <w:highlight w:val="none"/>
          <w:u w:val="none"/>
          <w:lang w:val="en-US" w:eastAsia="zh-CN" w:bidi="ar-SA"/>
        </w:rPr>
        <w:t>；健全政府和金融机构会商机制，协调解决民营经济组织融资难问题</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w:t>
      </w:r>
      <w:r>
        <w:rPr>
          <w:rFonts w:hint="eastAsia" w:ascii="仿宋_GB2312" w:hAnsi="仿宋_GB2312" w:eastAsia="仿宋_GB2312" w:cs="仿宋_GB2312"/>
          <w:b w:val="0"/>
          <w:bCs w:val="0"/>
          <w:color w:val="auto"/>
          <w:kern w:val="2"/>
          <w:sz w:val="32"/>
          <w:szCs w:val="32"/>
          <w:highlight w:val="none"/>
          <w:u w:val="none"/>
          <w:lang w:val="en-US" w:eastAsia="zh-CN" w:bidi="ar-SA"/>
        </w:rPr>
        <w:t>实施优质中小企业梯度培育计划，结合鹿寨林木深加工、机械汽配、化工新材料等特色优势产业，建立“创新型—专精特新—小巨人”企业梯度培育体系，实施分类指导，精准施策，提供</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初创期、成长期、成熟期等全方位</w:t>
      </w:r>
      <w:r>
        <w:rPr>
          <w:rFonts w:hint="eastAsia" w:ascii="仿宋_GB2312" w:hAnsi="仿宋_GB2312" w:eastAsia="仿宋_GB2312" w:cs="仿宋_GB2312"/>
          <w:b w:val="0"/>
          <w:bCs w:val="0"/>
          <w:color w:val="auto"/>
          <w:kern w:val="2"/>
          <w:sz w:val="32"/>
          <w:szCs w:val="32"/>
          <w:highlight w:val="none"/>
          <w:u w:val="none"/>
          <w:lang w:val="en-US" w:eastAsia="zh-CN" w:bidi="ar-SA"/>
        </w:rPr>
        <w:t>跟踪服务。</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加强规范引导，支持民营经济组织完善治理结构和管理制度，培育和弘扬企业家精神，逐步建立完善中国特色现代企业制度，引导履行社会责任，构建和谐劳动关系。</w:t>
      </w:r>
    </w:p>
    <w:p w14:paraId="00F253B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深化国资国企改革。</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推动县属国有企业全面构建权责法定、权责透明、协调运转、有效制衡的公司治理机制，规范董事会建设，落实董事会职权。完善与业绩贡献紧密挂钩、与分类考核相适应、规范有序的中长期激励约束体系。引导县属国有企业通过市场化方式积极参与县域绿色产业升级，重点围绕林业资源高效利用、新材料、环保科技等领域，以及交通、产业园区配套等基础设施投资建设。推动国有资本向关系县域发展全局、产业引领力强的关键领域和优势企业集中，探索国有企业进行战略性重组和专业性整合有关改革。提升国有资本投资运营的专业化、市场化运作水平，实现国有资本保值增值与服务全县发展战略的有机统一。</w:t>
      </w:r>
    </w:p>
    <w:p w14:paraId="2AD03A9E">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打造营商环境新高地。</w:t>
      </w:r>
      <w:r>
        <w:rPr>
          <w:rFonts w:hint="eastAsia" w:ascii="仿宋_GB2312" w:hAnsi="仿宋_GB2312" w:eastAsia="仿宋_GB2312" w:cs="仿宋_GB2312"/>
          <w:color w:val="auto"/>
          <w:sz w:val="32"/>
          <w:szCs w:val="32"/>
          <w:highlight w:val="none"/>
          <w:lang w:val="en-US" w:eastAsia="zh-CN"/>
        </w:rPr>
        <w:t>全面落实市场准入负面清单制度，开展市场准入壁垒清理整治，保障民营企业依法平等进入重点领域，公平参与“两重”“两新”</w:t>
      </w:r>
      <w:r>
        <w:rPr>
          <w:rStyle w:val="25"/>
          <w:rFonts w:hint="default" w:ascii="Times New Roman" w:hAnsi="Times New Roman" w:eastAsia="仿宋_GB2312" w:cs="Times New Roman"/>
          <w:color w:val="auto"/>
          <w:sz w:val="32"/>
          <w:szCs w:val="32"/>
          <w:highlight w:val="none"/>
          <w:lang w:val="en-US" w:eastAsia="zh-CN"/>
        </w:rPr>
        <w:t>[</w:t>
      </w:r>
      <w:r>
        <w:rPr>
          <w:rStyle w:val="25"/>
          <w:rFonts w:hint="default" w:ascii="Times New Roman" w:hAnsi="Times New Roman" w:eastAsia="仿宋_GB2312" w:cs="Times New Roman"/>
          <w:color w:val="auto"/>
          <w:sz w:val="32"/>
          <w:szCs w:val="32"/>
          <w:highlight w:val="none"/>
          <w:lang w:val="en-US" w:eastAsia="zh-CN"/>
        </w:rPr>
        <w:endnoteReference w:id="17"/>
      </w:r>
      <w:r>
        <w:rPr>
          <w:rStyle w:val="25"/>
          <w:rFonts w:hint="default" w:ascii="Times New Roman" w:hAnsi="Times New Roman" w:eastAsia="仿宋_GB2312" w:cs="Times New Roman"/>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项目建设。深化商事制度改革，推行经营主体登记自主申报承诺制，优化企业注册、注销、迁移“一件事”集成服务。严格落实公平竞争审查制度，维护全国统一大市场。完善社会信用体系，强化政府守信践诺，营造更加公正有序的市场环境。推进政务服务标准化、智能化、便利化，以数字政府建设为支撑，安全稳妥推进“人工智能+政务服务”赋能涉企高频事项办理。深化“高效办成一件事”改革，推动涉企高频事项“一网通办”，惠企政策“免申即享”。健全“政企直通车”诉求响应与闭环办理机制，聚焦融资、用工、转型等难题，为企业提供全生命周期精准服务，支持“个转企”“小升规”梯度成长，持续优化政务环境。加强产权与合法权益司法保护，深化跨部门“综合监管一件事”改革，加强经营主体反映执法司法领域问题治理，规范涉企行政执法行为。完善“府院联动”机制，发挥破产重整制度功能，助力困境企业重整再生，打造稳定公正透明、可预期的法治环境。</w:t>
      </w:r>
    </w:p>
    <w:p w14:paraId="022ED3ED">
      <w:pPr>
        <w:pStyle w:val="5"/>
        <w:bidi w:val="0"/>
        <w:jc w:val="center"/>
        <w:outlineLvl w:val="0"/>
        <w:rPr>
          <w:rFonts w:hint="eastAsia" w:ascii="黑体" w:hAnsi="黑体" w:eastAsia="黑体" w:cs="黑体"/>
          <w:b w:val="0"/>
          <w:bCs/>
          <w:color w:val="auto"/>
          <w:sz w:val="36"/>
          <w:szCs w:val="36"/>
          <w:highlight w:val="none"/>
          <w:u w:val="none"/>
          <w:lang w:val="en-US" w:eastAsia="zh-CN"/>
        </w:rPr>
      </w:pPr>
      <w:bookmarkStart w:id="230" w:name="_Toc4272"/>
      <w:bookmarkStart w:id="231" w:name="_Toc8198"/>
      <w:r>
        <w:rPr>
          <w:rFonts w:hint="eastAsia" w:ascii="黑体" w:hAnsi="黑体" w:eastAsia="黑体" w:cs="黑体"/>
          <w:b w:val="0"/>
          <w:bCs/>
          <w:color w:val="auto"/>
          <w:sz w:val="36"/>
          <w:szCs w:val="36"/>
          <w:highlight w:val="none"/>
          <w:u w:val="none"/>
          <w:lang w:val="en-US" w:eastAsia="zh-CN"/>
        </w:rPr>
        <w:t xml:space="preserve">第二节 </w:t>
      </w:r>
      <w:r>
        <w:rPr>
          <w:rFonts w:hint="eastAsia" w:ascii="黑体" w:hAnsi="黑体" w:cs="黑体"/>
          <w:b w:val="0"/>
          <w:bCs/>
          <w:color w:val="auto"/>
          <w:sz w:val="36"/>
          <w:szCs w:val="36"/>
          <w:highlight w:val="none"/>
          <w:u w:val="none"/>
          <w:lang w:val="en-US" w:eastAsia="zh-CN"/>
        </w:rPr>
        <w:t xml:space="preserve"> </w:t>
      </w:r>
      <w:r>
        <w:rPr>
          <w:rFonts w:hint="eastAsia" w:ascii="黑体" w:hAnsi="黑体" w:eastAsia="黑体" w:cs="黑体"/>
          <w:b w:val="0"/>
          <w:bCs/>
          <w:color w:val="auto"/>
          <w:sz w:val="36"/>
          <w:szCs w:val="36"/>
          <w:highlight w:val="none"/>
          <w:u w:val="none"/>
          <w:lang w:val="en-US" w:eastAsia="zh-CN"/>
        </w:rPr>
        <w:t>完善要素市场化配置体制机制</w:t>
      </w:r>
      <w:bookmarkEnd w:id="230"/>
      <w:bookmarkEnd w:id="231"/>
    </w:p>
    <w:p w14:paraId="5B8D086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坚持有效市场、有为政府，</w:t>
      </w:r>
      <w:r>
        <w:rPr>
          <w:rFonts w:hint="eastAsia" w:ascii="仿宋_GB2312" w:hAnsi="仿宋_GB2312" w:eastAsia="仿宋_GB2312" w:cs="仿宋_GB2312"/>
          <w:b w:val="0"/>
          <w:bCs w:val="0"/>
          <w:color w:val="auto"/>
          <w:kern w:val="2"/>
          <w:sz w:val="32"/>
          <w:szCs w:val="32"/>
          <w:highlight w:val="none"/>
          <w:u w:val="none"/>
          <w:lang w:val="en-US" w:eastAsia="zh-CN" w:bidi="ar-SA"/>
        </w:rPr>
        <w:t>着力破除阻碍要素自由流动和优化配置的体制机制障碍，推动</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要素质量逐步提高、生产要素畅通流动、各类资源高效配置、市场潜力充分释放。</w:t>
      </w:r>
    </w:p>
    <w:p w14:paraId="681E4D5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Times New Roman" w:hAnsi="Times New Roman" w:eastAsia="仿宋_GB2312" w:cs="Times New Roman"/>
          <w:b/>
          <w:bCs/>
          <w:color w:val="auto"/>
          <w:sz w:val="32"/>
          <w:szCs w:val="32"/>
          <w:highlight w:val="none"/>
          <w:u w:val="none"/>
          <w:lang w:val="en-US" w:eastAsia="zh-CN"/>
        </w:rPr>
        <w:t>推进土地要素集约高效配置。</w:t>
      </w:r>
      <w:r>
        <w:rPr>
          <w:rFonts w:hint="eastAsia" w:ascii="仿宋_GB2312" w:hAnsi="仿宋_GB2312" w:eastAsia="仿宋_GB2312" w:cs="仿宋_GB2312"/>
          <w:b w:val="0"/>
          <w:bCs w:val="0"/>
          <w:color w:val="auto"/>
          <w:kern w:val="2"/>
          <w:sz w:val="32"/>
          <w:szCs w:val="32"/>
          <w:highlight w:val="none"/>
          <w:u w:val="none"/>
          <w:lang w:val="en-US" w:eastAsia="zh-CN" w:bidi="ar-SA"/>
        </w:rPr>
        <w:t>健全城乡统一的建设用地市场，健全农村产权流转交易市场体系，巩固提升全县农村产权制度改革成果，按照国家统一部署，有序推进农村集体经营性建设用地入市，探索通过出租、入股、合作等方式盘活利用闲置农房的有效路径。优化产业用地供应方式，探索建立工业企业产出效益评价机制，健全完善长期租赁、先租后让、弹性年期供应等多元化工业用地市场供应体系；探索二三产业混合用地供给机制，保障新产业新业态用地。盘活利用存量低效用地，建立健全低效用地认定标准和腾退方式，开展园区、城镇等领域低效用地全域治理，鼓励通过依法协商收回、协议置换、司法处置、自主盘活等方式推动低效用地再利用，多种途径提升土地利用综合效率。</w:t>
      </w:r>
    </w:p>
    <w:p w14:paraId="08840A4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b/>
          <w:bCs/>
          <w:color w:val="auto"/>
          <w:kern w:val="0"/>
          <w:sz w:val="32"/>
          <w:szCs w:val="32"/>
          <w:highlight w:val="none"/>
          <w:u w:val="none"/>
          <w:lang w:val="en-US" w:eastAsia="zh-CN" w:bidi="ar-SA"/>
        </w:rPr>
        <w:t>推动资本要素服务实体经济发展。</w:t>
      </w:r>
      <w:r>
        <w:rPr>
          <w:rFonts w:hint="eastAsia" w:ascii="Times New Roman" w:hAnsi="Times New Roman" w:eastAsia="仿宋_GB2312" w:cs="Times New Roman"/>
          <w:b w:val="0"/>
          <w:bCs w:val="0"/>
          <w:color w:val="auto"/>
          <w:kern w:val="0"/>
          <w:sz w:val="32"/>
          <w:szCs w:val="32"/>
          <w:highlight w:val="none"/>
          <w:u w:val="none"/>
          <w:lang w:val="en-US" w:eastAsia="zh-CN" w:bidi="ar-SA"/>
        </w:rPr>
        <w:t>鼓励扩大有效金融服务供给，依托全国中小企业融资综合信用服务平台，深入推广“信易贷”模式，促进普惠金融发展；依托投贷联动合作机制，定期组织开展政金企对接活动，进一步提升项目融资便利化水平，推动项目与资本、信贷有效匹配；鼓励发展供应链金融，引导金融机构提供更多串联产供销上下游、直达各流通环节经营主体的金融产品。支持发展多层次资本市场，支持符合条件的企业首发上市，支持发展天使投资、创业投资，引导鼓励金融机构对初创期、早中期创业企业的支持；加强监督管理，促进政府性融资担保、再担保机构规范运营，推动科技金融、绿色金融、普惠金融、养老金融、数字金融各项政策落实，更好支持实体经济发展。提高政策性要素配置，围绕中央预算资金、国债、地方政府专项债等重点投向领域，以及自治区政策性资金支持导向，加强政府投资项目谋划实施，鼓励引进民间资本参与重大项目建设，引导支持有需求的企业加大转型升级投入。</w:t>
      </w:r>
    </w:p>
    <w:p w14:paraId="749B874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畅通人力资源要素合理有序流动渠道。</w:t>
      </w:r>
      <w:r>
        <w:rPr>
          <w:rFonts w:hint="eastAsia" w:ascii="仿宋_GB2312" w:hAnsi="仿宋_GB2312" w:eastAsia="仿宋_GB2312" w:cs="仿宋_GB2312"/>
          <w:b w:val="0"/>
          <w:bCs w:val="0"/>
          <w:color w:val="auto"/>
          <w:kern w:val="2"/>
          <w:sz w:val="32"/>
          <w:szCs w:val="32"/>
          <w:highlight w:val="none"/>
          <w:u w:val="none"/>
          <w:lang w:val="en-US" w:eastAsia="zh-CN" w:bidi="ar-SA"/>
        </w:rPr>
        <w:t>激发人才创新创业活力，加强产业工人思想政治引领，弘扬劳模精神、劳动精神、工匠精神，完善对突出贡献人才、优秀人才的表彰奖励机制，完善人才安居、子女入学、医疗保健等配套政策，</w:t>
      </w:r>
      <w:r>
        <w:rPr>
          <w:rFonts w:hint="eastAsia" w:ascii="Times New Roman" w:hAnsi="Times New Roman" w:eastAsia="仿宋_GB2312" w:cs="Times New Roman"/>
          <w:b w:val="0"/>
          <w:bCs w:val="0"/>
          <w:color w:val="auto"/>
          <w:sz w:val="32"/>
          <w:szCs w:val="32"/>
          <w:highlight w:val="none"/>
          <w:u w:val="none"/>
          <w:lang w:val="en-US" w:eastAsia="zh-CN"/>
        </w:rPr>
        <w:t>持续优化“鹿商卡”“鹿才卡”的“</w:t>
      </w:r>
      <w:r>
        <w:rPr>
          <w:rFonts w:hint="default" w:ascii="Times New Roman" w:hAnsi="Times New Roman" w:eastAsia="仿宋_GB2312" w:cs="Times New Roman"/>
          <w:b w:val="0"/>
          <w:bCs w:val="0"/>
          <w:color w:val="auto"/>
          <w:sz w:val="32"/>
          <w:szCs w:val="32"/>
          <w:highlight w:val="none"/>
          <w:u w:val="none"/>
          <w:lang w:val="en-US" w:eastAsia="zh-CN"/>
        </w:rPr>
        <w:t>双卡一联盟</w:t>
      </w:r>
      <w:r>
        <w:rPr>
          <w:rFonts w:hint="eastAsia" w:ascii="Times New Roman" w:hAnsi="Times New Roman" w:eastAsia="仿宋_GB2312" w:cs="Times New Roman"/>
          <w:b w:val="0"/>
          <w:bCs w:val="0"/>
          <w:color w:val="auto"/>
          <w:sz w:val="32"/>
          <w:szCs w:val="32"/>
          <w:highlight w:val="none"/>
          <w:u w:val="none"/>
          <w:lang w:val="en-US" w:eastAsia="zh-CN"/>
        </w:rPr>
        <w:t>”服务，</w:t>
      </w:r>
      <w:r>
        <w:rPr>
          <w:rFonts w:hint="eastAsia" w:ascii="仿宋_GB2312" w:hAnsi="仿宋_GB2312" w:eastAsia="仿宋_GB2312" w:cs="仿宋_GB2312"/>
          <w:b w:val="0"/>
          <w:bCs w:val="0"/>
          <w:color w:val="auto"/>
          <w:kern w:val="2"/>
          <w:sz w:val="32"/>
          <w:szCs w:val="32"/>
          <w:highlight w:val="none"/>
          <w:u w:val="none"/>
          <w:lang w:val="en-US" w:eastAsia="zh-CN" w:bidi="ar-SA"/>
        </w:rPr>
        <w:t>支持事业单位专业技术人员按照有关规定离岗创新创业，探索建立以创新能力、质量、实效、贡献为导向的科技人才评价体系，并健全与之衔接的产业工人技能形成与评价机制，探索人才创新创业全周期“一件事”改革，营造近悦远来的人才生态，实施“归雁计划”，大力吸引鹿寨籍学子返乡创业就业，广泛汇聚外部优秀人才来鹿发展。完善人才引进机制，围绕县域重点产业链、创新链和重大项目建设需求，加快引进和培育一批创新型领军人才、应用型工程技术人才和高素质技能型人才；支持事业单位通过特设岗位引进急需紧缺高层次专业化人才，支持人才、技术等知识型要素市场化自由流动与高效转化。积极培育集聚创新人才，鼓励行业龙头企业与职业院校、高等院校共建特色学科专业和实训基地，深化产业工人队伍建设改革，培育壮大“鹿寨工匠”“首席技师”等本土高技能人才队伍，促进深化产教融合、科教协同育人。</w:t>
      </w:r>
    </w:p>
    <w:p w14:paraId="353CE6D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深化现代财税体制改革</w:t>
      </w:r>
      <w:r>
        <w:rPr>
          <w:rFonts w:hint="eastAsia" w:ascii="仿宋_GB2312" w:hAnsi="仿宋_GB2312" w:eastAsia="仿宋_GB2312" w:cs="仿宋_GB2312"/>
          <w:b w:val="0"/>
          <w:bCs w:val="0"/>
          <w:color w:val="auto"/>
          <w:kern w:val="2"/>
          <w:sz w:val="32"/>
          <w:szCs w:val="32"/>
          <w:highlight w:val="none"/>
          <w:u w:val="none"/>
          <w:lang w:val="en-US" w:eastAsia="zh-CN" w:bidi="ar-SA"/>
        </w:rPr>
        <w:t>。构建权责清晰、运行高效、约束有力的现代财税治理体系。以增强财政可持续性为核心，深化零基预算改革，强化财政资源和预算统筹，打破固化格局，动态优化支出结构，确保对科技创新、生态环保、民生改善等关键领域的投入。结合鹿寨林木、化工新材料等主导产业特点，积极配合上级完善地方税体系相关工作，探索健全相关产业链的经营所得、财产所得税收管理与服务机制，规范产业扶持政策，培育壮大地方优质税源。全面推进预算绩效管理提质增效，构建覆盖所有财政资金、贯穿预算管理全过程的全链条绩效管理体系，完善绩效结果与预算安排、政策调整挂钩机制。加强财会监督，严肃财经纪律，全面提升财政资源配置效率和资金使用效益。</w:t>
      </w:r>
    </w:p>
    <w:p w14:paraId="55D4A1BE">
      <w:pPr>
        <w:pStyle w:val="5"/>
        <w:bidi w:val="0"/>
        <w:jc w:val="center"/>
        <w:outlineLvl w:val="0"/>
        <w:rPr>
          <w:rFonts w:hint="default"/>
          <w:b w:val="0"/>
          <w:bCs/>
          <w:color w:val="auto"/>
          <w:sz w:val="36"/>
          <w:szCs w:val="36"/>
          <w:highlight w:val="none"/>
          <w:u w:val="none"/>
          <w:lang w:val="en-US" w:eastAsia="zh-CN"/>
        </w:rPr>
      </w:pPr>
      <w:bookmarkStart w:id="232" w:name="_Toc15803"/>
      <w:bookmarkStart w:id="233" w:name="_Toc31465"/>
      <w:r>
        <w:rPr>
          <w:rFonts w:hint="eastAsia"/>
          <w:b w:val="0"/>
          <w:bCs/>
          <w:color w:val="auto"/>
          <w:sz w:val="36"/>
          <w:szCs w:val="36"/>
          <w:highlight w:val="none"/>
          <w:u w:val="none"/>
          <w:lang w:val="en-US" w:eastAsia="zh-CN"/>
        </w:rPr>
        <w:t xml:space="preserve">第三节  </w:t>
      </w:r>
      <w:r>
        <w:rPr>
          <w:rFonts w:hint="default"/>
          <w:b w:val="0"/>
          <w:bCs/>
          <w:color w:val="auto"/>
          <w:sz w:val="36"/>
          <w:szCs w:val="36"/>
          <w:highlight w:val="none"/>
          <w:u w:val="none"/>
          <w:lang w:val="en-US" w:eastAsia="zh-CN"/>
        </w:rPr>
        <w:t>深化区域协</w:t>
      </w:r>
      <w:r>
        <w:rPr>
          <w:rFonts w:hint="eastAsia"/>
          <w:b w:val="0"/>
          <w:bCs/>
          <w:color w:val="auto"/>
          <w:sz w:val="36"/>
          <w:szCs w:val="36"/>
          <w:highlight w:val="none"/>
          <w:u w:val="none"/>
          <w:lang w:val="en-US" w:eastAsia="zh-CN"/>
        </w:rPr>
        <w:t>作</w:t>
      </w:r>
      <w:r>
        <w:rPr>
          <w:rFonts w:hint="default"/>
          <w:b w:val="0"/>
          <w:bCs/>
          <w:color w:val="auto"/>
          <w:sz w:val="36"/>
          <w:szCs w:val="36"/>
          <w:highlight w:val="none"/>
          <w:u w:val="none"/>
          <w:lang w:val="en-US" w:eastAsia="zh-CN"/>
        </w:rPr>
        <w:t>与产业协同</w:t>
      </w:r>
      <w:bookmarkEnd w:id="232"/>
      <w:bookmarkEnd w:id="233"/>
    </w:p>
    <w:p w14:paraId="242ABD3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贯彻落实国家区域发展总体战略，</w:t>
      </w:r>
      <w:r>
        <w:rPr>
          <w:rFonts w:hint="eastAsia" w:ascii="Times New Roman" w:hAnsi="Times New Roman" w:eastAsia="仿宋_GB2312" w:cs="Times New Roman"/>
          <w:color w:val="auto"/>
          <w:sz w:val="32"/>
          <w:szCs w:val="32"/>
          <w:highlight w:val="none"/>
          <w:u w:val="none"/>
          <w:lang w:val="en-US" w:eastAsia="zh-CN"/>
        </w:rPr>
        <w:t>主动服务和融入新发展格局，</w:t>
      </w:r>
      <w:r>
        <w:rPr>
          <w:rFonts w:hint="eastAsia" w:ascii="Times New Roman" w:hAnsi="Times New Roman" w:eastAsia="仿宋_GB2312" w:cs="Times New Roman"/>
          <w:b w:val="0"/>
          <w:bCs w:val="0"/>
          <w:color w:val="auto"/>
          <w:sz w:val="32"/>
          <w:szCs w:val="32"/>
          <w:highlight w:val="none"/>
          <w:u w:val="none"/>
          <w:lang w:val="en-US" w:eastAsia="zh-CN"/>
        </w:rPr>
        <w:t>积极推动区域协同与市场开放双向发力，促进联动共赢，</w:t>
      </w:r>
      <w:r>
        <w:rPr>
          <w:rFonts w:hint="eastAsia" w:ascii="Times New Roman" w:hAnsi="Times New Roman" w:eastAsia="仿宋_GB2312" w:cs="Times New Roman"/>
          <w:color w:val="auto"/>
          <w:sz w:val="32"/>
          <w:szCs w:val="32"/>
          <w:highlight w:val="none"/>
          <w:u w:val="none"/>
          <w:lang w:val="en-US" w:eastAsia="zh-CN"/>
        </w:rPr>
        <w:t>以高质量开放合作促进开放型经济高质量发展。</w:t>
      </w:r>
    </w:p>
    <w:p w14:paraId="7D8A674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扩大高水平对外开放。</w:t>
      </w:r>
      <w:r>
        <w:rPr>
          <w:rFonts w:hint="eastAsia" w:ascii="Times New Roman" w:hAnsi="Times New Roman" w:eastAsia="仿宋_GB2312" w:cs="Times New Roman"/>
          <w:b w:val="0"/>
          <w:bCs w:val="0"/>
          <w:color w:val="auto"/>
          <w:sz w:val="32"/>
          <w:szCs w:val="32"/>
          <w:highlight w:val="none"/>
          <w:u w:val="none"/>
          <w:lang w:val="en-US" w:eastAsia="zh-CN"/>
        </w:rPr>
        <w:t>完善投资便利服务体系。按照构建统一市场基础制度、市场基础设施、政府行为尺度、市场监管执法、要素资源市场和持续扩大对内对外开放的“五统一、一开放”要求，建立健全开放型经济全生命周期要素保障机制，主动融入和服务自治区打造国内国际双循环市场经营便利地建设。创新“走出去”机制。鼓励各类经营主体在开放发展中探索创新，支持新材料、工程机械制造等特色产业不断提升外向发展竞争力。引导经营主体开展外贸业务，培育发展外贸特色产业，推动形成具有鹿寨地域特色的外贸品牌。完善“引进来”举措。围绕全县强链补链</w:t>
      </w:r>
      <w:r>
        <w:rPr>
          <w:rFonts w:hint="default" w:ascii="Times New Roman" w:hAnsi="Times New Roman" w:eastAsia="仿宋_GB2312" w:cs="Times New Roman"/>
          <w:b w:val="0"/>
          <w:bCs w:val="0"/>
          <w:color w:val="auto"/>
          <w:sz w:val="32"/>
          <w:szCs w:val="32"/>
          <w:highlight w:val="none"/>
          <w:u w:val="none"/>
          <w:lang w:val="en-US" w:eastAsia="zh-CN"/>
        </w:rPr>
        <w:t>绘制招商图谱，</w:t>
      </w:r>
      <w:r>
        <w:rPr>
          <w:rFonts w:hint="eastAsia" w:ascii="Times New Roman" w:hAnsi="Times New Roman" w:eastAsia="仿宋_GB2312" w:cs="Times New Roman"/>
          <w:b w:val="0"/>
          <w:bCs w:val="0"/>
          <w:color w:val="auto"/>
          <w:sz w:val="32"/>
          <w:szCs w:val="32"/>
          <w:highlight w:val="none"/>
          <w:u w:val="none"/>
          <w:lang w:val="en-US" w:eastAsia="zh-CN"/>
        </w:rPr>
        <w:t>开展精准化、专业化招商引资，提升产业链集聚效应。支持以柳商回归、鹿商回归、以商招商等形式进行招商。建立健全对外投资联络服务机制，努力开拓国（境）外招商。建立健全招商引资信息跟踪机制和重大招商项目全流程服务机制</w:t>
      </w:r>
      <w:r>
        <w:rPr>
          <w:rFonts w:hint="default" w:ascii="Times New Roman" w:hAnsi="Times New Roman" w:eastAsia="仿宋_GB2312" w:cs="Times New Roman"/>
          <w:b w:val="0"/>
          <w:bCs w:val="0"/>
          <w:color w:val="auto"/>
          <w:sz w:val="32"/>
          <w:szCs w:val="32"/>
          <w:highlight w:val="none"/>
          <w:u w:val="none"/>
          <w:lang w:val="en-US" w:eastAsia="zh-CN"/>
        </w:rPr>
        <w:t>，提升招商实效</w:t>
      </w:r>
      <w:r>
        <w:rPr>
          <w:rFonts w:hint="eastAsia" w:ascii="Times New Roman" w:hAnsi="Times New Roman" w:eastAsia="仿宋_GB2312" w:cs="Times New Roman"/>
          <w:b w:val="0"/>
          <w:bCs w:val="0"/>
          <w:color w:val="auto"/>
          <w:sz w:val="32"/>
          <w:szCs w:val="32"/>
          <w:highlight w:val="none"/>
          <w:u w:val="none"/>
          <w:lang w:val="en-US" w:eastAsia="zh-CN"/>
        </w:rPr>
        <w:t>。完善结对合作机制。持续深化与清华大学、</w:t>
      </w:r>
      <w:r>
        <w:rPr>
          <w:rFonts w:hint="default" w:ascii="Times New Roman" w:hAnsi="Times New Roman" w:eastAsia="仿宋_GB2312" w:cs="Times New Roman"/>
          <w:b w:val="0"/>
          <w:bCs w:val="0"/>
          <w:color w:val="auto"/>
          <w:sz w:val="32"/>
          <w:szCs w:val="32"/>
          <w:highlight w:val="none"/>
          <w:u w:val="none"/>
          <w:lang w:val="en-US" w:eastAsia="zh-CN"/>
        </w:rPr>
        <w:t>中国林科院</w:t>
      </w:r>
      <w:r>
        <w:rPr>
          <w:rFonts w:hint="eastAsia" w:ascii="Times New Roman" w:hAnsi="Times New Roman" w:eastAsia="仿宋_GB2312" w:cs="Times New Roman"/>
          <w:b w:val="0"/>
          <w:bCs w:val="0"/>
          <w:color w:val="auto"/>
          <w:sz w:val="32"/>
          <w:szCs w:val="32"/>
          <w:highlight w:val="none"/>
          <w:u w:val="none"/>
          <w:lang w:val="en-US" w:eastAsia="zh-CN"/>
        </w:rPr>
        <w:t>等院校机构的合作，积极拓展与东部沿海发达地区的友好合作，</w:t>
      </w:r>
      <w:r>
        <w:rPr>
          <w:rFonts w:hint="default" w:ascii="Times New Roman" w:hAnsi="Times New Roman" w:eastAsia="仿宋_GB2312" w:cs="Times New Roman"/>
          <w:b w:val="0"/>
          <w:bCs w:val="0"/>
          <w:color w:val="auto"/>
          <w:sz w:val="32"/>
          <w:szCs w:val="32"/>
          <w:highlight w:val="none"/>
          <w:u w:val="none"/>
          <w:lang w:val="en-US" w:eastAsia="zh-CN"/>
        </w:rPr>
        <w:t>推动</w:t>
      </w:r>
      <w:r>
        <w:rPr>
          <w:rFonts w:hint="eastAsia" w:ascii="Times New Roman" w:hAnsi="Times New Roman" w:eastAsia="仿宋_GB2312" w:cs="Times New Roman"/>
          <w:b w:val="0"/>
          <w:bCs w:val="0"/>
          <w:color w:val="auto"/>
          <w:sz w:val="32"/>
          <w:szCs w:val="32"/>
          <w:highlight w:val="none"/>
          <w:u w:val="none"/>
          <w:lang w:val="en-US" w:eastAsia="zh-CN"/>
        </w:rPr>
        <w:t>经济合作、社会发展</w:t>
      </w:r>
      <w:r>
        <w:rPr>
          <w:rFonts w:hint="default" w:ascii="Times New Roman" w:hAnsi="Times New Roman" w:eastAsia="仿宋_GB2312" w:cs="Times New Roman"/>
          <w:b w:val="0"/>
          <w:bCs w:val="0"/>
          <w:color w:val="auto"/>
          <w:sz w:val="32"/>
          <w:szCs w:val="32"/>
          <w:highlight w:val="none"/>
          <w:u w:val="none"/>
          <w:lang w:val="en-US" w:eastAsia="zh-CN"/>
        </w:rPr>
        <w:t>等多领域</w:t>
      </w:r>
      <w:r>
        <w:rPr>
          <w:rFonts w:hint="eastAsia" w:ascii="Times New Roman" w:hAnsi="Times New Roman" w:eastAsia="仿宋_GB2312" w:cs="Times New Roman"/>
          <w:b w:val="0"/>
          <w:bCs w:val="0"/>
          <w:color w:val="auto"/>
          <w:sz w:val="32"/>
          <w:szCs w:val="32"/>
          <w:highlight w:val="none"/>
          <w:u w:val="none"/>
          <w:lang w:val="en-US" w:eastAsia="zh-CN"/>
        </w:rPr>
        <w:t>双向赋能。</w:t>
      </w:r>
    </w:p>
    <w:p w14:paraId="5D164FC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拓展开放发展新格局。</w:t>
      </w:r>
      <w:r>
        <w:rPr>
          <w:rFonts w:hint="eastAsia" w:ascii="Times New Roman" w:hAnsi="Times New Roman" w:eastAsia="仿宋_GB2312" w:cs="Times New Roman"/>
          <w:b w:val="0"/>
          <w:bCs w:val="0"/>
          <w:color w:val="auto"/>
          <w:sz w:val="32"/>
          <w:szCs w:val="32"/>
          <w:highlight w:val="none"/>
          <w:u w:val="none"/>
          <w:lang w:val="en-US" w:eastAsia="zh-CN"/>
        </w:rPr>
        <w:t>强化规划引领与顶层设计，立足鹿寨区位条件、产业基础及自治区、柳州市赋予的发展定位，</w:t>
      </w:r>
      <w:r>
        <w:rPr>
          <w:rFonts w:hint="eastAsia" w:ascii="Times New Roman" w:hAnsi="Times New Roman" w:eastAsia="仿宋_GB2312" w:cs="Times New Roman"/>
          <w:color w:val="auto"/>
          <w:sz w:val="32"/>
          <w:szCs w:val="32"/>
          <w:highlight w:val="none"/>
          <w:u w:val="none"/>
          <w:lang w:val="en-US" w:eastAsia="zh-CN"/>
        </w:rPr>
        <w:t>围绕投资强度、技术水平、产出效益、财税贡献、资源消耗、带动作用等关键要素，加快构建形成与市区同城化、东融粤港澳、向西联东盟、北合长三角、南联海南自贸港的全方位开放合作格局。加快柳州城市副中心建设，积极推动各类要素与市区同城发展，打造“半小时”都市圈。充分发挥作为柳州向海经济门户及珠江—西江经济带、连接中南地区交通枢纽支点的比较优势，抢抓自治区建设粤港澳大湾区重要战略腹地机遇期，积极建设东部沿海产业发展辐射地、科技创新接续地、资源要素响应地，加快建立健全与大湾区、长三角地区的常态化对接机制，打造大湾区重要战略腹地先行县、合作互动圈。充分利用位于西部陆海新通道中线东线交汇节点的有利条件，高质量贯彻自治区“北上广研发+广西集成+东盟应用”部署，抢抓柳州高新技术产业开发区入选中国—东盟产业合作区协同发展区机遇，积极</w:t>
      </w:r>
      <w:r>
        <w:rPr>
          <w:rFonts w:hint="default" w:ascii="Times New Roman" w:hAnsi="Times New Roman" w:eastAsia="仿宋_GB2312" w:cs="Times New Roman"/>
          <w:color w:val="auto"/>
          <w:sz w:val="32"/>
          <w:szCs w:val="32"/>
          <w:highlight w:val="none"/>
          <w:u w:val="none"/>
          <w:lang w:val="en-US" w:eastAsia="zh-CN"/>
        </w:rPr>
        <w:t>探索</w:t>
      </w:r>
      <w:r>
        <w:rPr>
          <w:rFonts w:hint="eastAsia" w:ascii="Times New Roman" w:hAnsi="Times New Roman" w:eastAsia="仿宋_GB2312" w:cs="Times New Roman"/>
          <w:b w:val="0"/>
          <w:bCs w:val="0"/>
          <w:color w:val="auto"/>
          <w:sz w:val="32"/>
          <w:szCs w:val="32"/>
          <w:highlight w:val="none"/>
          <w:u w:val="none"/>
          <w:lang w:val="en-US" w:eastAsia="zh-CN"/>
        </w:rPr>
        <w:t>对接北部湾国际门户港与东盟大市场路径</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推动“鹿寨制造”拓展东盟市场，促进农</w:t>
      </w:r>
      <w:r>
        <w:rPr>
          <w:rFonts w:hint="default" w:ascii="Times New Roman" w:hAnsi="Times New Roman" w:eastAsia="仿宋_GB2312" w:cs="Times New Roman"/>
          <w:color w:val="auto"/>
          <w:sz w:val="32"/>
          <w:szCs w:val="32"/>
          <w:highlight w:val="none"/>
          <w:u w:val="none"/>
          <w:lang w:val="en-US" w:eastAsia="zh-CN"/>
        </w:rPr>
        <w:t>文旅等领域合作</w:t>
      </w:r>
      <w:r>
        <w:rPr>
          <w:rFonts w:hint="eastAsia" w:ascii="Times New Roman" w:hAnsi="Times New Roman" w:eastAsia="仿宋_GB2312" w:cs="Times New Roman"/>
          <w:color w:val="auto"/>
          <w:sz w:val="32"/>
          <w:szCs w:val="32"/>
          <w:highlight w:val="none"/>
          <w:u w:val="none"/>
          <w:lang w:val="en-US" w:eastAsia="zh-CN"/>
        </w:rPr>
        <w:t>互动，积极融入国际循环</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积极推动与南宁—柳州—桂林经济走廊及桂北地区形成港陆联动发展，联合三江侗族自治县、融水苗族自治县、阳朔县等周边市县打造侗苗瑶壮民俗及山水风情精品旅游线路，探索与柳城县、融安县建立林木加工、农林产品跨区域产业协作联盟，加快形成与周边地区“优势互补、错位发展、串珠成链、良性互动”的发展格局。</w:t>
      </w:r>
    </w:p>
    <w:p w14:paraId="115A8E6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Cs/>
          <w:color w:val="auto"/>
          <w:spacing w:val="0"/>
          <w:kern w:val="2"/>
          <w:sz w:val="32"/>
          <w:szCs w:val="32"/>
          <w:highlight w:val="none"/>
          <w:u w:val="none"/>
          <w:lang w:val="en-US" w:eastAsia="zh-CN" w:bidi="ar-SA"/>
        </w:rPr>
      </w:pPr>
      <w:r>
        <w:rPr>
          <w:rFonts w:hint="eastAsia" w:ascii="Times New Roman" w:hAnsi="Times New Roman" w:eastAsia="仿宋_GB2312" w:cs="Times New Roman"/>
          <w:b/>
          <w:bCs/>
          <w:color w:val="auto"/>
          <w:sz w:val="32"/>
          <w:szCs w:val="32"/>
          <w:highlight w:val="none"/>
          <w:u w:val="none"/>
          <w:lang w:val="en-US" w:eastAsia="zh-CN"/>
        </w:rPr>
        <w:t>提升开放型经济质量与水平。</w:t>
      </w:r>
      <w:r>
        <w:rPr>
          <w:rFonts w:hint="eastAsia" w:ascii="Times New Roman" w:hAnsi="Times New Roman" w:eastAsia="仿宋_GB2312" w:cs="Times New Roman"/>
          <w:color w:val="auto"/>
          <w:sz w:val="32"/>
          <w:szCs w:val="32"/>
          <w:highlight w:val="none"/>
          <w:u w:val="none"/>
          <w:lang w:val="en-US" w:eastAsia="zh-CN"/>
        </w:rPr>
        <w:t>探索建立共建共管、利益共享的“飞地经济”产业园，深化研发、产销对接与市场拓展，加快形成“沿海总部研发+鹿寨生产基地”协同发展格局。聚焦高端绿色家居产业，主动承接优势家居品牌生产制造环节，建设“前店（湾区）后厂（鹿寨）”制造基地，培育壮大鹿寨家居品牌，积极开拓国内国际市场。围绕绿色化工新材料、高端装备制造及生产性服务业发展，发挥承载空间足、要素成本低、区位交通便利的比较优势，主动承接和嵌入东部沿海地区产业供应链。立足鹿寨农林产品资源丰富以及新材料等产业优势，通过靶向招商、产业协作、技术创新等多维度举措，深化</w:t>
      </w:r>
      <w:r>
        <w:rPr>
          <w:rFonts w:hint="default" w:ascii="Times New Roman" w:hAnsi="Times New Roman" w:eastAsia="仿宋_GB2312" w:cs="Times New Roman"/>
          <w:color w:val="auto"/>
          <w:sz w:val="32"/>
          <w:szCs w:val="32"/>
          <w:highlight w:val="none"/>
          <w:u w:val="none"/>
          <w:lang w:val="en-US" w:eastAsia="zh-CN"/>
        </w:rPr>
        <w:t>产品创新</w:t>
      </w:r>
      <w:r>
        <w:rPr>
          <w:rFonts w:hint="eastAsia" w:ascii="Times New Roman" w:hAnsi="Times New Roman" w:eastAsia="仿宋_GB2312" w:cs="Times New Roman"/>
          <w:color w:val="auto"/>
          <w:sz w:val="32"/>
          <w:szCs w:val="32"/>
          <w:highlight w:val="none"/>
          <w:u w:val="none"/>
          <w:lang w:val="en-US" w:eastAsia="zh-CN"/>
        </w:rPr>
        <w:t>与品牌打造</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持续</w:t>
      </w:r>
      <w:r>
        <w:rPr>
          <w:rFonts w:hint="default" w:ascii="Times New Roman" w:hAnsi="Times New Roman" w:eastAsia="仿宋_GB2312" w:cs="Times New Roman"/>
          <w:color w:val="auto"/>
          <w:sz w:val="32"/>
          <w:szCs w:val="32"/>
          <w:highlight w:val="none"/>
          <w:u w:val="none"/>
          <w:lang w:val="en-US" w:eastAsia="zh-CN"/>
        </w:rPr>
        <w:t>培育具有</w:t>
      </w:r>
      <w:r>
        <w:rPr>
          <w:rFonts w:hint="eastAsia" w:ascii="Times New Roman" w:hAnsi="Times New Roman" w:eastAsia="仿宋_GB2312" w:cs="Times New Roman"/>
          <w:color w:val="auto"/>
          <w:sz w:val="32"/>
          <w:szCs w:val="32"/>
          <w:highlight w:val="none"/>
          <w:u w:val="none"/>
          <w:lang w:val="en-US" w:eastAsia="zh-CN"/>
        </w:rPr>
        <w:t>鹿寨</w:t>
      </w:r>
      <w:r>
        <w:rPr>
          <w:rFonts w:hint="default" w:ascii="Times New Roman" w:hAnsi="Times New Roman" w:eastAsia="仿宋_GB2312" w:cs="Times New Roman"/>
          <w:color w:val="auto"/>
          <w:sz w:val="32"/>
          <w:szCs w:val="32"/>
          <w:highlight w:val="none"/>
          <w:u w:val="none"/>
          <w:lang w:val="en-US" w:eastAsia="zh-CN"/>
        </w:rPr>
        <w:t>特色的名优商品</w:t>
      </w:r>
      <w:r>
        <w:rPr>
          <w:rFonts w:hint="eastAsia" w:ascii="Times New Roman" w:hAnsi="Times New Roman" w:eastAsia="仿宋_GB2312" w:cs="Times New Roman"/>
          <w:color w:val="auto"/>
          <w:sz w:val="32"/>
          <w:szCs w:val="32"/>
          <w:highlight w:val="none"/>
          <w:u w:val="none"/>
          <w:lang w:val="en-US" w:eastAsia="zh-CN"/>
        </w:rPr>
        <w:t>拓展国家市场。</w:t>
      </w:r>
    </w:p>
    <w:bookmarkEnd w:id="227"/>
    <w:p w14:paraId="71565DC8">
      <w:pPr>
        <w:bidi w:val="0"/>
        <w:rPr>
          <w:rFonts w:hint="eastAsia"/>
          <w:color w:val="auto"/>
          <w:lang w:val="en-US" w:eastAsia="zh-CN"/>
        </w:rPr>
      </w:pPr>
      <w:bookmarkStart w:id="234" w:name="_Toc22022"/>
      <w:bookmarkStart w:id="235" w:name="_Toc647"/>
      <w:bookmarkStart w:id="236" w:name="_Toc1220"/>
      <w:bookmarkStart w:id="237" w:name="_Toc5843"/>
    </w:p>
    <w:p w14:paraId="74C4974B">
      <w:pPr>
        <w:bidi w:val="0"/>
        <w:rPr>
          <w:rFonts w:hint="eastAsia"/>
          <w:color w:val="auto"/>
          <w:lang w:val="en-US" w:eastAsia="zh-CN"/>
        </w:rPr>
      </w:pPr>
    </w:p>
    <w:p w14:paraId="75E7D462">
      <w:pPr>
        <w:bidi w:val="0"/>
        <w:rPr>
          <w:rFonts w:hint="eastAsia"/>
          <w:color w:val="auto"/>
          <w:lang w:val="en-US" w:eastAsia="zh-CN"/>
        </w:rPr>
      </w:pPr>
    </w:p>
    <w:p w14:paraId="1BD8810D">
      <w:pPr>
        <w:bidi w:val="0"/>
        <w:rPr>
          <w:rFonts w:hint="eastAsia"/>
          <w:color w:val="auto"/>
          <w:lang w:val="en-US" w:eastAsia="zh-CN"/>
        </w:rPr>
      </w:pPr>
    </w:p>
    <w:p w14:paraId="5AD57FF2">
      <w:pPr>
        <w:bidi w:val="0"/>
        <w:rPr>
          <w:rFonts w:hint="eastAsia"/>
          <w:color w:val="auto"/>
          <w:lang w:val="en-US" w:eastAsia="zh-CN"/>
        </w:rPr>
      </w:pPr>
    </w:p>
    <w:p w14:paraId="3E6B28BF">
      <w:pPr>
        <w:bidi w:val="0"/>
        <w:rPr>
          <w:rFonts w:hint="eastAsia"/>
          <w:color w:val="auto"/>
          <w:lang w:val="en-US" w:eastAsia="zh-CN"/>
        </w:rPr>
      </w:pPr>
    </w:p>
    <w:p w14:paraId="399341DA">
      <w:pPr>
        <w:bidi w:val="0"/>
        <w:rPr>
          <w:rFonts w:hint="eastAsia"/>
          <w:color w:val="auto"/>
          <w:lang w:val="en-US" w:eastAsia="zh-CN"/>
        </w:rPr>
      </w:pPr>
    </w:p>
    <w:p w14:paraId="3752D190">
      <w:pPr>
        <w:bidi w:val="0"/>
        <w:rPr>
          <w:rFonts w:hint="eastAsia"/>
          <w:color w:val="auto"/>
          <w:lang w:val="en-US" w:eastAsia="zh-CN"/>
        </w:rPr>
      </w:pPr>
    </w:p>
    <w:p w14:paraId="22293DB6">
      <w:pPr>
        <w:bidi w:val="0"/>
        <w:rPr>
          <w:rFonts w:hint="eastAsia"/>
          <w:color w:val="auto"/>
          <w:lang w:val="en-US" w:eastAsia="zh-CN"/>
        </w:rPr>
      </w:pPr>
    </w:p>
    <w:p w14:paraId="2B57C3B4">
      <w:pPr>
        <w:bidi w:val="0"/>
        <w:rPr>
          <w:rFonts w:hint="eastAsia"/>
          <w:color w:val="auto"/>
          <w:lang w:val="en-US" w:eastAsia="zh-CN"/>
        </w:rPr>
      </w:pPr>
    </w:p>
    <w:p w14:paraId="33EB9EB9">
      <w:pPr>
        <w:bidi w:val="0"/>
        <w:rPr>
          <w:rFonts w:hint="eastAsia"/>
          <w:color w:val="auto"/>
          <w:lang w:val="en-US" w:eastAsia="zh-CN"/>
        </w:rPr>
      </w:pPr>
    </w:p>
    <w:p w14:paraId="27CFC0DF">
      <w:pPr>
        <w:bidi w:val="0"/>
        <w:rPr>
          <w:rFonts w:hint="eastAsia"/>
          <w:color w:val="auto"/>
          <w:lang w:val="en-US" w:eastAsia="zh-CN"/>
        </w:rPr>
      </w:pPr>
    </w:p>
    <w:p w14:paraId="23087518">
      <w:pPr>
        <w:bidi w:val="0"/>
        <w:rPr>
          <w:rFonts w:hint="eastAsia"/>
          <w:color w:val="auto"/>
          <w:lang w:val="en-US" w:eastAsia="zh-CN"/>
        </w:rPr>
      </w:pPr>
    </w:p>
    <w:p w14:paraId="58E09470">
      <w:pPr>
        <w:bidi w:val="0"/>
        <w:rPr>
          <w:rFonts w:hint="eastAsia"/>
          <w:color w:val="auto"/>
          <w:lang w:val="en-US" w:eastAsia="zh-CN"/>
        </w:rPr>
      </w:pPr>
    </w:p>
    <w:p w14:paraId="2F96C54D">
      <w:pPr>
        <w:bidi w:val="0"/>
        <w:rPr>
          <w:rFonts w:hint="eastAsia"/>
          <w:color w:val="auto"/>
          <w:lang w:val="en-US" w:eastAsia="zh-CN"/>
        </w:rPr>
      </w:pPr>
    </w:p>
    <w:p w14:paraId="4F19FF50">
      <w:pPr>
        <w:bidi w:val="0"/>
        <w:rPr>
          <w:rFonts w:hint="eastAsia"/>
          <w:color w:val="auto"/>
          <w:lang w:val="en-US" w:eastAsia="zh-CN"/>
        </w:rPr>
      </w:pPr>
    </w:p>
    <w:p w14:paraId="65BDF8F6">
      <w:pPr>
        <w:bidi w:val="0"/>
        <w:rPr>
          <w:rFonts w:hint="eastAsia"/>
          <w:color w:val="auto"/>
          <w:lang w:val="en-US" w:eastAsia="zh-CN"/>
        </w:rPr>
      </w:pPr>
    </w:p>
    <w:p w14:paraId="7ED0A013">
      <w:pPr>
        <w:bidi w:val="0"/>
        <w:rPr>
          <w:rFonts w:hint="eastAsia"/>
          <w:color w:val="auto"/>
          <w:lang w:val="en-US" w:eastAsia="zh-CN"/>
        </w:rPr>
      </w:pPr>
    </w:p>
    <w:p w14:paraId="001BC8FB">
      <w:pPr>
        <w:bidi w:val="0"/>
        <w:rPr>
          <w:rFonts w:hint="eastAsia"/>
          <w:color w:val="auto"/>
          <w:lang w:val="en-US" w:eastAsia="zh-CN"/>
        </w:rPr>
      </w:pPr>
    </w:p>
    <w:p w14:paraId="1829EFC4">
      <w:pPr>
        <w:bidi w:val="0"/>
        <w:rPr>
          <w:rFonts w:hint="eastAsia"/>
          <w:color w:val="auto"/>
          <w:lang w:val="en-US" w:eastAsia="zh-CN"/>
        </w:rPr>
      </w:pPr>
    </w:p>
    <w:p w14:paraId="5D784DF1">
      <w:pPr>
        <w:bidi w:val="0"/>
        <w:rPr>
          <w:rFonts w:hint="eastAsia"/>
          <w:color w:val="auto"/>
          <w:lang w:val="en-US" w:eastAsia="zh-CN"/>
        </w:rPr>
      </w:pPr>
    </w:p>
    <w:p w14:paraId="50D6DD4C">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r>
        <w:rPr>
          <w:rFonts w:hint="eastAsia" w:ascii="方正小标宋简体" w:hAnsi="方正小标宋简体" w:eastAsia="方正小标宋简体" w:cs="方正小标宋简体"/>
          <w:b w:val="0"/>
          <w:bCs/>
          <w:color w:val="auto"/>
          <w:highlight w:val="none"/>
          <w:lang w:val="en-US" w:eastAsia="zh-CN"/>
        </w:rPr>
        <w:t>第十章</w:t>
      </w:r>
      <w:bookmarkEnd w:id="234"/>
      <w:bookmarkEnd w:id="235"/>
      <w:bookmarkEnd w:id="236"/>
      <w:bookmarkEnd w:id="237"/>
    </w:p>
    <w:p w14:paraId="0CE93ABD">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238" w:name="_Toc13857"/>
      <w:bookmarkStart w:id="239" w:name="_Toc14409"/>
      <w:bookmarkStart w:id="240" w:name="_Toc6823"/>
      <w:bookmarkStart w:id="241" w:name="_Toc13997"/>
      <w:r>
        <w:rPr>
          <w:rFonts w:hint="eastAsia" w:ascii="方正小标宋简体" w:hAnsi="方正小标宋简体" w:eastAsia="方正小标宋简体" w:cs="方正小标宋简体"/>
          <w:b w:val="0"/>
          <w:bCs/>
          <w:color w:val="auto"/>
          <w:highlight w:val="none"/>
          <w:lang w:val="en-US" w:eastAsia="zh-CN"/>
        </w:rPr>
        <w:t>激发创新创造活力  促进文化繁荣发展</w:t>
      </w:r>
      <w:bookmarkEnd w:id="238"/>
      <w:bookmarkEnd w:id="239"/>
      <w:bookmarkEnd w:id="240"/>
      <w:bookmarkEnd w:id="241"/>
    </w:p>
    <w:p w14:paraId="45C1B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坚持以习近平文化思想为指导，培育和践行社会主义核心价值观，全面提升社会文明程度。着力强化理论武装、壮大主流舆论、深化文明实践、加强道德建设、促进民族团结，健全精神文明建设长效机制，为奋力谱写新时代壮美广西的鹿寨篇章凝聚强大精神力量。</w:t>
      </w:r>
    </w:p>
    <w:p w14:paraId="125D8D8B">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ind w:firstLine="720" w:firstLineChars="200"/>
        <w:jc w:val="center"/>
        <w:textAlignment w:val="auto"/>
        <w:outlineLvl w:val="0"/>
        <w:rPr>
          <w:rFonts w:hint="eastAsia" w:ascii="黑体" w:hAnsi="黑体" w:eastAsia="黑体" w:cs="黑体"/>
          <w:color w:val="auto"/>
          <w:sz w:val="36"/>
          <w:szCs w:val="36"/>
          <w:highlight w:val="none"/>
        </w:rPr>
      </w:pPr>
      <w:bookmarkStart w:id="242" w:name="_Toc7289"/>
      <w:bookmarkStart w:id="243" w:name="_Toc12512"/>
      <w:bookmarkStart w:id="244" w:name="_Toc31888"/>
      <w:bookmarkStart w:id="245" w:name="_Toc31692"/>
      <w:r>
        <w:rPr>
          <w:rFonts w:hint="eastAsia" w:ascii="黑体" w:hAnsi="黑体" w:eastAsia="黑体" w:cs="黑体"/>
          <w:color w:val="auto"/>
          <w:sz w:val="36"/>
          <w:szCs w:val="36"/>
          <w:highlight w:val="none"/>
        </w:rPr>
        <w:t>第一节</w:t>
      </w:r>
      <w:r>
        <w:rPr>
          <w:rFonts w:hint="eastAsia" w:ascii="黑体" w:hAnsi="黑体" w:eastAsia="黑体" w:cs="黑体"/>
          <w:color w:val="auto"/>
          <w:sz w:val="36"/>
          <w:szCs w:val="36"/>
          <w:highlight w:val="none"/>
          <w:lang w:val="en-US" w:eastAsia="zh-CN"/>
        </w:rPr>
        <w:t xml:space="preserve">  </w:t>
      </w:r>
      <w:r>
        <w:rPr>
          <w:rFonts w:hint="eastAsia" w:ascii="黑体" w:hAnsi="黑体" w:eastAsia="黑体" w:cs="黑体"/>
          <w:color w:val="auto"/>
          <w:sz w:val="36"/>
          <w:szCs w:val="36"/>
          <w:highlight w:val="none"/>
        </w:rPr>
        <w:t>强化</w:t>
      </w:r>
      <w:r>
        <w:rPr>
          <w:rFonts w:hint="eastAsia" w:ascii="黑体" w:hAnsi="黑体" w:eastAsia="黑体" w:cs="黑体"/>
          <w:color w:val="auto"/>
          <w:sz w:val="36"/>
          <w:szCs w:val="36"/>
          <w:highlight w:val="none"/>
          <w:lang w:val="en-US" w:eastAsia="zh-CN"/>
        </w:rPr>
        <w:t>价值</w:t>
      </w:r>
      <w:r>
        <w:rPr>
          <w:rFonts w:hint="eastAsia" w:ascii="黑体" w:hAnsi="黑体" w:eastAsia="黑体" w:cs="黑体"/>
          <w:color w:val="auto"/>
          <w:sz w:val="36"/>
          <w:szCs w:val="36"/>
          <w:highlight w:val="none"/>
        </w:rPr>
        <w:t>引领与精神文明建设</w:t>
      </w:r>
      <w:bookmarkEnd w:id="242"/>
      <w:bookmarkEnd w:id="243"/>
      <w:bookmarkEnd w:id="244"/>
      <w:bookmarkEnd w:id="245"/>
    </w:p>
    <w:p w14:paraId="653420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聚焦举旗帜、聚民心、育新人、兴文化、展形象的使命任务，以党的创新理论武装和社会主义核心价值观培育为核心，全面加强意识形态建设、拓展文明实践、巩固壮大主流舆论，推动形成适应新时代要求的思想观念、精神面貌、文明风尚、行为规范。</w:t>
      </w:r>
    </w:p>
    <w:p w14:paraId="4EBE789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铸牢中华民族共同体意识。</w:t>
      </w:r>
      <w:r>
        <w:rPr>
          <w:rFonts w:hint="eastAsia" w:ascii="仿宋_GB2312" w:hAnsi="仿宋_GB2312" w:eastAsia="仿宋_GB2312" w:cs="仿宋_GB2312"/>
          <w:b w:val="0"/>
          <w:bCs w:val="0"/>
          <w:color w:val="auto"/>
          <w:kern w:val="2"/>
          <w:sz w:val="32"/>
          <w:szCs w:val="32"/>
          <w:highlight w:val="none"/>
          <w:lang w:val="en-US" w:eastAsia="zh-CN" w:bidi="ar-SA"/>
        </w:rPr>
        <w:t>将铸牢中华民族共同体意识作为全县各项工作的主线，探索建设县域铸牢中华民族共同体意识研究实践基地，深化理论研究与宣传教育。全面纳入干部教育、党员教育、国民教育体系和巡察工作，利用数字化、智能化技术手段，创新展示与传承各民族优秀传统文化。扎实推进“五个家园”</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18"/>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建设，为广西建成铸牢中华民族共同体意识示范区贡献鹿寨力量。深入开展各民族互嵌式发展计划、各族青少年交流计划和旅游促进各民族交往交流交融计划，促进各民族广泛交往交流交融，推动中华民族走向认同度更高、凝聚力更强的命运共同体。依托“三月三”等特色节日，举办彰显各民族共享的中华文化符号和形象的展演、体验及宣传活动。推动建立跨区域、跨行业的民族团结共建机制，促进各民族在空间、文化、经济、社会、心理等方面的全方位嵌入，讲好民族团结“鹿寨故事”，不断增强各族群众对伟大祖国、中华民族、中华文化、中国共产党、中国特色社会主义的认同。</w:t>
      </w:r>
    </w:p>
    <w:p w14:paraId="4858D1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rPr>
        <w:t>深化理论武装与理想信念教育</w:t>
      </w:r>
      <w:r>
        <w:rPr>
          <w:rFonts w:hint="eastAsia" w:ascii="仿宋_GB2312" w:hAnsi="仿宋_GB2312" w:eastAsia="仿宋_GB2312" w:cs="仿宋_GB2312"/>
          <w:b w:val="0"/>
          <w:bCs w:val="0"/>
          <w:color w:val="auto"/>
          <w:kern w:val="2"/>
          <w:sz w:val="32"/>
          <w:szCs w:val="32"/>
          <w:highlight w:val="none"/>
          <w:lang w:val="en-US" w:eastAsia="zh-CN" w:bidi="ar-SA"/>
        </w:rPr>
        <w:t>。健全用党的创新理论武装全党、教育人民的工作体系，发挥党委（党组）理论学习中心组示范作用，建强县乡党校主阵地。将党史学习教育常态化长效化与弘扬本地红色文化紧密结合，深入挖掘利用鹿寨红色文化陈列馆等本土红色资源，打造“红色鹿寨”研学实践路线，将其融入党员干部培训和青少年思政课实践。加强和改进基层思想政治工作，针对农村、社区、学校、企业及新兴领域特点，创新方法载体，把解决思想问题与解决实际困难相结合。</w:t>
      </w:r>
    </w:p>
    <w:p w14:paraId="225FCA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拓展新时代</w:t>
      </w:r>
      <w:r>
        <w:rPr>
          <w:rFonts w:hint="eastAsia" w:ascii="仿宋_GB2312" w:hAnsi="仿宋_GB2312" w:eastAsia="仿宋_GB2312" w:cs="仿宋_GB2312"/>
          <w:b/>
          <w:bCs/>
          <w:color w:val="auto"/>
          <w:sz w:val="32"/>
          <w:szCs w:val="32"/>
          <w:highlight w:val="none"/>
        </w:rPr>
        <w:t>文明实践</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lang w:val="en-US" w:eastAsia="zh-CN" w:bidi="ar-SA"/>
        </w:rPr>
        <w:t>优化县、乡、村三级新时代文明实践中心（所、站）功能，推动资源整合、服务下沉。精心设计实施以“文明中渡”为标杆的志愿服务项目，推动文明实践与基层治理、乡村振兴深度融合。持续开展“身边好人”“最美家庭”“最美劳动者”系列选树宣传，发挥典型示范引领作用。深化“我们的节日”主题活动，融入“中渡五·廿八城隍庙会”“平山山歌”</w:t>
      </w:r>
      <w:r>
        <w:rPr>
          <w:rFonts w:hint="default" w:ascii="仿宋_GB2312" w:hAnsi="仿宋_GB2312" w:eastAsia="仿宋_GB2312" w:cs="仿宋_GB2312"/>
          <w:b w:val="0"/>
          <w:bCs w:val="0"/>
          <w:color w:val="auto"/>
          <w:kern w:val="2"/>
          <w:sz w:val="32"/>
          <w:szCs w:val="32"/>
          <w:highlight w:val="none"/>
          <w:lang w:val="en-US" w:eastAsia="zh-CN" w:bidi="ar-SA"/>
        </w:rPr>
        <w:t>“鹿寨彩调”</w:t>
      </w:r>
      <w:r>
        <w:rPr>
          <w:rFonts w:hint="eastAsia" w:ascii="仿宋_GB2312" w:hAnsi="仿宋_GB2312" w:eastAsia="仿宋_GB2312" w:cs="仿宋_GB2312"/>
          <w:b w:val="0"/>
          <w:bCs w:val="0"/>
          <w:color w:val="auto"/>
          <w:kern w:val="2"/>
          <w:sz w:val="32"/>
          <w:szCs w:val="32"/>
          <w:highlight w:val="none"/>
          <w:lang w:val="en-US" w:eastAsia="zh-CN" w:bidi="ar-SA"/>
        </w:rPr>
        <w:t>等本土特色民俗文化元素，举办具有浓郁地方特色的节庆文化活动，修订完善体现时代精神和鹿寨特色的市民公约、村规民约。以争创文明城市为牵引，统筹推进文明村镇、文明单位、文明家庭、文明校园创建，实施文明乡风培育行动，持续推进移风易俗。加强未成年人思想道德建设，深化“扣好人生第一粒扣子”主题实践，推进特色校园文化建设。</w:t>
      </w:r>
    </w:p>
    <w:p w14:paraId="18D602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23"/>
          <w:rFonts w:hint="eastAsia" w:ascii="仿宋_GB2312" w:hAnsi="仿宋_GB2312" w:eastAsia="仿宋_GB2312" w:cs="仿宋_GB2312"/>
          <w:b w:val="0"/>
          <w:bCs w:val="0"/>
          <w:i w:val="0"/>
          <w:iCs w:val="0"/>
          <w:caps w:val="0"/>
          <w:color w:val="auto"/>
          <w:spacing w:val="0"/>
          <w:sz w:val="32"/>
          <w:szCs w:val="32"/>
          <w:highlight w:val="none"/>
          <w:shd w:val="clear" w:color="auto" w:fill="auto"/>
          <w:lang w:eastAsia="zh-CN"/>
        </w:rPr>
      </w:pPr>
      <w:r>
        <w:rPr>
          <w:rStyle w:val="23"/>
          <w:rFonts w:hint="eastAsia" w:ascii="仿宋_GB2312" w:hAnsi="仿宋_GB2312" w:eastAsia="仿宋_GB2312" w:cs="仿宋_GB2312"/>
          <w:b/>
          <w:bCs/>
          <w:i w:val="0"/>
          <w:iCs w:val="0"/>
          <w:caps w:val="0"/>
          <w:color w:val="auto"/>
          <w:spacing w:val="0"/>
          <w:sz w:val="32"/>
          <w:szCs w:val="32"/>
          <w:highlight w:val="none"/>
          <w:shd w:val="clear" w:color="auto" w:fill="auto"/>
        </w:rPr>
        <w:t>巩固壮大主流思想舆论阵地</w:t>
      </w:r>
      <w:r>
        <w:rPr>
          <w:rStyle w:val="23"/>
          <w:rFonts w:hint="eastAsia" w:ascii="仿宋_GB2312" w:hAnsi="仿宋_GB2312" w:eastAsia="仿宋_GB2312" w:cs="仿宋_GB2312"/>
          <w:b/>
          <w:bCs/>
          <w:i w:val="0"/>
          <w:iCs w:val="0"/>
          <w:caps w:val="0"/>
          <w:color w:val="auto"/>
          <w:spacing w:val="0"/>
          <w:sz w:val="32"/>
          <w:szCs w:val="32"/>
          <w:highlight w:val="none"/>
          <w:shd w:val="clear" w:color="auto" w:fill="auto"/>
          <w:lang w:eastAsia="zh-CN"/>
        </w:rPr>
        <w:t>。</w:t>
      </w:r>
      <w:r>
        <w:rPr>
          <w:rStyle w:val="23"/>
          <w:rFonts w:hint="eastAsia" w:ascii="仿宋_GB2312" w:hAnsi="仿宋_GB2312" w:eastAsia="仿宋_GB2312" w:cs="仿宋_GB2312"/>
          <w:b w:val="0"/>
          <w:bCs w:val="0"/>
          <w:i w:val="0"/>
          <w:iCs w:val="0"/>
          <w:caps w:val="0"/>
          <w:color w:val="auto"/>
          <w:spacing w:val="0"/>
          <w:sz w:val="32"/>
          <w:szCs w:val="32"/>
          <w:highlight w:val="none"/>
          <w:shd w:val="clear" w:color="auto" w:fill="auto"/>
          <w:lang w:eastAsia="zh-CN"/>
        </w:rPr>
        <w:t>推进县级融媒体提质增效，整合县域媒体资源，打造具有区域影响力的新型主流媒体旗舰，提升主流舆论传播力、引导力、影响力、公信力。紧扣县委、县人民政府中心工作，聚焦重大主题、重要政策、社会热点，主动设置议题，策划推出一批展现鹿寨工业振兴、乡村振兴、民族团结进步的融媒体产品。坚持正面宣传为主，实施优质网络内容生产和传播扶持计划，强化选题策划、精品创作和推广传播全链条支持，鼓励推出更多接地气、有温度、易传播的网络文化产品。压实网络平台责任，依托一体化网络应急指挥中心平台建设，健全重大舆情和突发事件舆论引导应急预案及快速反应机制。严格落实主管主办和属地管理原则，加强广播电视、政务新媒体及自媒体内容监管。健全网络综合治理体系，完善违法违规信息和不良内容研判处置机制，营造风清气正的网络生态。</w:t>
      </w:r>
    </w:p>
    <w:p w14:paraId="293ED886">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color w:val="auto"/>
          <w:sz w:val="36"/>
          <w:szCs w:val="36"/>
          <w:highlight w:val="none"/>
          <w:lang w:val="en-US" w:eastAsia="zh-CN"/>
        </w:rPr>
      </w:pPr>
      <w:bookmarkStart w:id="246" w:name="_Toc22721"/>
      <w:bookmarkStart w:id="247" w:name="_Toc17362"/>
      <w:bookmarkStart w:id="248" w:name="_Toc14968"/>
      <w:bookmarkStart w:id="249" w:name="_Toc5618"/>
      <w:r>
        <w:rPr>
          <w:rFonts w:hint="eastAsia" w:ascii="黑体" w:hAnsi="黑体" w:eastAsia="黑体" w:cs="黑体"/>
          <w:color w:val="auto"/>
          <w:sz w:val="36"/>
          <w:szCs w:val="36"/>
          <w:highlight w:val="none"/>
        </w:rPr>
        <w:t>第二节</w:t>
      </w:r>
      <w:r>
        <w:rPr>
          <w:rFonts w:hint="eastAsia" w:ascii="黑体" w:hAnsi="黑体" w:eastAsia="黑体" w:cs="黑体"/>
          <w:color w:val="auto"/>
          <w:sz w:val="36"/>
          <w:szCs w:val="36"/>
          <w:highlight w:val="none"/>
          <w:lang w:val="en-US" w:eastAsia="zh-CN"/>
        </w:rPr>
        <w:t xml:space="preserve">  </w:t>
      </w:r>
      <w:r>
        <w:rPr>
          <w:rFonts w:hint="eastAsia" w:ascii="黑体" w:hAnsi="黑体" w:eastAsia="黑体" w:cs="黑体"/>
          <w:color w:val="auto"/>
          <w:sz w:val="36"/>
          <w:szCs w:val="36"/>
          <w:highlight w:val="none"/>
        </w:rPr>
        <w:t>提升</w:t>
      </w:r>
      <w:r>
        <w:rPr>
          <w:rFonts w:hint="eastAsia" w:ascii="黑体" w:hAnsi="黑体" w:eastAsia="黑体" w:cs="黑体"/>
          <w:color w:val="auto"/>
          <w:sz w:val="36"/>
          <w:szCs w:val="36"/>
          <w:highlight w:val="none"/>
          <w:lang w:val="en-US" w:eastAsia="zh-CN"/>
        </w:rPr>
        <w:t>公共</w:t>
      </w:r>
      <w:r>
        <w:rPr>
          <w:rFonts w:hint="eastAsia" w:ascii="黑体" w:hAnsi="黑体" w:eastAsia="黑体" w:cs="黑体"/>
          <w:color w:val="auto"/>
          <w:sz w:val="36"/>
          <w:szCs w:val="36"/>
          <w:highlight w:val="none"/>
        </w:rPr>
        <w:t>文化服务</w:t>
      </w:r>
      <w:r>
        <w:rPr>
          <w:rFonts w:hint="eastAsia" w:ascii="黑体" w:hAnsi="黑体" w:eastAsia="黑体" w:cs="黑体"/>
          <w:color w:val="auto"/>
          <w:sz w:val="36"/>
          <w:szCs w:val="36"/>
          <w:highlight w:val="none"/>
          <w:lang w:val="en-US" w:eastAsia="zh-CN"/>
        </w:rPr>
        <w:t>效能</w:t>
      </w:r>
      <w:bookmarkEnd w:id="246"/>
      <w:bookmarkEnd w:id="247"/>
      <w:bookmarkEnd w:id="248"/>
      <w:bookmarkEnd w:id="249"/>
    </w:p>
    <w:p w14:paraId="5189C6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坚持以人民为中心，聚焦补短板、强弱项、提效能，统筹推进文艺创作、遗产保护、设施完善与惠民服务创新。优化资源配置、提升服务品质，激发社会参与，构建覆盖城乡、便捷高效、特色鲜明的公共文化服务体系，不断满足人民群众精神文化生活需求。</w:t>
      </w:r>
    </w:p>
    <w:p w14:paraId="63799D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引导</w:t>
      </w:r>
      <w:r>
        <w:rPr>
          <w:rFonts w:hint="eastAsia" w:ascii="仿宋_GB2312" w:hAnsi="仿宋_GB2312" w:eastAsia="仿宋_GB2312" w:cs="仿宋_GB2312"/>
          <w:b/>
          <w:bCs/>
          <w:color w:val="auto"/>
          <w:sz w:val="32"/>
          <w:szCs w:val="32"/>
          <w:highlight w:val="none"/>
        </w:rPr>
        <w:t>繁荣</w:t>
      </w:r>
      <w:r>
        <w:rPr>
          <w:rFonts w:hint="eastAsia" w:ascii="仿宋_GB2312" w:hAnsi="仿宋_GB2312" w:eastAsia="仿宋_GB2312" w:cs="仿宋_GB2312"/>
          <w:b/>
          <w:bCs/>
          <w:color w:val="auto"/>
          <w:sz w:val="32"/>
          <w:szCs w:val="32"/>
          <w:highlight w:val="none"/>
          <w:lang w:val="en-US" w:eastAsia="zh-CN"/>
        </w:rPr>
        <w:t>本土</w:t>
      </w:r>
      <w:r>
        <w:rPr>
          <w:rFonts w:hint="eastAsia" w:ascii="仿宋_GB2312" w:hAnsi="仿宋_GB2312" w:eastAsia="仿宋_GB2312" w:cs="仿宋_GB2312"/>
          <w:b/>
          <w:bCs/>
          <w:color w:val="auto"/>
          <w:sz w:val="32"/>
          <w:szCs w:val="32"/>
          <w:highlight w:val="none"/>
        </w:rPr>
        <w:t>文艺创作</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完善精品</w:t>
      </w:r>
      <w:r>
        <w:rPr>
          <w:rFonts w:hint="eastAsia" w:ascii="仿宋_GB2312" w:hAnsi="仿宋_GB2312" w:eastAsia="仿宋_GB2312" w:cs="仿宋_GB2312"/>
          <w:color w:val="auto"/>
          <w:sz w:val="32"/>
          <w:szCs w:val="32"/>
          <w:highlight w:val="none"/>
        </w:rPr>
        <w:t>创作引导与激励机制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深入实施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五百工程</w:t>
      </w:r>
      <w:r>
        <w:rPr>
          <w:rFonts w:hint="eastAsia" w:ascii="仿宋_GB2312" w:hAnsi="仿宋_GB2312" w:eastAsia="仿宋_GB2312" w:cs="仿宋_GB2312"/>
          <w:color w:val="auto"/>
          <w:sz w:val="32"/>
          <w:szCs w:val="32"/>
          <w:highlight w:val="none"/>
          <w:lang w:eastAsia="zh-CN"/>
        </w:rPr>
        <w:t>”</w:t>
      </w:r>
      <w:r>
        <w:rPr>
          <w:rStyle w:val="25"/>
          <w:rFonts w:hint="default" w:ascii="Times New Roman" w:hAnsi="Times New Roman" w:eastAsia="仿宋_GB2312" w:cs="Times New Roman"/>
          <w:color w:val="auto"/>
          <w:sz w:val="32"/>
          <w:szCs w:val="32"/>
          <w:highlight w:val="none"/>
          <w:lang w:eastAsia="zh-CN"/>
        </w:rPr>
        <w:t>[</w:t>
      </w:r>
      <w:r>
        <w:rPr>
          <w:rStyle w:val="25"/>
          <w:rFonts w:hint="default" w:ascii="Times New Roman" w:hAnsi="Times New Roman" w:eastAsia="仿宋_GB2312" w:cs="Times New Roman"/>
          <w:color w:val="auto"/>
          <w:sz w:val="32"/>
          <w:szCs w:val="32"/>
          <w:highlight w:val="none"/>
          <w:lang w:eastAsia="zh-CN"/>
        </w:rPr>
        <w:endnoteReference w:id="19"/>
      </w:r>
      <w:r>
        <w:rPr>
          <w:rStyle w:val="25"/>
          <w:rFonts w:hint="default" w:ascii="Times New Roman" w:hAnsi="Times New Roman" w:eastAsia="仿宋_GB2312" w:cs="Times New Roman"/>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推出一批展现鹿寨风貌、弘扬时代精神的优秀作品。</w:t>
      </w:r>
      <w:r>
        <w:rPr>
          <w:rFonts w:hint="eastAsia" w:ascii="仿宋_GB2312" w:hAnsi="仿宋_GB2312" w:eastAsia="仿宋_GB2312" w:cs="仿宋_GB2312"/>
          <w:color w:val="auto"/>
          <w:sz w:val="32"/>
          <w:szCs w:val="32"/>
          <w:highlight w:val="none"/>
          <w:lang w:val="en-US" w:eastAsia="zh-CN"/>
        </w:rPr>
        <w:t>系统</w:t>
      </w:r>
      <w:r>
        <w:rPr>
          <w:rFonts w:hint="eastAsia" w:ascii="仿宋_GB2312" w:hAnsi="仿宋_GB2312" w:eastAsia="仿宋_GB2312" w:cs="仿宋_GB2312"/>
          <w:color w:val="auto"/>
          <w:sz w:val="32"/>
          <w:szCs w:val="32"/>
          <w:highlight w:val="none"/>
        </w:rPr>
        <w:t>挖掘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鹿（禄）文化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内涵，确</w:t>
      </w:r>
      <w:r>
        <w:rPr>
          <w:rFonts w:hint="eastAsia" w:ascii="仿宋_GB2312" w:hAnsi="仿宋_GB2312" w:eastAsia="仿宋_GB2312" w:cs="仿宋_GB2312"/>
          <w:color w:val="auto"/>
          <w:sz w:val="32"/>
          <w:szCs w:val="32"/>
          <w:highlight w:val="none"/>
          <w:lang w:val="en-US" w:eastAsia="zh-CN"/>
        </w:rPr>
        <w:t>立</w:t>
      </w:r>
      <w:r>
        <w:rPr>
          <w:rFonts w:hint="eastAsia" w:ascii="仿宋_GB2312" w:hAnsi="仿宋_GB2312" w:eastAsia="仿宋_GB2312" w:cs="仿宋_GB2312"/>
          <w:color w:val="auto"/>
          <w:sz w:val="32"/>
          <w:szCs w:val="32"/>
          <w:highlight w:val="none"/>
        </w:rPr>
        <w:t>其作为吉祥文化、生态智慧与和谐理念的地方表达，</w:t>
      </w:r>
      <w:r>
        <w:rPr>
          <w:rFonts w:hint="eastAsia" w:ascii="仿宋_GB2312" w:hAnsi="仿宋_GB2312" w:eastAsia="仿宋_GB2312" w:cs="仿宋_GB2312"/>
          <w:color w:val="auto"/>
          <w:kern w:val="2"/>
          <w:sz w:val="32"/>
          <w:szCs w:val="32"/>
          <w:highlight w:val="none"/>
          <w:lang w:val="en-US" w:eastAsia="zh-CN" w:bidi="ar-SA"/>
        </w:rPr>
        <w:t>通过统一视觉符号、故事挖掘、主题创作征集等方式，打造鹿寨特色文化符号。</w:t>
      </w:r>
      <w:r>
        <w:rPr>
          <w:rFonts w:hint="eastAsia" w:ascii="仿宋_GB2312" w:hAnsi="仿宋_GB2312" w:eastAsia="仿宋_GB2312" w:cs="仿宋_GB2312"/>
          <w:color w:val="auto"/>
          <w:sz w:val="32"/>
          <w:szCs w:val="32"/>
          <w:highlight w:val="none"/>
          <w:lang w:val="en-US" w:eastAsia="zh-CN"/>
        </w:rPr>
        <w:t>用活“</w:t>
      </w:r>
      <w:r>
        <w:rPr>
          <w:rFonts w:hint="eastAsia" w:ascii="仿宋_GB2312" w:hAnsi="仿宋_GB2312" w:eastAsia="仿宋_GB2312" w:cs="仿宋_GB2312"/>
          <w:color w:val="auto"/>
          <w:sz w:val="32"/>
          <w:szCs w:val="32"/>
          <w:highlight w:val="none"/>
        </w:rPr>
        <w:t>融媒</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，制作系列宣传产品，</w:t>
      </w:r>
      <w:r>
        <w:rPr>
          <w:rFonts w:hint="eastAsia" w:ascii="仿宋_GB2312" w:hAnsi="仿宋_GB2312" w:eastAsia="仿宋_GB2312" w:cs="仿宋_GB2312"/>
          <w:color w:val="auto"/>
          <w:sz w:val="32"/>
          <w:szCs w:val="32"/>
          <w:highlight w:val="none"/>
          <w:lang w:val="en-US" w:eastAsia="zh-CN"/>
        </w:rPr>
        <w:t>讲好鹿寨故事</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提升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鹿之声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田野欢歌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等群众文化品牌</w:t>
      </w:r>
      <w:r>
        <w:rPr>
          <w:rFonts w:hint="eastAsia" w:ascii="仿宋_GB2312" w:hAnsi="仿宋_GB2312" w:eastAsia="仿宋_GB2312" w:cs="仿宋_GB2312"/>
          <w:color w:val="auto"/>
          <w:sz w:val="32"/>
          <w:szCs w:val="32"/>
          <w:highlight w:val="none"/>
          <w:lang w:val="en-US" w:eastAsia="zh-CN"/>
        </w:rPr>
        <w:t>知名度</w:t>
      </w:r>
      <w:r>
        <w:rPr>
          <w:rFonts w:hint="eastAsia" w:ascii="仿宋_GB2312" w:hAnsi="仿宋_GB2312" w:eastAsia="仿宋_GB2312" w:cs="仿宋_GB2312"/>
          <w:color w:val="auto"/>
          <w:sz w:val="32"/>
          <w:szCs w:val="32"/>
          <w:highlight w:val="none"/>
        </w:rPr>
        <w:t>，鼓励</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反映鹿寨历史文化</w:t>
      </w:r>
      <w:r>
        <w:rPr>
          <w:rFonts w:hint="eastAsia" w:ascii="仿宋_GB2312" w:hAnsi="仿宋_GB2312" w:eastAsia="仿宋_GB2312" w:cs="仿宋_GB2312"/>
          <w:color w:val="auto"/>
          <w:sz w:val="32"/>
          <w:szCs w:val="32"/>
          <w:highlight w:val="none"/>
          <w:lang w:val="en-US" w:eastAsia="zh-CN"/>
        </w:rPr>
        <w:t>和现实生活的各类文艺创作</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持续扩大本土</w:t>
      </w:r>
      <w:r>
        <w:rPr>
          <w:rFonts w:hint="eastAsia" w:ascii="仿宋_GB2312" w:hAnsi="仿宋_GB2312" w:eastAsia="仿宋_GB2312" w:cs="仿宋_GB2312"/>
          <w:color w:val="auto"/>
          <w:sz w:val="32"/>
          <w:szCs w:val="32"/>
          <w:highlight w:val="none"/>
        </w:rPr>
        <w:t>文化影响力。</w:t>
      </w:r>
    </w:p>
    <w:p w14:paraId="3B80CC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加强文化遗产保护传承</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落实文化遗产统一监管与系统性保护措施，加强以</w:t>
      </w:r>
      <w:r>
        <w:rPr>
          <w:rFonts w:hint="eastAsia" w:ascii="仿宋_GB2312" w:hAnsi="仿宋_GB2312" w:eastAsia="仿宋_GB2312" w:cs="仿宋_GB2312"/>
          <w:color w:val="auto"/>
          <w:sz w:val="32"/>
          <w:szCs w:val="32"/>
          <w:highlight w:val="none"/>
        </w:rPr>
        <w:t>中渡古镇</w:t>
      </w:r>
      <w:r>
        <w:rPr>
          <w:rFonts w:hint="eastAsia" w:ascii="仿宋_GB2312" w:hAnsi="仿宋_GB2312" w:eastAsia="仿宋_GB2312" w:cs="仿宋_GB2312"/>
          <w:color w:val="auto"/>
          <w:sz w:val="32"/>
          <w:szCs w:val="32"/>
          <w:highlight w:val="none"/>
          <w:lang w:eastAsia="zh-CN"/>
        </w:rPr>
        <w:t>为代表的</w:t>
      </w:r>
      <w:r>
        <w:rPr>
          <w:rFonts w:hint="eastAsia" w:ascii="仿宋_GB2312" w:hAnsi="仿宋_GB2312" w:eastAsia="仿宋_GB2312" w:cs="仿宋_GB2312"/>
          <w:color w:val="auto"/>
          <w:sz w:val="32"/>
          <w:szCs w:val="32"/>
          <w:highlight w:val="none"/>
        </w:rPr>
        <w:t>历史名镇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名村</w:t>
      </w:r>
      <w:r>
        <w:rPr>
          <w:rFonts w:hint="eastAsia" w:ascii="仿宋_GB2312" w:hAnsi="仿宋_GB2312" w:eastAsia="仿宋_GB2312" w:cs="仿宋_GB2312"/>
          <w:color w:val="auto"/>
          <w:sz w:val="32"/>
          <w:szCs w:val="32"/>
          <w:highlight w:val="none"/>
          <w:lang w:eastAsia="zh-CN"/>
        </w:rPr>
        <w:t>）和古镇</w:t>
      </w:r>
      <w:r>
        <w:rPr>
          <w:rFonts w:hint="eastAsia" w:ascii="仿宋_GB2312" w:hAnsi="仿宋_GB2312" w:eastAsia="仿宋_GB2312" w:cs="仿宋_GB2312"/>
          <w:color w:val="auto"/>
          <w:sz w:val="32"/>
          <w:szCs w:val="32"/>
          <w:highlight w:val="none"/>
        </w:rPr>
        <w:t>保护</w:t>
      </w:r>
      <w:r>
        <w:rPr>
          <w:rFonts w:hint="eastAsia" w:ascii="仿宋_GB2312" w:hAnsi="仿宋_GB2312" w:eastAsia="仿宋_GB2312" w:cs="仿宋_GB2312"/>
          <w:color w:val="auto"/>
          <w:sz w:val="32"/>
          <w:szCs w:val="32"/>
          <w:highlight w:val="none"/>
          <w:lang w:eastAsia="zh-CN"/>
        </w:rPr>
        <w:t>利用，</w:t>
      </w:r>
      <w:r>
        <w:rPr>
          <w:rFonts w:hint="eastAsia" w:ascii="仿宋_GB2312" w:hAnsi="仿宋_GB2312" w:eastAsia="仿宋_GB2312" w:cs="仿宋_GB2312"/>
          <w:color w:val="auto"/>
          <w:sz w:val="32"/>
          <w:szCs w:val="32"/>
          <w:highlight w:val="none"/>
        </w:rPr>
        <w:t>推进平山堡底、寨沙仁里等传统古村落保护。</w:t>
      </w:r>
      <w:r>
        <w:rPr>
          <w:rFonts w:hint="eastAsia" w:ascii="仿宋_GB2312" w:hAnsi="仿宋_GB2312" w:eastAsia="仿宋_GB2312" w:cs="仿宋_GB2312"/>
          <w:color w:val="auto"/>
          <w:sz w:val="32"/>
          <w:szCs w:val="32"/>
          <w:highlight w:val="none"/>
          <w:lang w:val="en-US" w:eastAsia="zh-CN"/>
        </w:rPr>
        <w:t>开展</w:t>
      </w:r>
      <w:r>
        <w:rPr>
          <w:rFonts w:hint="eastAsia" w:ascii="仿宋_GB2312" w:hAnsi="仿宋_GB2312" w:eastAsia="仿宋_GB2312" w:cs="仿宋_GB2312"/>
          <w:color w:val="auto"/>
          <w:sz w:val="32"/>
          <w:szCs w:val="32"/>
          <w:highlight w:val="none"/>
        </w:rPr>
        <w:t>文物普查</w:t>
      </w:r>
      <w:r>
        <w:rPr>
          <w:rFonts w:hint="eastAsia" w:ascii="仿宋_GB2312" w:hAnsi="仿宋_GB2312" w:eastAsia="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rPr>
        <w:t>动态数据库</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实施濒危文物抢救修缮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推动文物与科技深度融合，建设</w:t>
      </w:r>
      <w:r>
        <w:rPr>
          <w:rFonts w:hint="eastAsia" w:ascii="仿宋_GB2312" w:hAnsi="仿宋_GB2312" w:eastAsia="仿宋_GB2312" w:cs="仿宋_GB2312"/>
          <w:color w:val="auto"/>
          <w:sz w:val="32"/>
          <w:szCs w:val="32"/>
          <w:highlight w:val="none"/>
          <w:lang w:val="en-US" w:eastAsia="zh-CN"/>
        </w:rPr>
        <w:t>中渡古镇古建筑</w:t>
      </w:r>
      <w:r>
        <w:rPr>
          <w:rFonts w:hint="eastAsia" w:ascii="仿宋_GB2312" w:hAnsi="仿宋_GB2312" w:eastAsia="仿宋_GB2312" w:cs="仿宋_GB2312"/>
          <w:color w:val="auto"/>
          <w:sz w:val="32"/>
          <w:szCs w:val="32"/>
          <w:highlight w:val="none"/>
        </w:rPr>
        <w:t>数字孪生平台，</w:t>
      </w:r>
      <w:r>
        <w:rPr>
          <w:rFonts w:hint="eastAsia" w:ascii="仿宋_GB2312" w:hAnsi="仿宋_GB2312" w:eastAsia="仿宋_GB2312" w:cs="仿宋_GB2312"/>
          <w:color w:val="auto"/>
          <w:kern w:val="2"/>
          <w:sz w:val="32"/>
          <w:szCs w:val="32"/>
          <w:highlight w:val="none"/>
          <w:lang w:val="en-US" w:eastAsia="zh-CN" w:bidi="ar-SA"/>
        </w:rPr>
        <w:t>运用</w:t>
      </w:r>
      <w:r>
        <w:rPr>
          <w:rFonts w:hint="default" w:ascii="Times New Roman" w:hAnsi="Times New Roman" w:eastAsia="仿宋_GB2312" w:cs="Times New Roman"/>
          <w:color w:val="auto"/>
          <w:kern w:val="2"/>
          <w:sz w:val="32"/>
          <w:szCs w:val="32"/>
          <w:highlight w:val="none"/>
          <w:lang w:val="en-US" w:eastAsia="zh-CN" w:bidi="ar-SA"/>
        </w:rPr>
        <w:t>AR等</w:t>
      </w:r>
      <w:r>
        <w:rPr>
          <w:rFonts w:hint="eastAsia" w:ascii="仿宋_GB2312" w:hAnsi="仿宋_GB2312" w:eastAsia="仿宋_GB2312" w:cs="仿宋_GB2312"/>
          <w:color w:val="auto"/>
          <w:kern w:val="2"/>
          <w:sz w:val="32"/>
          <w:szCs w:val="32"/>
          <w:highlight w:val="none"/>
          <w:lang w:val="en-US" w:eastAsia="zh-CN" w:bidi="ar-SA"/>
        </w:rPr>
        <w:t>技术复原历史场景，提升文物修复与展示利用水平。</w:t>
      </w:r>
      <w:r>
        <w:rPr>
          <w:rFonts w:hint="eastAsia" w:ascii="仿宋_GB2312" w:hAnsi="仿宋_GB2312" w:eastAsia="仿宋_GB2312" w:cs="仿宋_GB2312"/>
          <w:color w:val="auto"/>
          <w:sz w:val="32"/>
          <w:szCs w:val="32"/>
          <w:highlight w:val="none"/>
        </w:rPr>
        <w:t>促进文物活化利用，依托古戏台、红色遗址等</w:t>
      </w:r>
      <w:r>
        <w:rPr>
          <w:rFonts w:hint="eastAsia" w:ascii="仿宋_GB2312" w:hAnsi="仿宋_GB2312" w:eastAsia="仿宋_GB2312" w:cs="仿宋_GB2312"/>
          <w:color w:val="auto"/>
          <w:sz w:val="32"/>
          <w:szCs w:val="32"/>
          <w:highlight w:val="none"/>
          <w:lang w:val="en-US" w:eastAsia="zh-CN"/>
        </w:rPr>
        <w:t>发展</w:t>
      </w:r>
      <w:r>
        <w:rPr>
          <w:rFonts w:hint="eastAsia" w:ascii="仿宋_GB2312" w:hAnsi="仿宋_GB2312" w:eastAsia="仿宋_GB2312" w:cs="仿宋_GB2312"/>
          <w:color w:val="auto"/>
          <w:sz w:val="32"/>
          <w:szCs w:val="32"/>
          <w:highlight w:val="none"/>
        </w:rPr>
        <w:t>研学</w:t>
      </w:r>
      <w:r>
        <w:rPr>
          <w:rFonts w:hint="eastAsia" w:ascii="仿宋_GB2312" w:hAnsi="仿宋_GB2312" w:eastAsia="仿宋_GB2312" w:cs="仿宋_GB2312"/>
          <w:color w:val="auto"/>
          <w:sz w:val="32"/>
          <w:szCs w:val="32"/>
          <w:highlight w:val="none"/>
          <w:lang w:val="en-US" w:eastAsia="zh-CN"/>
        </w:rPr>
        <w:t>体验。</w:t>
      </w:r>
      <w:r>
        <w:rPr>
          <w:rFonts w:hint="eastAsia" w:ascii="仿宋_GB2312" w:hAnsi="仿宋_GB2312" w:eastAsia="仿宋_GB2312" w:cs="仿宋_GB2312"/>
          <w:color w:val="auto"/>
          <w:sz w:val="32"/>
          <w:szCs w:val="32"/>
          <w:highlight w:val="none"/>
        </w:rPr>
        <w:t>完善非遗名录体系，推动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鹿寨彩调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江口梁家拳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平山山歌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拉沟公敢古树茶制作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等非遗项目进校园、进社区，依托文化馆、博物馆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古镇</w:t>
      </w:r>
      <w:r>
        <w:rPr>
          <w:rFonts w:hint="eastAsia" w:ascii="仿宋_GB2312" w:hAnsi="仿宋_GB2312" w:eastAsia="仿宋_GB2312" w:cs="仿宋_GB2312"/>
          <w:color w:val="auto"/>
          <w:sz w:val="32"/>
          <w:szCs w:val="32"/>
          <w:highlight w:val="none"/>
        </w:rPr>
        <w:t>等阵地</w:t>
      </w:r>
      <w:r>
        <w:rPr>
          <w:rFonts w:hint="eastAsia" w:ascii="仿宋_GB2312" w:hAnsi="仿宋_GB2312" w:eastAsia="仿宋_GB2312" w:cs="仿宋_GB2312"/>
          <w:color w:val="auto"/>
          <w:sz w:val="32"/>
          <w:szCs w:val="32"/>
          <w:highlight w:val="none"/>
          <w:lang w:val="en-US" w:eastAsia="zh-CN"/>
        </w:rPr>
        <w:t>开展活态传承与</w:t>
      </w:r>
      <w:r>
        <w:rPr>
          <w:rFonts w:hint="eastAsia" w:ascii="仿宋_GB2312" w:hAnsi="仿宋_GB2312" w:eastAsia="仿宋_GB2312" w:cs="仿宋_GB2312"/>
          <w:color w:val="auto"/>
          <w:sz w:val="32"/>
          <w:szCs w:val="32"/>
          <w:highlight w:val="none"/>
        </w:rPr>
        <w:t>展示，</w:t>
      </w:r>
      <w:r>
        <w:rPr>
          <w:rFonts w:hint="eastAsia" w:ascii="仿宋_GB2312" w:hAnsi="仿宋_GB2312" w:eastAsia="仿宋_GB2312" w:cs="仿宋_GB2312"/>
          <w:color w:val="auto"/>
          <w:sz w:val="32"/>
          <w:szCs w:val="32"/>
          <w:highlight w:val="none"/>
          <w:lang w:val="en-US" w:eastAsia="zh-CN"/>
        </w:rPr>
        <w:t>增强</w:t>
      </w:r>
      <w:r>
        <w:rPr>
          <w:rFonts w:hint="eastAsia" w:ascii="仿宋_GB2312" w:hAnsi="仿宋_GB2312" w:eastAsia="仿宋_GB2312" w:cs="仿宋_GB2312"/>
          <w:color w:val="auto"/>
          <w:sz w:val="32"/>
          <w:szCs w:val="32"/>
          <w:highlight w:val="none"/>
        </w:rPr>
        <w:t>全社会非遗保护意识。</w:t>
      </w:r>
    </w:p>
    <w:p w14:paraId="7F3DD3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rPr>
        <w:t>完善现代公共文化服务体系</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加快构建覆盖城乡、便捷高效的</w:t>
      </w:r>
      <w:r>
        <w:rPr>
          <w:rFonts w:hint="eastAsia" w:ascii="仿宋_GB2312" w:hAnsi="仿宋_GB2312" w:eastAsia="仿宋_GB2312" w:cs="仿宋_GB2312"/>
          <w:color w:val="auto"/>
          <w:sz w:val="32"/>
          <w:szCs w:val="32"/>
          <w:highlight w:val="none"/>
          <w:lang w:val="en-US" w:eastAsia="zh-CN"/>
        </w:rPr>
        <w:t>设施网络</w:t>
      </w:r>
      <w:r>
        <w:rPr>
          <w:rFonts w:hint="eastAsia" w:ascii="仿宋_GB2312" w:hAnsi="仿宋_GB2312" w:eastAsia="仿宋_GB2312" w:cs="仿宋_GB2312"/>
          <w:color w:val="auto"/>
          <w:sz w:val="32"/>
          <w:szCs w:val="32"/>
          <w:highlight w:val="none"/>
        </w:rPr>
        <w:t>，推动优质文化资源向基层倾斜。深化公共文化设施所有权和使用权分置改革，</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县文化馆、图书馆、博物馆数字化、智能化升级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实现乡镇（街道）综合文化站、村（社区）综合性文化服务中心全覆盖</w:t>
      </w:r>
      <w:r>
        <w:rPr>
          <w:rFonts w:hint="eastAsia" w:ascii="仿宋_GB2312" w:hAnsi="仿宋_GB2312" w:eastAsia="仿宋_GB2312" w:cs="仿宋_GB2312"/>
          <w:color w:val="auto"/>
          <w:sz w:val="32"/>
          <w:szCs w:val="32"/>
          <w:highlight w:val="none"/>
          <w:lang w:val="en-US" w:eastAsia="zh-CN"/>
        </w:rPr>
        <w:t>与效能提升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贯彻《全民阅读促进条例》，创新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书香鹿寨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建设，</w:t>
      </w:r>
      <w:r>
        <w:rPr>
          <w:rFonts w:hint="eastAsia" w:ascii="仿宋_GB2312" w:hAnsi="仿宋_GB2312" w:eastAsia="仿宋_GB2312" w:cs="仿宋_GB2312"/>
          <w:color w:val="auto"/>
          <w:sz w:val="32"/>
          <w:szCs w:val="32"/>
          <w:highlight w:val="none"/>
          <w:lang w:val="en-US" w:eastAsia="zh-CN"/>
        </w:rPr>
        <w:t>拓展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全民阅读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活动载体</w:t>
      </w:r>
      <w:r>
        <w:rPr>
          <w:rFonts w:hint="eastAsia" w:ascii="仿宋_GB2312" w:hAnsi="仿宋_GB2312" w:eastAsia="仿宋_GB2312" w:cs="仿宋_GB2312"/>
          <w:color w:val="auto"/>
          <w:sz w:val="32"/>
          <w:szCs w:val="32"/>
          <w:highlight w:val="none"/>
          <w:lang w:val="en-US" w:eastAsia="zh-CN"/>
        </w:rPr>
        <w:t>与空间。</w:t>
      </w:r>
      <w:r>
        <w:rPr>
          <w:rFonts w:hint="eastAsia" w:ascii="仿宋_GB2312" w:hAnsi="仿宋_GB2312" w:eastAsia="仿宋_GB2312" w:cs="仿宋_GB2312"/>
          <w:color w:val="auto"/>
          <w:kern w:val="2"/>
          <w:sz w:val="32"/>
          <w:szCs w:val="32"/>
          <w:highlight w:val="none"/>
          <w:lang w:val="en-US" w:eastAsia="zh-CN" w:bidi="ar-SA"/>
        </w:rPr>
        <w:t>推动公共文化机构与新时代文明实践中心（所、站）资源互通、活动联动。常态化开展“我们的节日”、文化下乡、戏曲进乡村、全民艺术普及、全民健身等活动，持续做优“鹿之声”“三月三”山歌赛等特色品牌。加强本土文化骨干培育，通过政府购买服务、项目补贴等方式引导社会力量参与，构建多元社会化供给格局。</w:t>
      </w:r>
    </w:p>
    <w:p w14:paraId="24F158B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推进公共文化服务数智化转型。</w:t>
      </w:r>
      <w:r>
        <w:rPr>
          <w:rFonts w:hint="eastAsia" w:ascii="仿宋_GB2312" w:hAnsi="仿宋_GB2312" w:eastAsia="仿宋_GB2312" w:cs="仿宋_GB2312"/>
          <w:b w:val="0"/>
          <w:bCs w:val="0"/>
          <w:color w:val="auto"/>
          <w:kern w:val="2"/>
          <w:sz w:val="32"/>
          <w:szCs w:val="32"/>
          <w:highlight w:val="none"/>
          <w:lang w:val="en-US" w:eastAsia="zh-CN" w:bidi="ar-SA"/>
        </w:rPr>
        <w:t>依托自治区级平台，建设集文化、旅游、体育服务于一体的“鹿寨智慧文旅云”平台，重点推动县图书馆、文化馆、博物馆与中渡古镇陈列馆、香桥喀斯特生态旅游区等数字资源联网共享。创新“云端”</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20"/>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服务供给，常态开展线上展览、云讲座、云阅读、非遗直播、数字博物馆游览等特色项目，打造“永不闭馆”的线上文化空间。运用大数据分析群众文化偏好，实现活动信息精准推送与“菜单式”服务匹配。结合全民健康数智化建设，在公园、社区及乡镇布设智慧健身设施与健康指导终端，推广线上科学健身课程。通过数字技术全面赋能，推动优质公共文化资源向基层村屯延伸、向移动端拓展，切实提升服务的覆盖率、便捷度和体验感。</w:t>
      </w:r>
    </w:p>
    <w:p w14:paraId="77D64373">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rPr>
      </w:pPr>
      <w:bookmarkStart w:id="250" w:name="_Toc23744"/>
      <w:bookmarkStart w:id="251" w:name="_Toc8206"/>
      <w:bookmarkStart w:id="252" w:name="_Toc13198"/>
      <w:bookmarkStart w:id="253" w:name="_Toc16584"/>
      <w:r>
        <w:rPr>
          <w:rFonts w:hint="eastAsia"/>
          <w:b w:val="0"/>
          <w:bCs/>
          <w:color w:val="auto"/>
          <w:sz w:val="36"/>
          <w:szCs w:val="36"/>
          <w:highlight w:val="none"/>
        </w:rPr>
        <w:t>第三节</w:t>
      </w:r>
      <w:r>
        <w:rPr>
          <w:rFonts w:hint="eastAsia"/>
          <w:b w:val="0"/>
          <w:bCs/>
          <w:color w:val="auto"/>
          <w:sz w:val="36"/>
          <w:szCs w:val="36"/>
          <w:highlight w:val="none"/>
          <w:lang w:val="en-US" w:eastAsia="zh-CN"/>
        </w:rPr>
        <w:t xml:space="preserve">  </w:t>
      </w:r>
      <w:r>
        <w:rPr>
          <w:rFonts w:hint="eastAsia"/>
          <w:b w:val="0"/>
          <w:bCs/>
          <w:color w:val="auto"/>
          <w:sz w:val="36"/>
          <w:szCs w:val="36"/>
          <w:highlight w:val="none"/>
        </w:rPr>
        <w:t>推动文体旅融合和业态创新</w:t>
      </w:r>
      <w:bookmarkEnd w:id="250"/>
      <w:bookmarkEnd w:id="251"/>
      <w:bookmarkEnd w:id="252"/>
      <w:bookmarkEnd w:id="253"/>
    </w:p>
    <w:p w14:paraId="72A165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立足鹿寨生态、文化及区位优势，以改革创新为动力，促进文化、体育、旅游与相关产业在更广范围、更深层次融合。着力培育新业态、新模式，拓展“文旅+”边界，完善智慧服务与市场治理，推动文化资源向产业优势转化，助力建设更具魅力的现代化鹿寨。</w:t>
      </w:r>
    </w:p>
    <w:p w14:paraId="5A8D19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推动文旅</w:t>
      </w:r>
      <w:r>
        <w:rPr>
          <w:rFonts w:hint="eastAsia" w:ascii="仿宋_GB2312" w:hAnsi="仿宋_GB2312" w:eastAsia="仿宋_GB2312" w:cs="仿宋_GB2312"/>
          <w:b/>
          <w:bCs/>
          <w:color w:val="auto"/>
          <w:sz w:val="32"/>
          <w:szCs w:val="32"/>
          <w:highlight w:val="none"/>
        </w:rPr>
        <w:t>产品</w:t>
      </w:r>
      <w:r>
        <w:rPr>
          <w:rFonts w:hint="eastAsia" w:ascii="仿宋_GB2312" w:hAnsi="仿宋_GB2312" w:eastAsia="仿宋_GB2312" w:cs="仿宋_GB2312"/>
          <w:b/>
          <w:bCs/>
          <w:color w:val="auto"/>
          <w:sz w:val="32"/>
          <w:szCs w:val="32"/>
          <w:highlight w:val="none"/>
          <w:lang w:val="en-US" w:eastAsia="zh-CN"/>
        </w:rPr>
        <w:t>能级提升</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依托北部区域性交通枢纽优势，深度融入粤港澳大湾区</w:t>
      </w:r>
      <w:r>
        <w:rPr>
          <w:rFonts w:hint="eastAsia" w:ascii="仿宋_GB2312" w:hAnsi="仿宋_GB2312" w:eastAsia="仿宋_GB2312" w:cs="仿宋_GB2312"/>
          <w:color w:val="auto"/>
          <w:sz w:val="32"/>
          <w:szCs w:val="32"/>
          <w:highlight w:val="none"/>
          <w:lang w:val="en-US" w:eastAsia="zh-CN"/>
        </w:rPr>
        <w:t>及区域</w:t>
      </w:r>
      <w:r>
        <w:rPr>
          <w:rFonts w:hint="eastAsia" w:ascii="仿宋_GB2312" w:hAnsi="仿宋_GB2312" w:eastAsia="仿宋_GB2312" w:cs="仿宋_GB2312"/>
          <w:color w:val="auto"/>
          <w:sz w:val="32"/>
          <w:szCs w:val="32"/>
          <w:highlight w:val="none"/>
        </w:rPr>
        <w:t>旅游圈，推动中渡·香桥等核心景区一体化提质升级。完善</w:t>
      </w:r>
      <w:r>
        <w:rPr>
          <w:rFonts w:hint="eastAsia" w:ascii="仿宋_GB2312" w:hAnsi="仿宋_GB2312" w:eastAsia="仿宋_GB2312" w:cs="仿宋_GB2312"/>
          <w:color w:val="auto"/>
          <w:sz w:val="32"/>
          <w:szCs w:val="32"/>
          <w:highlight w:val="none"/>
          <w:lang w:val="en-US" w:eastAsia="zh-CN"/>
        </w:rPr>
        <w:t>旅游</w:t>
      </w:r>
      <w:r>
        <w:rPr>
          <w:rFonts w:hint="eastAsia" w:ascii="仿宋_GB2312" w:hAnsi="仿宋_GB2312" w:eastAsia="仿宋_GB2312" w:cs="仿宋_GB2312"/>
          <w:color w:val="auto"/>
          <w:sz w:val="32"/>
          <w:szCs w:val="32"/>
          <w:highlight w:val="none"/>
        </w:rPr>
        <w:t>基础设施，</w:t>
      </w:r>
      <w:r>
        <w:rPr>
          <w:rFonts w:hint="eastAsia" w:ascii="仿宋_GB2312" w:hAnsi="仿宋_GB2312" w:eastAsia="仿宋_GB2312" w:cs="仿宋_GB2312"/>
          <w:color w:val="auto"/>
          <w:kern w:val="2"/>
          <w:sz w:val="32"/>
          <w:szCs w:val="32"/>
          <w:highlight w:val="none"/>
          <w:lang w:val="en-US" w:eastAsia="zh-CN" w:bidi="ar-SA"/>
        </w:rPr>
        <w:t>在符合空域管理政策前提下，探索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地质奇观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低空游览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等特色项目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提升中渡古镇业态品质，打造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繁</w:t>
      </w:r>
      <w:r>
        <w:rPr>
          <w:rFonts w:hint="eastAsia" w:ascii="仿宋_GB2312" w:hAnsi="仿宋_GB2312" w:eastAsia="仿宋_GB2312" w:cs="仿宋_GB2312"/>
          <w:color w:val="auto"/>
          <w:sz w:val="32"/>
          <w:szCs w:val="32"/>
          <w:highlight w:val="none"/>
          <w:lang w:eastAsia="zh-CN"/>
        </w:rPr>
        <w:t>花</w:t>
      </w:r>
      <w:r>
        <w:rPr>
          <w:rFonts w:hint="eastAsia" w:ascii="仿宋_GB2312" w:hAnsi="仿宋_GB2312" w:eastAsia="仿宋_GB2312" w:cs="仿宋_GB2312"/>
          <w:color w:val="auto"/>
          <w:sz w:val="32"/>
          <w:szCs w:val="32"/>
          <w:highlight w:val="none"/>
        </w:rPr>
        <w:t>芳香</w:t>
      </w:r>
      <w:r>
        <w:rPr>
          <w:rFonts w:hint="eastAsia" w:ascii="仿宋_GB2312" w:hAnsi="仿宋_GB2312" w:eastAsia="仿宋_GB2312" w:cs="仿宋_GB2312"/>
          <w:color w:val="auto"/>
          <w:sz w:val="32"/>
          <w:szCs w:val="32"/>
          <w:highlight w:val="none"/>
          <w:lang w:val="en-US" w:eastAsia="zh-CN"/>
        </w:rPr>
        <w:t>中渡</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IP</w:t>
      </w:r>
      <w:r>
        <w:rPr>
          <w:rStyle w:val="25"/>
          <w:rFonts w:hint="default" w:ascii="Times New Roman" w:hAnsi="Times New Roman" w:eastAsia="仿宋_GB2312" w:cs="Times New Roman"/>
          <w:color w:val="auto"/>
          <w:sz w:val="32"/>
          <w:szCs w:val="32"/>
          <w:highlight w:val="none"/>
        </w:rPr>
        <w:t>[</w:t>
      </w:r>
      <w:r>
        <w:rPr>
          <w:rStyle w:val="25"/>
          <w:rFonts w:hint="default" w:ascii="Times New Roman" w:hAnsi="Times New Roman" w:eastAsia="仿宋_GB2312" w:cs="Times New Roman"/>
          <w:color w:val="auto"/>
          <w:sz w:val="32"/>
          <w:szCs w:val="32"/>
          <w:highlight w:val="none"/>
        </w:rPr>
        <w:endnoteReference w:id="21"/>
      </w:r>
      <w:r>
        <w:rPr>
          <w:rStyle w:val="25"/>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引入《中渡千年》实景演艺、非遗工坊等沉浸式体验，</w:t>
      </w:r>
      <w:r>
        <w:rPr>
          <w:rFonts w:hint="eastAsia" w:ascii="仿宋_GB2312" w:hAnsi="仿宋_GB2312" w:eastAsia="仿宋_GB2312" w:cs="仿宋_GB2312"/>
          <w:color w:val="auto"/>
          <w:kern w:val="2"/>
          <w:sz w:val="32"/>
          <w:szCs w:val="32"/>
          <w:highlight w:val="none"/>
          <w:lang w:val="en-US" w:eastAsia="zh-CN" w:bidi="ar-SA"/>
        </w:rPr>
        <w:t>串联古镇、香桥岩溶国家地质公园、拉沟原始森林等资源，</w:t>
      </w:r>
      <w:r>
        <w:rPr>
          <w:rFonts w:hint="eastAsia" w:ascii="仿宋_GB2312" w:hAnsi="仿宋_GB2312" w:eastAsia="仿宋_GB2312" w:cs="仿宋_GB2312"/>
          <w:color w:val="auto"/>
          <w:sz w:val="32"/>
          <w:szCs w:val="32"/>
          <w:highlight w:val="none"/>
          <w:lang w:val="en-US" w:eastAsia="zh-CN"/>
        </w:rPr>
        <w:t>推出</w:t>
      </w:r>
      <w:r>
        <w:rPr>
          <w:rFonts w:hint="eastAsia" w:ascii="仿宋_GB2312" w:hAnsi="仿宋_GB2312" w:eastAsia="仿宋_GB2312" w:cs="仿宋_GB2312"/>
          <w:color w:val="auto"/>
          <w:sz w:val="32"/>
          <w:szCs w:val="32"/>
          <w:highlight w:val="none"/>
        </w:rPr>
        <w:t>多主题旅游线路。优化乡村旅游布局，完善民宿集群等配套设施。</w:t>
      </w:r>
      <w:r>
        <w:rPr>
          <w:rFonts w:hint="eastAsia" w:ascii="仿宋_GB2312" w:hAnsi="仿宋_GB2312" w:eastAsia="仿宋_GB2312" w:cs="仿宋_GB2312"/>
          <w:color w:val="auto"/>
          <w:sz w:val="32"/>
          <w:szCs w:val="32"/>
          <w:highlight w:val="none"/>
          <w:lang w:val="en-US" w:eastAsia="zh-CN"/>
        </w:rPr>
        <w:t>持续提升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研学中渡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品牌影响力</w:t>
      </w:r>
      <w:r>
        <w:rPr>
          <w:rFonts w:hint="eastAsia" w:ascii="仿宋_GB2312" w:hAnsi="仿宋_GB2312" w:eastAsia="仿宋_GB2312" w:cs="仿宋_GB2312"/>
          <w:color w:val="auto"/>
          <w:sz w:val="32"/>
          <w:szCs w:val="32"/>
          <w:highlight w:val="none"/>
        </w:rPr>
        <w:t>，引入</w:t>
      </w:r>
      <w:r>
        <w:rPr>
          <w:rFonts w:hint="eastAsia" w:ascii="仿宋_GB2312" w:hAnsi="仿宋_GB2312" w:eastAsia="仿宋_GB2312" w:cs="仿宋_GB2312"/>
          <w:color w:val="auto"/>
          <w:sz w:val="32"/>
          <w:szCs w:val="32"/>
          <w:highlight w:val="none"/>
          <w:lang w:val="en-US" w:eastAsia="zh-CN"/>
        </w:rPr>
        <w:t>优质</w:t>
      </w:r>
      <w:r>
        <w:rPr>
          <w:rFonts w:hint="eastAsia" w:ascii="仿宋_GB2312" w:hAnsi="仿宋_GB2312" w:eastAsia="仿宋_GB2312" w:cs="仿宋_GB2312"/>
          <w:color w:val="auto"/>
          <w:sz w:val="32"/>
          <w:szCs w:val="32"/>
          <w:highlight w:val="none"/>
        </w:rPr>
        <w:t>数字研学课程，推动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一村一学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发展</w:t>
      </w:r>
      <w:r>
        <w:rPr>
          <w:rFonts w:hint="eastAsia" w:ascii="仿宋_GB2312" w:hAnsi="仿宋_GB2312" w:eastAsia="仿宋_GB2312" w:cs="仿宋_GB2312"/>
          <w:color w:val="auto"/>
          <w:sz w:val="32"/>
          <w:szCs w:val="32"/>
          <w:highlight w:val="none"/>
        </w:rPr>
        <w:t>。整合拉沟原始森林、洛清江流域等生态资源，推广</w:t>
      </w:r>
      <w:r>
        <w:rPr>
          <w:rFonts w:hint="eastAsia" w:ascii="仿宋_GB2312" w:hAnsi="仿宋_GB2312" w:eastAsia="仿宋_GB2312" w:cs="仿宋_GB2312"/>
          <w:color w:val="auto"/>
          <w:sz w:val="32"/>
          <w:szCs w:val="32"/>
          <w:highlight w:val="none"/>
          <w:lang w:eastAsia="zh-CN"/>
        </w:rPr>
        <w:t>水上运动</w:t>
      </w:r>
      <w:r>
        <w:rPr>
          <w:rFonts w:hint="eastAsia" w:ascii="仿宋_GB2312" w:hAnsi="仿宋_GB2312" w:eastAsia="仿宋_GB2312" w:cs="仿宋_GB2312"/>
          <w:color w:val="auto"/>
          <w:sz w:val="32"/>
          <w:szCs w:val="32"/>
          <w:highlight w:val="none"/>
        </w:rPr>
        <w:t>、低碳骑行等绿色业态，推动乡村旅游与生态保护协调发展。</w:t>
      </w:r>
    </w:p>
    <w:p w14:paraId="4B3F1A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深化</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文旅</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融合</w:t>
      </w:r>
      <w:r>
        <w:rPr>
          <w:rFonts w:hint="eastAsia" w:ascii="仿宋_GB2312" w:hAnsi="仿宋_GB2312" w:eastAsia="仿宋_GB2312" w:cs="仿宋_GB2312"/>
          <w:b/>
          <w:bCs/>
          <w:color w:val="auto"/>
          <w:sz w:val="32"/>
          <w:szCs w:val="32"/>
          <w:highlight w:val="none"/>
          <w:lang w:val="en-US" w:eastAsia="zh-CN"/>
        </w:rPr>
        <w:t>创新与业态拓展</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深化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工业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，依托旭平首饰、经济开发园区</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，打造工业研学线路，开发珠宝设计体验等产品。</w:t>
      </w:r>
      <w:r>
        <w:rPr>
          <w:rFonts w:hint="eastAsia" w:ascii="仿宋_GB2312" w:hAnsi="仿宋_GB2312" w:eastAsia="仿宋_GB2312" w:cs="仿宋_GB2312"/>
          <w:color w:val="auto"/>
          <w:sz w:val="32"/>
          <w:szCs w:val="32"/>
          <w:highlight w:val="none"/>
          <w:lang w:val="en-US" w:eastAsia="zh-CN"/>
        </w:rPr>
        <w:t>推进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农业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，建设桑蚕、中药材等农文旅融合聚集区。</w:t>
      </w:r>
      <w:r>
        <w:rPr>
          <w:rFonts w:hint="eastAsia" w:ascii="仿宋_GB2312" w:hAnsi="仿宋_GB2312" w:eastAsia="仿宋_GB2312" w:cs="仿宋_GB2312"/>
          <w:color w:val="auto"/>
          <w:sz w:val="32"/>
          <w:szCs w:val="32"/>
          <w:highlight w:val="none"/>
          <w:lang w:val="en-US" w:eastAsia="zh-CN"/>
        </w:rPr>
        <w:t>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康养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，立足中渡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拉沟等生态优势</w:t>
      </w:r>
      <w:r>
        <w:rPr>
          <w:rFonts w:hint="eastAsia" w:ascii="仿宋_GB2312" w:hAnsi="仿宋_GB2312" w:eastAsia="仿宋_GB2312" w:cs="仿宋_GB2312"/>
          <w:color w:val="auto"/>
          <w:sz w:val="32"/>
          <w:szCs w:val="32"/>
          <w:highlight w:val="none"/>
        </w:rPr>
        <w:t>，培育生态康养、节会经济</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业态，</w:t>
      </w:r>
      <w:r>
        <w:rPr>
          <w:rFonts w:hint="eastAsia" w:ascii="仿宋_GB2312" w:hAnsi="仿宋_GB2312" w:eastAsia="仿宋_GB2312" w:cs="仿宋_GB2312"/>
          <w:color w:val="auto"/>
          <w:sz w:val="32"/>
          <w:szCs w:val="32"/>
          <w:highlight w:val="none"/>
          <w:lang w:val="en-US" w:eastAsia="zh-CN"/>
        </w:rPr>
        <w:t>持续办好“神奇中渡”“拉沟药王节</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“桑蚕文化节”“江口百鱼宴”等旅游文化节</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拓</w:t>
      </w:r>
      <w:r>
        <w:rPr>
          <w:rFonts w:hint="eastAsia" w:ascii="仿宋_GB2312" w:hAnsi="仿宋_GB2312" w:eastAsia="仿宋_GB2312" w:cs="仿宋_GB2312"/>
          <w:color w:val="auto"/>
          <w:sz w:val="32"/>
          <w:szCs w:val="32"/>
          <w:highlight w:val="none"/>
        </w:rPr>
        <w:t>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体育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利用洛清江、石榴河等资源，开发</w:t>
      </w:r>
      <w:r>
        <w:rPr>
          <w:rFonts w:hint="eastAsia" w:ascii="仿宋_GB2312" w:hAnsi="仿宋_GB2312" w:eastAsia="仿宋_GB2312" w:cs="仿宋_GB2312"/>
          <w:color w:val="auto"/>
          <w:sz w:val="32"/>
          <w:szCs w:val="32"/>
          <w:highlight w:val="none"/>
        </w:rPr>
        <w:t>主题线路，建设</w:t>
      </w:r>
      <w:r>
        <w:rPr>
          <w:rFonts w:hint="eastAsia" w:ascii="仿宋_GB2312" w:hAnsi="仿宋_GB2312" w:eastAsia="仿宋_GB2312" w:cs="仿宋_GB2312"/>
          <w:color w:val="auto"/>
          <w:sz w:val="32"/>
          <w:szCs w:val="32"/>
          <w:highlight w:val="none"/>
          <w:lang w:val="en-US" w:eastAsia="zh-CN"/>
        </w:rPr>
        <w:t>综合</w:t>
      </w:r>
      <w:r>
        <w:rPr>
          <w:rFonts w:hint="eastAsia" w:ascii="仿宋_GB2312" w:hAnsi="仿宋_GB2312" w:eastAsia="仿宋_GB2312" w:cs="仿宋_GB2312"/>
          <w:color w:val="auto"/>
          <w:sz w:val="32"/>
          <w:szCs w:val="32"/>
          <w:highlight w:val="none"/>
        </w:rPr>
        <w:t>户外运动营地，</w:t>
      </w:r>
      <w:r>
        <w:rPr>
          <w:rFonts w:hint="eastAsia" w:ascii="仿宋_GB2312" w:hAnsi="仿宋_GB2312" w:eastAsia="仿宋_GB2312" w:cs="仿宋_GB2312"/>
          <w:color w:val="auto"/>
          <w:sz w:val="32"/>
          <w:szCs w:val="32"/>
          <w:highlight w:val="none"/>
          <w:lang w:eastAsia="zh-CN"/>
        </w:rPr>
        <w:t>对标</w:t>
      </w:r>
      <w:r>
        <w:rPr>
          <w:rFonts w:hint="eastAsia" w:ascii="仿宋_GB2312" w:hAnsi="仿宋_GB2312" w:eastAsia="仿宋_GB2312" w:cs="仿宋_GB2312"/>
          <w:color w:val="auto"/>
          <w:sz w:val="32"/>
          <w:szCs w:val="32"/>
          <w:highlight w:val="none"/>
          <w:lang w:val="en-US" w:eastAsia="zh-CN"/>
        </w:rPr>
        <w:t>国家</w:t>
      </w:r>
      <w:r>
        <w:rPr>
          <w:rFonts w:hint="eastAsia" w:ascii="仿宋_GB2312" w:hAnsi="仿宋_GB2312" w:eastAsia="仿宋_GB2312" w:cs="仿宋_GB2312"/>
          <w:color w:val="auto"/>
          <w:sz w:val="32"/>
          <w:szCs w:val="32"/>
          <w:highlight w:val="none"/>
        </w:rPr>
        <w:t>生态旅游示范区</w:t>
      </w:r>
      <w:r>
        <w:rPr>
          <w:rFonts w:hint="eastAsia" w:ascii="仿宋_GB2312" w:hAnsi="仿宋_GB2312" w:eastAsia="仿宋_GB2312" w:cs="仿宋_GB2312"/>
          <w:color w:val="auto"/>
          <w:sz w:val="32"/>
          <w:szCs w:val="32"/>
          <w:highlight w:val="none"/>
          <w:lang w:eastAsia="zh-CN"/>
        </w:rPr>
        <w:t>建设标准，提升生态旅游发展水平</w:t>
      </w:r>
      <w:r>
        <w:rPr>
          <w:rFonts w:hint="eastAsia" w:ascii="仿宋_GB2312" w:hAnsi="仿宋_GB2312" w:eastAsia="仿宋_GB2312" w:cs="仿宋_GB2312"/>
          <w:color w:val="auto"/>
          <w:sz w:val="32"/>
          <w:szCs w:val="32"/>
          <w:highlight w:val="none"/>
        </w:rPr>
        <w:t>。创新“文旅+影视（短剧）”，依托中渡古镇短视频拍摄基地，鼓励创作《岁岁炊烟长》等本地题材微短剧，将香桥岩溶、中渡古镇等自然人文景观融入剧情，开发影视主题旅游线路，推动影视流量转化为文旅消费。</w:t>
      </w:r>
      <w:r>
        <w:rPr>
          <w:rFonts w:hint="eastAsia" w:ascii="仿宋_GB2312" w:hAnsi="仿宋_GB2312" w:eastAsia="仿宋_GB2312" w:cs="仿宋_GB2312"/>
          <w:color w:val="auto"/>
          <w:sz w:val="32"/>
          <w:szCs w:val="32"/>
          <w:highlight w:val="none"/>
          <w:lang w:val="en-US" w:eastAsia="zh-CN"/>
        </w:rPr>
        <w:t>围绕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鹿文化</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IP</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开发系列文创产品，在主要景区、游客中心设立专柜销售，配套开发主题</w:t>
      </w:r>
      <w:r>
        <w:rPr>
          <w:rFonts w:hint="eastAsia" w:ascii="仿宋_GB2312" w:hAnsi="仿宋_GB2312" w:eastAsia="仿宋_GB2312" w:cs="仿宋_GB2312"/>
          <w:color w:val="auto"/>
          <w:sz w:val="32"/>
          <w:szCs w:val="32"/>
          <w:highlight w:val="none"/>
        </w:rPr>
        <w:t>线路和文化节庆，</w:t>
      </w:r>
      <w:r>
        <w:rPr>
          <w:rFonts w:hint="eastAsia" w:ascii="仿宋_GB2312" w:hAnsi="仿宋_GB2312" w:eastAsia="仿宋_GB2312" w:cs="仿宋_GB2312"/>
          <w:color w:val="auto"/>
          <w:sz w:val="32"/>
          <w:szCs w:val="32"/>
          <w:highlight w:val="none"/>
          <w:lang w:val="en-US" w:eastAsia="zh-CN"/>
        </w:rPr>
        <w:t>推动</w:t>
      </w:r>
      <w:r>
        <w:rPr>
          <w:rFonts w:hint="eastAsia" w:ascii="仿宋_GB2312" w:hAnsi="仿宋_GB2312" w:eastAsia="仿宋_GB2312" w:cs="仿宋_GB2312"/>
          <w:color w:val="auto"/>
          <w:sz w:val="32"/>
          <w:szCs w:val="32"/>
          <w:highlight w:val="none"/>
        </w:rPr>
        <w:t>品牌价值转化为经济效益。</w:t>
      </w:r>
    </w:p>
    <w:p w14:paraId="1C40AB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构建</w:t>
      </w:r>
      <w:r>
        <w:rPr>
          <w:rFonts w:hint="eastAsia" w:ascii="仿宋_GB2312" w:hAnsi="仿宋_GB2312" w:eastAsia="仿宋_GB2312" w:cs="仿宋_GB2312"/>
          <w:b/>
          <w:bCs/>
          <w:color w:val="auto"/>
          <w:sz w:val="32"/>
          <w:szCs w:val="32"/>
          <w:highlight w:val="none"/>
          <w:lang w:eastAsia="zh-CN"/>
        </w:rPr>
        <w:t>全民健身公共服务体系。</w:t>
      </w:r>
      <w:r>
        <w:rPr>
          <w:rFonts w:hint="eastAsia" w:ascii="仿宋_GB2312" w:hAnsi="仿宋_GB2312" w:eastAsia="仿宋_GB2312" w:cs="仿宋_GB2312"/>
          <w:b w:val="0"/>
          <w:bCs w:val="0"/>
          <w:color w:val="auto"/>
          <w:kern w:val="2"/>
          <w:sz w:val="32"/>
          <w:szCs w:val="32"/>
          <w:highlight w:val="none"/>
          <w:lang w:val="en-US" w:eastAsia="zh-CN" w:bidi="ar-SA"/>
        </w:rPr>
        <w:t>统筹推进群众体育与竞技体育发展，</w:t>
      </w:r>
      <w:r>
        <w:rPr>
          <w:rFonts w:hint="eastAsia" w:ascii="仿宋_GB2312" w:hAnsi="仿宋_GB2312" w:eastAsia="仿宋_GB2312" w:cs="仿宋_GB2312"/>
          <w:color w:val="auto"/>
          <w:sz w:val="32"/>
          <w:szCs w:val="32"/>
          <w:highlight w:val="none"/>
          <w:lang w:val="en-US" w:eastAsia="zh-CN"/>
        </w:rPr>
        <w:t>完善</w:t>
      </w:r>
      <w:r>
        <w:rPr>
          <w:rFonts w:hint="eastAsia" w:ascii="仿宋_GB2312" w:hAnsi="仿宋_GB2312" w:eastAsia="仿宋_GB2312" w:cs="仿宋_GB2312"/>
          <w:color w:val="auto"/>
          <w:sz w:val="32"/>
          <w:szCs w:val="32"/>
          <w:highlight w:val="none"/>
        </w:rPr>
        <w:t>城乡体育设施网络，提升乡镇全民健身中心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行政村健身设施覆盖率。推进县体育公园升级改造，打造</w:t>
      </w:r>
      <w:r>
        <w:rPr>
          <w:rFonts w:hint="eastAsia" w:ascii="仿宋_GB2312" w:hAnsi="仿宋_GB2312" w:eastAsia="仿宋_GB2312" w:cs="仿宋_GB2312"/>
          <w:color w:val="auto"/>
          <w:sz w:val="32"/>
          <w:szCs w:val="32"/>
          <w:highlight w:val="none"/>
          <w:lang w:val="en-US" w:eastAsia="zh-CN"/>
        </w:rPr>
        <w:t>集竞技、健身、娱乐于一体的</w:t>
      </w:r>
      <w:r>
        <w:rPr>
          <w:rFonts w:hint="eastAsia" w:ascii="仿宋_GB2312" w:hAnsi="仿宋_GB2312" w:eastAsia="仿宋_GB2312" w:cs="仿宋_GB2312"/>
          <w:color w:val="auto"/>
          <w:sz w:val="32"/>
          <w:szCs w:val="32"/>
          <w:highlight w:val="none"/>
        </w:rPr>
        <w:t>服务综合体。依托生态资源，系统开发</w:t>
      </w:r>
      <w:r>
        <w:rPr>
          <w:rFonts w:hint="eastAsia" w:ascii="仿宋_GB2312" w:hAnsi="仿宋_GB2312" w:eastAsia="仿宋_GB2312" w:cs="仿宋_GB2312"/>
          <w:color w:val="auto"/>
          <w:sz w:val="32"/>
          <w:szCs w:val="32"/>
          <w:highlight w:val="none"/>
          <w:lang w:eastAsia="zh-CN"/>
        </w:rPr>
        <w:t>越野跑、</w:t>
      </w:r>
      <w:r>
        <w:rPr>
          <w:rFonts w:hint="eastAsia" w:ascii="仿宋_GB2312" w:hAnsi="仿宋_GB2312" w:eastAsia="仿宋_GB2312" w:cs="仿宋_GB2312"/>
          <w:color w:val="auto"/>
          <w:sz w:val="32"/>
          <w:szCs w:val="32"/>
          <w:highlight w:val="none"/>
        </w:rPr>
        <w:t>徒步、攀岩、水上运动等户外项目，建设</w:t>
      </w:r>
      <w:r>
        <w:rPr>
          <w:rFonts w:hint="eastAsia" w:ascii="仿宋_GB2312" w:hAnsi="仿宋_GB2312" w:eastAsia="仿宋_GB2312" w:cs="仿宋_GB2312"/>
          <w:color w:val="auto"/>
          <w:sz w:val="32"/>
          <w:szCs w:val="32"/>
          <w:highlight w:val="none"/>
          <w:lang w:eastAsia="zh-CN"/>
        </w:rPr>
        <w:t>广西</w:t>
      </w:r>
      <w:r>
        <w:rPr>
          <w:rFonts w:hint="eastAsia" w:ascii="仿宋_GB2312" w:hAnsi="仿宋_GB2312" w:eastAsia="仿宋_GB2312" w:cs="仿宋_GB2312"/>
          <w:color w:val="auto"/>
          <w:sz w:val="32"/>
          <w:szCs w:val="32"/>
          <w:highlight w:val="none"/>
        </w:rPr>
        <w:t>高质量户外运动目的地。拓展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体育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融合模式，开发适老化健身与康养服务。巩固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w:t>
      </w:r>
      <w:r>
        <w:rPr>
          <w:rFonts w:hint="default" w:ascii="Times New Roman" w:hAnsi="Times New Roman" w:eastAsia="仿宋_GB2312" w:cs="Times New Roman"/>
          <w:color w:val="auto"/>
          <w:sz w:val="32"/>
          <w:szCs w:val="32"/>
          <w:highlight w:val="none"/>
        </w:rPr>
        <w:t>BA</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全国总冠军成果，</w:t>
      </w:r>
      <w:r>
        <w:rPr>
          <w:rFonts w:hint="eastAsia" w:ascii="仿宋_GB2312" w:hAnsi="仿宋_GB2312" w:eastAsia="仿宋_GB2312" w:cs="仿宋_GB2312"/>
          <w:color w:val="auto"/>
          <w:sz w:val="32"/>
          <w:szCs w:val="32"/>
          <w:highlight w:val="none"/>
          <w:lang w:val="en-US" w:eastAsia="zh-CN"/>
        </w:rPr>
        <w:t>持续打造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鹿鸣百村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乡村篮球赛等群众体育</w:t>
      </w:r>
      <w:r>
        <w:rPr>
          <w:rFonts w:hint="eastAsia" w:ascii="仿宋_GB2312" w:hAnsi="仿宋_GB2312" w:eastAsia="仿宋_GB2312" w:cs="仿宋_GB2312"/>
          <w:color w:val="auto"/>
          <w:sz w:val="32"/>
          <w:szCs w:val="32"/>
          <w:highlight w:val="none"/>
          <w:lang w:val="en-US" w:eastAsia="zh-CN"/>
        </w:rPr>
        <w:t>品牌，</w:t>
      </w:r>
      <w:r>
        <w:rPr>
          <w:rFonts w:hint="eastAsia" w:ascii="仿宋_GB2312" w:hAnsi="仿宋_GB2312" w:eastAsia="仿宋_GB2312" w:cs="仿宋_GB2312"/>
          <w:color w:val="auto"/>
          <w:sz w:val="32"/>
          <w:szCs w:val="32"/>
          <w:highlight w:val="none"/>
        </w:rPr>
        <w:t>继续举办中国山地越野公开赛（鹿寨站）</w:t>
      </w:r>
      <w:r>
        <w:rPr>
          <w:rFonts w:hint="eastAsia" w:ascii="仿宋_GB2312" w:hAnsi="仿宋_GB2312" w:eastAsia="仿宋_GB2312" w:cs="仿宋_GB2312"/>
          <w:color w:val="auto"/>
          <w:sz w:val="32"/>
          <w:szCs w:val="32"/>
          <w:highlight w:val="none"/>
          <w:lang w:val="en-US" w:eastAsia="zh-CN"/>
        </w:rPr>
        <w:t>等赛事</w:t>
      </w:r>
      <w:r>
        <w:rPr>
          <w:rFonts w:hint="eastAsia" w:ascii="仿宋_GB2312" w:hAnsi="仿宋_GB2312" w:eastAsia="仿宋_GB2312" w:cs="仿宋_GB2312"/>
          <w:color w:val="auto"/>
          <w:sz w:val="32"/>
          <w:szCs w:val="32"/>
          <w:highlight w:val="none"/>
        </w:rPr>
        <w:t>，推动全民健身活动常态化、品牌化。完善公共体育场馆开放机制，提升管理服务水平，营造全龄友好</w:t>
      </w:r>
      <w:r>
        <w:rPr>
          <w:rFonts w:hint="eastAsia" w:ascii="仿宋_GB2312" w:hAnsi="仿宋_GB2312" w:eastAsia="仿宋_GB2312" w:cs="仿宋_GB2312"/>
          <w:color w:val="auto"/>
          <w:sz w:val="32"/>
          <w:szCs w:val="32"/>
          <w:highlight w:val="none"/>
          <w:lang w:val="en-US" w:eastAsia="zh-CN"/>
        </w:rPr>
        <w:t>健身</w:t>
      </w:r>
      <w:r>
        <w:rPr>
          <w:rFonts w:hint="eastAsia" w:ascii="仿宋_GB2312" w:hAnsi="仿宋_GB2312" w:eastAsia="仿宋_GB2312" w:cs="仿宋_GB2312"/>
          <w:color w:val="auto"/>
          <w:sz w:val="32"/>
          <w:szCs w:val="32"/>
          <w:highlight w:val="none"/>
        </w:rPr>
        <w:t>氛围。</w:t>
      </w:r>
    </w:p>
    <w:p w14:paraId="4D84F928">
      <w:pPr>
        <w:rPr>
          <w:rFonts w:hint="eastAsia"/>
          <w:color w:val="auto"/>
          <w:highlight w:val="none"/>
        </w:rPr>
      </w:pPr>
    </w:p>
    <w:tbl>
      <w:tblPr>
        <w:tblStyle w:val="21"/>
        <w:tblW w:w="8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6"/>
      </w:tblGrid>
      <w:tr w14:paraId="60BC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8816" w:type="dxa"/>
            <w:vAlign w:val="center"/>
          </w:tcPr>
          <w:p w14:paraId="3BB0D6CC">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olor w:val="auto"/>
                <w:highlight w:val="none"/>
                <w:lang w:val="en-US"/>
              </w:rPr>
            </w:pPr>
            <w:bookmarkStart w:id="254" w:name="_Toc21332"/>
            <w:bookmarkStart w:id="255" w:name="_Toc17976"/>
            <w:bookmarkStart w:id="256" w:name="_Toc17739"/>
            <w:r>
              <w:rPr>
                <w:rFonts w:hint="eastAsia"/>
                <w:color w:val="auto"/>
                <w:highlight w:val="none"/>
              </w:rPr>
              <w:t>专栏</w:t>
            </w:r>
            <w:r>
              <w:rPr>
                <w:rFonts w:hint="default" w:ascii="Times New Roman" w:hAnsi="Times New Roman" w:cs="Times New Roman"/>
                <w:color w:val="auto"/>
                <w:highlight w:val="none"/>
                <w:lang w:val="en-US" w:eastAsia="zh-CN"/>
              </w:rPr>
              <w:t>10-1</w:t>
            </w:r>
            <w:r>
              <w:rPr>
                <w:rFonts w:hint="eastAsia" w:ascii="Times New Roman" w:cs="Times New Roman"/>
                <w:color w:val="auto"/>
                <w:highlight w:val="none"/>
                <w:lang w:val="en-US" w:eastAsia="zh-CN"/>
              </w:rPr>
              <w:t>：</w:t>
            </w:r>
            <w:r>
              <w:rPr>
                <w:rFonts w:hint="eastAsia"/>
                <w:color w:val="auto"/>
                <w:highlight w:val="none"/>
                <w:lang w:val="en-US" w:eastAsia="zh-CN"/>
              </w:rPr>
              <w:t>文体旅产业发展精品工程</w:t>
            </w:r>
          </w:p>
        </w:tc>
      </w:tr>
      <w:tr w14:paraId="3C50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jc w:val="center"/>
        </w:trPr>
        <w:tc>
          <w:tcPr>
            <w:tcW w:w="8816" w:type="dxa"/>
            <w:vAlign w:val="center"/>
          </w:tcPr>
          <w:p w14:paraId="4987EEE8">
            <w:pPr>
              <w:pStyle w:val="53"/>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default" w:ascii="Times New Roman" w:hAnsi="Times New Roman" w:eastAsia="仿宋_GB2312" w:cs="Times New Roman"/>
                <w:b w:val="0"/>
                <w:bCs/>
                <w:color w:val="auto"/>
                <w:kern w:val="2"/>
                <w:sz w:val="28"/>
                <w:szCs w:val="28"/>
                <w:highlight w:val="none"/>
                <w:lang w:val="zh-TW" w:eastAsia="zh-CN" w:bidi="ar-SA"/>
              </w:rPr>
            </w:pPr>
            <w:r>
              <w:rPr>
                <w:rFonts w:hint="eastAsia" w:ascii="Times New Roman" w:hAnsi="Times New Roman" w:eastAsia="仿宋_GB2312" w:cs="Times New Roman"/>
                <w:b/>
                <w:color w:val="auto"/>
                <w:kern w:val="2"/>
                <w:sz w:val="28"/>
                <w:szCs w:val="28"/>
                <w:highlight w:val="none"/>
                <w:lang w:val="en-US" w:eastAsia="zh-CN" w:bidi="ar-SA"/>
              </w:rPr>
              <w:t>景区品质提升工程</w:t>
            </w:r>
            <w:r>
              <w:rPr>
                <w:rFonts w:hint="default" w:ascii="Times New Roman" w:hAnsi="Times New Roman" w:eastAsia="仿宋_GB2312" w:cs="Times New Roman"/>
                <w:b/>
                <w:color w:val="auto"/>
                <w:kern w:val="2"/>
                <w:sz w:val="28"/>
                <w:szCs w:val="28"/>
                <w:highlight w:val="none"/>
                <w:lang w:val="zh-TW" w:eastAsia="zh-CN" w:bidi="ar-SA"/>
              </w:rPr>
              <w:t>：</w:t>
            </w:r>
            <w:r>
              <w:rPr>
                <w:rFonts w:hint="eastAsia" w:ascii="Times New Roman" w:hAnsi="Times New Roman" w:eastAsia="仿宋_GB2312" w:cs="Times New Roman"/>
                <w:b w:val="0"/>
                <w:bCs/>
                <w:color w:val="auto"/>
                <w:kern w:val="2"/>
                <w:sz w:val="28"/>
                <w:szCs w:val="28"/>
                <w:highlight w:val="none"/>
                <w:lang w:val="en-US" w:eastAsia="zh-CN" w:bidi="ar-SA"/>
              </w:rPr>
              <w:t>推进</w:t>
            </w:r>
            <w:r>
              <w:rPr>
                <w:rFonts w:hint="default" w:ascii="Times New Roman" w:hAnsi="Times New Roman" w:eastAsia="仿宋_GB2312" w:cs="Times New Roman"/>
                <w:b w:val="0"/>
                <w:bCs/>
                <w:color w:val="auto"/>
                <w:kern w:val="2"/>
                <w:sz w:val="28"/>
                <w:szCs w:val="28"/>
                <w:highlight w:val="none"/>
                <w:lang w:val="en-US" w:eastAsia="zh-CN" w:bidi="ar-SA"/>
              </w:rPr>
              <w:t>中渡响水石林景区提升工程</w:t>
            </w:r>
            <w:r>
              <w:rPr>
                <w:rFonts w:hint="eastAsia" w:ascii="Times New Roman" w:eastAsia="仿宋_GB2312" w:cs="Times New Roman"/>
                <w:b w:val="0"/>
                <w:bCs/>
                <w:color w:val="auto"/>
                <w:kern w:val="2"/>
                <w:sz w:val="28"/>
                <w:szCs w:val="28"/>
                <w:highlight w:val="none"/>
                <w:lang w:val="en-US" w:eastAsia="zh-CN" w:bidi="ar-SA"/>
              </w:rPr>
              <w:t>、</w:t>
            </w:r>
            <w:r>
              <w:rPr>
                <w:rFonts w:hint="default" w:ascii="Times New Roman" w:hAnsi="Times New Roman" w:eastAsia="仿宋_GB2312" w:cs="Times New Roman"/>
                <w:b w:val="0"/>
                <w:bCs/>
                <w:color w:val="auto"/>
                <w:kern w:val="2"/>
                <w:sz w:val="28"/>
                <w:szCs w:val="28"/>
                <w:highlight w:val="none"/>
                <w:lang w:val="en-US" w:eastAsia="zh-CN" w:bidi="ar-SA"/>
              </w:rPr>
              <w:t>中渡香桥游客接待中心配套设施二期</w:t>
            </w:r>
            <w:r>
              <w:rPr>
                <w:rFonts w:hint="eastAsia" w:ascii="Times New Roman" w:eastAsia="仿宋_GB2312" w:cs="Times New Roman"/>
                <w:b w:val="0"/>
                <w:bCs/>
                <w:color w:val="auto"/>
                <w:kern w:val="2"/>
                <w:sz w:val="28"/>
                <w:szCs w:val="28"/>
                <w:highlight w:val="none"/>
                <w:lang w:val="en-US" w:eastAsia="zh-CN" w:bidi="ar-SA"/>
              </w:rPr>
              <w:t>工程、</w:t>
            </w:r>
            <w:r>
              <w:rPr>
                <w:rFonts w:hint="eastAsia" w:ascii="Times New Roman" w:hAnsi="Times New Roman" w:eastAsia="仿宋_GB2312" w:cs="Times New Roman"/>
                <w:b w:val="0"/>
                <w:bCs/>
                <w:color w:val="auto"/>
                <w:kern w:val="2"/>
                <w:sz w:val="28"/>
                <w:szCs w:val="28"/>
                <w:highlight w:val="none"/>
                <w:lang w:val="en-US" w:eastAsia="zh-CN" w:bidi="ar-SA"/>
              </w:rPr>
              <w:t>鹿元温泉</w:t>
            </w:r>
            <w:r>
              <w:rPr>
                <w:rFonts w:hint="eastAsia" w:ascii="Times New Roman" w:eastAsia="仿宋_GB2312" w:cs="Times New Roman"/>
                <w:b w:val="0"/>
                <w:bCs/>
                <w:color w:val="auto"/>
                <w:kern w:val="2"/>
                <w:sz w:val="28"/>
                <w:szCs w:val="28"/>
                <w:highlight w:val="none"/>
                <w:lang w:val="en-US" w:eastAsia="zh-CN" w:bidi="ar-SA"/>
              </w:rPr>
              <w:t>等</w:t>
            </w:r>
            <w:r>
              <w:rPr>
                <w:rFonts w:hint="eastAsia" w:ascii="Times New Roman" w:hAnsi="Times New Roman" w:eastAsia="仿宋_GB2312" w:cs="Times New Roman"/>
                <w:b w:val="0"/>
                <w:bCs/>
                <w:color w:val="auto"/>
                <w:kern w:val="2"/>
                <w:sz w:val="28"/>
                <w:szCs w:val="28"/>
                <w:highlight w:val="none"/>
                <w:lang w:val="en-US" w:eastAsia="zh-CN" w:bidi="ar-SA"/>
              </w:rPr>
              <w:t>项目</w:t>
            </w:r>
            <w:r>
              <w:rPr>
                <w:rFonts w:hint="eastAsia" w:ascii="Times New Roman" w:eastAsia="仿宋_GB2312" w:cs="Times New Roman"/>
                <w:b w:val="0"/>
                <w:bCs/>
                <w:color w:val="auto"/>
                <w:kern w:val="2"/>
                <w:sz w:val="28"/>
                <w:szCs w:val="28"/>
                <w:highlight w:val="none"/>
                <w:lang w:val="en-US" w:eastAsia="zh-CN" w:bidi="ar-SA"/>
              </w:rPr>
              <w:t>。</w:t>
            </w:r>
          </w:p>
          <w:p w14:paraId="58AC0DA8">
            <w:pPr>
              <w:pStyle w:val="53"/>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default"/>
                <w:color w:val="auto"/>
                <w:highlight w:val="none"/>
                <w:lang w:val="en-US" w:eastAsia="zh-CN"/>
              </w:rPr>
            </w:pPr>
            <w:r>
              <w:rPr>
                <w:rFonts w:hint="eastAsia" w:ascii="Times New Roman" w:eastAsia="仿宋_GB2312" w:cs="Times New Roman"/>
                <w:b/>
                <w:color w:val="auto"/>
                <w:kern w:val="2"/>
                <w:sz w:val="28"/>
                <w:szCs w:val="28"/>
                <w:highlight w:val="none"/>
                <w:lang w:val="en-US" w:eastAsia="zh-CN" w:bidi="ar-SA"/>
              </w:rPr>
              <w:t>公共</w:t>
            </w:r>
            <w:r>
              <w:rPr>
                <w:rFonts w:hint="eastAsia" w:ascii="Times New Roman" w:hAnsi="Times New Roman" w:eastAsia="仿宋_GB2312" w:cs="Times New Roman"/>
                <w:b/>
                <w:color w:val="auto"/>
                <w:kern w:val="2"/>
                <w:sz w:val="28"/>
                <w:szCs w:val="28"/>
                <w:highlight w:val="none"/>
                <w:lang w:val="en-US" w:eastAsia="zh-CN" w:bidi="ar-SA"/>
              </w:rPr>
              <w:t>文化</w:t>
            </w:r>
            <w:r>
              <w:rPr>
                <w:rFonts w:hint="eastAsia" w:ascii="Times New Roman" w:eastAsia="仿宋_GB2312" w:cs="Times New Roman"/>
                <w:b/>
                <w:color w:val="auto"/>
                <w:kern w:val="2"/>
                <w:sz w:val="28"/>
                <w:szCs w:val="28"/>
                <w:highlight w:val="none"/>
                <w:lang w:val="en-US" w:eastAsia="zh-CN" w:bidi="ar-SA"/>
              </w:rPr>
              <w:t>提质</w:t>
            </w:r>
            <w:r>
              <w:rPr>
                <w:rFonts w:hint="eastAsia" w:ascii="Times New Roman" w:hAnsi="Times New Roman" w:eastAsia="仿宋_GB2312" w:cs="Times New Roman"/>
                <w:b/>
                <w:color w:val="auto"/>
                <w:kern w:val="2"/>
                <w:sz w:val="28"/>
                <w:szCs w:val="28"/>
                <w:highlight w:val="none"/>
                <w:lang w:val="en-US" w:eastAsia="zh-CN" w:bidi="ar-SA"/>
              </w:rPr>
              <w:t>工程</w:t>
            </w:r>
            <w:r>
              <w:rPr>
                <w:rFonts w:hint="default" w:ascii="Times New Roman" w:hAnsi="Times New Roman" w:eastAsia="仿宋_GB2312" w:cs="Times New Roman"/>
                <w:b/>
                <w:color w:val="auto"/>
                <w:kern w:val="2"/>
                <w:sz w:val="28"/>
                <w:szCs w:val="28"/>
                <w:highlight w:val="none"/>
                <w:lang w:val="en-US" w:eastAsia="zh-CN" w:bidi="ar-SA"/>
              </w:rPr>
              <w:t>：</w:t>
            </w:r>
            <w:r>
              <w:rPr>
                <w:rFonts w:hint="eastAsia" w:ascii="Times New Roman" w:eastAsia="仿宋_GB2312" w:cs="Times New Roman"/>
                <w:b w:val="0"/>
                <w:bCs/>
                <w:color w:val="auto"/>
                <w:kern w:val="2"/>
                <w:sz w:val="28"/>
                <w:szCs w:val="28"/>
                <w:highlight w:val="none"/>
                <w:lang w:val="en-US" w:eastAsia="zh-CN" w:bidi="ar-SA"/>
              </w:rPr>
              <w:t>推动</w:t>
            </w:r>
            <w:r>
              <w:rPr>
                <w:rFonts w:hint="eastAsia" w:ascii="Times New Roman" w:hAnsi="Times New Roman" w:eastAsia="仿宋_GB2312" w:cs="Times New Roman"/>
                <w:b w:val="0"/>
                <w:bCs/>
                <w:color w:val="auto"/>
                <w:kern w:val="2"/>
                <w:sz w:val="28"/>
                <w:szCs w:val="28"/>
                <w:highlight w:val="none"/>
                <w:lang w:val="en-US" w:eastAsia="zh-CN" w:bidi="ar-SA"/>
              </w:rPr>
              <w:t>县级文化馆、图书馆、博物馆</w:t>
            </w:r>
            <w:r>
              <w:rPr>
                <w:rFonts w:hint="eastAsia" w:ascii="Times New Roman" w:eastAsia="仿宋_GB2312" w:cs="Times New Roman"/>
                <w:b w:val="0"/>
                <w:bCs/>
                <w:color w:val="auto"/>
                <w:kern w:val="2"/>
                <w:sz w:val="28"/>
                <w:szCs w:val="28"/>
                <w:highlight w:val="none"/>
                <w:lang w:val="en-US" w:eastAsia="zh-CN" w:bidi="ar-SA"/>
              </w:rPr>
              <w:t>数字化与功能升级，推进</w:t>
            </w:r>
            <w:r>
              <w:rPr>
                <w:rFonts w:hint="default" w:ascii="Times New Roman" w:hAnsi="Times New Roman" w:eastAsia="仿宋_GB2312" w:cs="Times New Roman"/>
                <w:b w:val="0"/>
                <w:bCs/>
                <w:color w:val="auto"/>
                <w:kern w:val="2"/>
                <w:sz w:val="28"/>
                <w:szCs w:val="28"/>
                <w:highlight w:val="none"/>
                <w:lang w:val="en-US" w:eastAsia="zh-CN" w:bidi="ar-SA"/>
              </w:rPr>
              <w:t>四排镇红色</w:t>
            </w:r>
            <w:r>
              <w:rPr>
                <w:rFonts w:hint="eastAsia" w:ascii="Times New Roman" w:eastAsia="仿宋_GB2312" w:cs="Times New Roman"/>
                <w:b w:val="0"/>
                <w:bCs/>
                <w:color w:val="auto"/>
                <w:kern w:val="2"/>
                <w:sz w:val="28"/>
                <w:szCs w:val="28"/>
                <w:highlight w:val="none"/>
                <w:lang w:val="en-US" w:eastAsia="zh-CN" w:bidi="ar-SA"/>
              </w:rPr>
              <w:t>文化陈列馆、历史文化名镇（村）保护利用及</w:t>
            </w:r>
            <w:r>
              <w:rPr>
                <w:rFonts w:hint="eastAsia" w:ascii="Times New Roman" w:hAnsi="Times New Roman" w:eastAsia="仿宋_GB2312" w:cs="Times New Roman"/>
                <w:b w:val="0"/>
                <w:bCs/>
                <w:color w:val="auto"/>
                <w:kern w:val="2"/>
                <w:sz w:val="28"/>
                <w:szCs w:val="28"/>
                <w:highlight w:val="none"/>
                <w:lang w:val="en-US" w:eastAsia="zh-CN" w:bidi="ar-SA"/>
              </w:rPr>
              <w:t>乡镇综合文化站、村（社区）综合性文化服务中心</w:t>
            </w:r>
            <w:r>
              <w:rPr>
                <w:rFonts w:hint="eastAsia" w:ascii="Times New Roman" w:eastAsia="仿宋_GB2312" w:cs="Times New Roman"/>
                <w:b w:val="0"/>
                <w:bCs/>
                <w:color w:val="auto"/>
                <w:kern w:val="2"/>
                <w:sz w:val="28"/>
                <w:szCs w:val="28"/>
                <w:highlight w:val="none"/>
                <w:lang w:val="en-US" w:eastAsia="zh-CN" w:bidi="ar-SA"/>
              </w:rPr>
              <w:t>标准化特色化</w:t>
            </w:r>
            <w:r>
              <w:rPr>
                <w:rFonts w:hint="eastAsia" w:ascii="Times New Roman" w:hAnsi="Times New Roman" w:eastAsia="仿宋_GB2312" w:cs="Times New Roman"/>
                <w:b w:val="0"/>
                <w:bCs/>
                <w:color w:val="auto"/>
                <w:kern w:val="2"/>
                <w:sz w:val="28"/>
                <w:szCs w:val="28"/>
                <w:highlight w:val="none"/>
                <w:lang w:val="en-US" w:eastAsia="zh-CN" w:bidi="ar-SA"/>
              </w:rPr>
              <w:t>等项目。</w:t>
            </w:r>
          </w:p>
          <w:p w14:paraId="2CB44B1C">
            <w:pPr>
              <w:pStyle w:val="53"/>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default" w:ascii="Times New Roman" w:eastAsia="仿宋_GB2312" w:cs="Times New Roman"/>
                <w:b w:val="0"/>
                <w:bCs/>
                <w:color w:val="auto"/>
                <w:sz w:val="28"/>
                <w:szCs w:val="28"/>
                <w:highlight w:val="none"/>
                <w:lang w:val="en-US" w:eastAsia="zh-CN"/>
              </w:rPr>
            </w:pPr>
            <w:r>
              <w:rPr>
                <w:rFonts w:hint="eastAsia" w:ascii="Times New Roman" w:eastAsia="仿宋_GB2312" w:cs="Times New Roman"/>
                <w:b/>
                <w:color w:val="auto"/>
                <w:kern w:val="2"/>
                <w:sz w:val="28"/>
                <w:szCs w:val="28"/>
                <w:highlight w:val="none"/>
                <w:lang w:val="en-US" w:eastAsia="zh-CN" w:bidi="ar-SA"/>
              </w:rPr>
              <w:t>文体融合</w:t>
            </w:r>
            <w:r>
              <w:rPr>
                <w:rFonts w:hint="eastAsia" w:ascii="Times New Roman" w:hAnsi="Times New Roman" w:eastAsia="仿宋_GB2312" w:cs="Times New Roman"/>
                <w:b/>
                <w:color w:val="auto"/>
                <w:kern w:val="2"/>
                <w:sz w:val="28"/>
                <w:szCs w:val="28"/>
                <w:highlight w:val="none"/>
                <w:lang w:val="en-US" w:eastAsia="zh-CN" w:bidi="ar-SA"/>
              </w:rPr>
              <w:t>富民工程</w:t>
            </w:r>
            <w:r>
              <w:rPr>
                <w:rFonts w:hint="default" w:ascii="Times New Roman" w:hAnsi="Times New Roman" w:eastAsia="仿宋_GB2312" w:cs="Times New Roman"/>
                <w:b/>
                <w:color w:val="auto"/>
                <w:kern w:val="2"/>
                <w:sz w:val="28"/>
                <w:szCs w:val="28"/>
                <w:highlight w:val="none"/>
                <w:lang w:val="en-US" w:eastAsia="zh-CN" w:bidi="ar-SA"/>
              </w:rPr>
              <w:t>：</w:t>
            </w:r>
            <w:r>
              <w:rPr>
                <w:rFonts w:hint="eastAsia" w:ascii="Times New Roman" w:eastAsia="仿宋_GB2312" w:cs="Times New Roman"/>
                <w:b w:val="0"/>
                <w:bCs/>
                <w:color w:val="auto"/>
                <w:kern w:val="2"/>
                <w:sz w:val="28"/>
                <w:szCs w:val="28"/>
                <w:highlight w:val="none"/>
                <w:lang w:val="en-US" w:eastAsia="zh-CN" w:bidi="ar-SA"/>
              </w:rPr>
              <w:t>推进</w:t>
            </w:r>
            <w:r>
              <w:rPr>
                <w:rFonts w:hint="eastAsia" w:ascii="Times New Roman" w:eastAsia="仿宋_GB2312" w:cs="Times New Roman"/>
                <w:b w:val="0"/>
                <w:bCs/>
                <w:color w:val="auto"/>
                <w:sz w:val="28"/>
                <w:szCs w:val="28"/>
                <w:highlight w:val="none"/>
                <w:lang w:val="en-US" w:eastAsia="zh-CN"/>
              </w:rPr>
              <w:t>县体育公园升级改造、综合户外运动营地</w:t>
            </w:r>
            <w:r>
              <w:rPr>
                <w:rFonts w:hint="eastAsia" w:ascii="Times New Roman" w:eastAsia="仿宋_GB2312" w:cs="Times New Roman"/>
                <w:b w:val="0"/>
                <w:bCs/>
                <w:color w:val="auto"/>
                <w:kern w:val="2"/>
                <w:sz w:val="28"/>
                <w:szCs w:val="28"/>
                <w:highlight w:val="none"/>
                <w:lang w:val="en-US" w:eastAsia="zh-CN" w:bidi="ar-SA"/>
              </w:rPr>
              <w:t>、</w:t>
            </w:r>
            <w:r>
              <w:rPr>
                <w:rFonts w:hint="eastAsia" w:ascii="Times New Roman" w:hAnsi="Times New Roman" w:eastAsia="仿宋_GB2312" w:cs="Times New Roman"/>
                <w:b w:val="0"/>
                <w:bCs/>
                <w:color w:val="auto"/>
                <w:sz w:val="28"/>
                <w:szCs w:val="28"/>
                <w:highlight w:val="none"/>
                <w:lang w:val="en-US" w:eastAsia="zh-CN"/>
              </w:rPr>
              <w:t>研学基地</w:t>
            </w:r>
            <w:r>
              <w:rPr>
                <w:rFonts w:hint="eastAsia" w:ascii="Times New Roman" w:cs="Times New Roman"/>
                <w:b w:val="0"/>
                <w:bCs/>
                <w:color w:val="auto"/>
                <w:sz w:val="28"/>
                <w:szCs w:val="28"/>
                <w:highlight w:val="none"/>
                <w:lang w:val="en-US" w:eastAsia="zh-CN"/>
              </w:rPr>
              <w:t>、</w:t>
            </w:r>
            <w:r>
              <w:rPr>
                <w:rFonts w:hint="eastAsia" w:ascii="Times New Roman" w:hAnsi="Times New Roman" w:eastAsia="仿宋_GB2312" w:cs="Times New Roman"/>
                <w:b w:val="0"/>
                <w:bCs/>
                <w:color w:val="auto"/>
                <w:kern w:val="2"/>
                <w:sz w:val="28"/>
                <w:szCs w:val="28"/>
                <w:highlight w:val="none"/>
                <w:lang w:val="en-US" w:eastAsia="zh-CN" w:bidi="ar-SA"/>
              </w:rPr>
              <w:t>生态健身走廊、</w:t>
            </w:r>
            <w:r>
              <w:rPr>
                <w:rFonts w:hint="eastAsia" w:ascii="Times New Roman" w:hAnsi="Times New Roman" w:eastAsia="仿宋_GB2312" w:cs="Times New Roman"/>
                <w:b w:val="0"/>
                <w:bCs/>
                <w:color w:val="auto"/>
                <w:sz w:val="28"/>
                <w:szCs w:val="28"/>
                <w:highlight w:val="none"/>
                <w:lang w:val="en-US" w:eastAsia="zh-CN"/>
              </w:rPr>
              <w:t>石榴河综合</w:t>
            </w:r>
            <w:r>
              <w:rPr>
                <w:rFonts w:hint="eastAsia" w:ascii="Times New Roman" w:eastAsia="仿宋_GB2312" w:cs="Times New Roman"/>
                <w:b w:val="0"/>
                <w:bCs/>
                <w:color w:val="auto"/>
                <w:sz w:val="28"/>
                <w:szCs w:val="28"/>
                <w:highlight w:val="none"/>
                <w:lang w:val="en-US" w:eastAsia="zh-CN"/>
              </w:rPr>
              <w:t>户外运动、中渡古镇越野赛、休闲徒步走廊及马拉松赛道、江口乡渔家文旅等项目。</w:t>
            </w:r>
          </w:p>
        </w:tc>
      </w:tr>
    </w:tbl>
    <w:p w14:paraId="62B0334B">
      <w:pPr>
        <w:bidi w:val="0"/>
        <w:rPr>
          <w:rFonts w:hint="eastAsia"/>
          <w:color w:val="auto"/>
          <w:highlight w:val="none"/>
          <w:lang w:val="en-US" w:eastAsia="zh-CN"/>
        </w:rPr>
      </w:pPr>
    </w:p>
    <w:p w14:paraId="54C4ADB4">
      <w:pPr>
        <w:rPr>
          <w:rFonts w:hint="eastAsia" w:ascii="方正小标宋简体" w:hAnsi="方正小标宋简体" w:eastAsia="方正小标宋简体" w:cs="方正小标宋简体"/>
          <w:b w:val="0"/>
          <w:bCs/>
          <w:color w:val="auto"/>
          <w:highlight w:val="none"/>
          <w:lang w:val="en-US" w:eastAsia="zh-CN"/>
        </w:rPr>
      </w:pPr>
      <w:bookmarkStart w:id="257" w:name="_Toc1163"/>
      <w:bookmarkStart w:id="258" w:name="_Toc11889"/>
      <w:r>
        <w:rPr>
          <w:rFonts w:hint="eastAsia" w:ascii="方正小标宋简体" w:hAnsi="方正小标宋简体" w:eastAsia="方正小标宋简体" w:cs="方正小标宋简体"/>
          <w:b w:val="0"/>
          <w:bCs/>
          <w:color w:val="auto"/>
          <w:highlight w:val="none"/>
          <w:lang w:val="en-US" w:eastAsia="zh-CN"/>
        </w:rPr>
        <w:br w:type="page"/>
      </w:r>
    </w:p>
    <w:p w14:paraId="7CC18A00">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259" w:name="_Toc3330"/>
      <w:r>
        <w:rPr>
          <w:rFonts w:hint="eastAsia" w:ascii="方正小标宋简体" w:hAnsi="方正小标宋简体" w:eastAsia="方正小标宋简体" w:cs="方正小标宋简体"/>
          <w:b w:val="0"/>
          <w:bCs/>
          <w:color w:val="auto"/>
          <w:highlight w:val="none"/>
          <w:lang w:val="en-US" w:eastAsia="zh-CN"/>
        </w:rPr>
        <w:t>第十一章</w:t>
      </w:r>
      <w:bookmarkEnd w:id="254"/>
      <w:bookmarkEnd w:id="255"/>
      <w:bookmarkEnd w:id="256"/>
      <w:bookmarkEnd w:id="257"/>
      <w:bookmarkEnd w:id="258"/>
      <w:bookmarkEnd w:id="259"/>
    </w:p>
    <w:p w14:paraId="56CE544C">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highlight w:val="none"/>
          <w:lang w:val="en-US" w:eastAsia="zh-CN"/>
        </w:rPr>
      </w:pPr>
      <w:bookmarkStart w:id="260" w:name="_Toc9402"/>
      <w:bookmarkStart w:id="261" w:name="_Toc29062"/>
      <w:r>
        <w:rPr>
          <w:rFonts w:hint="eastAsia" w:ascii="方正小标宋简体" w:hAnsi="方正小标宋简体" w:eastAsia="方正小标宋简体" w:cs="方正小标宋简体"/>
          <w:b w:val="0"/>
          <w:bCs/>
          <w:color w:val="auto"/>
          <w:sz w:val="44"/>
          <w:szCs w:val="44"/>
          <w:highlight w:val="none"/>
          <w:lang w:val="en-US" w:eastAsia="zh-CN"/>
        </w:rPr>
        <w:t>提升人民生活品质  推进社会治理现代化</w:t>
      </w:r>
      <w:bookmarkEnd w:id="260"/>
      <w:bookmarkEnd w:id="261"/>
    </w:p>
    <w:p w14:paraId="352F1B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zh-TW" w:eastAsia="zh-CN"/>
        </w:rPr>
      </w:pPr>
      <w:bookmarkStart w:id="262" w:name="_Toc10398"/>
      <w:bookmarkStart w:id="263" w:name="_Toc14754"/>
      <w:r>
        <w:rPr>
          <w:rFonts w:hint="eastAsia" w:ascii="仿宋_GB2312" w:hAnsi="仿宋_GB2312" w:eastAsia="仿宋_GB2312" w:cs="仿宋_GB2312"/>
          <w:color w:val="auto"/>
          <w:sz w:val="32"/>
          <w:szCs w:val="32"/>
          <w:highlight w:val="none"/>
          <w:lang w:val="zh-TW" w:eastAsia="zh-CN"/>
        </w:rPr>
        <w:t>坚持把实现人民对美好生活的向往作为出发点和落脚点，加大保障和改善民生力度，构建更高水平平安鹿寨，打造共建共治共享的社会治理格局，保障人民安居乐业，提高人民生活品质，扎实推进共同富裕。</w:t>
      </w:r>
    </w:p>
    <w:p w14:paraId="05E5D23F">
      <w:pPr>
        <w:pStyle w:val="5"/>
        <w:bidi w:val="0"/>
        <w:jc w:val="center"/>
        <w:outlineLvl w:val="0"/>
        <w:rPr>
          <w:rFonts w:hint="default"/>
          <w:b w:val="0"/>
          <w:bCs/>
          <w:color w:val="auto"/>
          <w:sz w:val="36"/>
          <w:szCs w:val="36"/>
          <w:highlight w:val="none"/>
          <w:lang w:val="zh-TW" w:eastAsia="zh-CN"/>
        </w:rPr>
      </w:pPr>
      <w:bookmarkStart w:id="264" w:name="_Toc6381"/>
      <w:bookmarkStart w:id="265" w:name="_Toc29777"/>
      <w:r>
        <w:rPr>
          <w:rFonts w:hint="default"/>
          <w:b w:val="0"/>
          <w:bCs/>
          <w:color w:val="auto"/>
          <w:sz w:val="36"/>
          <w:szCs w:val="36"/>
          <w:highlight w:val="none"/>
          <w:lang w:val="en-US" w:eastAsia="zh-CN"/>
        </w:rPr>
        <w:t xml:space="preserve">第一节  </w:t>
      </w:r>
      <w:r>
        <w:rPr>
          <w:rFonts w:hint="eastAsia"/>
          <w:b w:val="0"/>
          <w:bCs/>
          <w:color w:val="auto"/>
          <w:sz w:val="36"/>
          <w:szCs w:val="36"/>
          <w:highlight w:val="none"/>
          <w:lang w:val="en-US" w:eastAsia="zh-CN"/>
        </w:rPr>
        <w:t>办好人民满意</w:t>
      </w:r>
      <w:r>
        <w:rPr>
          <w:rFonts w:hint="default"/>
          <w:b w:val="0"/>
          <w:bCs/>
          <w:color w:val="auto"/>
          <w:sz w:val="36"/>
          <w:szCs w:val="36"/>
          <w:highlight w:val="none"/>
          <w:lang w:val="zh-TW" w:eastAsia="zh-CN"/>
        </w:rPr>
        <w:t>的教育</w:t>
      </w:r>
      <w:bookmarkEnd w:id="262"/>
      <w:bookmarkEnd w:id="263"/>
      <w:bookmarkEnd w:id="264"/>
      <w:bookmarkEnd w:id="265"/>
    </w:p>
    <w:p w14:paraId="4818D16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坚持党对教育事业的全面领导，坚持以人民为中心发展教育的基本理念</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着力推动</w:t>
      </w:r>
      <w:r>
        <w:rPr>
          <w:rFonts w:hint="default" w:ascii="Times New Roman" w:hAnsi="Times New Roman" w:eastAsia="仿宋_GB2312" w:cs="Times New Roman"/>
          <w:color w:val="auto"/>
          <w:sz w:val="32"/>
          <w:szCs w:val="32"/>
          <w:highlight w:val="none"/>
          <w:lang w:eastAsia="zh-CN"/>
        </w:rPr>
        <w:t>思想政治教育固本铸魂、基础教育公平优质、职业教育产教融合、终身教育泛在可及、教师队伍素质精良</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办好人民满意的教育。</w:t>
      </w:r>
    </w:p>
    <w:p w14:paraId="600C00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u w:val="none"/>
          <w:lang w:eastAsia="zh-CN"/>
        </w:rPr>
      </w:pPr>
      <w:r>
        <w:rPr>
          <w:rFonts w:hint="eastAsia" w:ascii="Times New Roman" w:hAnsi="Times New Roman" w:eastAsia="仿宋_GB2312" w:cs="Times New Roman"/>
          <w:b/>
          <w:bCs/>
          <w:color w:val="auto"/>
          <w:sz w:val="32"/>
          <w:szCs w:val="32"/>
          <w:highlight w:val="none"/>
          <w:u w:val="none"/>
          <w:lang w:eastAsia="zh-CN"/>
        </w:rPr>
        <w:t>实施新时代立德树人工程。</w:t>
      </w:r>
      <w:r>
        <w:rPr>
          <w:rFonts w:hint="eastAsia" w:ascii="Times New Roman" w:hAnsi="Times New Roman" w:eastAsia="仿宋_GB2312" w:cs="Times New Roman"/>
          <w:b w:val="0"/>
          <w:bCs w:val="0"/>
          <w:color w:val="auto"/>
          <w:sz w:val="32"/>
          <w:szCs w:val="32"/>
          <w:highlight w:val="none"/>
          <w:u w:val="none"/>
          <w:lang w:eastAsia="zh-CN"/>
        </w:rPr>
        <w:t>推进中小学思政教育一体化建设，将思想政治教育贯穿学科体系、教学体系和管理体系，融入思想道德、文化知识、社会实践各环节，打造“大思政课”品牌，推动理想信念教育常态化制度化。</w:t>
      </w:r>
      <w:r>
        <w:rPr>
          <w:rFonts w:hint="default" w:ascii="Arial" w:hAnsi="Arial" w:eastAsia="仿宋_GB2312" w:cs="Arial"/>
          <w:b w:val="0"/>
          <w:bCs w:val="0"/>
          <w:color w:val="auto"/>
          <w:sz w:val="32"/>
          <w:szCs w:val="32"/>
          <w:highlight w:val="none"/>
          <w:u w:val="none"/>
          <w:lang w:eastAsia="zh-CN"/>
        </w:rPr>
        <w:t>拓展育人空间</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阵地</w:t>
      </w:r>
      <w:r>
        <w:rPr>
          <w:rFonts w:hint="eastAsia" w:ascii="Arial" w:hAnsi="Arial" w:eastAsia="仿宋_GB2312" w:cs="Arial"/>
          <w:b w:val="0"/>
          <w:bCs w:val="0"/>
          <w:color w:val="auto"/>
          <w:sz w:val="32"/>
          <w:szCs w:val="32"/>
          <w:highlight w:val="none"/>
          <w:u w:val="none"/>
          <w:lang w:eastAsia="zh-CN"/>
        </w:rPr>
        <w:t>，构建</w:t>
      </w:r>
      <w:r>
        <w:rPr>
          <w:rFonts w:hint="default" w:ascii="Arial" w:hAnsi="Arial" w:eastAsia="仿宋_GB2312" w:cs="Arial"/>
          <w:b w:val="0"/>
          <w:bCs w:val="0"/>
          <w:color w:val="auto"/>
          <w:sz w:val="32"/>
          <w:szCs w:val="32"/>
          <w:highlight w:val="none"/>
          <w:u w:val="none"/>
          <w:lang w:eastAsia="zh-CN"/>
        </w:rPr>
        <w:t>课上课下协同、校内校外一体、线上线下融合的育人机制。充分发挥红色资源育人功能，推动思想政治工作</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信息技术深度融合，加强学生网络安全意识、文明素养</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行为习惯教育。促进学生健康成长</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全面发展。深入实施素质教育，落实健康第一理念，普及科学教育</w:t>
      </w:r>
      <w:r>
        <w:rPr>
          <w:rFonts w:hint="eastAsia" w:ascii="Arial" w:hAnsi="Arial" w:eastAsia="仿宋_GB2312" w:cs="Arial"/>
          <w:b w:val="0"/>
          <w:bCs w:val="0"/>
          <w:color w:val="auto"/>
          <w:sz w:val="32"/>
          <w:szCs w:val="32"/>
          <w:highlight w:val="none"/>
          <w:u w:val="none"/>
          <w:lang w:eastAsia="zh-CN"/>
        </w:rPr>
        <w:t>、</w:t>
      </w:r>
      <w:r>
        <w:rPr>
          <w:rFonts w:hint="default" w:ascii="Arial" w:hAnsi="Arial" w:eastAsia="仿宋_GB2312" w:cs="Arial"/>
          <w:b w:val="0"/>
          <w:bCs w:val="0"/>
          <w:color w:val="auto"/>
          <w:sz w:val="32"/>
          <w:szCs w:val="32"/>
          <w:highlight w:val="none"/>
          <w:u w:val="none"/>
          <w:lang w:eastAsia="zh-CN"/>
        </w:rPr>
        <w:t>心理健康教育，实施学生体质强健</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劳动习惯养成计划。加强宪法法治、国家安全</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国防教育</w:t>
      </w:r>
      <w:r>
        <w:rPr>
          <w:rFonts w:hint="eastAsia" w:ascii="Arial" w:hAnsi="Arial" w:eastAsia="仿宋_GB2312" w:cs="Arial"/>
          <w:b w:val="0"/>
          <w:bCs w:val="0"/>
          <w:color w:val="auto"/>
          <w:sz w:val="32"/>
          <w:szCs w:val="32"/>
          <w:highlight w:val="none"/>
          <w:u w:val="none"/>
          <w:lang w:eastAsia="zh-CN"/>
        </w:rPr>
        <w:t>，</w:t>
      </w:r>
      <w:r>
        <w:rPr>
          <w:rFonts w:hint="default" w:ascii="Arial" w:hAnsi="Arial" w:eastAsia="仿宋_GB2312" w:cs="Arial"/>
          <w:b w:val="0"/>
          <w:bCs w:val="0"/>
          <w:color w:val="auto"/>
          <w:sz w:val="32"/>
          <w:szCs w:val="32"/>
          <w:highlight w:val="none"/>
          <w:u w:val="none"/>
          <w:lang w:eastAsia="zh-CN"/>
        </w:rPr>
        <w:t>深入</w:t>
      </w:r>
      <w:r>
        <w:rPr>
          <w:rFonts w:hint="eastAsia" w:ascii="Arial" w:hAnsi="Arial" w:eastAsia="仿宋_GB2312" w:cs="Arial"/>
          <w:b w:val="0"/>
          <w:bCs w:val="0"/>
          <w:color w:val="auto"/>
          <w:sz w:val="32"/>
          <w:szCs w:val="32"/>
          <w:highlight w:val="none"/>
          <w:u w:val="none"/>
          <w:lang w:eastAsia="zh-CN"/>
        </w:rPr>
        <w:t>开展</w:t>
      </w:r>
      <w:r>
        <w:rPr>
          <w:rFonts w:hint="default" w:ascii="Arial" w:hAnsi="Arial" w:eastAsia="仿宋_GB2312" w:cs="Arial"/>
          <w:b w:val="0"/>
          <w:bCs w:val="0"/>
          <w:color w:val="auto"/>
          <w:sz w:val="32"/>
          <w:szCs w:val="32"/>
          <w:highlight w:val="none"/>
          <w:u w:val="none"/>
          <w:lang w:eastAsia="zh-CN"/>
        </w:rPr>
        <w:t>青少年读书行动。</w:t>
      </w:r>
      <w:r>
        <w:rPr>
          <w:rFonts w:hint="eastAsia" w:ascii="Arial" w:hAnsi="Arial" w:eastAsia="仿宋_GB2312" w:cs="Arial"/>
          <w:b w:val="0"/>
          <w:bCs w:val="0"/>
          <w:color w:val="auto"/>
          <w:sz w:val="32"/>
          <w:szCs w:val="32"/>
          <w:highlight w:val="none"/>
          <w:u w:val="none"/>
          <w:lang w:eastAsia="zh-CN"/>
        </w:rPr>
        <w:t>推进</w:t>
      </w:r>
      <w:r>
        <w:rPr>
          <w:rFonts w:hint="default" w:ascii="Arial" w:hAnsi="Arial" w:eastAsia="仿宋_GB2312" w:cs="Arial"/>
          <w:b w:val="0"/>
          <w:bCs w:val="0"/>
          <w:color w:val="auto"/>
          <w:sz w:val="32"/>
          <w:szCs w:val="32"/>
          <w:highlight w:val="none"/>
          <w:u w:val="none"/>
          <w:lang w:eastAsia="zh-CN"/>
        </w:rPr>
        <w:t>国家通用语言文字普及攻坚</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质量提升。实施语言文化传承发展工程，将中华优秀语言文化融入学校教育体系，提高全民语言文化素养。提升终身学习公共服务水平</w:t>
      </w:r>
      <w:r>
        <w:rPr>
          <w:rFonts w:hint="eastAsia" w:ascii="Arial" w:hAnsi="Arial" w:eastAsia="仿宋_GB2312" w:cs="Arial"/>
          <w:b w:val="0"/>
          <w:bCs w:val="0"/>
          <w:color w:val="auto"/>
          <w:sz w:val="32"/>
          <w:szCs w:val="32"/>
          <w:highlight w:val="none"/>
          <w:u w:val="none"/>
          <w:lang w:eastAsia="zh-CN"/>
        </w:rPr>
        <w:t>，</w:t>
      </w:r>
      <w:r>
        <w:rPr>
          <w:rFonts w:hint="eastAsia" w:ascii="Times New Roman" w:hAnsi="Times New Roman" w:eastAsia="仿宋_GB2312" w:cs="Times New Roman"/>
          <w:b w:val="0"/>
          <w:bCs w:val="0"/>
          <w:color w:val="auto"/>
          <w:sz w:val="32"/>
          <w:szCs w:val="32"/>
          <w:highlight w:val="none"/>
          <w:u w:val="none"/>
          <w:lang w:eastAsia="zh-CN"/>
        </w:rPr>
        <w:t>建设学习型社会。</w:t>
      </w:r>
    </w:p>
    <w:p w14:paraId="66A6A3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办优办强基础教育。</w:t>
      </w:r>
      <w:r>
        <w:rPr>
          <w:rFonts w:hint="eastAsia" w:ascii="Times New Roman" w:hAnsi="Times New Roman" w:eastAsia="仿宋_GB2312" w:cs="Times New Roman"/>
          <w:color w:val="auto"/>
          <w:sz w:val="32"/>
          <w:szCs w:val="32"/>
          <w:highlight w:val="none"/>
          <w:lang w:eastAsia="zh-CN"/>
        </w:rPr>
        <w:t>深入实施基础教育扩优提质工程，</w:t>
      </w:r>
      <w:r>
        <w:rPr>
          <w:rFonts w:hint="eastAsia" w:ascii="Times New Roman" w:hAnsi="Times New Roman" w:eastAsia="仿宋_GB2312" w:cs="Times New Roman"/>
          <w:color w:val="auto"/>
          <w:sz w:val="32"/>
          <w:szCs w:val="32"/>
          <w:highlight w:val="none"/>
          <w:lang w:val="en-US" w:eastAsia="zh-CN"/>
        </w:rPr>
        <w:t>提升教育公共服务质量和水平。</w:t>
      </w:r>
      <w:r>
        <w:rPr>
          <w:rFonts w:hint="eastAsia" w:ascii="Arial" w:hAnsi="Arial" w:eastAsia="仿宋_GB2312" w:cs="Arial"/>
          <w:color w:val="auto"/>
          <w:sz w:val="32"/>
          <w:szCs w:val="32"/>
          <w:highlight w:val="none"/>
          <w:lang w:eastAsia="zh-CN"/>
        </w:rPr>
        <w:t>健全与人口变化相适应的基础教育资源统筹调配机制，探索建立基础教育各学段学龄人口变化监测预警制度，加强近期和中长期教育资源统筹配置，保障跨学段动态调整和余缺调配</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学前教育聚焦普及普惠安全优质，实施薄弱</w:t>
      </w:r>
      <w:r>
        <w:rPr>
          <w:rFonts w:hint="eastAsia" w:ascii="Times New Roman" w:hAnsi="Times New Roman" w:eastAsia="仿宋_GB2312" w:cs="Times New Roman"/>
          <w:b w:val="0"/>
          <w:bCs w:val="0"/>
          <w:color w:val="auto"/>
          <w:sz w:val="32"/>
          <w:szCs w:val="32"/>
          <w:highlight w:val="none"/>
          <w:lang w:eastAsia="zh-CN"/>
        </w:rPr>
        <w:t>幼儿</w:t>
      </w:r>
      <w:r>
        <w:rPr>
          <w:rFonts w:hint="default" w:ascii="Times New Roman" w:hAnsi="Times New Roman" w:eastAsia="仿宋_GB2312" w:cs="Times New Roman"/>
          <w:b w:val="0"/>
          <w:bCs w:val="0"/>
          <w:color w:val="auto"/>
          <w:sz w:val="32"/>
          <w:szCs w:val="32"/>
          <w:highlight w:val="none"/>
          <w:lang w:eastAsia="zh-CN"/>
        </w:rPr>
        <w:t>园改造提升，优化普惠性资源结构，支持民办园提供普惠服务，稳步</w:t>
      </w:r>
      <w:r>
        <w:rPr>
          <w:rFonts w:hint="eastAsia" w:ascii="Times New Roman" w:hAnsi="Times New Roman" w:eastAsia="仿宋_GB2312" w:cs="Times New Roman"/>
          <w:b w:val="0"/>
          <w:bCs w:val="0"/>
          <w:color w:val="auto"/>
          <w:sz w:val="32"/>
          <w:szCs w:val="32"/>
          <w:highlight w:val="none"/>
          <w:lang w:eastAsia="zh-CN"/>
        </w:rPr>
        <w:t>扩大</w:t>
      </w:r>
      <w:r>
        <w:rPr>
          <w:rFonts w:hint="default" w:ascii="Times New Roman" w:hAnsi="Times New Roman" w:eastAsia="仿宋_GB2312" w:cs="Times New Roman"/>
          <w:b w:val="0"/>
          <w:bCs w:val="0"/>
          <w:color w:val="auto"/>
          <w:sz w:val="32"/>
          <w:szCs w:val="32"/>
          <w:highlight w:val="none"/>
          <w:lang w:eastAsia="zh-CN"/>
        </w:rPr>
        <w:t>2至3岁幼儿托育服务</w:t>
      </w:r>
      <w:r>
        <w:rPr>
          <w:rFonts w:hint="eastAsia" w:ascii="Times New Roman" w:hAnsi="Times New Roman" w:eastAsia="仿宋_GB2312" w:cs="Times New Roman"/>
          <w:b w:val="0"/>
          <w:bCs w:val="0"/>
          <w:color w:val="auto"/>
          <w:sz w:val="32"/>
          <w:szCs w:val="32"/>
          <w:highlight w:val="none"/>
          <w:lang w:eastAsia="zh-CN"/>
        </w:rPr>
        <w:t>及</w:t>
      </w:r>
      <w:r>
        <w:rPr>
          <w:rFonts w:hint="default" w:ascii="Times New Roman" w:hAnsi="Times New Roman" w:eastAsia="仿宋_GB2312" w:cs="Times New Roman"/>
          <w:b w:val="0"/>
          <w:bCs w:val="0"/>
          <w:color w:val="auto"/>
          <w:sz w:val="32"/>
          <w:szCs w:val="32"/>
          <w:highlight w:val="none"/>
          <w:lang w:eastAsia="zh-CN"/>
        </w:rPr>
        <w:t>延时服务</w:t>
      </w:r>
      <w:r>
        <w:rPr>
          <w:rFonts w:hint="eastAsia" w:ascii="Times New Roman" w:hAnsi="Times New Roman" w:eastAsia="仿宋_GB2312" w:cs="Times New Roman"/>
          <w:b w:val="0"/>
          <w:bCs w:val="0"/>
          <w:color w:val="auto"/>
          <w:sz w:val="32"/>
          <w:szCs w:val="32"/>
          <w:highlight w:val="none"/>
          <w:lang w:eastAsia="zh-CN"/>
        </w:rPr>
        <w:t>供给</w:t>
      </w:r>
      <w:r>
        <w:rPr>
          <w:rFonts w:hint="default" w:ascii="Times New Roman" w:hAnsi="Times New Roman" w:eastAsia="仿宋_GB2312" w:cs="Times New Roman"/>
          <w:b w:val="0"/>
          <w:bCs w:val="0"/>
          <w:color w:val="auto"/>
          <w:sz w:val="32"/>
          <w:szCs w:val="32"/>
          <w:highlight w:val="none"/>
          <w:lang w:eastAsia="zh-CN"/>
        </w:rPr>
        <w:t>。义务教育聚焦优质均衡，以通过国家义务教育优质均衡发展评估为目标，深</w:t>
      </w:r>
      <w:r>
        <w:rPr>
          <w:rFonts w:hint="eastAsia" w:ascii="Times New Roman" w:hAnsi="Times New Roman" w:eastAsia="仿宋_GB2312" w:cs="Times New Roman"/>
          <w:b w:val="0"/>
          <w:bCs w:val="0"/>
          <w:color w:val="auto"/>
          <w:sz w:val="32"/>
          <w:szCs w:val="32"/>
          <w:highlight w:val="none"/>
          <w:lang w:eastAsia="zh-CN"/>
        </w:rPr>
        <w:t>化“初中强校”工</w:t>
      </w:r>
      <w:r>
        <w:rPr>
          <w:rFonts w:hint="default" w:ascii="Times New Roman" w:hAnsi="Times New Roman" w:eastAsia="仿宋_GB2312" w:cs="Times New Roman"/>
          <w:b w:val="0"/>
          <w:bCs w:val="0"/>
          <w:color w:val="auto"/>
          <w:sz w:val="32"/>
          <w:szCs w:val="32"/>
          <w:highlight w:val="none"/>
          <w:lang w:eastAsia="zh-CN"/>
        </w:rPr>
        <w:t>程</w:t>
      </w:r>
      <w:r>
        <w:rPr>
          <w:rFonts w:hint="eastAsia" w:ascii="Times New Roman" w:hAnsi="Times New Roman" w:eastAsia="仿宋_GB2312" w:cs="Times New Roman"/>
          <w:b w:val="0"/>
          <w:bCs w:val="0"/>
          <w:color w:val="auto"/>
          <w:sz w:val="32"/>
          <w:szCs w:val="32"/>
          <w:highlight w:val="none"/>
          <w:lang w:eastAsia="zh-CN"/>
        </w:rPr>
        <w:t>和</w:t>
      </w:r>
      <w:r>
        <w:rPr>
          <w:rFonts w:hint="default" w:ascii="Times New Roman" w:hAnsi="Times New Roman" w:eastAsia="仿宋_GB2312" w:cs="Times New Roman"/>
          <w:b w:val="0"/>
          <w:bCs w:val="0"/>
          <w:color w:val="auto"/>
          <w:sz w:val="32"/>
          <w:szCs w:val="32"/>
          <w:highlight w:val="none"/>
          <w:lang w:eastAsia="zh-CN"/>
        </w:rPr>
        <w:t>集团化办学改革，通过办学条件</w:t>
      </w:r>
      <w:r>
        <w:rPr>
          <w:rFonts w:hint="eastAsia" w:ascii="Times New Roman" w:hAnsi="Times New Roman" w:eastAsia="仿宋_GB2312" w:cs="Times New Roman"/>
          <w:b w:val="0"/>
          <w:bCs w:val="0"/>
          <w:color w:val="auto"/>
          <w:sz w:val="32"/>
          <w:szCs w:val="32"/>
          <w:highlight w:val="none"/>
          <w:lang w:eastAsia="zh-CN"/>
        </w:rPr>
        <w:t>改善</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师资</w:t>
      </w:r>
      <w:r>
        <w:rPr>
          <w:rFonts w:hint="default" w:ascii="Times New Roman" w:hAnsi="Times New Roman" w:eastAsia="仿宋_GB2312" w:cs="Times New Roman"/>
          <w:b w:val="0"/>
          <w:bCs w:val="0"/>
          <w:color w:val="auto"/>
          <w:sz w:val="32"/>
          <w:szCs w:val="32"/>
          <w:highlight w:val="none"/>
          <w:lang w:eastAsia="zh-CN"/>
        </w:rPr>
        <w:t>流动、教研协同</w:t>
      </w:r>
      <w:r>
        <w:rPr>
          <w:rFonts w:hint="eastAsia" w:ascii="Times New Roman" w:hAnsi="Times New Roman" w:eastAsia="仿宋_GB2312" w:cs="Times New Roman"/>
          <w:b w:val="0"/>
          <w:bCs w:val="0"/>
          <w:color w:val="auto"/>
          <w:sz w:val="32"/>
          <w:szCs w:val="32"/>
          <w:highlight w:val="none"/>
          <w:lang w:eastAsia="zh-CN"/>
        </w:rPr>
        <w:t>等“八大行动”，健全“强校带弱校”</w:t>
      </w:r>
      <w:r>
        <w:rPr>
          <w:rFonts w:hint="default" w:ascii="Times New Roman" w:hAnsi="Times New Roman" w:eastAsia="仿宋_GB2312" w:cs="Times New Roman"/>
          <w:b w:val="0"/>
          <w:bCs w:val="0"/>
          <w:color w:val="auto"/>
          <w:sz w:val="32"/>
          <w:szCs w:val="32"/>
          <w:highlight w:val="none"/>
          <w:lang w:eastAsia="zh-CN"/>
        </w:rPr>
        <w:t>机制，加快补齐薄弱学校</w:t>
      </w:r>
      <w:r>
        <w:rPr>
          <w:rFonts w:hint="eastAsia" w:ascii="Times New Roman" w:hAnsi="Times New Roman" w:eastAsia="仿宋_GB2312" w:cs="Times New Roman"/>
          <w:b w:val="0"/>
          <w:bCs w:val="0"/>
          <w:color w:val="auto"/>
          <w:sz w:val="32"/>
          <w:szCs w:val="32"/>
          <w:highlight w:val="none"/>
          <w:lang w:eastAsia="zh-CN"/>
        </w:rPr>
        <w:t>发展</w:t>
      </w:r>
      <w:r>
        <w:rPr>
          <w:rFonts w:hint="default" w:ascii="Times New Roman" w:hAnsi="Times New Roman" w:eastAsia="仿宋_GB2312" w:cs="Times New Roman"/>
          <w:b w:val="0"/>
          <w:bCs w:val="0"/>
          <w:color w:val="auto"/>
          <w:sz w:val="32"/>
          <w:szCs w:val="32"/>
          <w:highlight w:val="none"/>
          <w:lang w:eastAsia="zh-CN"/>
        </w:rPr>
        <w:t>短板，严格落实</w:t>
      </w:r>
      <w:r>
        <w:rPr>
          <w:rFonts w:hint="eastAsia" w:ascii="Times New Roman" w:hAnsi="Times New Roman" w:eastAsia="仿宋_GB2312" w:cs="Times New Roman"/>
          <w:b w:val="0"/>
          <w:bCs w:val="0"/>
          <w:color w:val="auto"/>
          <w:sz w:val="32"/>
          <w:szCs w:val="32"/>
          <w:highlight w:val="none"/>
          <w:lang w:eastAsia="zh-CN"/>
        </w:rPr>
        <w:t>“双减”政</w:t>
      </w:r>
      <w:r>
        <w:rPr>
          <w:rFonts w:hint="default" w:ascii="Times New Roman" w:hAnsi="Times New Roman" w:eastAsia="仿宋_GB2312" w:cs="Times New Roman"/>
          <w:b w:val="0"/>
          <w:bCs w:val="0"/>
          <w:color w:val="auto"/>
          <w:sz w:val="32"/>
          <w:szCs w:val="32"/>
          <w:highlight w:val="none"/>
          <w:lang w:eastAsia="zh-CN"/>
        </w:rPr>
        <w:t>策，</w:t>
      </w:r>
      <w:r>
        <w:rPr>
          <w:rFonts w:hint="eastAsia" w:ascii="Times New Roman" w:hAnsi="Times New Roman" w:eastAsia="仿宋_GB2312" w:cs="Times New Roman"/>
          <w:b w:val="0"/>
          <w:bCs w:val="0"/>
          <w:color w:val="auto"/>
          <w:sz w:val="32"/>
          <w:szCs w:val="32"/>
          <w:highlight w:val="none"/>
          <w:lang w:eastAsia="zh-CN"/>
        </w:rPr>
        <w:t>持续</w:t>
      </w:r>
      <w:r>
        <w:rPr>
          <w:rFonts w:hint="default" w:ascii="Times New Roman" w:hAnsi="Times New Roman" w:eastAsia="仿宋_GB2312" w:cs="Times New Roman"/>
          <w:b w:val="0"/>
          <w:bCs w:val="0"/>
          <w:color w:val="auto"/>
          <w:sz w:val="32"/>
          <w:szCs w:val="32"/>
          <w:highlight w:val="none"/>
          <w:lang w:eastAsia="zh-CN"/>
        </w:rPr>
        <w:t>提升学校育人质量。</w:t>
      </w:r>
      <w:r>
        <w:rPr>
          <w:rFonts w:hint="eastAsia" w:ascii="Times New Roman" w:hAnsi="Times New Roman" w:eastAsia="仿宋_GB2312" w:cs="Times New Roman"/>
          <w:b w:val="0"/>
          <w:bCs w:val="0"/>
          <w:color w:val="auto"/>
          <w:sz w:val="32"/>
          <w:szCs w:val="32"/>
          <w:highlight w:val="none"/>
          <w:lang w:eastAsia="zh-CN"/>
        </w:rPr>
        <w:t>推进</w:t>
      </w:r>
      <w:r>
        <w:rPr>
          <w:rFonts w:hint="default" w:ascii="Times New Roman" w:hAnsi="Times New Roman" w:eastAsia="仿宋_GB2312" w:cs="Times New Roman"/>
          <w:b w:val="0"/>
          <w:bCs w:val="0"/>
          <w:color w:val="auto"/>
          <w:sz w:val="32"/>
          <w:szCs w:val="32"/>
          <w:highlight w:val="none"/>
          <w:lang w:eastAsia="zh-CN"/>
        </w:rPr>
        <w:t>义务教育学校标准化建设提升行动，</w:t>
      </w:r>
      <w:r>
        <w:rPr>
          <w:rFonts w:hint="eastAsia" w:ascii="Times New Roman" w:hAnsi="Times New Roman" w:eastAsia="仿宋_GB2312" w:cs="Times New Roman"/>
          <w:b w:val="0"/>
          <w:bCs w:val="0"/>
          <w:color w:val="auto"/>
          <w:sz w:val="32"/>
          <w:szCs w:val="32"/>
          <w:highlight w:val="none"/>
          <w:lang w:eastAsia="zh-CN"/>
        </w:rPr>
        <w:t>保留并</w:t>
      </w:r>
      <w:r>
        <w:rPr>
          <w:rFonts w:hint="default" w:ascii="Times New Roman" w:hAnsi="Times New Roman" w:eastAsia="仿宋_GB2312" w:cs="Times New Roman"/>
          <w:b w:val="0"/>
          <w:bCs w:val="0"/>
          <w:color w:val="auto"/>
          <w:sz w:val="32"/>
          <w:szCs w:val="32"/>
          <w:highlight w:val="none"/>
          <w:lang w:eastAsia="zh-CN"/>
        </w:rPr>
        <w:t>办好必要的乡村小规模学校，</w:t>
      </w:r>
      <w:r>
        <w:rPr>
          <w:rFonts w:hint="eastAsia" w:ascii="Times New Roman" w:hAnsi="Times New Roman" w:eastAsia="仿宋_GB2312" w:cs="Times New Roman"/>
          <w:b w:val="0"/>
          <w:bCs w:val="0"/>
          <w:color w:val="auto"/>
          <w:sz w:val="32"/>
          <w:szCs w:val="32"/>
          <w:highlight w:val="none"/>
          <w:lang w:eastAsia="zh-CN"/>
        </w:rPr>
        <w:t>改善</w:t>
      </w:r>
      <w:r>
        <w:rPr>
          <w:rFonts w:hint="default" w:ascii="Times New Roman" w:hAnsi="Times New Roman" w:eastAsia="仿宋_GB2312" w:cs="Times New Roman"/>
          <w:b w:val="0"/>
          <w:bCs w:val="0"/>
          <w:color w:val="auto"/>
          <w:sz w:val="32"/>
          <w:szCs w:val="32"/>
          <w:highlight w:val="none"/>
          <w:lang w:eastAsia="zh-CN"/>
        </w:rPr>
        <w:t>寄宿制学校办学条件和</w:t>
      </w:r>
      <w:r>
        <w:rPr>
          <w:rFonts w:hint="eastAsia" w:ascii="Times New Roman" w:hAnsi="Times New Roman" w:eastAsia="仿宋_GB2312" w:cs="Times New Roman"/>
          <w:b w:val="0"/>
          <w:bCs w:val="0"/>
          <w:color w:val="auto"/>
          <w:sz w:val="32"/>
          <w:szCs w:val="32"/>
          <w:highlight w:val="none"/>
          <w:lang w:eastAsia="zh-CN"/>
        </w:rPr>
        <w:t>教育</w:t>
      </w:r>
      <w:r>
        <w:rPr>
          <w:rFonts w:hint="default" w:ascii="Times New Roman" w:hAnsi="Times New Roman" w:eastAsia="仿宋_GB2312" w:cs="Times New Roman"/>
          <w:b w:val="0"/>
          <w:bCs w:val="0"/>
          <w:color w:val="auto"/>
          <w:sz w:val="32"/>
          <w:szCs w:val="32"/>
          <w:highlight w:val="none"/>
          <w:lang w:eastAsia="zh-CN"/>
        </w:rPr>
        <w:t>教学</w:t>
      </w:r>
      <w:r>
        <w:rPr>
          <w:rFonts w:hint="eastAsia" w:ascii="Times New Roman" w:hAnsi="Times New Roman" w:eastAsia="仿宋_GB2312" w:cs="Times New Roman"/>
          <w:b w:val="0"/>
          <w:bCs w:val="0"/>
          <w:color w:val="auto"/>
          <w:sz w:val="32"/>
          <w:szCs w:val="32"/>
          <w:highlight w:val="none"/>
          <w:lang w:eastAsia="zh-CN"/>
        </w:rPr>
        <w:t>质量</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推动鹿寨镇</w:t>
      </w:r>
      <w:r>
        <w:rPr>
          <w:rFonts w:hint="default" w:ascii="Times New Roman" w:hAnsi="Times New Roman" w:eastAsia="仿宋_GB2312" w:cs="Times New Roman"/>
          <w:b w:val="0"/>
          <w:bCs w:val="0"/>
          <w:color w:val="auto"/>
          <w:sz w:val="32"/>
          <w:szCs w:val="32"/>
          <w:highlight w:val="none"/>
          <w:lang w:eastAsia="zh-CN"/>
        </w:rPr>
        <w:t>龙田小学</w:t>
      </w:r>
      <w:r>
        <w:rPr>
          <w:rFonts w:hint="eastAsia" w:ascii="Times New Roman" w:hAnsi="Times New Roman" w:eastAsia="仿宋_GB2312" w:cs="Times New Roman"/>
          <w:b w:val="0"/>
          <w:bCs w:val="0"/>
          <w:color w:val="auto"/>
          <w:sz w:val="32"/>
          <w:szCs w:val="32"/>
          <w:highlight w:val="none"/>
          <w:lang w:val="en-US" w:eastAsia="zh-CN"/>
        </w:rPr>
        <w:t>向</w:t>
      </w:r>
      <w:r>
        <w:rPr>
          <w:rFonts w:hint="default" w:ascii="Times New Roman" w:hAnsi="Times New Roman" w:eastAsia="仿宋_GB2312" w:cs="Times New Roman"/>
          <w:b w:val="0"/>
          <w:bCs w:val="0"/>
          <w:color w:val="auto"/>
          <w:sz w:val="32"/>
          <w:szCs w:val="32"/>
          <w:highlight w:val="none"/>
          <w:lang w:eastAsia="zh-CN"/>
        </w:rPr>
        <w:t>九年一贯制学校</w:t>
      </w:r>
      <w:r>
        <w:rPr>
          <w:rFonts w:hint="eastAsia" w:ascii="Times New Roman" w:hAnsi="Times New Roman" w:eastAsia="仿宋_GB2312" w:cs="Times New Roman"/>
          <w:b w:val="0"/>
          <w:bCs w:val="0"/>
          <w:color w:val="auto"/>
          <w:sz w:val="32"/>
          <w:szCs w:val="32"/>
          <w:highlight w:val="none"/>
          <w:lang w:val="en-US" w:eastAsia="zh-CN"/>
        </w:rPr>
        <w:t>转型，加快推进城东小学扩建，</w:t>
      </w:r>
      <w:r>
        <w:rPr>
          <w:rFonts w:hint="eastAsia" w:ascii="Times New Roman" w:hAnsi="Times New Roman" w:eastAsia="仿宋_GB2312" w:cs="Times New Roman"/>
          <w:b w:val="0"/>
          <w:bCs w:val="0"/>
          <w:color w:val="auto"/>
          <w:sz w:val="32"/>
          <w:szCs w:val="32"/>
          <w:highlight w:val="none"/>
          <w:lang w:eastAsia="zh-CN"/>
        </w:rPr>
        <w:t>持续</w:t>
      </w:r>
      <w:r>
        <w:rPr>
          <w:rFonts w:hint="default" w:ascii="Times New Roman" w:hAnsi="Times New Roman" w:eastAsia="仿宋_GB2312" w:cs="Times New Roman"/>
          <w:b w:val="0"/>
          <w:bCs w:val="0"/>
          <w:color w:val="auto"/>
          <w:sz w:val="32"/>
          <w:szCs w:val="32"/>
          <w:highlight w:val="none"/>
          <w:lang w:eastAsia="zh-CN"/>
        </w:rPr>
        <w:t>扩增学位供给，</w:t>
      </w:r>
      <w:r>
        <w:rPr>
          <w:rFonts w:hint="eastAsia" w:ascii="Times New Roman" w:hAnsi="Times New Roman" w:eastAsia="仿宋_GB2312" w:cs="Times New Roman"/>
          <w:b w:val="0"/>
          <w:bCs w:val="0"/>
          <w:color w:val="auto"/>
          <w:sz w:val="32"/>
          <w:szCs w:val="32"/>
          <w:highlight w:val="none"/>
          <w:lang w:eastAsia="zh-CN"/>
        </w:rPr>
        <w:t>有效缓解</w:t>
      </w:r>
      <w:r>
        <w:rPr>
          <w:rFonts w:hint="eastAsia" w:ascii="Times New Roman" w:hAnsi="Times New Roman" w:eastAsia="仿宋_GB2312" w:cs="Times New Roman"/>
          <w:b w:val="0"/>
          <w:bCs w:val="0"/>
          <w:color w:val="auto"/>
          <w:sz w:val="32"/>
          <w:szCs w:val="32"/>
          <w:highlight w:val="none"/>
          <w:lang w:val="en-US" w:eastAsia="zh-CN"/>
        </w:rPr>
        <w:t>县城适龄学生</w:t>
      </w:r>
      <w:r>
        <w:rPr>
          <w:rFonts w:hint="default" w:ascii="Times New Roman" w:hAnsi="Times New Roman" w:eastAsia="仿宋_GB2312" w:cs="Times New Roman"/>
          <w:b w:val="0"/>
          <w:bCs w:val="0"/>
          <w:color w:val="auto"/>
          <w:sz w:val="32"/>
          <w:szCs w:val="32"/>
          <w:highlight w:val="none"/>
          <w:lang w:eastAsia="zh-CN"/>
        </w:rPr>
        <w:t>入学压力</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高中</w:t>
      </w:r>
      <w:r>
        <w:rPr>
          <w:rFonts w:hint="eastAsia" w:ascii="Times New Roman" w:hAnsi="Times New Roman" w:eastAsia="仿宋_GB2312" w:cs="Times New Roman"/>
          <w:b w:val="0"/>
          <w:bCs w:val="0"/>
          <w:color w:val="auto"/>
          <w:sz w:val="32"/>
          <w:szCs w:val="32"/>
          <w:highlight w:val="none"/>
          <w:lang w:val="en-US" w:eastAsia="zh-CN"/>
        </w:rPr>
        <w:t>教育</w:t>
      </w:r>
      <w:r>
        <w:rPr>
          <w:rFonts w:hint="eastAsia" w:ascii="Times New Roman" w:hAnsi="Times New Roman" w:eastAsia="仿宋_GB2312" w:cs="Times New Roman"/>
          <w:b w:val="0"/>
          <w:bCs w:val="0"/>
          <w:color w:val="auto"/>
          <w:sz w:val="32"/>
          <w:szCs w:val="32"/>
          <w:highlight w:val="none"/>
          <w:lang w:eastAsia="zh-CN"/>
        </w:rPr>
        <w:t>坚持</w:t>
      </w:r>
      <w:r>
        <w:rPr>
          <w:rFonts w:hint="default" w:ascii="Times New Roman" w:hAnsi="Times New Roman" w:eastAsia="仿宋_GB2312" w:cs="Times New Roman"/>
          <w:b w:val="0"/>
          <w:bCs w:val="0"/>
          <w:color w:val="auto"/>
          <w:sz w:val="32"/>
          <w:szCs w:val="32"/>
          <w:highlight w:val="none"/>
          <w:lang w:eastAsia="zh-CN"/>
        </w:rPr>
        <w:t>多样特色</w:t>
      </w:r>
      <w:r>
        <w:rPr>
          <w:rFonts w:hint="eastAsia" w:ascii="Times New Roman" w:hAnsi="Times New Roman" w:eastAsia="仿宋_GB2312" w:cs="Times New Roman"/>
          <w:b w:val="0"/>
          <w:bCs w:val="0"/>
          <w:color w:val="auto"/>
          <w:sz w:val="32"/>
          <w:szCs w:val="32"/>
          <w:highlight w:val="none"/>
          <w:lang w:eastAsia="zh-CN"/>
        </w:rPr>
        <w:t>发展</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持续推进县域</w:t>
      </w:r>
      <w:r>
        <w:rPr>
          <w:rFonts w:hint="eastAsia" w:ascii="Times New Roman" w:hAnsi="Times New Roman" w:eastAsia="仿宋_GB2312" w:cs="Times New Roman"/>
          <w:b w:val="0"/>
          <w:bCs w:val="0"/>
          <w:color w:val="auto"/>
          <w:sz w:val="32"/>
          <w:szCs w:val="32"/>
          <w:highlight w:val="none"/>
          <w:lang w:val="en-US" w:eastAsia="zh-CN"/>
        </w:rPr>
        <w:t>普通</w:t>
      </w:r>
      <w:r>
        <w:rPr>
          <w:rFonts w:hint="eastAsia" w:ascii="Times New Roman" w:hAnsi="Times New Roman" w:eastAsia="仿宋_GB2312" w:cs="Times New Roman"/>
          <w:b w:val="0"/>
          <w:bCs w:val="0"/>
          <w:color w:val="auto"/>
          <w:sz w:val="32"/>
          <w:szCs w:val="32"/>
          <w:highlight w:val="none"/>
          <w:lang w:eastAsia="zh-CN"/>
        </w:rPr>
        <w:t>高中振兴行动，</w:t>
      </w:r>
      <w:r>
        <w:rPr>
          <w:rFonts w:hint="default" w:ascii="Times New Roman" w:hAnsi="Times New Roman" w:eastAsia="仿宋_GB2312" w:cs="Times New Roman"/>
          <w:b w:val="0"/>
          <w:bCs w:val="0"/>
          <w:color w:val="auto"/>
          <w:sz w:val="32"/>
          <w:szCs w:val="32"/>
          <w:highlight w:val="none"/>
          <w:lang w:eastAsia="zh-CN"/>
        </w:rPr>
        <w:t>深化课程改革与评价改革，</w:t>
      </w:r>
      <w:r>
        <w:rPr>
          <w:rFonts w:hint="eastAsia" w:ascii="Times New Roman" w:hAnsi="Times New Roman" w:eastAsia="仿宋_GB2312" w:cs="Times New Roman"/>
          <w:b w:val="0"/>
          <w:bCs w:val="0"/>
          <w:color w:val="auto"/>
          <w:sz w:val="32"/>
          <w:szCs w:val="32"/>
          <w:highlight w:val="none"/>
          <w:lang w:eastAsia="zh-CN"/>
        </w:rPr>
        <w:t>鼓励</w:t>
      </w:r>
      <w:r>
        <w:rPr>
          <w:rFonts w:hint="default" w:ascii="Times New Roman" w:hAnsi="Times New Roman" w:eastAsia="仿宋_GB2312" w:cs="Times New Roman"/>
          <w:b w:val="0"/>
          <w:bCs w:val="0"/>
          <w:color w:val="auto"/>
          <w:sz w:val="32"/>
          <w:szCs w:val="32"/>
          <w:highlight w:val="none"/>
          <w:lang w:eastAsia="zh-CN"/>
        </w:rPr>
        <w:t>学校错位发展、</w:t>
      </w:r>
      <w:r>
        <w:rPr>
          <w:rFonts w:hint="eastAsia" w:ascii="Times New Roman" w:hAnsi="Times New Roman" w:eastAsia="仿宋_GB2312" w:cs="Times New Roman"/>
          <w:b w:val="0"/>
          <w:bCs w:val="0"/>
          <w:color w:val="auto"/>
          <w:sz w:val="32"/>
          <w:szCs w:val="32"/>
          <w:highlight w:val="none"/>
          <w:lang w:eastAsia="zh-CN"/>
        </w:rPr>
        <w:t>争创</w:t>
      </w:r>
      <w:r>
        <w:rPr>
          <w:rFonts w:hint="eastAsia" w:ascii="Times New Roman" w:hAnsi="Times New Roman" w:eastAsia="仿宋_GB2312" w:cs="Times New Roman"/>
          <w:b w:val="0"/>
          <w:bCs w:val="0"/>
          <w:color w:val="auto"/>
          <w:sz w:val="32"/>
          <w:szCs w:val="32"/>
          <w:highlight w:val="none"/>
          <w:lang w:val="en-US" w:eastAsia="zh-CN"/>
        </w:rPr>
        <w:t>和提升</w:t>
      </w:r>
      <w:r>
        <w:rPr>
          <w:rFonts w:hint="default" w:ascii="Times New Roman" w:hAnsi="Times New Roman" w:eastAsia="仿宋_GB2312" w:cs="Times New Roman"/>
          <w:b w:val="0"/>
          <w:bCs w:val="0"/>
          <w:color w:val="auto"/>
          <w:sz w:val="32"/>
          <w:szCs w:val="32"/>
          <w:highlight w:val="none"/>
          <w:lang w:eastAsia="zh-CN"/>
        </w:rPr>
        <w:t>自治区星级特色普通高中</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加快推动</w:t>
      </w:r>
      <w:r>
        <w:rPr>
          <w:rFonts w:hint="eastAsia" w:ascii="Times New Roman" w:hAnsi="Times New Roman" w:eastAsia="仿宋_GB2312" w:cs="Times New Roman"/>
          <w:b w:val="0"/>
          <w:bCs w:val="0"/>
          <w:color w:val="auto"/>
          <w:sz w:val="32"/>
          <w:szCs w:val="32"/>
          <w:highlight w:val="none"/>
          <w:lang w:eastAsia="zh-CN"/>
        </w:rPr>
        <w:t>县</w:t>
      </w:r>
      <w:r>
        <w:rPr>
          <w:rFonts w:hint="default" w:ascii="Times New Roman" w:hAnsi="Times New Roman" w:eastAsia="仿宋_GB2312" w:cs="Times New Roman"/>
          <w:b w:val="0"/>
          <w:bCs w:val="0"/>
          <w:color w:val="auto"/>
          <w:sz w:val="32"/>
          <w:szCs w:val="32"/>
          <w:highlight w:val="none"/>
          <w:lang w:eastAsia="zh-CN"/>
        </w:rPr>
        <w:t>职教中心开设普职融通班</w:t>
      </w:r>
      <w:r>
        <w:rPr>
          <w:rFonts w:hint="eastAsia" w:ascii="Times New Roman" w:hAnsi="Times New Roman" w:eastAsia="仿宋_GB2312" w:cs="Times New Roman"/>
          <w:b w:val="0"/>
          <w:bCs w:val="0"/>
          <w:color w:val="auto"/>
          <w:sz w:val="32"/>
          <w:szCs w:val="32"/>
          <w:highlight w:val="none"/>
          <w:lang w:val="en-US" w:eastAsia="zh-CN"/>
        </w:rPr>
        <w:t>建设</w:t>
      </w:r>
      <w:r>
        <w:rPr>
          <w:rFonts w:hint="default" w:ascii="Times New Roman" w:hAnsi="Times New Roman" w:eastAsia="仿宋_GB2312" w:cs="Times New Roman"/>
          <w:b w:val="0"/>
          <w:bCs w:val="0"/>
          <w:color w:val="auto"/>
          <w:sz w:val="32"/>
          <w:szCs w:val="32"/>
          <w:highlight w:val="none"/>
          <w:lang w:eastAsia="zh-CN"/>
        </w:rPr>
        <w:t>，拓宽学生成长</w:t>
      </w:r>
      <w:r>
        <w:rPr>
          <w:rFonts w:hint="eastAsia" w:ascii="Times New Roman" w:hAnsi="Times New Roman" w:eastAsia="仿宋_GB2312" w:cs="Times New Roman"/>
          <w:b w:val="0"/>
          <w:bCs w:val="0"/>
          <w:color w:val="auto"/>
          <w:sz w:val="32"/>
          <w:szCs w:val="32"/>
          <w:highlight w:val="none"/>
          <w:lang w:eastAsia="zh-CN"/>
        </w:rPr>
        <w:t>路径</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深化产教融合，紧密对接</w:t>
      </w:r>
      <w:r>
        <w:rPr>
          <w:rFonts w:hint="eastAsia" w:ascii="Times New Roman" w:hAnsi="Times New Roman" w:eastAsia="仿宋_GB2312" w:cs="Times New Roman"/>
          <w:b w:val="0"/>
          <w:bCs w:val="0"/>
          <w:color w:val="auto"/>
          <w:sz w:val="32"/>
          <w:szCs w:val="32"/>
          <w:highlight w:val="none"/>
          <w:lang w:val="en-US" w:eastAsia="zh-CN"/>
        </w:rPr>
        <w:t>重要</w:t>
      </w:r>
      <w:r>
        <w:rPr>
          <w:rFonts w:hint="eastAsia" w:ascii="Times New Roman" w:hAnsi="Times New Roman" w:eastAsia="仿宋_GB2312" w:cs="Times New Roman"/>
          <w:b w:val="0"/>
          <w:bCs w:val="0"/>
          <w:color w:val="auto"/>
          <w:sz w:val="32"/>
          <w:szCs w:val="32"/>
          <w:highlight w:val="none"/>
          <w:lang w:eastAsia="zh-CN"/>
        </w:rPr>
        <w:t>产业发展需求，优化专业结构与课程设置，</w:t>
      </w:r>
      <w:r>
        <w:rPr>
          <w:rFonts w:hint="eastAsia" w:ascii="Times New Roman" w:hAnsi="Times New Roman" w:eastAsia="仿宋_GB2312" w:cs="Times New Roman"/>
          <w:b w:val="0"/>
          <w:bCs w:val="0"/>
          <w:color w:val="auto"/>
          <w:sz w:val="32"/>
          <w:szCs w:val="32"/>
          <w:highlight w:val="none"/>
          <w:lang w:val="en-US" w:eastAsia="zh-CN"/>
        </w:rPr>
        <w:t>强化财政投入与政策支持，</w:t>
      </w:r>
      <w:r>
        <w:rPr>
          <w:rFonts w:hint="eastAsia" w:ascii="Times New Roman" w:hAnsi="Times New Roman" w:eastAsia="仿宋_GB2312" w:cs="Times New Roman"/>
          <w:b w:val="0"/>
          <w:bCs w:val="0"/>
          <w:color w:val="auto"/>
          <w:sz w:val="32"/>
          <w:szCs w:val="32"/>
          <w:highlight w:val="none"/>
          <w:lang w:eastAsia="zh-CN"/>
        </w:rPr>
        <w:t>高标准建设和运营产教融合实践中心、鹿寨工匠学院，依托“劳模+专业教师+企业技术骨干”三位一体师资队伍，全面推行现代学徒制，</w:t>
      </w:r>
      <w:r>
        <w:rPr>
          <w:rFonts w:hint="eastAsia" w:ascii="Times New Roman" w:hAnsi="Times New Roman" w:eastAsia="仿宋_GB2312" w:cs="Times New Roman"/>
          <w:b w:val="0"/>
          <w:bCs w:val="0"/>
          <w:color w:val="auto"/>
          <w:kern w:val="2"/>
          <w:sz w:val="32"/>
          <w:szCs w:val="32"/>
          <w:highlight w:val="none"/>
          <w:lang w:val="en-US" w:eastAsia="zh-CN" w:bidi="ar-SA"/>
        </w:rPr>
        <w:t>实现教学与实践深度融合、校企协同育人。</w:t>
      </w:r>
      <w:r>
        <w:rPr>
          <w:rFonts w:hint="eastAsia" w:ascii="Times New Roman" w:hAnsi="Times New Roman" w:eastAsia="仿宋_GB2312" w:cs="Times New Roman"/>
          <w:b w:val="0"/>
          <w:bCs w:val="0"/>
          <w:color w:val="auto"/>
          <w:sz w:val="32"/>
          <w:szCs w:val="32"/>
          <w:highlight w:val="none"/>
          <w:lang w:eastAsia="zh-CN"/>
        </w:rPr>
        <w:t>面向新型职业农民、退役军人等重点群体，开展林木深加工、康养服务等急需领域的技能培训与学历提升服务，推动人才培养与县域经济需求精准对接。</w:t>
      </w:r>
      <w:r>
        <w:rPr>
          <w:rFonts w:hint="eastAsia" w:ascii="Times New Roman" w:hAnsi="Times New Roman" w:eastAsia="仿宋_GB2312" w:cs="Times New Roman"/>
          <w:b w:val="0"/>
          <w:bCs w:val="0"/>
          <w:color w:val="auto"/>
          <w:sz w:val="32"/>
          <w:szCs w:val="32"/>
          <w:highlight w:val="none"/>
          <w:lang w:val="en-US" w:eastAsia="zh-CN"/>
        </w:rPr>
        <w:t>弘扬劳模精神、劳动精神、工匠精神，营造尊重技能、崇尚实干的氛围，构建人人皆可成才、人人尽展其才的良好环境。</w:t>
      </w:r>
      <w:r>
        <w:rPr>
          <w:rFonts w:hint="default" w:ascii="Times New Roman" w:hAnsi="Times New Roman" w:eastAsia="仿宋_GB2312" w:cs="Times New Roman"/>
          <w:b w:val="0"/>
          <w:bCs w:val="0"/>
          <w:color w:val="auto"/>
          <w:sz w:val="32"/>
          <w:szCs w:val="32"/>
          <w:highlight w:val="none"/>
          <w:lang w:eastAsia="zh-CN"/>
        </w:rPr>
        <w:t>特殊教育</w:t>
      </w:r>
      <w:r>
        <w:rPr>
          <w:rFonts w:hint="eastAsia" w:ascii="Times New Roman" w:hAnsi="Times New Roman" w:eastAsia="仿宋_GB2312" w:cs="Times New Roman"/>
          <w:b w:val="0"/>
          <w:bCs w:val="0"/>
          <w:color w:val="auto"/>
          <w:sz w:val="32"/>
          <w:szCs w:val="32"/>
          <w:highlight w:val="none"/>
          <w:lang w:eastAsia="zh-CN"/>
        </w:rPr>
        <w:t>强化</w:t>
      </w:r>
      <w:r>
        <w:rPr>
          <w:rFonts w:hint="eastAsia" w:ascii="Times New Roman" w:hAnsi="Times New Roman" w:eastAsia="仿宋_GB2312" w:cs="Times New Roman"/>
          <w:b w:val="0"/>
          <w:bCs w:val="0"/>
          <w:color w:val="auto"/>
          <w:sz w:val="32"/>
          <w:szCs w:val="32"/>
          <w:highlight w:val="none"/>
          <w:lang w:val="en-US" w:eastAsia="zh-CN"/>
        </w:rPr>
        <w:t>普惠</w:t>
      </w:r>
      <w:r>
        <w:rPr>
          <w:rFonts w:hint="eastAsia" w:ascii="Times New Roman" w:hAnsi="Times New Roman" w:eastAsia="仿宋_GB2312" w:cs="Times New Roman"/>
          <w:b w:val="0"/>
          <w:bCs w:val="0"/>
          <w:color w:val="auto"/>
          <w:sz w:val="32"/>
          <w:szCs w:val="32"/>
          <w:highlight w:val="none"/>
          <w:lang w:eastAsia="zh-CN"/>
        </w:rPr>
        <w:t>融合</w:t>
      </w:r>
      <w:r>
        <w:rPr>
          <w:rFonts w:hint="eastAsia" w:ascii="Times New Roman" w:hAnsi="Times New Roman" w:eastAsia="仿宋_GB2312" w:cs="Times New Roman"/>
          <w:b w:val="0"/>
          <w:bCs w:val="0"/>
          <w:color w:val="auto"/>
          <w:sz w:val="32"/>
          <w:szCs w:val="32"/>
          <w:highlight w:val="none"/>
          <w:lang w:val="en-US" w:eastAsia="zh-CN"/>
        </w:rPr>
        <w:t>发展</w:t>
      </w:r>
      <w:r>
        <w:rPr>
          <w:rFonts w:hint="default" w:ascii="Times New Roman" w:hAnsi="Times New Roman" w:eastAsia="仿宋_GB2312" w:cs="Times New Roman"/>
          <w:b w:val="0"/>
          <w:bCs w:val="0"/>
          <w:color w:val="auto"/>
          <w:sz w:val="32"/>
          <w:szCs w:val="32"/>
          <w:highlight w:val="none"/>
          <w:lang w:val="en-US" w:eastAsia="zh-CN"/>
        </w:rPr>
        <w:t>，加强资源教室建设与</w:t>
      </w:r>
      <w:r>
        <w:rPr>
          <w:rFonts w:hint="eastAsia" w:ascii="Times New Roman" w:hAnsi="Times New Roman" w:eastAsia="仿宋_GB2312" w:cs="Times New Roman"/>
          <w:b w:val="0"/>
          <w:bCs w:val="0"/>
          <w:color w:val="auto"/>
          <w:sz w:val="32"/>
          <w:szCs w:val="32"/>
          <w:highlight w:val="none"/>
          <w:lang w:val="en-US" w:eastAsia="zh-CN"/>
        </w:rPr>
        <w:t>专业</w:t>
      </w:r>
      <w:r>
        <w:rPr>
          <w:rFonts w:hint="default" w:ascii="Times New Roman" w:hAnsi="Times New Roman" w:eastAsia="仿宋_GB2312" w:cs="Times New Roman"/>
          <w:b w:val="0"/>
          <w:bCs w:val="0"/>
          <w:color w:val="auto"/>
          <w:sz w:val="32"/>
          <w:szCs w:val="32"/>
          <w:highlight w:val="none"/>
          <w:lang w:val="en-US" w:eastAsia="zh-CN"/>
        </w:rPr>
        <w:t>师资配备，完善送教上门与医教结合服务</w:t>
      </w:r>
      <w:r>
        <w:rPr>
          <w:rFonts w:hint="eastAsia" w:ascii="Times New Roman" w:hAnsi="Times New Roman" w:eastAsia="仿宋_GB2312" w:cs="Times New Roman"/>
          <w:b w:val="0"/>
          <w:bCs w:val="0"/>
          <w:color w:val="auto"/>
          <w:sz w:val="32"/>
          <w:szCs w:val="32"/>
          <w:highlight w:val="none"/>
          <w:lang w:val="en-US" w:eastAsia="zh-CN"/>
        </w:rPr>
        <w:t>机制</w:t>
      </w:r>
      <w:r>
        <w:rPr>
          <w:rFonts w:hint="default" w:ascii="Times New Roman" w:hAnsi="Times New Roman" w:eastAsia="仿宋_GB2312" w:cs="Times New Roman"/>
          <w:b w:val="0"/>
          <w:bCs w:val="0"/>
          <w:color w:val="auto"/>
          <w:sz w:val="32"/>
          <w:szCs w:val="32"/>
          <w:highlight w:val="none"/>
          <w:lang w:val="en-US" w:eastAsia="zh-CN"/>
        </w:rPr>
        <w:t>，支持普通学校接收残疾学生</w:t>
      </w:r>
      <w:r>
        <w:rPr>
          <w:rFonts w:hint="eastAsia" w:ascii="Times New Roman" w:hAnsi="Times New Roman" w:eastAsia="仿宋_GB2312" w:cs="Times New Roman"/>
          <w:b w:val="0"/>
          <w:bCs w:val="0"/>
          <w:color w:val="auto"/>
          <w:sz w:val="32"/>
          <w:szCs w:val="32"/>
          <w:highlight w:val="none"/>
          <w:lang w:val="en-US" w:eastAsia="zh-CN"/>
        </w:rPr>
        <w:t>随班就读</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推动</w:t>
      </w:r>
      <w:r>
        <w:rPr>
          <w:rFonts w:hint="default" w:ascii="Times New Roman" w:hAnsi="Times New Roman" w:eastAsia="仿宋_GB2312" w:cs="Times New Roman"/>
          <w:b w:val="0"/>
          <w:bCs w:val="0"/>
          <w:color w:val="auto"/>
          <w:sz w:val="32"/>
          <w:szCs w:val="32"/>
          <w:highlight w:val="none"/>
          <w:lang w:val="en-US" w:eastAsia="zh-CN"/>
        </w:rPr>
        <w:t>特殊教育与</w:t>
      </w:r>
      <w:r>
        <w:rPr>
          <w:rFonts w:hint="default" w:ascii="Times New Roman" w:hAnsi="Times New Roman" w:eastAsia="仿宋_GB2312" w:cs="Times New Roman"/>
          <w:color w:val="auto"/>
          <w:sz w:val="32"/>
          <w:szCs w:val="32"/>
          <w:highlight w:val="none"/>
          <w:lang w:val="en-US" w:eastAsia="zh-CN"/>
        </w:rPr>
        <w:t>职业教育</w:t>
      </w:r>
      <w:r>
        <w:rPr>
          <w:rFonts w:hint="eastAsia" w:ascii="Times New Roman" w:hAnsi="Times New Roman" w:eastAsia="仿宋_GB2312" w:cs="Times New Roman"/>
          <w:color w:val="auto"/>
          <w:sz w:val="32"/>
          <w:szCs w:val="32"/>
          <w:highlight w:val="none"/>
          <w:lang w:eastAsia="zh-CN"/>
        </w:rPr>
        <w:t>有效</w:t>
      </w:r>
      <w:r>
        <w:rPr>
          <w:rFonts w:hint="default" w:ascii="Times New Roman" w:hAnsi="Times New Roman" w:eastAsia="仿宋_GB2312" w:cs="Times New Roman"/>
          <w:color w:val="auto"/>
          <w:sz w:val="32"/>
          <w:szCs w:val="32"/>
          <w:highlight w:val="none"/>
          <w:lang w:eastAsia="zh-CN"/>
        </w:rPr>
        <w:t>衔接，保障残疾儿童少年受教育权利全覆盖。</w:t>
      </w:r>
      <w:r>
        <w:rPr>
          <w:rFonts w:hint="eastAsia" w:ascii="Times New Roman" w:hAnsi="Times New Roman" w:eastAsia="仿宋_GB2312" w:cs="Times New Roman"/>
          <w:color w:val="auto"/>
          <w:sz w:val="32"/>
          <w:szCs w:val="32"/>
          <w:highlight w:val="none"/>
          <w:lang w:eastAsia="zh-CN"/>
        </w:rPr>
        <w:t>推进</w:t>
      </w:r>
      <w:r>
        <w:rPr>
          <w:rFonts w:hint="default" w:ascii="Times New Roman" w:hAnsi="Times New Roman" w:eastAsia="仿宋_GB2312" w:cs="Times New Roman"/>
          <w:color w:val="auto"/>
          <w:sz w:val="32"/>
          <w:szCs w:val="32"/>
          <w:highlight w:val="none"/>
          <w:lang w:eastAsia="zh-CN"/>
        </w:rPr>
        <w:t>专门学校</w:t>
      </w:r>
      <w:r>
        <w:rPr>
          <w:rFonts w:hint="eastAsia" w:ascii="Times New Roman" w:hAnsi="Times New Roman" w:eastAsia="仿宋_GB2312" w:cs="Times New Roman"/>
          <w:color w:val="auto"/>
          <w:sz w:val="32"/>
          <w:szCs w:val="32"/>
          <w:highlight w:val="none"/>
          <w:lang w:eastAsia="zh-CN"/>
        </w:rPr>
        <w:t>规范化</w:t>
      </w:r>
      <w:r>
        <w:rPr>
          <w:rFonts w:hint="default" w:ascii="Times New Roman" w:hAnsi="Times New Roman" w:eastAsia="仿宋_GB2312" w:cs="Times New Roman"/>
          <w:color w:val="auto"/>
          <w:sz w:val="32"/>
          <w:szCs w:val="32"/>
          <w:highlight w:val="none"/>
          <w:lang w:eastAsia="zh-CN"/>
        </w:rPr>
        <w:t>建设</w:t>
      </w:r>
      <w:r>
        <w:rPr>
          <w:rFonts w:hint="eastAsia" w:ascii="Times New Roman" w:hAnsi="Times New Roman" w:eastAsia="仿宋_GB2312" w:cs="Times New Roman"/>
          <w:color w:val="auto"/>
          <w:sz w:val="32"/>
          <w:szCs w:val="32"/>
          <w:highlight w:val="none"/>
          <w:lang w:eastAsia="zh-CN"/>
        </w:rPr>
        <w:t>与管理</w:t>
      </w:r>
      <w:r>
        <w:rPr>
          <w:rFonts w:hint="default" w:ascii="Times New Roman" w:hAnsi="Times New Roman" w:eastAsia="仿宋_GB2312" w:cs="Times New Roman"/>
          <w:color w:val="auto"/>
          <w:sz w:val="32"/>
          <w:szCs w:val="32"/>
          <w:highlight w:val="none"/>
          <w:lang w:eastAsia="zh-CN"/>
        </w:rPr>
        <w:t>，充分发挥专门教育作用，</w:t>
      </w:r>
      <w:r>
        <w:rPr>
          <w:rFonts w:hint="eastAsia" w:ascii="Times New Roman" w:hAnsi="Times New Roman" w:eastAsia="仿宋_GB2312" w:cs="Times New Roman"/>
          <w:color w:val="auto"/>
          <w:sz w:val="32"/>
          <w:szCs w:val="32"/>
          <w:highlight w:val="none"/>
          <w:lang w:eastAsia="zh-CN"/>
        </w:rPr>
        <w:t>切实</w:t>
      </w:r>
      <w:r>
        <w:rPr>
          <w:rFonts w:hint="default" w:ascii="Times New Roman" w:hAnsi="Times New Roman" w:eastAsia="仿宋_GB2312" w:cs="Times New Roman"/>
          <w:color w:val="auto"/>
          <w:sz w:val="32"/>
          <w:szCs w:val="32"/>
          <w:highlight w:val="none"/>
          <w:lang w:eastAsia="zh-CN"/>
        </w:rPr>
        <w:t>保护</w:t>
      </w:r>
      <w:r>
        <w:rPr>
          <w:rFonts w:hint="eastAsia"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lang w:eastAsia="zh-CN"/>
        </w:rPr>
        <w:t>促进未成年人健康成长。</w:t>
      </w:r>
    </w:p>
    <w:p w14:paraId="6FBE20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建设高素质专业化教师队伍。</w:t>
      </w:r>
      <w:r>
        <w:rPr>
          <w:rFonts w:hint="default" w:ascii="Times New Roman" w:hAnsi="Times New Roman" w:eastAsia="仿宋_GB2312" w:cs="Times New Roman"/>
          <w:color w:val="auto"/>
          <w:sz w:val="32"/>
          <w:szCs w:val="32"/>
          <w:highlight w:val="none"/>
          <w:lang w:eastAsia="zh-CN"/>
        </w:rPr>
        <w:t>实施教育家精神铸魂强师行动</w:t>
      </w:r>
      <w:r>
        <w:rPr>
          <w:rFonts w:hint="eastAsia" w:ascii="Times New Roman" w:hAnsi="Times New Roman" w:eastAsia="仿宋_GB2312" w:cs="Times New Roman"/>
          <w:color w:val="auto"/>
          <w:sz w:val="32"/>
          <w:szCs w:val="32"/>
          <w:highlight w:val="none"/>
          <w:lang w:eastAsia="zh-CN"/>
        </w:rPr>
        <w:t>，重点开展“5+1”教师培养工程</w:t>
      </w:r>
      <w:r>
        <w:rPr>
          <w:rStyle w:val="25"/>
          <w:rFonts w:hint="default" w:ascii="Times New Roman" w:hAnsi="Times New Roman" w:eastAsia="仿宋_GB2312" w:cs="Times New Roman"/>
          <w:color w:val="auto"/>
          <w:sz w:val="32"/>
          <w:szCs w:val="32"/>
          <w:highlight w:val="none"/>
          <w:lang w:eastAsia="zh-CN"/>
        </w:rPr>
        <w:t>[</w:t>
      </w:r>
      <w:r>
        <w:rPr>
          <w:rStyle w:val="25"/>
          <w:rFonts w:hint="default" w:ascii="Times New Roman" w:hAnsi="Times New Roman" w:eastAsia="仿宋_GB2312" w:cs="Times New Roman"/>
          <w:color w:val="auto"/>
          <w:sz w:val="32"/>
          <w:szCs w:val="32"/>
          <w:highlight w:val="none"/>
          <w:lang w:eastAsia="zh-CN"/>
        </w:rPr>
        <w:endnoteReference w:id="22"/>
      </w:r>
      <w:r>
        <w:rPr>
          <w:rStyle w:val="25"/>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，加强思想政治与党组织建设，突出党员教师先锋模范作用。坚持师德第一标准，完善长效机制，对师德失范“零容忍”。</w:t>
      </w:r>
      <w:r>
        <w:rPr>
          <w:rFonts w:hint="default" w:ascii="Times New Roman" w:hAnsi="Times New Roman" w:eastAsia="仿宋_GB2312" w:cs="Times New Roman"/>
          <w:color w:val="auto"/>
          <w:sz w:val="32"/>
          <w:szCs w:val="32"/>
          <w:highlight w:val="none"/>
          <w:lang w:eastAsia="zh-CN"/>
        </w:rPr>
        <w:t>提升教师专业素质能力</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健全教师教育体系，</w:t>
      </w:r>
      <w:r>
        <w:rPr>
          <w:rFonts w:hint="default" w:ascii="Times New Roman" w:hAnsi="Times New Roman" w:eastAsia="仿宋_GB2312" w:cs="Times New Roman"/>
          <w:color w:val="auto"/>
          <w:sz w:val="32"/>
          <w:szCs w:val="32"/>
          <w:highlight w:val="none"/>
          <w:lang w:eastAsia="zh-CN"/>
        </w:rPr>
        <w:t>实施优秀教师培养</w:t>
      </w:r>
      <w:r>
        <w:rPr>
          <w:rFonts w:hint="eastAsia" w:ascii="Times New Roman" w:hAnsi="Times New Roman" w:eastAsia="仿宋_GB2312" w:cs="Times New Roman"/>
          <w:color w:val="auto"/>
          <w:sz w:val="32"/>
          <w:szCs w:val="32"/>
          <w:highlight w:val="none"/>
          <w:lang w:eastAsia="zh-CN"/>
        </w:rPr>
        <w:t>与数字素养提升计划，加强班主任队伍建设，</w:t>
      </w:r>
      <w:r>
        <w:rPr>
          <w:rFonts w:hint="eastAsia" w:ascii="Times New Roman" w:hAnsi="Times New Roman" w:eastAsia="仿宋_GB2312" w:cs="Times New Roman"/>
          <w:color w:val="auto"/>
          <w:sz w:val="32"/>
          <w:szCs w:val="32"/>
          <w:highlight w:val="none"/>
          <w:lang w:val="en-US" w:eastAsia="zh-CN"/>
        </w:rPr>
        <w:t>发挥骨干教师教研引领作用。</w:t>
      </w:r>
      <w:r>
        <w:rPr>
          <w:rFonts w:hint="default" w:ascii="Times New Roman" w:hAnsi="Times New Roman" w:eastAsia="仿宋_GB2312" w:cs="Times New Roman"/>
          <w:color w:val="auto"/>
          <w:sz w:val="32"/>
          <w:szCs w:val="32"/>
          <w:highlight w:val="none"/>
          <w:lang w:eastAsia="zh-CN"/>
        </w:rPr>
        <w:t>优化教师管理和资源配置</w:t>
      </w:r>
      <w:r>
        <w:rPr>
          <w:rFonts w:hint="eastAsia" w:ascii="Times New Roman" w:hAnsi="Times New Roman" w:eastAsia="仿宋_GB2312" w:cs="Times New Roman"/>
          <w:color w:val="auto"/>
          <w:sz w:val="32"/>
          <w:szCs w:val="32"/>
          <w:highlight w:val="none"/>
          <w:lang w:eastAsia="zh-CN"/>
        </w:rPr>
        <w:t>，合理配备教职工编制，深化“县管校聘”改革，完善竞聘、交流与激励机制，加强校（园）长与骨干教师培育，健全以教学实绩为导向的考核体系。落实国家银龄教师行动计划，</w:t>
      </w:r>
      <w:r>
        <w:rPr>
          <w:rFonts w:hint="default" w:ascii="Times New Roman" w:hAnsi="Times New Roman" w:eastAsia="仿宋_GB2312" w:cs="Times New Roman"/>
          <w:color w:val="auto"/>
          <w:sz w:val="32"/>
          <w:szCs w:val="32"/>
          <w:highlight w:val="none"/>
          <w:lang w:eastAsia="zh-CN"/>
        </w:rPr>
        <w:t>提高教师地位</w:t>
      </w:r>
      <w:r>
        <w:rPr>
          <w:rFonts w:hint="eastAsia" w:ascii="Times New Roman" w:hAnsi="Times New Roman" w:eastAsia="仿宋_GB2312" w:cs="Times New Roman"/>
          <w:color w:val="auto"/>
          <w:sz w:val="32"/>
          <w:szCs w:val="32"/>
          <w:highlight w:val="none"/>
          <w:lang w:eastAsia="zh-CN"/>
        </w:rPr>
        <w:t>待遇，保障课后服务合理报酬，优化工资结构，落实乡村教师生活补助，强化高中、幼儿园及职业学校教师工资保障。维护教师权益与职业尊严，减轻非教学负担。加大优秀教师宣传表彰力度，营造尊师重教社会氛围。</w:t>
      </w:r>
    </w:p>
    <w:p w14:paraId="4FD0DC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强化</w:t>
      </w:r>
      <w:r>
        <w:rPr>
          <w:rFonts w:hint="eastAsia" w:ascii="Times New Roman" w:hAnsi="Times New Roman" w:eastAsia="仿宋_GB2312" w:cs="Times New Roman"/>
          <w:b/>
          <w:bCs/>
          <w:color w:val="auto"/>
          <w:sz w:val="32"/>
          <w:szCs w:val="32"/>
          <w:highlight w:val="none"/>
          <w:lang w:eastAsia="zh-CN"/>
        </w:rPr>
        <w:t>教育</w:t>
      </w:r>
      <w:r>
        <w:rPr>
          <w:rFonts w:hint="default" w:ascii="Times New Roman" w:hAnsi="Times New Roman" w:eastAsia="仿宋_GB2312" w:cs="Times New Roman"/>
          <w:b/>
          <w:bCs/>
          <w:color w:val="auto"/>
          <w:sz w:val="32"/>
          <w:szCs w:val="32"/>
          <w:highlight w:val="none"/>
          <w:lang w:eastAsia="zh-CN"/>
        </w:rPr>
        <w:t>数字化赋能</w:t>
      </w:r>
      <w:r>
        <w:rPr>
          <w:rFonts w:hint="eastAsia" w:ascii="Times New Roman" w:hAnsi="Times New Roman" w:eastAsia="仿宋_GB2312" w:cs="Times New Roman"/>
          <w:b/>
          <w:bCs/>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落实</w:t>
      </w:r>
      <w:r>
        <w:rPr>
          <w:rFonts w:hint="eastAsia" w:ascii="Times New Roman" w:hAnsi="Times New Roman" w:eastAsia="仿宋_GB2312" w:cs="Times New Roman"/>
          <w:color w:val="auto"/>
          <w:sz w:val="32"/>
          <w:szCs w:val="32"/>
          <w:highlight w:val="none"/>
          <w:lang w:val="en-US" w:eastAsia="zh-CN"/>
        </w:rPr>
        <w:t>国家</w:t>
      </w:r>
      <w:r>
        <w:rPr>
          <w:rFonts w:hint="eastAsia" w:ascii="Times New Roman" w:hAnsi="Times New Roman" w:eastAsia="仿宋_GB2312" w:cs="Times New Roman"/>
          <w:color w:val="auto"/>
          <w:sz w:val="32"/>
          <w:szCs w:val="32"/>
          <w:highlight w:val="none"/>
          <w:lang w:eastAsia="zh-CN"/>
        </w:rPr>
        <w:t>教育数字化战略，</w:t>
      </w:r>
      <w:r>
        <w:rPr>
          <w:rFonts w:hint="eastAsia" w:ascii="Times New Roman" w:hAnsi="Times New Roman" w:eastAsia="仿宋_GB2312" w:cs="Times New Roman"/>
          <w:color w:val="auto"/>
          <w:sz w:val="32"/>
          <w:szCs w:val="32"/>
          <w:highlight w:val="none"/>
          <w:lang w:val="en-US" w:eastAsia="zh-CN"/>
        </w:rPr>
        <w:t>推进智慧校园建设，</w:t>
      </w:r>
      <w:r>
        <w:rPr>
          <w:rFonts w:hint="eastAsia" w:ascii="Times New Roman" w:hAnsi="Times New Roman" w:eastAsia="仿宋_GB2312" w:cs="Times New Roman"/>
          <w:color w:val="auto"/>
          <w:sz w:val="32"/>
          <w:szCs w:val="32"/>
          <w:highlight w:val="none"/>
          <w:lang w:eastAsia="zh-CN"/>
        </w:rPr>
        <w:t>持续投入升级信息化教学设备，建设标准化机房、智慧教室和数字化实验室，夯实硬件基础。深化国家及广西智慧教育平台常态化应用，依托“桂教通”等平台拓展教学、管理、评价场景。</w:t>
      </w:r>
      <w:r>
        <w:rPr>
          <w:rFonts w:hint="eastAsia" w:ascii="Times New Roman" w:hAnsi="Times New Roman" w:eastAsia="仿宋_GB2312" w:cs="Times New Roman"/>
          <w:color w:val="auto"/>
          <w:sz w:val="32"/>
          <w:szCs w:val="32"/>
          <w:highlight w:val="none"/>
          <w:lang w:val="en-US" w:eastAsia="zh-CN"/>
        </w:rPr>
        <w:t>中小学阶段推广人工智能科普教育和编程课程，优化职业教育人工智能技术应用专业建设。探索打造县级人工智能教育大模型，开发适应本地教学需求的智能备课、个性化学习等数字工具。</w:t>
      </w:r>
    </w:p>
    <w:p w14:paraId="764A1602">
      <w:pPr>
        <w:pStyle w:val="27"/>
        <w:rPr>
          <w:rFonts w:hint="eastAsia"/>
          <w:color w:val="auto"/>
          <w:lang w:val="en-US" w:eastAsia="zh-CN"/>
        </w:rPr>
      </w:pPr>
    </w:p>
    <w:tbl>
      <w:tblPr>
        <w:tblStyle w:val="21"/>
        <w:tblpPr w:leftFromText="180" w:rightFromText="180" w:vertAnchor="text" w:horzAnchor="page" w:tblpX="1637" w:tblpY="126"/>
        <w:tblOverlap w:val="never"/>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148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834" w:type="dxa"/>
            <w:vAlign w:val="center"/>
          </w:tcPr>
          <w:p w14:paraId="3E3E86EB">
            <w:pPr>
              <w:pStyle w:val="53"/>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highlight w:val="none"/>
              </w:rPr>
            </w:pPr>
            <w:r>
              <w:rPr>
                <w:rFonts w:hint="eastAsia" w:ascii="方正小标宋简体" w:hAnsi="方正小标宋简体" w:eastAsia="方正小标宋简体" w:cs="方正小标宋简体"/>
                <w:color w:val="auto"/>
                <w:highlight w:val="none"/>
              </w:rPr>
              <w:t>专栏</w:t>
            </w:r>
            <w:r>
              <w:rPr>
                <w:rFonts w:hint="default" w:ascii="Times New Roman" w:hAnsi="Times New Roman" w:eastAsia="方正小标宋简体" w:cs="Times New Roman"/>
                <w:color w:val="auto"/>
                <w:highlight w:val="none"/>
                <w:lang w:val="en-US" w:eastAsia="zh-CN"/>
              </w:rPr>
              <w:t>11</w:t>
            </w:r>
            <w:r>
              <w:rPr>
                <w:rFonts w:hint="default" w:ascii="Times New Roman" w:hAnsi="Times New Roman" w:eastAsia="方正小标宋简体" w:cs="Times New Roman"/>
                <w:color w:val="auto"/>
                <w:highlight w:val="none"/>
              </w:rPr>
              <w:t>-</w:t>
            </w:r>
            <w:r>
              <w:rPr>
                <w:rFonts w:hint="default" w:ascii="Times New Roman" w:hAnsi="Times New Roman" w:eastAsia="方正小标宋简体" w:cs="Times New Roman"/>
                <w:color w:val="auto"/>
                <w:highlight w:val="none"/>
                <w:lang w:val="en-US" w:eastAsia="zh-CN"/>
              </w:rPr>
              <w:t>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教育领域实施</w:t>
            </w:r>
            <w:r>
              <w:rPr>
                <w:rFonts w:hint="default" w:ascii="Times New Roman" w:hAnsi="Times New Roman" w:cs="Times New Roman"/>
                <w:color w:val="auto"/>
                <w:highlight w:val="none"/>
              </w:rPr>
              <w:t>项目</w:t>
            </w:r>
          </w:p>
        </w:tc>
      </w:tr>
      <w:tr w14:paraId="4AA8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trPr>
        <w:tc>
          <w:tcPr>
            <w:tcW w:w="8834" w:type="dxa"/>
            <w:vAlign w:val="center"/>
          </w:tcPr>
          <w:p w14:paraId="58392EA0">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学前教育：</w:t>
            </w:r>
            <w:r>
              <w:rPr>
                <w:rFonts w:hint="default" w:ascii="Times New Roman" w:hAnsi="Times New Roman" w:cs="Times New Roman"/>
                <w:color w:val="auto"/>
                <w:sz w:val="28"/>
                <w:szCs w:val="28"/>
                <w:highlight w:val="none"/>
                <w:lang w:val="en-US" w:eastAsia="zh-CN"/>
              </w:rPr>
              <w:t>建设鹿寨县第四幼儿园、鹿寨县第五幼儿园、鹿寨县城东幼儿园</w:t>
            </w:r>
            <w:r>
              <w:rPr>
                <w:rFonts w:hint="eastAsia" w:cs="Times New Roman"/>
                <w:color w:val="auto"/>
                <w:sz w:val="28"/>
                <w:szCs w:val="28"/>
                <w:highlight w:val="none"/>
                <w:lang w:val="en-US" w:eastAsia="zh-CN"/>
              </w:rPr>
              <w:t>等项目</w:t>
            </w:r>
            <w:r>
              <w:rPr>
                <w:rFonts w:hint="default" w:ascii="Times New Roman" w:hAnsi="Times New Roman" w:cs="Times New Roman"/>
                <w:color w:val="auto"/>
                <w:sz w:val="28"/>
                <w:szCs w:val="28"/>
                <w:highlight w:val="none"/>
                <w:lang w:val="en-US" w:eastAsia="zh-CN"/>
              </w:rPr>
              <w:t>。</w:t>
            </w:r>
          </w:p>
          <w:p w14:paraId="63251DE1">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b/>
                <w:bCs/>
                <w:color w:val="auto"/>
                <w:sz w:val="28"/>
                <w:szCs w:val="28"/>
                <w:highlight w:val="none"/>
                <w:lang w:val="zh-TW" w:eastAsia="zh-CN"/>
              </w:rPr>
              <w:t>义务教育</w:t>
            </w:r>
            <w:r>
              <w:rPr>
                <w:rFonts w:hint="default" w:ascii="Times New Roman" w:hAnsi="Times New Roman" w:cs="Times New Roman"/>
                <w:b/>
                <w:bCs/>
                <w:color w:val="auto"/>
                <w:sz w:val="28"/>
                <w:szCs w:val="28"/>
                <w:highlight w:val="none"/>
                <w:lang w:val="en-US" w:eastAsia="zh-CN"/>
              </w:rPr>
              <w:t>：</w:t>
            </w:r>
            <w:r>
              <w:rPr>
                <w:rFonts w:hint="eastAsia" w:cs="Times New Roman"/>
                <w:b w:val="0"/>
                <w:bCs w:val="0"/>
                <w:color w:val="auto"/>
                <w:sz w:val="28"/>
                <w:szCs w:val="28"/>
                <w:highlight w:val="none"/>
                <w:lang w:val="en-US" w:eastAsia="zh-CN"/>
              </w:rPr>
              <w:t>推进鹿寨县</w:t>
            </w:r>
            <w:r>
              <w:rPr>
                <w:rFonts w:hint="default" w:ascii="Times New Roman" w:hAnsi="Times New Roman" w:cs="Times New Roman"/>
                <w:b w:val="0"/>
                <w:bCs w:val="0"/>
                <w:color w:val="auto"/>
                <w:sz w:val="28"/>
                <w:szCs w:val="28"/>
                <w:highlight w:val="none"/>
                <w:lang w:val="en-US" w:eastAsia="zh-CN"/>
              </w:rPr>
              <w:t>龙田小学</w:t>
            </w:r>
            <w:r>
              <w:rPr>
                <w:rFonts w:hint="eastAsia" w:cs="Times New Roman"/>
                <w:b w:val="0"/>
                <w:bCs w:val="0"/>
                <w:color w:val="auto"/>
                <w:sz w:val="28"/>
                <w:szCs w:val="28"/>
                <w:highlight w:val="none"/>
                <w:lang w:val="en-US" w:eastAsia="zh-CN"/>
              </w:rPr>
              <w:t>、</w:t>
            </w:r>
            <w:r>
              <w:rPr>
                <w:rFonts w:hint="default" w:ascii="Times New Roman" w:hAnsi="Times New Roman" w:cs="Times New Roman"/>
                <w:b w:val="0"/>
                <w:bCs w:val="0"/>
                <w:color w:val="auto"/>
                <w:sz w:val="28"/>
                <w:szCs w:val="28"/>
                <w:highlight w:val="none"/>
                <w:lang w:val="en-US" w:eastAsia="zh-CN"/>
              </w:rPr>
              <w:t>城东小学扩建</w:t>
            </w:r>
            <w:r>
              <w:rPr>
                <w:rFonts w:hint="eastAsia" w:cs="Times New Roman"/>
                <w:b w:val="0"/>
                <w:bCs w:val="0"/>
                <w:color w:val="auto"/>
                <w:sz w:val="28"/>
                <w:szCs w:val="28"/>
                <w:highlight w:val="none"/>
                <w:lang w:val="en-US" w:eastAsia="zh-CN"/>
              </w:rPr>
              <w:t>等项目。</w:t>
            </w:r>
          </w:p>
          <w:p w14:paraId="19639ED9">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cs="Times New Roman"/>
                <w:color w:val="auto"/>
                <w:sz w:val="28"/>
                <w:szCs w:val="28"/>
                <w:highlight w:val="none"/>
                <w:lang w:val="en-US" w:eastAsia="zh-CN"/>
              </w:rPr>
            </w:pPr>
            <w:r>
              <w:rPr>
                <w:rFonts w:hint="eastAsia" w:cs="Times New Roman"/>
                <w:b/>
                <w:bCs/>
                <w:color w:val="auto"/>
                <w:sz w:val="28"/>
                <w:szCs w:val="28"/>
                <w:highlight w:val="none"/>
                <w:lang w:val="en-US" w:eastAsia="zh-CN"/>
              </w:rPr>
              <w:t>普通</w:t>
            </w:r>
            <w:r>
              <w:rPr>
                <w:rFonts w:hint="eastAsia" w:ascii="Times New Roman" w:hAnsi="Times New Roman" w:cs="Times New Roman"/>
                <w:b/>
                <w:bCs/>
                <w:color w:val="auto"/>
                <w:sz w:val="28"/>
                <w:szCs w:val="28"/>
                <w:highlight w:val="none"/>
                <w:lang w:val="en-US" w:eastAsia="zh-CN"/>
              </w:rPr>
              <w:t>高中：</w:t>
            </w:r>
            <w:r>
              <w:rPr>
                <w:rFonts w:hint="eastAsia" w:cs="Times New Roman"/>
                <w:b w:val="0"/>
                <w:bCs w:val="0"/>
                <w:color w:val="auto"/>
                <w:sz w:val="28"/>
                <w:szCs w:val="28"/>
                <w:highlight w:val="none"/>
                <w:lang w:val="en-US" w:eastAsia="zh-CN"/>
              </w:rPr>
              <w:t>推进</w:t>
            </w:r>
            <w:r>
              <w:rPr>
                <w:rFonts w:hint="eastAsia" w:ascii="Times New Roman" w:hAnsi="Times New Roman" w:cs="Times New Roman"/>
                <w:b w:val="0"/>
                <w:bCs w:val="0"/>
                <w:color w:val="auto"/>
                <w:sz w:val="28"/>
                <w:szCs w:val="28"/>
                <w:highlight w:val="none"/>
                <w:lang w:val="en-US" w:eastAsia="zh-CN"/>
              </w:rPr>
              <w:t>鹿寨中学教学综合楼</w:t>
            </w:r>
            <w:r>
              <w:rPr>
                <w:rFonts w:hint="eastAsia" w:cs="Times New Roman"/>
                <w:b w:val="0"/>
                <w:bCs w:val="0"/>
                <w:color w:val="auto"/>
                <w:sz w:val="28"/>
                <w:szCs w:val="28"/>
                <w:highlight w:val="none"/>
                <w:lang w:val="en-US" w:eastAsia="zh-CN"/>
              </w:rPr>
              <w:t>及宿舍楼</w:t>
            </w:r>
            <w:r>
              <w:rPr>
                <w:rFonts w:hint="eastAsia" w:ascii="Times New Roman" w:hAnsi="Times New Roman" w:cs="Times New Roman"/>
                <w:b w:val="0"/>
                <w:bCs w:val="0"/>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实验高级中学教学楼</w:t>
            </w:r>
            <w:r>
              <w:rPr>
                <w:rFonts w:hint="eastAsia" w:cs="Times New Roman"/>
                <w:color w:val="auto"/>
                <w:sz w:val="28"/>
                <w:szCs w:val="28"/>
                <w:highlight w:val="none"/>
                <w:lang w:val="en-US" w:eastAsia="zh-CN"/>
              </w:rPr>
              <w:t>及</w:t>
            </w:r>
            <w:r>
              <w:rPr>
                <w:rFonts w:hint="default" w:ascii="Times New Roman" w:hAnsi="Times New Roman" w:cs="Times New Roman"/>
                <w:color w:val="auto"/>
                <w:sz w:val="28"/>
                <w:szCs w:val="28"/>
                <w:highlight w:val="none"/>
                <w:lang w:val="en-US" w:eastAsia="zh-CN"/>
              </w:rPr>
              <w:t>学生宿舍楼</w:t>
            </w:r>
            <w:r>
              <w:rPr>
                <w:rFonts w:hint="eastAsia" w:ascii="Times New Roman" w:hAnsi="Times New Roman" w:cs="Times New Roman"/>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鹿鸣中学教学楼</w:t>
            </w:r>
            <w:r>
              <w:rPr>
                <w:rFonts w:hint="eastAsia" w:cs="Times New Roman"/>
                <w:color w:val="auto"/>
                <w:sz w:val="28"/>
                <w:szCs w:val="28"/>
                <w:highlight w:val="none"/>
                <w:lang w:val="en-US" w:eastAsia="zh-CN"/>
              </w:rPr>
              <w:t>等</w:t>
            </w:r>
            <w:r>
              <w:rPr>
                <w:rFonts w:hint="default" w:ascii="Times New Roman" w:hAnsi="Times New Roman" w:cs="Times New Roman"/>
                <w:color w:val="auto"/>
                <w:sz w:val="28"/>
                <w:szCs w:val="28"/>
                <w:highlight w:val="none"/>
                <w:lang w:val="en-US" w:eastAsia="zh-CN"/>
              </w:rPr>
              <w:t>项目</w:t>
            </w:r>
            <w:r>
              <w:rPr>
                <w:rFonts w:hint="eastAsia" w:cs="Times New Roman"/>
                <w:color w:val="auto"/>
                <w:sz w:val="28"/>
                <w:szCs w:val="28"/>
                <w:highlight w:val="none"/>
                <w:lang w:val="en-US" w:eastAsia="zh-CN"/>
              </w:rPr>
              <w:t>。</w:t>
            </w:r>
          </w:p>
          <w:p w14:paraId="1A3EFA0D">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cs="Times New Roman"/>
                <w:color w:val="auto"/>
                <w:sz w:val="28"/>
                <w:szCs w:val="28"/>
                <w:highlight w:val="none"/>
                <w:lang w:val="en-US" w:eastAsia="zh-CN"/>
              </w:rPr>
            </w:pPr>
            <w:r>
              <w:rPr>
                <w:rFonts w:hint="eastAsia" w:cs="Times New Roman"/>
                <w:b/>
                <w:bCs/>
                <w:color w:val="auto"/>
                <w:kern w:val="2"/>
                <w:sz w:val="28"/>
                <w:szCs w:val="28"/>
                <w:highlight w:val="none"/>
                <w:lang w:val="en-US" w:eastAsia="zh-CN" w:bidi="ar-SA"/>
              </w:rPr>
              <w:t>专门</w:t>
            </w:r>
            <w:r>
              <w:rPr>
                <w:rFonts w:hint="default" w:ascii="Times New Roman" w:hAnsi="Times New Roman" w:eastAsia="仿宋_GB2312" w:cs="Times New Roman"/>
                <w:b/>
                <w:bCs/>
                <w:color w:val="auto"/>
                <w:kern w:val="2"/>
                <w:sz w:val="28"/>
                <w:szCs w:val="28"/>
                <w:highlight w:val="none"/>
                <w:lang w:val="zh-TW" w:eastAsia="zh-CN" w:bidi="ar-SA"/>
              </w:rPr>
              <w:t>教育</w:t>
            </w:r>
            <w:r>
              <w:rPr>
                <w:rFonts w:hint="eastAsia" w:cs="Times New Roman"/>
                <w:b/>
                <w:bCs/>
                <w:color w:val="auto"/>
                <w:kern w:val="2"/>
                <w:sz w:val="28"/>
                <w:szCs w:val="28"/>
                <w:highlight w:val="none"/>
                <w:lang w:val="zh-TW" w:eastAsia="zh-CN" w:bidi="ar-SA"/>
              </w:rPr>
              <w:t>：</w:t>
            </w:r>
            <w:r>
              <w:rPr>
                <w:rFonts w:hint="eastAsia" w:cs="Times New Roman"/>
                <w:b w:val="0"/>
                <w:bCs w:val="0"/>
                <w:color w:val="auto"/>
                <w:kern w:val="2"/>
                <w:sz w:val="28"/>
                <w:szCs w:val="28"/>
                <w:highlight w:val="none"/>
                <w:lang w:val="zh-TW" w:eastAsia="zh-CN" w:bidi="ar-SA"/>
              </w:rPr>
              <w:t>谋划</w:t>
            </w:r>
            <w:r>
              <w:rPr>
                <w:rFonts w:hint="eastAsia" w:cs="Times New Roman"/>
                <w:b w:val="0"/>
                <w:bCs w:val="0"/>
                <w:color w:val="auto"/>
                <w:kern w:val="2"/>
                <w:sz w:val="28"/>
                <w:szCs w:val="28"/>
                <w:highlight w:val="none"/>
                <w:lang w:val="en-US" w:eastAsia="zh-CN" w:bidi="ar-SA"/>
              </w:rPr>
              <w:t>建设立德学校综合楼。</w:t>
            </w:r>
          </w:p>
          <w:p w14:paraId="185EC9D8">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cs="Times New Roman"/>
                <w:b/>
                <w:bCs/>
                <w:color w:val="auto"/>
                <w:kern w:val="2"/>
                <w:sz w:val="28"/>
                <w:szCs w:val="28"/>
                <w:highlight w:val="none"/>
                <w:lang w:val="zh-TW" w:eastAsia="zh-CN" w:bidi="ar-SA"/>
              </w:rPr>
              <w:t>产教融合</w:t>
            </w:r>
            <w:r>
              <w:rPr>
                <w:rFonts w:hint="default" w:ascii="Times New Roman" w:hAnsi="Times New Roman" w:eastAsia="仿宋_GB2312" w:cs="Times New Roman"/>
                <w:b/>
                <w:bCs/>
                <w:color w:val="auto"/>
                <w:kern w:val="2"/>
                <w:sz w:val="28"/>
                <w:szCs w:val="28"/>
                <w:highlight w:val="none"/>
                <w:lang w:val="en-US" w:eastAsia="zh-CN" w:bidi="ar-SA"/>
              </w:rPr>
              <w:t>：</w:t>
            </w:r>
            <w:r>
              <w:rPr>
                <w:rFonts w:hint="eastAsia" w:cs="Times New Roman"/>
                <w:b w:val="0"/>
                <w:bCs w:val="0"/>
                <w:color w:val="auto"/>
                <w:kern w:val="2"/>
                <w:sz w:val="28"/>
                <w:szCs w:val="28"/>
                <w:highlight w:val="none"/>
                <w:lang w:val="en-US" w:eastAsia="zh-CN" w:bidi="ar-SA"/>
              </w:rPr>
              <w:t>推进具身智能机器人实训中心、综合高中等项目。</w:t>
            </w:r>
          </w:p>
        </w:tc>
      </w:tr>
    </w:tbl>
    <w:p w14:paraId="78CC6AC0">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Times New Roman" w:hAnsi="Times New Roman" w:eastAsia="黑体" w:cs="Times New Roman"/>
          <w:b w:val="0"/>
          <w:bCs w:val="0"/>
          <w:color w:val="auto"/>
          <w:kern w:val="2"/>
          <w:sz w:val="36"/>
          <w:szCs w:val="36"/>
          <w:highlight w:val="none"/>
          <w:lang w:val="zh-TW" w:eastAsia="zh-CN" w:bidi="ar-SA"/>
        </w:rPr>
      </w:pPr>
      <w:bookmarkStart w:id="266" w:name="_Toc11205"/>
      <w:bookmarkStart w:id="267" w:name="_Toc30485"/>
      <w:bookmarkStart w:id="268" w:name="_Toc13667"/>
      <w:bookmarkStart w:id="269" w:name="_Toc29666"/>
      <w:r>
        <w:rPr>
          <w:rFonts w:hint="default" w:ascii="Times New Roman" w:hAnsi="Times New Roman" w:eastAsia="黑体" w:cs="Times New Roman"/>
          <w:b w:val="0"/>
          <w:bCs w:val="0"/>
          <w:color w:val="auto"/>
          <w:kern w:val="2"/>
          <w:sz w:val="36"/>
          <w:szCs w:val="36"/>
          <w:highlight w:val="none"/>
          <w:lang w:val="en-US" w:eastAsia="zh-CN" w:bidi="ar-SA"/>
        </w:rPr>
        <w:t xml:space="preserve">第二节  </w:t>
      </w:r>
      <w:r>
        <w:rPr>
          <w:rFonts w:hint="default" w:ascii="Times New Roman" w:hAnsi="Times New Roman" w:eastAsia="黑体" w:cs="Times New Roman"/>
          <w:b w:val="0"/>
          <w:bCs w:val="0"/>
          <w:color w:val="auto"/>
          <w:kern w:val="2"/>
          <w:sz w:val="36"/>
          <w:szCs w:val="36"/>
          <w:highlight w:val="none"/>
          <w:lang w:val="zh-TW" w:eastAsia="zh-CN" w:bidi="ar-SA"/>
        </w:rPr>
        <w:t>完善全方位全周期健康服务体系</w:t>
      </w:r>
      <w:bookmarkEnd w:id="266"/>
      <w:bookmarkEnd w:id="267"/>
      <w:bookmarkEnd w:id="268"/>
      <w:bookmarkEnd w:id="269"/>
    </w:p>
    <w:p w14:paraId="2A177068">
      <w:pPr>
        <w:pStyle w:val="1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eastAsia="zh-CN"/>
        </w:rPr>
        <w:t>以提升全民健康水平为核心目标，系统谋划、统筹推进体系建设、能力提升、服务优化与治理创新，</w:t>
      </w:r>
      <w:r>
        <w:rPr>
          <w:rFonts w:hint="eastAsia" w:ascii="Times New Roman" w:hAnsi="Times New Roman" w:eastAsia="仿宋_GB2312" w:cs="Times New Roman"/>
          <w:b w:val="0"/>
          <w:bCs w:val="0"/>
          <w:color w:val="auto"/>
          <w:sz w:val="32"/>
          <w:szCs w:val="32"/>
          <w:highlight w:val="none"/>
          <w:lang w:eastAsia="zh-CN"/>
        </w:rPr>
        <w:t>加快</w:t>
      </w:r>
      <w:r>
        <w:rPr>
          <w:rFonts w:hint="default" w:ascii="Times New Roman" w:hAnsi="Times New Roman" w:eastAsia="仿宋_GB2312" w:cs="Times New Roman"/>
          <w:b w:val="0"/>
          <w:bCs w:val="0"/>
          <w:color w:val="auto"/>
          <w:sz w:val="32"/>
          <w:szCs w:val="32"/>
          <w:highlight w:val="none"/>
          <w:lang w:eastAsia="zh-CN"/>
        </w:rPr>
        <w:t>构建优质高效的整合型卫生健康服务体系，为县域经济高质量发展筑牢健康根基。</w:t>
      </w:r>
    </w:p>
    <w:p w14:paraId="55D3381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构建优质高效的整合型医疗卫生服务体系。</w:t>
      </w:r>
      <w:r>
        <w:rPr>
          <w:rFonts w:hint="default" w:ascii="Times New Roman" w:hAnsi="Times New Roman" w:eastAsia="仿宋_GB2312" w:cs="Times New Roman"/>
          <w:b w:val="0"/>
          <w:bCs w:val="0"/>
          <w:color w:val="auto"/>
          <w:sz w:val="32"/>
          <w:szCs w:val="32"/>
          <w:highlight w:val="none"/>
          <w:lang w:eastAsia="zh-CN"/>
        </w:rPr>
        <w:t>持续深化县域医药卫生体制改革</w:t>
      </w:r>
      <w:r>
        <w:rPr>
          <w:rFonts w:hint="eastAsia" w:ascii="Times New Roman" w:hAnsi="Times New Roman" w:eastAsia="仿宋_GB2312" w:cs="Times New Roman"/>
          <w:b w:val="0"/>
          <w:bCs w:val="0"/>
          <w:color w:val="auto"/>
          <w:sz w:val="32"/>
          <w:szCs w:val="32"/>
          <w:highlight w:val="none"/>
          <w:lang w:eastAsia="zh-CN"/>
        </w:rPr>
        <w:t>，坚持以公益性为导向，推进公立医院编制、薪酬、服务价格和综合监管改革，健全医疗、医保、医药协同发展与治理机制。深化</w:t>
      </w:r>
      <w:r>
        <w:rPr>
          <w:rFonts w:hint="default" w:ascii="Times New Roman" w:hAnsi="Times New Roman" w:eastAsia="仿宋_GB2312" w:cs="Times New Roman"/>
          <w:b w:val="0"/>
          <w:bCs w:val="0"/>
          <w:color w:val="auto"/>
          <w:sz w:val="32"/>
          <w:szCs w:val="32"/>
          <w:highlight w:val="none"/>
          <w:lang w:eastAsia="zh-CN"/>
        </w:rPr>
        <w:t>紧密型县域医共体建设，</w:t>
      </w:r>
      <w:r>
        <w:rPr>
          <w:rFonts w:hint="eastAsia" w:ascii="Times New Roman" w:hAnsi="Times New Roman" w:eastAsia="仿宋_GB2312" w:cs="Times New Roman"/>
          <w:b w:val="0"/>
          <w:bCs w:val="0"/>
          <w:color w:val="auto"/>
          <w:sz w:val="32"/>
          <w:szCs w:val="32"/>
          <w:highlight w:val="none"/>
          <w:lang w:eastAsia="zh-CN"/>
        </w:rPr>
        <w:t>强</w:t>
      </w:r>
      <w:r>
        <w:rPr>
          <w:rFonts w:hint="default" w:ascii="Times New Roman" w:hAnsi="Times New Roman" w:eastAsia="仿宋_GB2312" w:cs="Times New Roman"/>
          <w:b w:val="0"/>
          <w:bCs w:val="0"/>
          <w:color w:val="auto"/>
          <w:sz w:val="32"/>
          <w:szCs w:val="32"/>
          <w:highlight w:val="none"/>
          <w:lang w:eastAsia="zh-CN"/>
        </w:rPr>
        <w:t>化</w:t>
      </w:r>
      <w:r>
        <w:rPr>
          <w:rFonts w:hint="eastAsia" w:ascii="Times New Roman" w:hAnsi="Times New Roman" w:eastAsia="仿宋_GB2312" w:cs="Times New Roman"/>
          <w:b w:val="0"/>
          <w:bCs w:val="0"/>
          <w:color w:val="auto"/>
          <w:sz w:val="32"/>
          <w:szCs w:val="32"/>
          <w:highlight w:val="none"/>
          <w:lang w:eastAsia="zh-CN"/>
        </w:rPr>
        <w:t>与</w:t>
      </w:r>
      <w:r>
        <w:rPr>
          <w:rFonts w:hint="default" w:ascii="Times New Roman" w:hAnsi="Times New Roman" w:eastAsia="仿宋_GB2312" w:cs="Times New Roman"/>
          <w:b w:val="0"/>
          <w:bCs w:val="0"/>
          <w:color w:val="auto"/>
          <w:sz w:val="32"/>
          <w:szCs w:val="32"/>
          <w:highlight w:val="none"/>
          <w:lang w:eastAsia="zh-CN"/>
        </w:rPr>
        <w:t>市</w:t>
      </w:r>
      <w:r>
        <w:rPr>
          <w:rFonts w:hint="eastAsia" w:ascii="Times New Roman" w:hAnsi="Times New Roman" w:eastAsia="仿宋_GB2312" w:cs="Times New Roman"/>
          <w:b w:val="0"/>
          <w:bCs w:val="0"/>
          <w:color w:val="auto"/>
          <w:sz w:val="32"/>
          <w:szCs w:val="32"/>
          <w:highlight w:val="none"/>
          <w:lang w:eastAsia="zh-CN"/>
        </w:rPr>
        <w:t>级医</w:t>
      </w:r>
      <w:r>
        <w:rPr>
          <w:rFonts w:hint="default" w:ascii="Times New Roman" w:hAnsi="Times New Roman" w:eastAsia="仿宋_GB2312" w:cs="Times New Roman"/>
          <w:b w:val="0"/>
          <w:bCs w:val="0"/>
          <w:color w:val="auto"/>
          <w:sz w:val="32"/>
          <w:szCs w:val="32"/>
          <w:highlight w:val="none"/>
          <w:lang w:eastAsia="zh-CN"/>
        </w:rPr>
        <w:t>联体</w:t>
      </w:r>
      <w:r>
        <w:rPr>
          <w:rFonts w:hint="eastAsia" w:ascii="Times New Roman" w:hAnsi="Times New Roman" w:eastAsia="仿宋_GB2312" w:cs="Times New Roman"/>
          <w:b w:val="0"/>
          <w:bCs w:val="0"/>
          <w:color w:val="auto"/>
          <w:sz w:val="32"/>
          <w:szCs w:val="32"/>
          <w:highlight w:val="none"/>
          <w:lang w:eastAsia="zh-CN"/>
        </w:rPr>
        <w:t>协</w:t>
      </w:r>
      <w:r>
        <w:rPr>
          <w:rFonts w:hint="default" w:ascii="Times New Roman" w:hAnsi="Times New Roman" w:eastAsia="仿宋_GB2312" w:cs="Times New Roman"/>
          <w:b w:val="0"/>
          <w:bCs w:val="0"/>
          <w:color w:val="auto"/>
          <w:sz w:val="32"/>
          <w:szCs w:val="32"/>
          <w:highlight w:val="none"/>
          <w:lang w:eastAsia="zh-CN"/>
        </w:rPr>
        <w:t>作，</w:t>
      </w:r>
      <w:r>
        <w:rPr>
          <w:rFonts w:hint="eastAsia" w:ascii="Times New Roman" w:hAnsi="Times New Roman" w:eastAsia="仿宋_GB2312" w:cs="Times New Roman"/>
          <w:b w:val="0"/>
          <w:bCs w:val="0"/>
          <w:color w:val="auto"/>
          <w:sz w:val="32"/>
          <w:szCs w:val="32"/>
          <w:highlight w:val="none"/>
          <w:lang w:eastAsia="zh-CN"/>
        </w:rPr>
        <w:t>加强</w:t>
      </w:r>
      <w:r>
        <w:rPr>
          <w:rFonts w:hint="default" w:ascii="Times New Roman" w:hAnsi="Times New Roman" w:eastAsia="仿宋_GB2312" w:cs="Times New Roman"/>
          <w:b w:val="0"/>
          <w:bCs w:val="0"/>
          <w:color w:val="auto"/>
          <w:sz w:val="32"/>
          <w:szCs w:val="32"/>
          <w:highlight w:val="none"/>
          <w:lang w:eastAsia="zh-CN"/>
        </w:rPr>
        <w:t>临床服务</w:t>
      </w:r>
      <w:r>
        <w:rPr>
          <w:rFonts w:hint="eastAsia" w:ascii="Times New Roman" w:hAnsi="Times New Roman" w:eastAsia="仿宋_GB2312" w:cs="Times New Roman"/>
          <w:b w:val="0"/>
          <w:bCs w:val="0"/>
          <w:color w:val="auto"/>
          <w:sz w:val="32"/>
          <w:szCs w:val="32"/>
          <w:highlight w:val="none"/>
          <w:lang w:eastAsia="zh-CN"/>
        </w:rPr>
        <w:t>和</w:t>
      </w:r>
      <w:r>
        <w:rPr>
          <w:rFonts w:hint="default" w:ascii="Times New Roman" w:hAnsi="Times New Roman" w:eastAsia="仿宋_GB2312" w:cs="Times New Roman"/>
          <w:b w:val="0"/>
          <w:bCs w:val="0"/>
          <w:color w:val="auto"/>
          <w:sz w:val="32"/>
          <w:szCs w:val="32"/>
          <w:highlight w:val="none"/>
          <w:lang w:eastAsia="zh-CN"/>
        </w:rPr>
        <w:t>急诊急</w:t>
      </w:r>
      <w:r>
        <w:rPr>
          <w:rFonts w:hint="eastAsia" w:ascii="仿宋_GB2312" w:hAnsi="仿宋_GB2312" w:eastAsia="仿宋_GB2312" w:cs="仿宋_GB2312"/>
          <w:b w:val="0"/>
          <w:bCs w:val="0"/>
          <w:color w:val="auto"/>
          <w:sz w:val="32"/>
          <w:szCs w:val="32"/>
          <w:highlight w:val="none"/>
          <w:lang w:eastAsia="zh-CN"/>
        </w:rPr>
        <w:t>救“五大中心”建</w:t>
      </w:r>
      <w:r>
        <w:rPr>
          <w:rFonts w:hint="default" w:ascii="Times New Roman" w:hAnsi="Times New Roman" w:eastAsia="仿宋_GB2312" w:cs="Times New Roman"/>
          <w:b w:val="0"/>
          <w:bCs w:val="0"/>
          <w:color w:val="auto"/>
          <w:sz w:val="32"/>
          <w:szCs w:val="32"/>
          <w:highlight w:val="none"/>
          <w:lang w:eastAsia="zh-CN"/>
        </w:rPr>
        <w:t>设</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完</w:t>
      </w:r>
      <w:r>
        <w:rPr>
          <w:rFonts w:hint="eastAsia" w:ascii="仿宋_GB2312" w:hAnsi="仿宋_GB2312" w:eastAsia="仿宋_GB2312" w:cs="仿宋_GB2312"/>
          <w:b w:val="0"/>
          <w:bCs w:val="0"/>
          <w:color w:val="auto"/>
          <w:sz w:val="32"/>
          <w:szCs w:val="32"/>
          <w:highlight w:val="none"/>
          <w:lang w:eastAsia="zh-CN"/>
        </w:rPr>
        <w:t>善“县管乡用”</w:t>
      </w:r>
      <w:r>
        <w:rPr>
          <w:rFonts w:hint="default" w:ascii="Times New Roman" w:hAnsi="Times New Roman" w:eastAsia="仿宋_GB2312" w:cs="Times New Roman"/>
          <w:b w:val="0"/>
          <w:bCs w:val="0"/>
          <w:color w:val="auto"/>
          <w:sz w:val="32"/>
          <w:szCs w:val="32"/>
          <w:highlight w:val="none"/>
          <w:lang w:eastAsia="zh-CN"/>
        </w:rPr>
        <w:t>人才流动</w:t>
      </w:r>
      <w:r>
        <w:rPr>
          <w:rFonts w:hint="eastAsia" w:ascii="Times New Roman" w:hAnsi="Times New Roman" w:eastAsia="仿宋_GB2312" w:cs="Times New Roman"/>
          <w:b w:val="0"/>
          <w:bCs w:val="0"/>
          <w:color w:val="auto"/>
          <w:sz w:val="32"/>
          <w:szCs w:val="32"/>
          <w:highlight w:val="none"/>
          <w:lang w:eastAsia="zh-CN"/>
        </w:rPr>
        <w:t>与派驻</w:t>
      </w:r>
      <w:r>
        <w:rPr>
          <w:rFonts w:hint="default" w:ascii="Times New Roman" w:hAnsi="Times New Roman" w:eastAsia="仿宋_GB2312" w:cs="Times New Roman"/>
          <w:b w:val="0"/>
          <w:bCs w:val="0"/>
          <w:color w:val="auto"/>
          <w:sz w:val="32"/>
          <w:szCs w:val="32"/>
          <w:highlight w:val="none"/>
          <w:lang w:eastAsia="zh-CN"/>
        </w:rPr>
        <w:t>机制，推动县级</w:t>
      </w:r>
      <w:r>
        <w:rPr>
          <w:rFonts w:hint="eastAsia" w:ascii="Times New Roman" w:hAnsi="Times New Roman" w:eastAsia="仿宋_GB2312" w:cs="Times New Roman"/>
          <w:b w:val="0"/>
          <w:bCs w:val="0"/>
          <w:color w:val="auto"/>
          <w:sz w:val="32"/>
          <w:szCs w:val="32"/>
          <w:highlight w:val="none"/>
          <w:lang w:eastAsia="zh-CN"/>
        </w:rPr>
        <w:t>技术</w:t>
      </w:r>
      <w:r>
        <w:rPr>
          <w:rFonts w:hint="default" w:ascii="Times New Roman" w:hAnsi="Times New Roman" w:eastAsia="仿宋_GB2312" w:cs="Times New Roman"/>
          <w:b w:val="0"/>
          <w:bCs w:val="0"/>
          <w:color w:val="auto"/>
          <w:sz w:val="32"/>
          <w:szCs w:val="32"/>
          <w:highlight w:val="none"/>
          <w:lang w:eastAsia="zh-CN"/>
        </w:rPr>
        <w:t>骨干</w:t>
      </w:r>
      <w:r>
        <w:rPr>
          <w:rFonts w:hint="eastAsia" w:ascii="Times New Roman" w:hAnsi="Times New Roman" w:eastAsia="仿宋_GB2312" w:cs="Times New Roman"/>
          <w:b w:val="0"/>
          <w:bCs w:val="0"/>
          <w:color w:val="auto"/>
          <w:sz w:val="32"/>
          <w:szCs w:val="32"/>
          <w:highlight w:val="none"/>
          <w:lang w:eastAsia="zh-CN"/>
        </w:rPr>
        <w:t>常态化下沉</w:t>
      </w:r>
      <w:r>
        <w:rPr>
          <w:rFonts w:hint="default" w:ascii="Times New Roman" w:hAnsi="Times New Roman" w:eastAsia="仿宋_GB2312" w:cs="Times New Roman"/>
          <w:b w:val="0"/>
          <w:bCs w:val="0"/>
          <w:color w:val="auto"/>
          <w:sz w:val="32"/>
          <w:szCs w:val="32"/>
          <w:highlight w:val="none"/>
          <w:lang w:eastAsia="zh-CN"/>
        </w:rPr>
        <w:t>乡镇卫生院，带动基层专科</w:t>
      </w:r>
      <w:r>
        <w:rPr>
          <w:rFonts w:hint="eastAsia" w:ascii="Times New Roman" w:hAnsi="Times New Roman" w:eastAsia="仿宋_GB2312" w:cs="Times New Roman"/>
          <w:b w:val="0"/>
          <w:bCs w:val="0"/>
          <w:color w:val="auto"/>
          <w:sz w:val="32"/>
          <w:szCs w:val="32"/>
          <w:highlight w:val="none"/>
          <w:lang w:eastAsia="zh-CN"/>
        </w:rPr>
        <w:t>能力提升</w:t>
      </w:r>
      <w:r>
        <w:rPr>
          <w:rFonts w:hint="default" w:ascii="Times New Roman" w:hAnsi="Times New Roman" w:eastAsia="仿宋_GB2312" w:cs="Times New Roman"/>
          <w:b w:val="0"/>
          <w:bCs w:val="0"/>
          <w:color w:val="auto"/>
          <w:sz w:val="32"/>
          <w:szCs w:val="32"/>
          <w:highlight w:val="none"/>
          <w:lang w:eastAsia="zh-CN"/>
        </w:rPr>
        <w:t>。健全分级诊疗制度，</w:t>
      </w:r>
      <w:r>
        <w:rPr>
          <w:rFonts w:hint="eastAsia" w:ascii="Times New Roman" w:hAnsi="Times New Roman" w:eastAsia="仿宋_GB2312" w:cs="Times New Roman"/>
          <w:b w:val="0"/>
          <w:bCs w:val="0"/>
          <w:color w:val="auto"/>
          <w:sz w:val="32"/>
          <w:szCs w:val="32"/>
          <w:highlight w:val="none"/>
          <w:lang w:eastAsia="zh-CN"/>
        </w:rPr>
        <w:t>明确</w:t>
      </w:r>
      <w:r>
        <w:rPr>
          <w:rFonts w:hint="default" w:ascii="Times New Roman" w:hAnsi="Times New Roman" w:eastAsia="仿宋_GB2312" w:cs="Times New Roman"/>
          <w:b w:val="0"/>
          <w:bCs w:val="0"/>
          <w:color w:val="auto"/>
          <w:sz w:val="32"/>
          <w:szCs w:val="32"/>
          <w:highlight w:val="none"/>
          <w:lang w:eastAsia="zh-CN"/>
        </w:rPr>
        <w:t>县、乡、村三级医疗机构功能定位，编制县乡疾病诊疗目录，建立与服务量、转诊</w:t>
      </w:r>
      <w:r>
        <w:rPr>
          <w:rFonts w:hint="eastAsia" w:ascii="Times New Roman" w:hAnsi="Times New Roman" w:eastAsia="仿宋_GB2312" w:cs="Times New Roman"/>
          <w:b w:val="0"/>
          <w:bCs w:val="0"/>
          <w:color w:val="auto"/>
          <w:sz w:val="32"/>
          <w:szCs w:val="32"/>
          <w:highlight w:val="none"/>
          <w:lang w:eastAsia="zh-CN"/>
        </w:rPr>
        <w:t>绩效</w:t>
      </w:r>
      <w:r>
        <w:rPr>
          <w:rFonts w:hint="default" w:ascii="Times New Roman" w:hAnsi="Times New Roman" w:eastAsia="仿宋_GB2312" w:cs="Times New Roman"/>
          <w:b w:val="0"/>
          <w:bCs w:val="0"/>
          <w:color w:val="auto"/>
          <w:sz w:val="32"/>
          <w:szCs w:val="32"/>
          <w:highlight w:val="none"/>
          <w:lang w:eastAsia="zh-CN"/>
        </w:rPr>
        <w:t>挂钩的</w:t>
      </w:r>
      <w:r>
        <w:rPr>
          <w:rFonts w:hint="eastAsia" w:ascii="Times New Roman" w:hAnsi="Times New Roman" w:eastAsia="仿宋_GB2312" w:cs="Times New Roman"/>
          <w:b w:val="0"/>
          <w:bCs w:val="0"/>
          <w:color w:val="auto"/>
          <w:sz w:val="32"/>
          <w:szCs w:val="32"/>
          <w:highlight w:val="none"/>
          <w:lang w:eastAsia="zh-CN"/>
        </w:rPr>
        <w:t>激励</w:t>
      </w:r>
      <w:r>
        <w:rPr>
          <w:rFonts w:hint="default" w:ascii="Times New Roman" w:hAnsi="Times New Roman" w:eastAsia="仿宋_GB2312" w:cs="Times New Roman"/>
          <w:b w:val="0"/>
          <w:bCs w:val="0"/>
          <w:color w:val="auto"/>
          <w:sz w:val="32"/>
          <w:szCs w:val="32"/>
          <w:highlight w:val="none"/>
          <w:lang w:eastAsia="zh-CN"/>
        </w:rPr>
        <w:t>分配机制，</w:t>
      </w:r>
      <w:r>
        <w:rPr>
          <w:rFonts w:hint="eastAsia" w:ascii="Times New Roman" w:hAnsi="Times New Roman" w:eastAsia="仿宋_GB2312" w:cs="Times New Roman"/>
          <w:b w:val="0"/>
          <w:bCs w:val="0"/>
          <w:color w:val="auto"/>
          <w:sz w:val="32"/>
          <w:szCs w:val="32"/>
          <w:highlight w:val="none"/>
          <w:lang w:eastAsia="zh-CN"/>
        </w:rPr>
        <w:t>推行</w:t>
      </w:r>
      <w:r>
        <w:rPr>
          <w:rFonts w:hint="default" w:ascii="Times New Roman" w:hAnsi="Times New Roman" w:eastAsia="仿宋_GB2312" w:cs="Times New Roman"/>
          <w:b w:val="0"/>
          <w:bCs w:val="0"/>
          <w:color w:val="auto"/>
          <w:sz w:val="32"/>
          <w:szCs w:val="32"/>
          <w:highlight w:val="none"/>
          <w:lang w:eastAsia="zh-CN"/>
        </w:rPr>
        <w:t>以</w:t>
      </w:r>
      <w:r>
        <w:rPr>
          <w:rFonts w:hint="default" w:ascii="Times New Roman" w:hAnsi="Times New Roman" w:eastAsia="仿宋_GB2312" w:cs="Times New Roman"/>
          <w:b w:val="0"/>
          <w:bCs w:val="0"/>
          <w:color w:val="auto"/>
          <w:kern w:val="2"/>
          <w:sz w:val="32"/>
          <w:szCs w:val="32"/>
          <w:highlight w:val="none"/>
          <w:lang w:val="en-US" w:eastAsia="zh-CN" w:bidi="ar-SA"/>
        </w:rPr>
        <w:t>DRG</w:t>
      </w:r>
      <w:r>
        <w:rPr>
          <w:rStyle w:val="25"/>
          <w:rFonts w:hint="eastAsia" w:ascii="仿宋_GB2312" w:hAnsi="仿宋_GB2312" w:eastAsia="仿宋_GB2312" w:cs="仿宋_GB2312"/>
          <w:b w:val="0"/>
          <w:bCs w:val="0"/>
          <w:color w:val="auto"/>
          <w:kern w:val="2"/>
          <w:sz w:val="32"/>
          <w:szCs w:val="32"/>
          <w:highlight w:val="none"/>
          <w:lang w:val="en-US" w:eastAsia="zh-CN" w:bidi="ar-SA"/>
        </w:rPr>
        <w:t>[</w:t>
      </w:r>
      <w:r>
        <w:rPr>
          <w:rStyle w:val="25"/>
          <w:rFonts w:hint="eastAsia" w:ascii="仿宋_GB2312" w:hAnsi="仿宋_GB2312" w:eastAsia="仿宋_GB2312" w:cs="仿宋_GB2312"/>
          <w:b w:val="0"/>
          <w:bCs w:val="0"/>
          <w:color w:val="auto"/>
          <w:kern w:val="2"/>
          <w:sz w:val="32"/>
          <w:szCs w:val="32"/>
          <w:highlight w:val="none"/>
          <w:lang w:val="en-US" w:eastAsia="zh-CN" w:bidi="ar-SA"/>
        </w:rPr>
        <w:endnoteReference w:id="23"/>
      </w:r>
      <w:r>
        <w:rPr>
          <w:rStyle w:val="25"/>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付费</w:t>
      </w:r>
      <w:r>
        <w:rPr>
          <w:rFonts w:hint="default" w:ascii="Times New Roman" w:hAnsi="Times New Roman" w:eastAsia="仿宋_GB2312" w:cs="Times New Roman"/>
          <w:b w:val="0"/>
          <w:bCs w:val="0"/>
          <w:color w:val="auto"/>
          <w:sz w:val="32"/>
          <w:szCs w:val="32"/>
          <w:highlight w:val="none"/>
          <w:lang w:eastAsia="zh-CN"/>
        </w:rPr>
        <w:t>为主的医保支付方式改革，引导患者有序就医。强化信息化支撑，推动县域医共体信息平台、公共卫生平台与</w:t>
      </w:r>
      <w:r>
        <w:rPr>
          <w:rFonts w:hint="eastAsia" w:ascii="Times New Roman" w:hAnsi="Times New Roman" w:eastAsia="仿宋_GB2312" w:cs="Times New Roman"/>
          <w:b w:val="0"/>
          <w:bCs w:val="0"/>
          <w:color w:val="auto"/>
          <w:sz w:val="32"/>
          <w:szCs w:val="32"/>
          <w:highlight w:val="none"/>
          <w:lang w:eastAsia="zh-CN"/>
        </w:rPr>
        <w:t>医院</w:t>
      </w:r>
      <w:r>
        <w:rPr>
          <w:rFonts w:hint="default" w:ascii="Times New Roman" w:hAnsi="Times New Roman" w:eastAsia="仿宋_GB2312" w:cs="Times New Roman"/>
          <w:b w:val="0"/>
          <w:bCs w:val="0"/>
          <w:color w:val="auto"/>
          <w:sz w:val="32"/>
          <w:szCs w:val="32"/>
          <w:highlight w:val="none"/>
          <w:lang w:eastAsia="zh-CN"/>
        </w:rPr>
        <w:t>HIS</w:t>
      </w:r>
      <w:r>
        <w:rPr>
          <w:rStyle w:val="25"/>
          <w:rFonts w:hint="default" w:ascii="Times New Roman" w:hAnsi="Times New Roman" w:eastAsia="仿宋_GB2312" w:cs="Times New Roman"/>
          <w:b w:val="0"/>
          <w:bCs w:val="0"/>
          <w:color w:val="auto"/>
          <w:sz w:val="32"/>
          <w:szCs w:val="32"/>
          <w:highlight w:val="none"/>
          <w:lang w:eastAsia="zh-CN"/>
        </w:rPr>
        <w:t>[</w:t>
      </w:r>
      <w:r>
        <w:rPr>
          <w:rStyle w:val="25"/>
          <w:rFonts w:hint="default" w:ascii="Times New Roman" w:hAnsi="Times New Roman" w:eastAsia="仿宋_GB2312" w:cs="Times New Roman"/>
          <w:b w:val="0"/>
          <w:bCs w:val="0"/>
          <w:color w:val="auto"/>
          <w:sz w:val="32"/>
          <w:szCs w:val="32"/>
          <w:highlight w:val="none"/>
          <w:lang w:eastAsia="zh-CN"/>
        </w:rPr>
        <w:endnoteReference w:id="24"/>
      </w:r>
      <w:r>
        <w:rPr>
          <w:rStyle w:val="25"/>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系统互联互通，</w:t>
      </w:r>
      <w:r>
        <w:rPr>
          <w:rFonts w:hint="eastAsia" w:ascii="Times New Roman" w:hAnsi="Times New Roman" w:eastAsia="仿宋_GB2312" w:cs="Times New Roman"/>
          <w:b w:val="0"/>
          <w:bCs w:val="0"/>
          <w:color w:val="auto"/>
          <w:sz w:val="32"/>
          <w:szCs w:val="32"/>
          <w:highlight w:val="none"/>
          <w:lang w:eastAsia="zh-CN"/>
        </w:rPr>
        <w:t>逐步</w:t>
      </w:r>
      <w:r>
        <w:rPr>
          <w:rFonts w:hint="default" w:ascii="Times New Roman" w:hAnsi="Times New Roman" w:eastAsia="仿宋_GB2312" w:cs="Times New Roman"/>
          <w:b w:val="0"/>
          <w:bCs w:val="0"/>
          <w:color w:val="auto"/>
          <w:sz w:val="32"/>
          <w:szCs w:val="32"/>
          <w:highlight w:val="none"/>
          <w:lang w:eastAsia="zh-CN"/>
        </w:rPr>
        <w:t>实现检查检验结果互认</w:t>
      </w:r>
      <w:r>
        <w:rPr>
          <w:rFonts w:hint="eastAsia" w:ascii="Times New Roman" w:hAnsi="Times New Roman" w:eastAsia="仿宋_GB2312" w:cs="Times New Roman"/>
          <w:b w:val="0"/>
          <w:bCs w:val="0"/>
          <w:color w:val="auto"/>
          <w:sz w:val="32"/>
          <w:szCs w:val="32"/>
          <w:highlight w:val="none"/>
          <w:lang w:eastAsia="zh-CN"/>
        </w:rPr>
        <w:t>与</w:t>
      </w:r>
      <w:r>
        <w:rPr>
          <w:rFonts w:hint="default" w:ascii="Times New Roman" w:hAnsi="Times New Roman" w:eastAsia="仿宋_GB2312" w:cs="Times New Roman"/>
          <w:b w:val="0"/>
          <w:bCs w:val="0"/>
          <w:color w:val="auto"/>
          <w:sz w:val="32"/>
          <w:szCs w:val="32"/>
          <w:highlight w:val="none"/>
          <w:lang w:eastAsia="zh-CN"/>
        </w:rPr>
        <w:t>远程医疗服务全覆盖</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由医共体总院牵头制定统一</w:t>
      </w:r>
      <w:r>
        <w:rPr>
          <w:rFonts w:hint="eastAsia" w:ascii="Times New Roman" w:hAnsi="Times New Roman" w:eastAsia="仿宋_GB2312" w:cs="Times New Roman"/>
          <w:b w:val="0"/>
          <w:bCs w:val="0"/>
          <w:color w:val="auto"/>
          <w:sz w:val="32"/>
          <w:szCs w:val="32"/>
          <w:highlight w:val="none"/>
          <w:lang w:val="en-US" w:eastAsia="zh-CN"/>
        </w:rPr>
        <w:t>的</w:t>
      </w:r>
      <w:r>
        <w:rPr>
          <w:rFonts w:hint="default" w:ascii="Times New Roman" w:hAnsi="Times New Roman" w:eastAsia="仿宋_GB2312" w:cs="Times New Roman"/>
          <w:b w:val="0"/>
          <w:bCs w:val="0"/>
          <w:color w:val="auto"/>
          <w:sz w:val="32"/>
          <w:szCs w:val="32"/>
          <w:highlight w:val="none"/>
          <w:lang w:eastAsia="zh-CN"/>
        </w:rPr>
        <w:t>药品目录，实行药品统一采购、调配与结算，提升</w:t>
      </w:r>
      <w:r>
        <w:rPr>
          <w:rFonts w:hint="eastAsia" w:ascii="Times New Roman" w:hAnsi="Times New Roman" w:eastAsia="仿宋_GB2312" w:cs="Times New Roman"/>
          <w:b w:val="0"/>
          <w:bCs w:val="0"/>
          <w:color w:val="auto"/>
          <w:sz w:val="32"/>
          <w:szCs w:val="32"/>
          <w:highlight w:val="none"/>
          <w:lang w:eastAsia="zh-CN"/>
        </w:rPr>
        <w:t>医药</w:t>
      </w:r>
      <w:r>
        <w:rPr>
          <w:rFonts w:hint="default" w:ascii="Times New Roman" w:hAnsi="Times New Roman" w:eastAsia="仿宋_GB2312" w:cs="Times New Roman"/>
          <w:b w:val="0"/>
          <w:bCs w:val="0"/>
          <w:color w:val="auto"/>
          <w:sz w:val="32"/>
          <w:szCs w:val="32"/>
          <w:highlight w:val="none"/>
          <w:lang w:eastAsia="zh-CN"/>
        </w:rPr>
        <w:t>资源整体配置效率。</w:t>
      </w:r>
    </w:p>
    <w:p w14:paraId="4D83A6F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全面提升基层防病治病和健康管理能力</w:t>
      </w:r>
      <w:r>
        <w:rPr>
          <w:rFonts w:hint="eastAsia" w:ascii="Times New Roman" w:hAnsi="Times New Roman" w:eastAsia="仿宋_GB2312" w:cs="Times New Roman"/>
          <w:b/>
          <w:bCs/>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持续加大投入，筑牢基层医疗卫生服务网底。</w:t>
      </w:r>
      <w:r>
        <w:rPr>
          <w:rFonts w:hint="eastAsia" w:ascii="Times New Roman" w:hAnsi="Times New Roman" w:eastAsia="仿宋_GB2312" w:cs="Times New Roman"/>
          <w:b w:val="0"/>
          <w:bCs w:val="0"/>
          <w:color w:val="auto"/>
          <w:sz w:val="32"/>
          <w:szCs w:val="32"/>
          <w:highlight w:val="none"/>
          <w:lang w:val="en-US" w:eastAsia="zh-CN"/>
        </w:rPr>
        <w:t>完成中渡镇、寨沙镇</w:t>
      </w:r>
      <w:r>
        <w:rPr>
          <w:rFonts w:hint="eastAsia" w:ascii="Times New Roman" w:hAnsi="Times New Roman" w:eastAsia="仿宋_GB2312" w:cs="Times New Roman"/>
          <w:b w:val="0"/>
          <w:bCs w:val="0"/>
          <w:color w:val="auto"/>
          <w:sz w:val="32"/>
          <w:szCs w:val="32"/>
          <w:highlight w:val="none"/>
          <w:lang w:eastAsia="zh-CN"/>
        </w:rPr>
        <w:t>县域医疗卫生次中心建设，实施卫生院病房改造与村卫生室标准化全覆盖，优化乡镇卫生院急救、检验、影像及村卫生室中医诊疗包等</w:t>
      </w:r>
      <w:r>
        <w:rPr>
          <w:rFonts w:hint="eastAsia" w:ascii="Times New Roman" w:hAnsi="Times New Roman" w:eastAsia="仿宋_GB2312" w:cs="Times New Roman"/>
          <w:b w:val="0"/>
          <w:bCs w:val="0"/>
          <w:color w:val="auto"/>
          <w:sz w:val="32"/>
          <w:szCs w:val="32"/>
          <w:highlight w:val="none"/>
          <w:lang w:val="en-US" w:eastAsia="zh-CN"/>
        </w:rPr>
        <w:t>资源配置</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kern w:val="2"/>
          <w:sz w:val="32"/>
          <w:szCs w:val="32"/>
          <w:highlight w:val="none"/>
          <w:lang w:val="en-US" w:eastAsia="zh-CN" w:bidi="ar-SA"/>
        </w:rPr>
        <w:t>鼓励乡镇卫生院设立分区合理、动线流畅的“一站式”基层慢性病健康管理中心。</w:t>
      </w:r>
      <w:r>
        <w:rPr>
          <w:rFonts w:hint="eastAsia" w:ascii="Times New Roman" w:hAnsi="Times New Roman" w:eastAsia="仿宋_GB2312" w:cs="Times New Roman"/>
          <w:b w:val="0"/>
          <w:bCs w:val="0"/>
          <w:color w:val="auto"/>
          <w:sz w:val="32"/>
          <w:szCs w:val="32"/>
          <w:highlight w:val="none"/>
          <w:lang w:val="en-US" w:eastAsia="zh-CN"/>
        </w:rPr>
        <w:t>优化公共卫生服务体系，完成县疾控中心搬迁，构建从疾病预防到健康管理的全链条服务体系。提升控制心脑血管疾病、癌症、慢性呼吸系统疾病和糖尿病等重大慢性病综合防治能力。</w:t>
      </w:r>
      <w:r>
        <w:rPr>
          <w:rFonts w:hint="eastAsia" w:ascii="Times New Roman" w:hAnsi="Times New Roman" w:eastAsia="仿宋_GB2312" w:cs="Times New Roman"/>
          <w:b w:val="0"/>
          <w:bCs w:val="0"/>
          <w:color w:val="auto"/>
          <w:sz w:val="32"/>
          <w:szCs w:val="32"/>
          <w:highlight w:val="none"/>
          <w:lang w:eastAsia="zh-CN"/>
        </w:rPr>
        <w:t>优化基本公共卫生服务，新增心理健康、口腔健康等项目，加强重点人群健康管理，</w:t>
      </w:r>
      <w:r>
        <w:rPr>
          <w:rFonts w:hint="eastAsia" w:ascii="Times New Roman" w:hAnsi="Times New Roman" w:eastAsia="仿宋_GB2312" w:cs="Times New Roman"/>
          <w:b w:val="0"/>
          <w:bCs w:val="0"/>
          <w:color w:val="auto"/>
          <w:kern w:val="2"/>
          <w:sz w:val="32"/>
          <w:szCs w:val="32"/>
          <w:highlight w:val="none"/>
          <w:lang w:val="en-US" w:eastAsia="zh-CN" w:bidi="ar-SA"/>
        </w:rPr>
        <w:t>及早发现慢性病高风险人群并开展健康评估</w:t>
      </w:r>
      <w:r>
        <w:rPr>
          <w:rFonts w:hint="eastAsia" w:ascii="Times New Roman" w:hAnsi="Times New Roman" w:eastAsia="仿宋_GB2312" w:cs="Times New Roman"/>
          <w:b w:val="0"/>
          <w:bCs w:val="0"/>
          <w:color w:val="auto"/>
          <w:sz w:val="32"/>
          <w:szCs w:val="32"/>
          <w:highlight w:val="none"/>
          <w:lang w:eastAsia="zh-CN"/>
        </w:rPr>
        <w:t>。深化医防融合，推广“1+1+X”</w:t>
      </w:r>
      <w:r>
        <w:rPr>
          <w:rStyle w:val="25"/>
          <w:rFonts w:hint="default" w:ascii="Times New Roman" w:hAnsi="Times New Roman" w:eastAsia="仿宋_GB2312" w:cs="Times New Roman"/>
          <w:b w:val="0"/>
          <w:bCs w:val="0"/>
          <w:color w:val="auto"/>
          <w:sz w:val="32"/>
          <w:szCs w:val="32"/>
          <w:highlight w:val="none"/>
          <w:lang w:eastAsia="zh-CN"/>
        </w:rPr>
        <w:t>[</w:t>
      </w:r>
      <w:r>
        <w:rPr>
          <w:rStyle w:val="25"/>
          <w:rFonts w:hint="default" w:ascii="Times New Roman" w:hAnsi="Times New Roman" w:eastAsia="仿宋_GB2312" w:cs="Times New Roman"/>
          <w:b w:val="0"/>
          <w:bCs w:val="0"/>
          <w:color w:val="auto"/>
          <w:sz w:val="32"/>
          <w:szCs w:val="32"/>
          <w:highlight w:val="none"/>
          <w:lang w:eastAsia="zh-CN"/>
        </w:rPr>
        <w:endnoteReference w:id="25"/>
      </w:r>
      <w:r>
        <w:rPr>
          <w:rStyle w:val="25"/>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家庭医生签约服务团队，</w:t>
      </w:r>
      <w:r>
        <w:rPr>
          <w:rFonts w:hint="eastAsia" w:ascii="Times New Roman" w:hAnsi="Times New Roman" w:eastAsia="仿宋_GB2312" w:cs="Times New Roman"/>
          <w:b w:val="0"/>
          <w:bCs w:val="0"/>
          <w:color w:val="auto"/>
          <w:kern w:val="2"/>
          <w:sz w:val="32"/>
          <w:szCs w:val="32"/>
          <w:highlight w:val="none"/>
          <w:lang w:val="en-US" w:eastAsia="zh-CN" w:bidi="ar-SA"/>
        </w:rPr>
        <w:t>落实慢性病“防、筛、诊、治、管、康”全流程服务，</w:t>
      </w:r>
      <w:r>
        <w:rPr>
          <w:rFonts w:hint="eastAsia" w:ascii="Times New Roman" w:hAnsi="Times New Roman" w:eastAsia="仿宋_GB2312" w:cs="Times New Roman"/>
          <w:b w:val="0"/>
          <w:bCs w:val="0"/>
          <w:color w:val="auto"/>
          <w:sz w:val="32"/>
          <w:szCs w:val="32"/>
          <w:highlight w:val="none"/>
          <w:lang w:eastAsia="zh-CN"/>
        </w:rPr>
        <w:t>开展慢性病管理与老年人健康体检，推行“诊疗—随访—康复—预防”闭环服务模式，</w:t>
      </w:r>
      <w:r>
        <w:rPr>
          <w:rFonts w:hint="eastAsia" w:ascii="Times New Roman" w:hAnsi="Times New Roman" w:eastAsia="仿宋_GB2312" w:cs="Times New Roman"/>
          <w:b w:val="0"/>
          <w:bCs w:val="0"/>
          <w:color w:val="auto"/>
          <w:kern w:val="2"/>
          <w:sz w:val="32"/>
          <w:szCs w:val="32"/>
          <w:highlight w:val="none"/>
          <w:lang w:val="en-US" w:eastAsia="zh-CN" w:bidi="ar-SA"/>
        </w:rPr>
        <w:t>并通过强化用药保障、推动数据信息共享、完善内部绩效分配激励机制等协同措施，</w:t>
      </w:r>
      <w:r>
        <w:rPr>
          <w:rFonts w:hint="eastAsia" w:ascii="Times New Roman" w:hAnsi="Times New Roman" w:eastAsia="仿宋_GB2312" w:cs="Times New Roman"/>
          <w:b w:val="0"/>
          <w:bCs w:val="0"/>
          <w:color w:val="auto"/>
          <w:sz w:val="32"/>
          <w:szCs w:val="32"/>
          <w:highlight w:val="none"/>
          <w:lang w:eastAsia="zh-CN"/>
        </w:rPr>
        <w:t>实现健康管理全覆盖。</w:t>
      </w:r>
      <w:r>
        <w:rPr>
          <w:rFonts w:hint="eastAsia" w:ascii="Times New Roman" w:hAnsi="Times New Roman" w:eastAsia="仿宋_GB2312" w:cs="Times New Roman"/>
          <w:b w:val="0"/>
          <w:bCs w:val="0"/>
          <w:color w:val="auto"/>
          <w:sz w:val="32"/>
          <w:szCs w:val="32"/>
          <w:highlight w:val="none"/>
          <w:lang w:val="en-US" w:eastAsia="zh-CN"/>
        </w:rPr>
        <w:t>着力加强人才队伍建设，依托助理全科医生培训基地定向培养全科医师，完善“县级带教、乡镇实践”与“师带徒”帮扶机制，并通过住房补贴、“乡聘村用”等激励政策稳定基层队伍。</w:t>
      </w:r>
    </w:p>
    <w:p w14:paraId="760BD0A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kern w:val="2"/>
          <w:sz w:val="32"/>
          <w:szCs w:val="32"/>
          <w:highlight w:val="none"/>
          <w:lang w:val="en-US" w:eastAsia="zh-CN" w:bidi="ar-SA"/>
        </w:rPr>
        <w:t>推动特色健康服务与数智化创新。</w:t>
      </w:r>
      <w:r>
        <w:rPr>
          <w:rFonts w:hint="eastAsia" w:ascii="Times New Roman" w:hAnsi="Times New Roman" w:eastAsia="仿宋_GB2312" w:cs="Times New Roman"/>
          <w:b w:val="0"/>
          <w:bCs w:val="0"/>
          <w:color w:val="auto"/>
          <w:sz w:val="32"/>
          <w:szCs w:val="32"/>
          <w:highlight w:val="none"/>
          <w:lang w:eastAsia="zh-CN"/>
        </w:rPr>
        <w:t>健全中医药服务体系，支持县中医医院基础设施扩建与重点专科建设，</w:t>
      </w:r>
      <w:r>
        <w:rPr>
          <w:rFonts w:hint="eastAsia" w:ascii="仿宋_GB2312" w:hAnsi="仿宋_GB2312" w:eastAsia="仿宋_GB2312" w:cs="仿宋_GB2312"/>
          <w:b w:val="0"/>
          <w:bCs w:val="0"/>
          <w:color w:val="auto"/>
          <w:sz w:val="32"/>
          <w:szCs w:val="32"/>
          <w:highlight w:val="none"/>
          <w:lang w:eastAsia="zh-CN"/>
        </w:rPr>
        <w:t>巩固三级甲等中医医院的建设成果，</w:t>
      </w:r>
      <w:r>
        <w:rPr>
          <w:rFonts w:hint="eastAsia" w:ascii="Times New Roman" w:hAnsi="Times New Roman" w:eastAsia="仿宋_GB2312" w:cs="Times New Roman"/>
          <w:b w:val="0"/>
          <w:bCs w:val="0"/>
          <w:color w:val="auto"/>
          <w:sz w:val="32"/>
          <w:szCs w:val="32"/>
          <w:highlight w:val="none"/>
          <w:lang w:eastAsia="zh-CN"/>
        </w:rPr>
        <w:t>推进乡镇卫生院中医馆提质与村卫生室中医阁全覆盖，推广针灸、推拿等中医适宜技术。持续推进名中医传承工作室建设，加强学术经验传承与人才培养，挖掘整理民间验方，支持开展中医药防治重大疾病与传染病临床研究。大力发展中医治未病、康复和医养结合服务。完善妇幼健康服务体系，</w:t>
      </w:r>
      <w:r>
        <w:rPr>
          <w:rFonts w:hint="eastAsia" w:ascii="仿宋_GB2312" w:hAnsi="仿宋_GB2312" w:eastAsia="仿宋_GB2312" w:cs="仿宋_GB2312"/>
          <w:b w:val="0"/>
          <w:bCs w:val="0"/>
          <w:color w:val="auto"/>
          <w:sz w:val="32"/>
          <w:szCs w:val="32"/>
          <w:highlight w:val="none"/>
          <w:lang w:eastAsia="zh-CN"/>
        </w:rPr>
        <w:t>强化县域妇幼保健服务能力，提升产科、儿科医疗服务质量</w:t>
      </w:r>
      <w:r>
        <w:rPr>
          <w:rFonts w:hint="eastAsia" w:ascii="Times New Roman" w:hAnsi="Times New Roman" w:eastAsia="仿宋_GB2312" w:cs="Times New Roman"/>
          <w:b w:val="0"/>
          <w:bCs w:val="0"/>
          <w:color w:val="auto"/>
          <w:sz w:val="32"/>
          <w:szCs w:val="32"/>
          <w:highlight w:val="none"/>
          <w:lang w:eastAsia="zh-CN"/>
        </w:rPr>
        <w:t>。推动公共卫生与健康服务数字化转型，创新发展互联网健康咨询、远程康复、智慧健康管理等服务，建设县域智慧健康服务平台，拓展“医疗+旅游”“医疗+养生”等融合模式，培育健康旅游新业态。深入开展爱国卫生运动，深化城乡环境整治与健康知识普及，积极营造共建共享的健康宜居环境。</w:t>
      </w:r>
    </w:p>
    <w:p w14:paraId="7D9BF59C">
      <w:pPr>
        <w:rPr>
          <w:rFonts w:hint="default"/>
          <w:color w:val="auto"/>
          <w:highlight w:val="none"/>
          <w:lang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74EB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34" w:type="dxa"/>
            <w:vAlign w:val="center"/>
          </w:tcPr>
          <w:p w14:paraId="57E8ABD5">
            <w:pPr>
              <w:pStyle w:val="53"/>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highlight w:val="none"/>
              </w:rPr>
            </w:pPr>
            <w:r>
              <w:rPr>
                <w:rFonts w:hint="eastAsia" w:ascii="方正小标宋简体" w:hAnsi="方正小标宋简体" w:eastAsia="方正小标宋简体" w:cs="方正小标宋简体"/>
                <w:color w:val="auto"/>
                <w:highlight w:val="none"/>
              </w:rPr>
              <w:t>专栏</w:t>
            </w:r>
            <w:r>
              <w:rPr>
                <w:rFonts w:hint="default" w:ascii="Times New Roman" w:hAnsi="Times New Roman" w:eastAsia="方正小标宋简体" w:cs="Times New Roman"/>
                <w:color w:val="auto"/>
                <w:highlight w:val="none"/>
                <w:lang w:val="en-US" w:eastAsia="zh-CN"/>
              </w:rPr>
              <w:t>11</w:t>
            </w:r>
            <w:r>
              <w:rPr>
                <w:rFonts w:hint="default" w:ascii="Times New Roman" w:hAnsi="Times New Roman" w:eastAsia="方正小标宋简体" w:cs="Times New Roman"/>
                <w:color w:val="auto"/>
                <w:highlight w:val="none"/>
              </w:rPr>
              <w:t>-</w:t>
            </w:r>
            <w:r>
              <w:rPr>
                <w:rFonts w:hint="default" w:ascii="Times New Roman" w:hAnsi="Times New Roman" w:eastAsia="方正小标宋简体" w:cs="Times New Roman"/>
                <w:color w:val="auto"/>
                <w:highlight w:val="none"/>
                <w:lang w:val="en-US" w:eastAsia="zh-CN"/>
              </w:rPr>
              <w:t>2</w:t>
            </w:r>
            <w:r>
              <w:rPr>
                <w:rFonts w:hint="eastAsia" w:ascii="Times New Roman" w:cs="Times New Roman"/>
                <w:color w:val="auto"/>
                <w:highlight w:val="none"/>
                <w:lang w:val="en-US" w:eastAsia="zh-CN"/>
              </w:rPr>
              <w:t>：</w:t>
            </w:r>
            <w:r>
              <w:rPr>
                <w:rFonts w:hint="default" w:ascii="Times New Roman" w:hAnsi="Times New Roman" w:cs="Times New Roman"/>
                <w:color w:val="auto"/>
                <w:sz w:val="28"/>
                <w:szCs w:val="28"/>
                <w:highlight w:val="none"/>
                <w:lang w:val="en-US" w:eastAsia="zh-CN"/>
              </w:rPr>
              <w:t>基层公共卫生</w:t>
            </w:r>
            <w:r>
              <w:rPr>
                <w:rFonts w:hint="default" w:ascii="Times New Roman" w:hAnsi="Times New Roman" w:cs="Times New Roman"/>
                <w:color w:val="auto"/>
                <w:highlight w:val="none"/>
                <w:lang w:val="en-US" w:eastAsia="zh-CN"/>
              </w:rPr>
              <w:t>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点实施</w:t>
            </w:r>
            <w:r>
              <w:rPr>
                <w:rFonts w:hint="default" w:ascii="Times New Roman" w:hAnsi="Times New Roman" w:cs="Times New Roman"/>
                <w:color w:val="auto"/>
                <w:highlight w:val="none"/>
              </w:rPr>
              <w:t>项目</w:t>
            </w:r>
          </w:p>
        </w:tc>
      </w:tr>
      <w:tr w14:paraId="0C7C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8834" w:type="dxa"/>
            <w:vAlign w:val="center"/>
          </w:tcPr>
          <w:p w14:paraId="6FA7FB71">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cs="Times New Roman"/>
                <w:color w:val="auto"/>
                <w:sz w:val="28"/>
                <w:szCs w:val="28"/>
                <w:highlight w:val="none"/>
                <w:lang w:val="en-US" w:eastAsia="zh-CN"/>
              </w:rPr>
            </w:pPr>
            <w:r>
              <w:rPr>
                <w:rFonts w:hint="eastAsia" w:cs="Times New Roman"/>
                <w:b/>
                <w:bCs/>
                <w:color w:val="auto"/>
                <w:sz w:val="28"/>
                <w:szCs w:val="28"/>
                <w:highlight w:val="none"/>
                <w:lang w:val="en-US" w:eastAsia="zh-CN"/>
              </w:rPr>
              <w:t>医疗服务能力提升</w:t>
            </w:r>
            <w:r>
              <w:rPr>
                <w:rFonts w:hint="default" w:ascii="Times New Roman" w:hAnsi="Times New Roman" w:cs="Times New Roman"/>
                <w:b/>
                <w:bCs/>
                <w:color w:val="auto"/>
                <w:sz w:val="28"/>
                <w:szCs w:val="28"/>
                <w:highlight w:val="none"/>
                <w:lang w:val="en-US" w:eastAsia="zh-CN"/>
              </w:rPr>
              <w:t>：</w:t>
            </w:r>
            <w:r>
              <w:rPr>
                <w:rFonts w:hint="eastAsia" w:cs="Times New Roman"/>
                <w:color w:val="auto"/>
                <w:sz w:val="28"/>
                <w:szCs w:val="28"/>
                <w:highlight w:val="none"/>
                <w:lang w:val="en-US" w:eastAsia="zh-CN"/>
              </w:rPr>
              <w:t>推进</w:t>
            </w:r>
            <w:r>
              <w:rPr>
                <w:rFonts w:hint="default" w:ascii="Times New Roman" w:hAnsi="Times New Roman" w:cs="Times New Roman"/>
                <w:color w:val="auto"/>
                <w:sz w:val="28"/>
                <w:szCs w:val="28"/>
                <w:highlight w:val="none"/>
                <w:lang w:val="en-US" w:eastAsia="zh-CN"/>
              </w:rPr>
              <w:t>县中</w:t>
            </w:r>
            <w:r>
              <w:rPr>
                <w:rFonts w:hint="eastAsia" w:cs="Times New Roman"/>
                <w:color w:val="auto"/>
                <w:sz w:val="28"/>
                <w:szCs w:val="28"/>
                <w:highlight w:val="none"/>
                <w:lang w:val="en-US" w:eastAsia="zh-CN"/>
              </w:rPr>
              <w:t>医</w:t>
            </w:r>
            <w:r>
              <w:rPr>
                <w:rFonts w:hint="default" w:ascii="Times New Roman" w:hAnsi="Times New Roman" w:cs="Times New Roman"/>
                <w:color w:val="auto"/>
                <w:sz w:val="28"/>
                <w:szCs w:val="28"/>
                <w:highlight w:val="none"/>
                <w:lang w:val="en-US" w:eastAsia="zh-CN"/>
              </w:rPr>
              <w:t>医院病房改造</w:t>
            </w:r>
            <w:r>
              <w:rPr>
                <w:rFonts w:hint="eastAsia" w:cs="Times New Roman"/>
                <w:color w:val="auto"/>
                <w:sz w:val="28"/>
                <w:szCs w:val="28"/>
                <w:highlight w:val="none"/>
                <w:lang w:val="en-US" w:eastAsia="zh-CN"/>
              </w:rPr>
              <w:t>、</w:t>
            </w:r>
            <w:r>
              <w:rPr>
                <w:rFonts w:hint="eastAsia" w:ascii="Times New Roman" w:hAnsi="Times New Roman" w:cs="Times New Roman"/>
                <w:color w:val="auto"/>
                <w:sz w:val="28"/>
                <w:szCs w:val="28"/>
                <w:highlight w:val="none"/>
                <w:lang w:val="en-US" w:eastAsia="zh-CN"/>
              </w:rPr>
              <w:t>县妇幼保健院病房改造</w:t>
            </w:r>
            <w:r>
              <w:rPr>
                <w:rFonts w:hint="eastAsia" w:cs="Times New Roman"/>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县疾病预防控制中心整体搬迁</w:t>
            </w:r>
            <w:r>
              <w:rPr>
                <w:rFonts w:hint="eastAsia" w:cs="Times New Roman"/>
                <w:color w:val="auto"/>
                <w:sz w:val="28"/>
                <w:szCs w:val="28"/>
                <w:highlight w:val="none"/>
                <w:lang w:val="en-US" w:eastAsia="zh-CN"/>
              </w:rPr>
              <w:t>、寨沙镇卫生院、中渡镇卫生院扩建等</w:t>
            </w:r>
            <w:r>
              <w:rPr>
                <w:rFonts w:hint="default" w:ascii="Times New Roman" w:hAnsi="Times New Roman" w:cs="Times New Roman"/>
                <w:color w:val="auto"/>
                <w:sz w:val="28"/>
                <w:szCs w:val="28"/>
                <w:highlight w:val="none"/>
                <w:lang w:val="en-US" w:eastAsia="zh-CN"/>
              </w:rPr>
              <w:t>项目</w:t>
            </w:r>
            <w:r>
              <w:rPr>
                <w:rFonts w:hint="eastAsia" w:cs="Times New Roman"/>
                <w:color w:val="auto"/>
                <w:sz w:val="28"/>
                <w:szCs w:val="28"/>
                <w:highlight w:val="none"/>
                <w:lang w:val="en-US" w:eastAsia="zh-CN"/>
              </w:rPr>
              <w:t>；新建寨沙镇龙江卫生院、导江乡卫生院等项目。</w:t>
            </w:r>
          </w:p>
          <w:p w14:paraId="7FAB5AE6">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ascii="Times New Roman" w:hAnsi="Times New Roman" w:cs="Times New Roman"/>
                <w:color w:val="auto"/>
                <w:sz w:val="28"/>
                <w:szCs w:val="28"/>
                <w:highlight w:val="none"/>
                <w:lang w:val="en-US" w:eastAsia="zh-CN"/>
              </w:rPr>
            </w:pPr>
            <w:r>
              <w:rPr>
                <w:rFonts w:hint="eastAsia" w:cs="Times New Roman"/>
                <w:b/>
                <w:bCs/>
                <w:color w:val="auto"/>
                <w:sz w:val="28"/>
                <w:szCs w:val="28"/>
                <w:highlight w:val="none"/>
                <w:lang w:val="en-US" w:eastAsia="zh-CN"/>
              </w:rPr>
              <w:t>重点人群健康保障：</w:t>
            </w:r>
            <w:r>
              <w:rPr>
                <w:rFonts w:hint="eastAsia" w:ascii="Times New Roman" w:hAnsi="Times New Roman" w:eastAsia="仿宋_GB2312" w:cs="Times New Roman"/>
                <w:b w:val="0"/>
                <w:bCs/>
                <w:color w:val="auto"/>
                <w:sz w:val="28"/>
                <w:szCs w:val="28"/>
                <w:highlight w:val="none"/>
                <w:lang w:val="en-US" w:eastAsia="zh-CN"/>
              </w:rPr>
              <w:t>推进</w:t>
            </w:r>
            <w:r>
              <w:rPr>
                <w:rFonts w:hint="default" w:ascii="Times New Roman" w:hAnsi="Times New Roman" w:eastAsia="仿宋_GB2312" w:cs="Times New Roman"/>
                <w:b w:val="0"/>
                <w:bCs/>
                <w:color w:val="auto"/>
                <w:sz w:val="28"/>
                <w:szCs w:val="28"/>
                <w:highlight w:val="none"/>
                <w:lang w:val="en-US" w:eastAsia="zh-CN"/>
              </w:rPr>
              <w:t>县康养综合服务中心、老年人活动中心</w:t>
            </w:r>
            <w:r>
              <w:rPr>
                <w:rFonts w:hint="eastAsia" w:ascii="Times New Roman" w:hAnsi="Times New Roman" w:eastAsia="仿宋_GB2312" w:cs="Times New Roman"/>
                <w:b w:val="0"/>
                <w:bCs/>
                <w:color w:val="auto"/>
                <w:sz w:val="28"/>
                <w:szCs w:val="28"/>
                <w:highlight w:val="none"/>
                <w:lang w:val="en-US" w:eastAsia="zh-CN"/>
              </w:rPr>
              <w:t>、</w:t>
            </w:r>
            <w:r>
              <w:rPr>
                <w:rFonts w:hint="default" w:ascii="Times New Roman" w:hAnsi="Times New Roman" w:eastAsia="仿宋_GB2312" w:cs="Times New Roman"/>
                <w:b w:val="0"/>
                <w:bCs/>
                <w:color w:val="auto"/>
                <w:sz w:val="28"/>
                <w:szCs w:val="28"/>
                <w:highlight w:val="none"/>
                <w:lang w:val="en-US" w:eastAsia="zh-CN"/>
              </w:rPr>
              <w:t>江口</w:t>
            </w:r>
            <w:r>
              <w:rPr>
                <w:rFonts w:hint="eastAsia" w:ascii="Times New Roman" w:hAnsi="Times New Roman" w:eastAsia="仿宋_GB2312" w:cs="Times New Roman"/>
                <w:b w:val="0"/>
                <w:bCs/>
                <w:color w:val="auto"/>
                <w:sz w:val="28"/>
                <w:szCs w:val="28"/>
                <w:highlight w:val="none"/>
                <w:lang w:val="en-US" w:eastAsia="zh-CN"/>
              </w:rPr>
              <w:t>乡</w:t>
            </w:r>
            <w:r>
              <w:rPr>
                <w:rFonts w:hint="default" w:ascii="Times New Roman" w:hAnsi="Times New Roman" w:eastAsia="仿宋_GB2312" w:cs="Times New Roman"/>
                <w:b w:val="0"/>
                <w:bCs/>
                <w:color w:val="auto"/>
                <w:sz w:val="28"/>
                <w:szCs w:val="28"/>
                <w:highlight w:val="none"/>
                <w:lang w:val="en-US" w:eastAsia="zh-CN"/>
              </w:rPr>
              <w:t>养老服务中心</w:t>
            </w:r>
            <w:r>
              <w:rPr>
                <w:rFonts w:hint="eastAsia" w:cs="Times New Roman"/>
                <w:b w:val="0"/>
                <w:bCs/>
                <w:color w:val="auto"/>
                <w:sz w:val="28"/>
                <w:szCs w:val="28"/>
                <w:highlight w:val="none"/>
                <w:lang w:val="en-US" w:eastAsia="zh-CN"/>
              </w:rPr>
              <w:t>、乡镇医养结合</w:t>
            </w:r>
            <w:r>
              <w:rPr>
                <w:rFonts w:hint="default" w:ascii="Times New Roman" w:hAnsi="Times New Roman" w:eastAsia="仿宋_GB2312" w:cs="Times New Roman"/>
                <w:b w:val="0"/>
                <w:bCs/>
                <w:color w:val="auto"/>
                <w:sz w:val="28"/>
                <w:szCs w:val="28"/>
                <w:highlight w:val="none"/>
                <w:lang w:val="en-US" w:eastAsia="zh-CN"/>
              </w:rPr>
              <w:t>等项目。</w:t>
            </w:r>
          </w:p>
        </w:tc>
      </w:tr>
    </w:tbl>
    <w:p w14:paraId="764BF45A">
      <w:pPr>
        <w:pStyle w:val="5"/>
        <w:bidi w:val="0"/>
        <w:jc w:val="center"/>
        <w:outlineLvl w:val="0"/>
        <w:rPr>
          <w:rFonts w:hint="eastAsia" w:ascii="黑体" w:hAnsi="黑体" w:eastAsia="黑体" w:cs="黑体"/>
          <w:b w:val="0"/>
          <w:bCs w:val="0"/>
          <w:color w:val="auto"/>
          <w:kern w:val="2"/>
          <w:sz w:val="36"/>
          <w:szCs w:val="36"/>
          <w:highlight w:val="none"/>
          <w:lang w:val="zh-TW" w:eastAsia="zh-CN" w:bidi="ar-SA"/>
        </w:rPr>
      </w:pPr>
      <w:bookmarkStart w:id="270" w:name="_Toc2346"/>
      <w:bookmarkStart w:id="271" w:name="_Toc22630"/>
      <w:bookmarkStart w:id="272" w:name="_Toc7128"/>
      <w:bookmarkStart w:id="273" w:name="_Toc14542"/>
      <w:bookmarkStart w:id="274" w:name="_Toc29002"/>
      <w:bookmarkStart w:id="275" w:name="_Toc12701"/>
      <w:bookmarkStart w:id="276" w:name="_Toc27998"/>
      <w:bookmarkStart w:id="277" w:name="_Toc11709"/>
      <w:r>
        <w:rPr>
          <w:rFonts w:hint="eastAsia" w:ascii="黑体" w:hAnsi="黑体" w:eastAsia="黑体" w:cs="黑体"/>
          <w:b w:val="0"/>
          <w:bCs w:val="0"/>
          <w:color w:val="auto"/>
          <w:kern w:val="2"/>
          <w:sz w:val="36"/>
          <w:szCs w:val="36"/>
          <w:highlight w:val="none"/>
          <w:lang w:val="en-US" w:eastAsia="zh-CN" w:bidi="ar-SA"/>
        </w:rPr>
        <w:t xml:space="preserve">第三节  </w:t>
      </w:r>
      <w:bookmarkEnd w:id="270"/>
      <w:r>
        <w:rPr>
          <w:rFonts w:hint="eastAsia" w:ascii="黑体" w:hAnsi="黑体" w:eastAsia="黑体" w:cs="黑体"/>
          <w:b w:val="0"/>
          <w:bCs w:val="0"/>
          <w:color w:val="auto"/>
          <w:kern w:val="2"/>
          <w:sz w:val="36"/>
          <w:szCs w:val="36"/>
          <w:highlight w:val="none"/>
          <w:lang w:val="zh-TW" w:eastAsia="zh-CN" w:bidi="ar-SA"/>
        </w:rPr>
        <w:t>促进人口</w:t>
      </w:r>
      <w:r>
        <w:rPr>
          <w:rFonts w:hint="eastAsia" w:ascii="黑体" w:hAnsi="黑体" w:eastAsia="黑体" w:cs="黑体"/>
          <w:b w:val="0"/>
          <w:bCs w:val="0"/>
          <w:color w:val="auto"/>
          <w:kern w:val="2"/>
          <w:sz w:val="36"/>
          <w:szCs w:val="36"/>
          <w:highlight w:val="none"/>
          <w:lang w:val="en-US" w:eastAsia="zh-CN" w:bidi="ar-SA"/>
        </w:rPr>
        <w:t>高质量</w:t>
      </w:r>
      <w:r>
        <w:rPr>
          <w:rFonts w:hint="eastAsia" w:ascii="黑体" w:hAnsi="黑体" w:eastAsia="黑体" w:cs="黑体"/>
          <w:b w:val="0"/>
          <w:bCs w:val="0"/>
          <w:color w:val="auto"/>
          <w:kern w:val="2"/>
          <w:sz w:val="36"/>
          <w:szCs w:val="36"/>
          <w:highlight w:val="none"/>
          <w:lang w:val="zh-TW" w:eastAsia="zh-CN" w:bidi="ar-SA"/>
        </w:rPr>
        <w:t>发展</w:t>
      </w:r>
      <w:bookmarkEnd w:id="271"/>
      <w:bookmarkEnd w:id="272"/>
      <w:bookmarkEnd w:id="273"/>
    </w:p>
    <w:p w14:paraId="6A482A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顺应人口发展新</w:t>
      </w:r>
      <w:r>
        <w:rPr>
          <w:rFonts w:hint="eastAsia" w:ascii="Times New Roman" w:hAnsi="Times New Roman" w:eastAsia="仿宋_GB2312" w:cs="Times New Roman"/>
          <w:b w:val="0"/>
          <w:bCs w:val="0"/>
          <w:color w:val="auto"/>
          <w:kern w:val="2"/>
          <w:sz w:val="32"/>
          <w:szCs w:val="32"/>
          <w:highlight w:val="none"/>
          <w:lang w:val="en-US" w:eastAsia="zh-CN" w:bidi="ar-SA"/>
        </w:rPr>
        <w:t>趋</w:t>
      </w:r>
      <w:r>
        <w:rPr>
          <w:rFonts w:hint="default" w:ascii="Times New Roman" w:hAnsi="Times New Roman" w:eastAsia="仿宋_GB2312" w:cs="Times New Roman"/>
          <w:b w:val="0"/>
          <w:bCs w:val="0"/>
          <w:color w:val="auto"/>
          <w:kern w:val="2"/>
          <w:sz w:val="32"/>
          <w:szCs w:val="32"/>
          <w:highlight w:val="none"/>
          <w:lang w:val="en-US" w:eastAsia="zh-CN" w:bidi="ar-SA"/>
        </w:rPr>
        <w:t>势，坚持以人的全面发展为核心，全面落实国家人口发展战略，着力构建生育友好、养老</w:t>
      </w:r>
      <w:r>
        <w:rPr>
          <w:rFonts w:hint="eastAsia" w:ascii="Times New Roman" w:hAnsi="Times New Roman" w:eastAsia="仿宋_GB2312" w:cs="Times New Roman"/>
          <w:b w:val="0"/>
          <w:bCs w:val="0"/>
          <w:color w:val="auto"/>
          <w:kern w:val="2"/>
          <w:sz w:val="32"/>
          <w:szCs w:val="32"/>
          <w:highlight w:val="none"/>
          <w:lang w:val="en-US" w:eastAsia="zh-CN" w:bidi="ar-SA"/>
        </w:rPr>
        <w:t>保障有力</w:t>
      </w:r>
      <w:r>
        <w:rPr>
          <w:rFonts w:hint="default" w:ascii="Times New Roman" w:hAnsi="Times New Roman" w:eastAsia="仿宋_GB2312" w:cs="Times New Roman"/>
          <w:b w:val="0"/>
          <w:bCs w:val="0"/>
          <w:color w:val="auto"/>
          <w:kern w:val="2"/>
          <w:sz w:val="32"/>
          <w:szCs w:val="32"/>
          <w:highlight w:val="none"/>
          <w:lang w:val="en-US" w:eastAsia="zh-CN" w:bidi="ar-SA"/>
        </w:rPr>
        <w:t>、服务优质</w:t>
      </w:r>
      <w:r>
        <w:rPr>
          <w:rFonts w:hint="eastAsia" w:ascii="Times New Roman" w:hAnsi="Times New Roman" w:eastAsia="仿宋_GB2312" w:cs="Times New Roman"/>
          <w:b w:val="0"/>
          <w:bCs w:val="0"/>
          <w:color w:val="auto"/>
          <w:kern w:val="2"/>
          <w:sz w:val="32"/>
          <w:szCs w:val="32"/>
          <w:highlight w:val="none"/>
          <w:lang w:val="en-US" w:eastAsia="zh-CN" w:bidi="ar-SA"/>
        </w:rPr>
        <w:t>均衡</w:t>
      </w:r>
      <w:r>
        <w:rPr>
          <w:rFonts w:hint="default" w:ascii="Times New Roman" w:hAnsi="Times New Roman" w:eastAsia="仿宋_GB2312" w:cs="Times New Roman"/>
          <w:b w:val="0"/>
          <w:bCs w:val="0"/>
          <w:color w:val="auto"/>
          <w:kern w:val="2"/>
          <w:sz w:val="32"/>
          <w:szCs w:val="32"/>
          <w:highlight w:val="none"/>
          <w:lang w:val="en-US" w:eastAsia="zh-CN" w:bidi="ar-SA"/>
        </w:rPr>
        <w:t>、分布合理</w:t>
      </w:r>
      <w:r>
        <w:rPr>
          <w:rFonts w:hint="eastAsia" w:ascii="Times New Roman" w:hAnsi="Times New Roman" w:eastAsia="仿宋_GB2312" w:cs="Times New Roman"/>
          <w:b w:val="0"/>
          <w:bCs w:val="0"/>
          <w:color w:val="auto"/>
          <w:kern w:val="2"/>
          <w:sz w:val="32"/>
          <w:szCs w:val="32"/>
          <w:highlight w:val="none"/>
          <w:lang w:val="en-US" w:eastAsia="zh-CN" w:bidi="ar-SA"/>
        </w:rPr>
        <w:t>有序</w:t>
      </w:r>
      <w:r>
        <w:rPr>
          <w:rFonts w:hint="default" w:ascii="Times New Roman" w:hAnsi="Times New Roman" w:eastAsia="仿宋_GB2312" w:cs="Times New Roman"/>
          <w:b w:val="0"/>
          <w:bCs w:val="0"/>
          <w:color w:val="auto"/>
          <w:kern w:val="2"/>
          <w:sz w:val="32"/>
          <w:szCs w:val="32"/>
          <w:highlight w:val="none"/>
          <w:lang w:val="en-US" w:eastAsia="zh-CN" w:bidi="ar-SA"/>
        </w:rPr>
        <w:t>的人口发展</w:t>
      </w:r>
      <w:r>
        <w:rPr>
          <w:rFonts w:hint="eastAsia" w:ascii="Times New Roman" w:hAnsi="Times New Roman" w:eastAsia="仿宋_GB2312" w:cs="Times New Roman"/>
          <w:b w:val="0"/>
          <w:bCs w:val="0"/>
          <w:color w:val="auto"/>
          <w:kern w:val="2"/>
          <w:sz w:val="32"/>
          <w:szCs w:val="32"/>
          <w:highlight w:val="none"/>
          <w:lang w:val="en-US" w:eastAsia="zh-CN" w:bidi="ar-SA"/>
        </w:rPr>
        <w:t>格局</w:t>
      </w:r>
      <w:r>
        <w:rPr>
          <w:rFonts w:hint="default" w:ascii="Times New Roman" w:hAnsi="Times New Roman" w:eastAsia="仿宋_GB2312" w:cs="Times New Roman"/>
          <w:b w:val="0"/>
          <w:bCs w:val="0"/>
          <w:color w:val="auto"/>
          <w:kern w:val="2"/>
          <w:sz w:val="32"/>
          <w:szCs w:val="32"/>
          <w:highlight w:val="none"/>
          <w:lang w:val="en-US" w:eastAsia="zh-CN" w:bidi="ar-SA"/>
        </w:rPr>
        <w:t>，为经济社会高质量发展提供坚实支撑。</w:t>
      </w:r>
    </w:p>
    <w:p w14:paraId="568A91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构建全周期生育支持体系</w:t>
      </w:r>
      <w:r>
        <w:rPr>
          <w:rFonts w:hint="eastAsia"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落实</w:t>
      </w:r>
      <w:r>
        <w:rPr>
          <w:rFonts w:hint="eastAsia" w:ascii="Times New Roman" w:hAnsi="Times New Roman" w:eastAsia="仿宋_GB2312" w:cs="Times New Roman"/>
          <w:b w:val="0"/>
          <w:bCs w:val="0"/>
          <w:color w:val="auto"/>
          <w:sz w:val="32"/>
          <w:szCs w:val="32"/>
          <w:highlight w:val="none"/>
          <w:lang w:val="en-US" w:eastAsia="zh-CN"/>
        </w:rPr>
        <w:t>并完善</w:t>
      </w:r>
      <w:r>
        <w:rPr>
          <w:rFonts w:hint="default" w:ascii="Times New Roman" w:hAnsi="Times New Roman" w:eastAsia="仿宋_GB2312" w:cs="Times New Roman"/>
          <w:b w:val="0"/>
          <w:bCs w:val="0"/>
          <w:color w:val="auto"/>
          <w:sz w:val="32"/>
          <w:szCs w:val="32"/>
          <w:highlight w:val="none"/>
          <w:lang w:val="en-US" w:eastAsia="zh-CN"/>
        </w:rPr>
        <w:t>生育支持政策，</w:t>
      </w:r>
      <w:r>
        <w:rPr>
          <w:rFonts w:hint="eastAsia" w:ascii="Times New Roman" w:hAnsi="Times New Roman" w:eastAsia="仿宋_GB2312" w:cs="Times New Roman"/>
          <w:b w:val="0"/>
          <w:bCs w:val="0"/>
          <w:color w:val="auto"/>
          <w:sz w:val="32"/>
          <w:szCs w:val="32"/>
          <w:highlight w:val="none"/>
          <w:lang w:val="en-US" w:eastAsia="zh-CN"/>
        </w:rPr>
        <w:t>完善人口监测信息平台，</w:t>
      </w:r>
      <w:r>
        <w:rPr>
          <w:rFonts w:hint="default" w:ascii="Times New Roman" w:hAnsi="Times New Roman" w:eastAsia="仿宋_GB2312" w:cs="Times New Roman"/>
          <w:b w:val="0"/>
          <w:bCs w:val="0"/>
          <w:color w:val="auto"/>
          <w:sz w:val="32"/>
          <w:szCs w:val="32"/>
          <w:highlight w:val="none"/>
          <w:lang w:val="en-US" w:eastAsia="zh-CN"/>
        </w:rPr>
        <w:t>研究制定符合鹿寨实际的生育鼓励措施，</w:t>
      </w:r>
      <w:r>
        <w:rPr>
          <w:rFonts w:hint="default" w:ascii="Times New Roman" w:hAnsi="Times New Roman" w:eastAsia="仿宋_GB2312" w:cs="Times New Roman"/>
          <w:b w:val="0"/>
          <w:bCs w:val="0"/>
          <w:color w:val="auto"/>
          <w:kern w:val="2"/>
          <w:sz w:val="32"/>
          <w:szCs w:val="32"/>
          <w:highlight w:val="none"/>
          <w:lang w:val="en-US" w:eastAsia="zh-CN" w:bidi="ar-SA"/>
        </w:rPr>
        <w:t>探索建立与经济社会发展水平</w:t>
      </w:r>
      <w:r>
        <w:rPr>
          <w:rFonts w:hint="eastAsia" w:ascii="Times New Roman" w:hAnsi="Times New Roman" w:eastAsia="仿宋_GB2312" w:cs="Times New Roman"/>
          <w:b w:val="0"/>
          <w:bCs w:val="0"/>
          <w:color w:val="auto"/>
          <w:kern w:val="2"/>
          <w:sz w:val="32"/>
          <w:szCs w:val="32"/>
          <w:highlight w:val="none"/>
          <w:lang w:val="en-US" w:eastAsia="zh-CN" w:bidi="ar-SA"/>
        </w:rPr>
        <w:t>相适应</w:t>
      </w:r>
      <w:r>
        <w:rPr>
          <w:rFonts w:hint="default" w:ascii="Times New Roman" w:hAnsi="Times New Roman" w:eastAsia="仿宋_GB2312" w:cs="Times New Roman"/>
          <w:b w:val="0"/>
          <w:bCs w:val="0"/>
          <w:color w:val="auto"/>
          <w:kern w:val="2"/>
          <w:sz w:val="32"/>
          <w:szCs w:val="32"/>
          <w:highlight w:val="none"/>
          <w:lang w:val="en-US" w:eastAsia="zh-CN" w:bidi="ar-SA"/>
        </w:rPr>
        <w:t>的育儿补贴动态调整机制，</w:t>
      </w:r>
      <w:r>
        <w:rPr>
          <w:rFonts w:hint="default" w:ascii="Times New Roman" w:hAnsi="Times New Roman" w:eastAsia="仿宋_GB2312" w:cs="Times New Roman"/>
          <w:b w:val="0"/>
          <w:bCs w:val="0"/>
          <w:color w:val="auto"/>
          <w:sz w:val="32"/>
          <w:szCs w:val="32"/>
          <w:highlight w:val="none"/>
          <w:lang w:val="en-US" w:eastAsia="zh-CN"/>
        </w:rPr>
        <w:t>保障女性平等就业权益与生育休假制度落实</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推动税收、住房、就业等政策协同发力。</w:t>
      </w:r>
      <w:r>
        <w:rPr>
          <w:rFonts w:hint="eastAsia" w:ascii="Times New Roman" w:hAnsi="Times New Roman" w:eastAsia="仿宋_GB2312" w:cs="Times New Roman"/>
          <w:b w:val="0"/>
          <w:bCs w:val="0"/>
          <w:color w:val="auto"/>
          <w:sz w:val="32"/>
          <w:szCs w:val="32"/>
          <w:highlight w:val="none"/>
          <w:lang w:val="en-US" w:eastAsia="zh-CN"/>
        </w:rPr>
        <w:t>建立县、乡、村三级母婴安全联动机制，</w:t>
      </w:r>
      <w:r>
        <w:rPr>
          <w:rFonts w:hint="default" w:ascii="Times New Roman" w:hAnsi="Times New Roman" w:eastAsia="仿宋_GB2312" w:cs="Times New Roman"/>
          <w:b w:val="0"/>
          <w:bCs w:val="0"/>
          <w:color w:val="auto"/>
          <w:sz w:val="32"/>
          <w:szCs w:val="32"/>
          <w:highlight w:val="none"/>
          <w:lang w:val="en-US" w:eastAsia="zh-CN"/>
        </w:rPr>
        <w:t>实施</w:t>
      </w:r>
      <w:r>
        <w:rPr>
          <w:rFonts w:hint="eastAsia" w:ascii="Times New Roman" w:hAnsi="Times New Roman" w:eastAsia="仿宋_GB2312" w:cs="Times New Roman"/>
          <w:b w:val="0"/>
          <w:bCs w:val="0"/>
          <w:color w:val="auto"/>
          <w:sz w:val="32"/>
          <w:szCs w:val="32"/>
          <w:highlight w:val="none"/>
          <w:lang w:val="en-US" w:eastAsia="zh-CN"/>
        </w:rPr>
        <w:t>“健康起点”</w:t>
      </w:r>
      <w:r>
        <w:rPr>
          <w:rFonts w:hint="default" w:ascii="Times New Roman" w:hAnsi="Times New Roman" w:eastAsia="仿宋_GB2312" w:cs="Times New Roman"/>
          <w:b w:val="0"/>
          <w:bCs w:val="0"/>
          <w:color w:val="auto"/>
          <w:sz w:val="32"/>
          <w:szCs w:val="32"/>
          <w:highlight w:val="none"/>
          <w:lang w:val="en-US" w:eastAsia="zh-CN"/>
        </w:rPr>
        <w:t>护航行动，</w:t>
      </w:r>
      <w:r>
        <w:rPr>
          <w:rFonts w:hint="eastAsia" w:ascii="Times New Roman" w:hAnsi="Times New Roman" w:eastAsia="仿宋_GB2312" w:cs="Times New Roman"/>
          <w:b w:val="0"/>
          <w:bCs w:val="0"/>
          <w:color w:val="auto"/>
          <w:sz w:val="32"/>
          <w:szCs w:val="32"/>
          <w:highlight w:val="none"/>
          <w:lang w:val="en-US" w:eastAsia="zh-CN"/>
        </w:rPr>
        <w:t>构建覆盖婚前、孕前、孕期、新生儿各阶段的出生缺陷综合防治体系。</w:t>
      </w:r>
      <w:r>
        <w:rPr>
          <w:rFonts w:hint="default" w:ascii="Times New Roman" w:hAnsi="Times New Roman" w:eastAsia="仿宋_GB2312" w:cs="Times New Roman"/>
          <w:b w:val="0"/>
          <w:bCs w:val="0"/>
          <w:color w:val="auto"/>
          <w:sz w:val="32"/>
          <w:szCs w:val="32"/>
          <w:highlight w:val="none"/>
          <w:lang w:val="en-US" w:eastAsia="zh-CN"/>
        </w:rPr>
        <w:t>大力发展普惠托育服务，</w:t>
      </w:r>
      <w:r>
        <w:rPr>
          <w:rFonts w:hint="eastAsia" w:ascii="Times New Roman" w:hAnsi="Times New Roman" w:eastAsia="仿宋_GB2312" w:cs="Times New Roman"/>
          <w:b w:val="0"/>
          <w:bCs w:val="0"/>
          <w:color w:val="auto"/>
          <w:sz w:val="32"/>
          <w:szCs w:val="32"/>
          <w:highlight w:val="none"/>
          <w:lang w:val="en-US" w:eastAsia="zh-CN"/>
        </w:rPr>
        <w:t>加快普惠托育服务体系建设，</w:t>
      </w:r>
      <w:r>
        <w:rPr>
          <w:rFonts w:hint="default" w:ascii="Times New Roman" w:hAnsi="Times New Roman" w:eastAsia="仿宋_GB2312" w:cs="Times New Roman"/>
          <w:b w:val="0"/>
          <w:bCs w:val="0"/>
          <w:color w:val="auto"/>
          <w:sz w:val="32"/>
          <w:szCs w:val="32"/>
          <w:highlight w:val="none"/>
          <w:lang w:val="en-US" w:eastAsia="zh-CN"/>
        </w:rPr>
        <w:t>鼓励社会力量参与开设幼儿园托</w:t>
      </w:r>
      <w:r>
        <w:rPr>
          <w:rFonts w:hint="eastAsia" w:ascii="Times New Roman" w:hAnsi="Times New Roman" w:eastAsia="仿宋_GB2312" w:cs="Times New Roman"/>
          <w:b w:val="0"/>
          <w:bCs w:val="0"/>
          <w:color w:val="auto"/>
          <w:sz w:val="32"/>
          <w:szCs w:val="32"/>
          <w:highlight w:val="none"/>
          <w:lang w:val="en-US" w:eastAsia="zh-CN"/>
        </w:rPr>
        <w:t>育</w:t>
      </w:r>
      <w:r>
        <w:rPr>
          <w:rFonts w:hint="default" w:ascii="Times New Roman" w:hAnsi="Times New Roman" w:eastAsia="仿宋_GB2312" w:cs="Times New Roman"/>
          <w:b w:val="0"/>
          <w:bCs w:val="0"/>
          <w:color w:val="auto"/>
          <w:sz w:val="32"/>
          <w:szCs w:val="32"/>
          <w:highlight w:val="none"/>
          <w:lang w:val="en-US" w:eastAsia="zh-CN"/>
        </w:rPr>
        <w:t>班。</w:t>
      </w:r>
      <w:r>
        <w:rPr>
          <w:rFonts w:hint="default" w:ascii="Times New Roman" w:hAnsi="Times New Roman" w:eastAsia="仿宋_GB2312" w:cs="Times New Roman"/>
          <w:b w:val="0"/>
          <w:bCs w:val="0"/>
          <w:color w:val="auto"/>
          <w:kern w:val="2"/>
          <w:sz w:val="32"/>
          <w:szCs w:val="32"/>
          <w:highlight w:val="none"/>
          <w:lang w:val="en-US" w:eastAsia="zh-CN" w:bidi="ar-SA"/>
        </w:rPr>
        <w:t>培育新型婚育文化，加强青年婚恋观、家庭观引导，对多子女家庭在公共服务</w:t>
      </w:r>
      <w:r>
        <w:rPr>
          <w:rFonts w:hint="eastAsia" w:ascii="Times New Roman" w:hAnsi="Times New Roman" w:eastAsia="仿宋_GB2312" w:cs="Times New Roman"/>
          <w:b w:val="0"/>
          <w:bCs w:val="0"/>
          <w:color w:val="auto"/>
          <w:kern w:val="2"/>
          <w:sz w:val="32"/>
          <w:szCs w:val="32"/>
          <w:highlight w:val="none"/>
          <w:lang w:val="en-US" w:eastAsia="zh-CN" w:bidi="ar-SA"/>
        </w:rPr>
        <w:t>上</w:t>
      </w:r>
      <w:r>
        <w:rPr>
          <w:rFonts w:hint="default" w:ascii="Times New Roman" w:hAnsi="Times New Roman" w:eastAsia="仿宋_GB2312" w:cs="Times New Roman"/>
          <w:b w:val="0"/>
          <w:bCs w:val="0"/>
          <w:color w:val="auto"/>
          <w:kern w:val="2"/>
          <w:sz w:val="32"/>
          <w:szCs w:val="32"/>
          <w:highlight w:val="none"/>
          <w:lang w:val="en-US" w:eastAsia="zh-CN" w:bidi="ar-SA"/>
        </w:rPr>
        <w:t>给予适当倾斜。</w:t>
      </w:r>
    </w:p>
    <w:p w14:paraId="7238AC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健全多层次养老服务体系</w:t>
      </w:r>
      <w:r>
        <w:rPr>
          <w:rFonts w:hint="eastAsia"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健全居家社区机构相协调、医养康养相结合的多层次养老服务体系，</w:t>
      </w:r>
      <w:r>
        <w:rPr>
          <w:rFonts w:hint="eastAsia" w:ascii="Times New Roman" w:hAnsi="Times New Roman" w:eastAsia="仿宋_GB2312" w:cs="Times New Roman"/>
          <w:b w:val="0"/>
          <w:bCs w:val="0"/>
          <w:color w:val="auto"/>
          <w:sz w:val="32"/>
          <w:szCs w:val="32"/>
          <w:highlight w:val="none"/>
          <w:lang w:val="en-US" w:eastAsia="zh-CN"/>
        </w:rPr>
        <w:t>优化县、乡、村三级养老服务设施布局，</w:t>
      </w:r>
      <w:r>
        <w:rPr>
          <w:rFonts w:hint="eastAsia" w:ascii="Times New Roman" w:hAnsi="Times New Roman" w:eastAsia="仿宋_GB2312" w:cs="Times New Roman"/>
          <w:b w:val="0"/>
          <w:bCs w:val="0"/>
          <w:color w:val="auto"/>
          <w:kern w:val="2"/>
          <w:sz w:val="32"/>
          <w:szCs w:val="32"/>
          <w:highlight w:val="none"/>
          <w:lang w:val="en-US" w:eastAsia="zh-CN" w:bidi="ar-SA"/>
        </w:rPr>
        <w:t>重点推进寨沙、中渡等区域性养老服务中心建设运营，巩固发展农村互助养老，实施特殊困难老年人家庭适老化改造，提升公共场所无障碍水平。深化医养融合，推动医疗机构与养老机构签约合作，持续实施鹿寨镇中心卫生院与久元养老公寓医养结合示范项目，支持中医药特色老年康养服务发展，鼓励基层医疗卫生机构增设老年护理康复床位。积极探索长期护理保险制度实施路径，加强专业照护人员培养与失能失智照护机构建设。积极开发老年人力资源，建立老年人才信息库，鼓励专业技术人才延长服务年限或退休再就业，繁荣老年教育、文化、体育事业。</w:t>
      </w:r>
    </w:p>
    <w:p w14:paraId="5BAFDD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提升</w:t>
      </w:r>
      <w:r>
        <w:rPr>
          <w:rFonts w:hint="eastAsia" w:ascii="Times New Roman" w:hAnsi="Times New Roman" w:eastAsia="仿宋_GB2312" w:cs="Times New Roman"/>
          <w:b/>
          <w:bCs/>
          <w:color w:val="auto"/>
          <w:kern w:val="2"/>
          <w:sz w:val="32"/>
          <w:szCs w:val="32"/>
          <w:highlight w:val="none"/>
          <w:lang w:val="en-US" w:eastAsia="zh-CN" w:bidi="ar-SA"/>
        </w:rPr>
        <w:t>重点</w:t>
      </w:r>
      <w:r>
        <w:rPr>
          <w:rFonts w:hint="default" w:ascii="Times New Roman" w:hAnsi="Times New Roman" w:eastAsia="仿宋_GB2312" w:cs="Times New Roman"/>
          <w:b/>
          <w:bCs/>
          <w:color w:val="auto"/>
          <w:kern w:val="2"/>
          <w:sz w:val="32"/>
          <w:szCs w:val="32"/>
          <w:highlight w:val="none"/>
          <w:lang w:val="en-US" w:eastAsia="zh-CN" w:bidi="ar-SA"/>
        </w:rPr>
        <w:t>人群服务</w:t>
      </w:r>
      <w:r>
        <w:rPr>
          <w:rFonts w:hint="eastAsia" w:ascii="Times New Roman" w:hAnsi="Times New Roman" w:eastAsia="仿宋_GB2312" w:cs="Times New Roman"/>
          <w:b/>
          <w:bCs/>
          <w:color w:val="auto"/>
          <w:kern w:val="2"/>
          <w:sz w:val="32"/>
          <w:szCs w:val="32"/>
          <w:highlight w:val="none"/>
          <w:lang w:val="en-US" w:eastAsia="zh-CN" w:bidi="ar-SA"/>
        </w:rPr>
        <w:t>保障</w:t>
      </w:r>
      <w:r>
        <w:rPr>
          <w:rFonts w:hint="default" w:ascii="Times New Roman" w:hAnsi="Times New Roman" w:eastAsia="仿宋_GB2312" w:cs="Times New Roman"/>
          <w:b/>
          <w:bCs/>
          <w:color w:val="auto"/>
          <w:kern w:val="2"/>
          <w:sz w:val="32"/>
          <w:szCs w:val="32"/>
          <w:highlight w:val="none"/>
          <w:lang w:val="en-US" w:eastAsia="zh-CN" w:bidi="ar-SA"/>
        </w:rPr>
        <w:t>与</w:t>
      </w:r>
      <w:r>
        <w:rPr>
          <w:rFonts w:hint="eastAsia" w:ascii="Times New Roman" w:hAnsi="Times New Roman" w:eastAsia="仿宋_GB2312" w:cs="Times New Roman"/>
          <w:b/>
          <w:bCs/>
          <w:color w:val="auto"/>
          <w:kern w:val="2"/>
          <w:sz w:val="32"/>
          <w:szCs w:val="32"/>
          <w:highlight w:val="none"/>
          <w:lang w:val="en-US" w:eastAsia="zh-CN" w:bidi="ar-SA"/>
        </w:rPr>
        <w:t>县域</w:t>
      </w:r>
      <w:r>
        <w:rPr>
          <w:rFonts w:hint="default" w:ascii="Times New Roman" w:hAnsi="Times New Roman" w:eastAsia="仿宋_GB2312" w:cs="Times New Roman"/>
          <w:b/>
          <w:bCs/>
          <w:color w:val="auto"/>
          <w:kern w:val="2"/>
          <w:sz w:val="32"/>
          <w:szCs w:val="32"/>
          <w:highlight w:val="none"/>
          <w:lang w:val="en-US" w:eastAsia="zh-CN" w:bidi="ar-SA"/>
        </w:rPr>
        <w:t>承载力</w:t>
      </w:r>
      <w:r>
        <w:rPr>
          <w:rFonts w:hint="eastAsia"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积极</w:t>
      </w:r>
      <w:r>
        <w:rPr>
          <w:rFonts w:hint="default" w:ascii="Times New Roman" w:hAnsi="Times New Roman" w:eastAsia="仿宋_GB2312" w:cs="Times New Roman"/>
          <w:b w:val="0"/>
          <w:bCs w:val="0"/>
          <w:color w:val="auto"/>
          <w:kern w:val="2"/>
          <w:sz w:val="32"/>
          <w:szCs w:val="32"/>
          <w:highlight w:val="none"/>
          <w:lang w:val="en-US" w:eastAsia="zh-CN" w:bidi="ar-SA"/>
        </w:rPr>
        <w:t>对接柳东新区发展，优化住房供给结构，增加保障性租赁住房、共有产权住房对园区就业人员及新引进人才的供给。推动房地产业绿色</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低碳</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智能化转型，提升住宅品质与物业服务标准，探索存量商品房转保障性住房机制。推广</w:t>
      </w:r>
      <w:r>
        <w:rPr>
          <w:rFonts w:hint="eastAsia" w:ascii="仿宋_GB2312" w:hAnsi="仿宋_GB2312" w:eastAsia="仿宋_GB2312" w:cs="仿宋_GB2312"/>
          <w:b w:val="0"/>
          <w:bCs w:val="0"/>
          <w:color w:val="auto"/>
          <w:kern w:val="2"/>
          <w:sz w:val="32"/>
          <w:szCs w:val="32"/>
          <w:highlight w:val="none"/>
          <w:lang w:val="en-US" w:eastAsia="zh-CN" w:bidi="ar-SA"/>
        </w:rPr>
        <w:t>“祥鹿物业”等“大物业”服务</w:t>
      </w:r>
      <w:r>
        <w:rPr>
          <w:rFonts w:hint="default" w:ascii="Times New Roman" w:hAnsi="Times New Roman" w:eastAsia="仿宋_GB2312" w:cs="Times New Roman"/>
          <w:b w:val="0"/>
          <w:bCs w:val="0"/>
          <w:color w:val="auto"/>
          <w:kern w:val="2"/>
          <w:sz w:val="32"/>
          <w:szCs w:val="32"/>
          <w:highlight w:val="none"/>
          <w:lang w:val="en-US" w:eastAsia="zh-CN" w:bidi="ar-SA"/>
        </w:rPr>
        <w:t>模式，</w:t>
      </w:r>
      <w:r>
        <w:rPr>
          <w:rFonts w:hint="eastAsia" w:ascii="Times New Roman" w:hAnsi="Times New Roman" w:eastAsia="仿宋_GB2312" w:cs="Times New Roman"/>
          <w:b w:val="0"/>
          <w:bCs w:val="0"/>
          <w:color w:val="auto"/>
          <w:kern w:val="2"/>
          <w:sz w:val="32"/>
          <w:szCs w:val="32"/>
          <w:highlight w:val="none"/>
          <w:lang w:val="en-US" w:eastAsia="zh-CN" w:bidi="ar-SA"/>
        </w:rPr>
        <w:t>推动</w:t>
      </w:r>
      <w:r>
        <w:rPr>
          <w:rFonts w:hint="default" w:ascii="Times New Roman" w:hAnsi="Times New Roman" w:eastAsia="仿宋_GB2312" w:cs="Times New Roman"/>
          <w:b w:val="0"/>
          <w:bCs w:val="0"/>
          <w:color w:val="auto"/>
          <w:kern w:val="2"/>
          <w:sz w:val="32"/>
          <w:szCs w:val="32"/>
          <w:highlight w:val="none"/>
          <w:lang w:val="en-US" w:eastAsia="zh-CN" w:bidi="ar-SA"/>
        </w:rPr>
        <w:t>人工智能</w:t>
      </w:r>
      <w:r>
        <w:rPr>
          <w:rFonts w:hint="eastAsia" w:ascii="Times New Roman" w:hAnsi="Times New Roman" w:eastAsia="仿宋_GB2312" w:cs="Times New Roman"/>
          <w:b w:val="0"/>
          <w:bCs w:val="0"/>
          <w:color w:val="auto"/>
          <w:kern w:val="2"/>
          <w:sz w:val="32"/>
          <w:szCs w:val="32"/>
          <w:highlight w:val="none"/>
          <w:lang w:val="en-US" w:eastAsia="zh-CN" w:bidi="ar-SA"/>
        </w:rPr>
        <w:t>技术</w:t>
      </w:r>
      <w:r>
        <w:rPr>
          <w:rFonts w:hint="default" w:ascii="Times New Roman" w:hAnsi="Times New Roman" w:eastAsia="仿宋_GB2312" w:cs="Times New Roman"/>
          <w:b w:val="0"/>
          <w:bCs w:val="0"/>
          <w:color w:val="auto"/>
          <w:kern w:val="2"/>
          <w:sz w:val="32"/>
          <w:szCs w:val="32"/>
          <w:highlight w:val="none"/>
          <w:lang w:val="en-US" w:eastAsia="zh-CN" w:bidi="ar-SA"/>
        </w:rPr>
        <w:t>在养老、社区管理等场景</w:t>
      </w:r>
      <w:r>
        <w:rPr>
          <w:rFonts w:hint="eastAsia" w:ascii="Times New Roman" w:hAnsi="Times New Roman" w:eastAsia="仿宋_GB2312" w:cs="Times New Roman"/>
          <w:b w:val="0"/>
          <w:bCs w:val="0"/>
          <w:color w:val="auto"/>
          <w:kern w:val="2"/>
          <w:sz w:val="32"/>
          <w:szCs w:val="32"/>
          <w:highlight w:val="none"/>
          <w:lang w:val="en-US" w:eastAsia="zh-CN" w:bidi="ar-SA"/>
        </w:rPr>
        <w:t>的融合</w:t>
      </w:r>
      <w:r>
        <w:rPr>
          <w:rFonts w:hint="default" w:ascii="Times New Roman" w:hAnsi="Times New Roman" w:eastAsia="仿宋_GB2312" w:cs="Times New Roman"/>
          <w:b w:val="0"/>
          <w:bCs w:val="0"/>
          <w:color w:val="auto"/>
          <w:kern w:val="2"/>
          <w:sz w:val="32"/>
          <w:szCs w:val="32"/>
          <w:highlight w:val="none"/>
          <w:lang w:val="en-US" w:eastAsia="zh-CN" w:bidi="ar-SA"/>
        </w:rPr>
        <w:t>应用，全面推进城乡公共空间适老化、适儿化及无障碍改造</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加强妇女儿童、残疾人等重点群体健康服务。围绕</w:t>
      </w:r>
      <w:r>
        <w:rPr>
          <w:rFonts w:hint="eastAsia" w:ascii="Times New Roman" w:hAnsi="Times New Roman" w:eastAsia="仿宋_GB2312" w:cs="Times New Roman"/>
          <w:b w:val="0"/>
          <w:bCs w:val="0"/>
          <w:color w:val="auto"/>
          <w:kern w:val="2"/>
          <w:sz w:val="32"/>
          <w:szCs w:val="32"/>
          <w:highlight w:val="none"/>
          <w:lang w:val="en-US" w:eastAsia="zh-CN" w:bidi="ar-SA"/>
        </w:rPr>
        <w:t>县域</w:t>
      </w:r>
      <w:r>
        <w:rPr>
          <w:rFonts w:hint="default" w:ascii="Times New Roman" w:hAnsi="Times New Roman" w:eastAsia="仿宋_GB2312" w:cs="Times New Roman"/>
          <w:b w:val="0"/>
          <w:bCs w:val="0"/>
          <w:color w:val="auto"/>
          <w:kern w:val="2"/>
          <w:sz w:val="32"/>
          <w:szCs w:val="32"/>
          <w:highlight w:val="none"/>
          <w:lang w:val="en-US" w:eastAsia="zh-CN" w:bidi="ar-SA"/>
        </w:rPr>
        <w:t>主导产业发展需求，完善人才引进与创业扶持政策，吸引大中专毕业生和外出务工人员返乡就业创业，保障外来常住人口平等享受公共服务。统筹布局教育、文化、体育等设施，持续完善城乡环境与安全基础设施，</w:t>
      </w:r>
      <w:r>
        <w:rPr>
          <w:rFonts w:hint="eastAsia" w:ascii="Times New Roman" w:hAnsi="Times New Roman" w:eastAsia="仿宋_GB2312" w:cs="Times New Roman"/>
          <w:b w:val="0"/>
          <w:bCs w:val="0"/>
          <w:color w:val="auto"/>
          <w:kern w:val="2"/>
          <w:sz w:val="32"/>
          <w:szCs w:val="32"/>
          <w:highlight w:val="none"/>
          <w:lang w:val="en-US" w:eastAsia="zh-CN" w:bidi="ar-SA"/>
        </w:rPr>
        <w:t>着力构建</w:t>
      </w:r>
      <w:r>
        <w:rPr>
          <w:rFonts w:hint="default" w:ascii="Times New Roman" w:hAnsi="Times New Roman" w:eastAsia="仿宋_GB2312" w:cs="Times New Roman"/>
          <w:b w:val="0"/>
          <w:bCs w:val="0"/>
          <w:color w:val="auto"/>
          <w:kern w:val="2"/>
          <w:sz w:val="32"/>
          <w:szCs w:val="32"/>
          <w:highlight w:val="none"/>
          <w:lang w:val="en-US" w:eastAsia="zh-CN" w:bidi="ar-SA"/>
        </w:rPr>
        <w:t>全龄友好、宜居韧性智慧的人居环境。</w:t>
      </w:r>
    </w:p>
    <w:p w14:paraId="2E0596D3">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Times New Roman" w:hAnsi="Times New Roman" w:eastAsia="黑体" w:cs="Times New Roman"/>
          <w:b w:val="0"/>
          <w:bCs w:val="0"/>
          <w:color w:val="auto"/>
          <w:kern w:val="2"/>
          <w:sz w:val="36"/>
          <w:szCs w:val="36"/>
          <w:highlight w:val="none"/>
          <w:lang w:val="zh-TW" w:eastAsia="zh-CN" w:bidi="ar-SA"/>
        </w:rPr>
      </w:pPr>
      <w:bookmarkStart w:id="278" w:name="_Toc4935"/>
      <w:bookmarkStart w:id="279" w:name="_Toc11511"/>
      <w:r>
        <w:rPr>
          <w:rFonts w:hint="default" w:ascii="Times New Roman" w:hAnsi="Times New Roman" w:eastAsia="黑体" w:cs="Times New Roman"/>
          <w:b w:val="0"/>
          <w:bCs w:val="0"/>
          <w:color w:val="auto"/>
          <w:kern w:val="2"/>
          <w:sz w:val="36"/>
          <w:szCs w:val="36"/>
          <w:highlight w:val="none"/>
          <w:lang w:val="zh-TW" w:eastAsia="zh-CN" w:bidi="ar-SA"/>
        </w:rPr>
        <w:t>第</w:t>
      </w:r>
      <w:r>
        <w:rPr>
          <w:rFonts w:hint="eastAsia" w:ascii="Times New Roman" w:hAnsi="Times New Roman" w:cs="Times New Roman"/>
          <w:b w:val="0"/>
          <w:bCs w:val="0"/>
          <w:color w:val="auto"/>
          <w:kern w:val="2"/>
          <w:sz w:val="36"/>
          <w:szCs w:val="36"/>
          <w:highlight w:val="none"/>
          <w:lang w:val="zh-TW" w:eastAsia="zh-CN" w:bidi="ar-SA"/>
        </w:rPr>
        <w:t>四</w:t>
      </w:r>
      <w:r>
        <w:rPr>
          <w:rFonts w:hint="default" w:ascii="Times New Roman" w:hAnsi="Times New Roman" w:eastAsia="黑体" w:cs="Times New Roman"/>
          <w:b w:val="0"/>
          <w:bCs w:val="0"/>
          <w:color w:val="auto"/>
          <w:kern w:val="2"/>
          <w:sz w:val="36"/>
          <w:szCs w:val="36"/>
          <w:highlight w:val="none"/>
          <w:lang w:val="zh-TW" w:eastAsia="zh-CN" w:bidi="ar-SA"/>
        </w:rPr>
        <w:t>节</w:t>
      </w:r>
      <w:bookmarkEnd w:id="274"/>
      <w:bookmarkEnd w:id="275"/>
      <w:r>
        <w:rPr>
          <w:rFonts w:hint="default" w:ascii="Times New Roman" w:hAnsi="Times New Roman" w:eastAsia="黑体" w:cs="Times New Roman"/>
          <w:b w:val="0"/>
          <w:bCs w:val="0"/>
          <w:color w:val="auto"/>
          <w:kern w:val="2"/>
          <w:sz w:val="36"/>
          <w:szCs w:val="36"/>
          <w:highlight w:val="none"/>
          <w:lang w:val="en-US" w:eastAsia="zh-CN" w:bidi="ar-SA"/>
        </w:rPr>
        <w:t xml:space="preserve">  </w:t>
      </w:r>
      <w:r>
        <w:rPr>
          <w:rFonts w:hint="default" w:ascii="Times New Roman" w:hAnsi="Times New Roman" w:eastAsia="黑体" w:cs="Times New Roman"/>
          <w:b w:val="0"/>
          <w:bCs w:val="0"/>
          <w:color w:val="auto"/>
          <w:kern w:val="2"/>
          <w:sz w:val="36"/>
          <w:szCs w:val="36"/>
          <w:highlight w:val="none"/>
          <w:lang w:val="zh-TW" w:eastAsia="zh-CN" w:bidi="ar-SA"/>
        </w:rPr>
        <w:t>健全多层次社会保障体系</w:t>
      </w:r>
      <w:bookmarkEnd w:id="276"/>
      <w:bookmarkEnd w:id="277"/>
      <w:bookmarkEnd w:id="278"/>
      <w:bookmarkEnd w:id="279"/>
    </w:p>
    <w:p w14:paraId="4AB6884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zh-TW" w:eastAsia="zh-CN"/>
        </w:rPr>
      </w:pPr>
      <w:r>
        <w:rPr>
          <w:rFonts w:hint="default" w:ascii="Times New Roman" w:hAnsi="Times New Roman" w:eastAsia="仿宋_GB2312" w:cs="Times New Roman"/>
          <w:b w:val="0"/>
          <w:bCs w:val="0"/>
          <w:color w:val="auto"/>
          <w:kern w:val="2"/>
          <w:sz w:val="32"/>
          <w:szCs w:val="32"/>
          <w:highlight w:val="none"/>
          <w:lang w:val="en-US" w:eastAsia="zh-CN" w:bidi="ar-SA"/>
        </w:rPr>
        <w:t>聚焦</w:t>
      </w:r>
      <w:r>
        <w:rPr>
          <w:rFonts w:hint="eastAsia" w:ascii="仿宋_GB2312" w:hAnsi="仿宋_GB2312" w:eastAsia="仿宋_GB2312" w:cs="仿宋_GB2312"/>
          <w:b w:val="0"/>
          <w:bCs w:val="0"/>
          <w:color w:val="auto"/>
          <w:kern w:val="2"/>
          <w:sz w:val="32"/>
          <w:szCs w:val="32"/>
          <w:highlight w:val="none"/>
          <w:lang w:val="en-US" w:eastAsia="zh-CN" w:bidi="ar-SA"/>
        </w:rPr>
        <w:t>“稳就业、强保障、聚人才、促和谐、优服务”核</w:t>
      </w:r>
      <w:r>
        <w:rPr>
          <w:rFonts w:hint="default" w:ascii="Times New Roman" w:hAnsi="Times New Roman" w:eastAsia="仿宋_GB2312" w:cs="Times New Roman"/>
          <w:b w:val="0"/>
          <w:bCs w:val="0"/>
          <w:color w:val="auto"/>
          <w:kern w:val="2"/>
          <w:sz w:val="32"/>
          <w:szCs w:val="32"/>
          <w:highlight w:val="none"/>
          <w:lang w:val="en-US" w:eastAsia="zh-CN" w:bidi="ar-SA"/>
        </w:rPr>
        <w:t>心职能，健全覆盖全民、统筹城乡、公平统一、可持续的多层次社会保障体系，织密扎牢民生兜底保障安全网。</w:t>
      </w:r>
    </w:p>
    <w:p w14:paraId="79FAE5F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促进高质量充分就业。</w:t>
      </w:r>
      <w:r>
        <w:rPr>
          <w:rFonts w:hint="default" w:ascii="Times New Roman" w:hAnsi="Times New Roman" w:eastAsia="仿宋_GB2312" w:cs="Times New Roman"/>
          <w:b w:val="0"/>
          <w:bCs w:val="0"/>
          <w:color w:val="auto"/>
          <w:sz w:val="32"/>
          <w:szCs w:val="32"/>
          <w:highlight w:val="none"/>
          <w:lang w:eastAsia="zh-CN"/>
        </w:rPr>
        <w:t>坚持就业优先</w:t>
      </w:r>
      <w:r>
        <w:rPr>
          <w:rFonts w:hint="eastAsia" w:ascii="Times New Roman" w:hAnsi="Times New Roman" w:eastAsia="仿宋_GB2312" w:cs="Times New Roman"/>
          <w:b w:val="0"/>
          <w:bCs w:val="0"/>
          <w:color w:val="auto"/>
          <w:sz w:val="32"/>
          <w:szCs w:val="32"/>
          <w:highlight w:val="none"/>
          <w:lang w:val="en-US" w:eastAsia="zh-CN"/>
        </w:rPr>
        <w:t>战略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围绕</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2311</w:t>
      </w:r>
      <w:r>
        <w:rPr>
          <w:rFonts w:hint="eastAsia" w:ascii="仿宋_GB2312" w:hAnsi="仿宋_GB2312" w:eastAsia="仿宋_GB2312" w:cs="仿宋_GB2312"/>
          <w:b w:val="0"/>
          <w:bCs w:val="0"/>
          <w:color w:val="auto"/>
          <w:kern w:val="2"/>
          <w:sz w:val="32"/>
          <w:szCs w:val="32"/>
          <w:highlight w:val="none"/>
          <w:lang w:val="en-US" w:eastAsia="zh-CN" w:bidi="ar-SA"/>
        </w:rPr>
        <w:t>”产业</w:t>
      </w:r>
      <w:r>
        <w:rPr>
          <w:rFonts w:hint="default" w:ascii="Times New Roman" w:hAnsi="Times New Roman" w:eastAsia="仿宋_GB2312" w:cs="Times New Roman"/>
          <w:b w:val="0"/>
          <w:bCs w:val="0"/>
          <w:color w:val="auto"/>
          <w:kern w:val="2"/>
          <w:sz w:val="32"/>
          <w:szCs w:val="32"/>
          <w:highlight w:val="none"/>
          <w:lang w:val="en-US" w:eastAsia="zh-CN" w:bidi="ar-SA"/>
        </w:rPr>
        <w:t>体系，大力发展高端绿色家居、绿色化工新材料、高端装备制造等制造业及配套服务业，积极培育电子信息、人工智能、低空经济等新兴领域就业</w:t>
      </w:r>
      <w:r>
        <w:rPr>
          <w:rFonts w:hint="eastAsia" w:ascii="Times New Roman" w:hAnsi="Times New Roman" w:eastAsia="仿宋_GB2312" w:cs="Times New Roman"/>
          <w:b w:val="0"/>
          <w:bCs w:val="0"/>
          <w:color w:val="auto"/>
          <w:kern w:val="2"/>
          <w:sz w:val="32"/>
          <w:szCs w:val="32"/>
          <w:highlight w:val="none"/>
          <w:lang w:val="en-US" w:eastAsia="zh-CN" w:bidi="ar-SA"/>
        </w:rPr>
        <w:t>岗位</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sz w:val="32"/>
          <w:szCs w:val="32"/>
          <w:highlight w:val="none"/>
          <w:lang w:val="en-US" w:eastAsia="zh-CN"/>
        </w:rPr>
        <w:t>学习借鉴先进发</w:t>
      </w:r>
      <w:r>
        <w:rPr>
          <w:rFonts w:hint="default" w:ascii="Times New Roman" w:hAnsi="Times New Roman" w:eastAsia="仿宋_GB2312" w:cs="Times New Roman"/>
          <w:b w:val="0"/>
          <w:bCs w:val="0"/>
          <w:color w:val="auto"/>
          <w:sz w:val="32"/>
          <w:szCs w:val="32"/>
          <w:highlight w:val="none"/>
          <w:lang w:val="en-US" w:eastAsia="zh-CN"/>
        </w:rPr>
        <w:t>展经验，</w:t>
      </w:r>
      <w:r>
        <w:rPr>
          <w:rFonts w:hint="eastAsia" w:ascii="Times New Roman" w:hAnsi="Times New Roman" w:eastAsia="仿宋_GB2312" w:cs="Times New Roman"/>
          <w:b w:val="0"/>
          <w:bCs w:val="0"/>
          <w:color w:val="auto"/>
          <w:sz w:val="32"/>
          <w:szCs w:val="32"/>
          <w:highlight w:val="none"/>
          <w:lang w:val="en-US" w:eastAsia="zh-CN"/>
        </w:rPr>
        <w:t>推动</w:t>
      </w:r>
      <w:r>
        <w:rPr>
          <w:rFonts w:hint="default" w:ascii="Times New Roman" w:hAnsi="Times New Roman" w:eastAsia="仿宋_GB2312" w:cs="Times New Roman"/>
          <w:b w:val="0"/>
          <w:bCs w:val="0"/>
          <w:color w:val="auto"/>
          <w:sz w:val="32"/>
          <w:szCs w:val="32"/>
          <w:highlight w:val="none"/>
          <w:lang w:val="en-US" w:eastAsia="zh-CN"/>
        </w:rPr>
        <w:t>水果、桑蚕、中药材等特色农业</w:t>
      </w:r>
      <w:r>
        <w:rPr>
          <w:rFonts w:hint="eastAsia" w:ascii="Times New Roman" w:hAnsi="Times New Roman" w:eastAsia="仿宋_GB2312" w:cs="Times New Roman"/>
          <w:b w:val="0"/>
          <w:bCs w:val="0"/>
          <w:color w:val="auto"/>
          <w:sz w:val="32"/>
          <w:szCs w:val="32"/>
          <w:highlight w:val="none"/>
          <w:lang w:val="en-US" w:eastAsia="zh-CN"/>
        </w:rPr>
        <w:t>全产业链</w:t>
      </w:r>
      <w:r>
        <w:rPr>
          <w:rFonts w:hint="default" w:ascii="Times New Roman" w:hAnsi="Times New Roman" w:eastAsia="仿宋_GB2312" w:cs="Times New Roman"/>
          <w:b w:val="0"/>
          <w:bCs w:val="0"/>
          <w:color w:val="auto"/>
          <w:sz w:val="32"/>
          <w:szCs w:val="32"/>
          <w:highlight w:val="none"/>
          <w:lang w:val="en-US" w:eastAsia="zh-CN"/>
        </w:rPr>
        <w:t>延伸，</w:t>
      </w:r>
      <w:r>
        <w:rPr>
          <w:rFonts w:hint="default" w:ascii="Times New Roman" w:hAnsi="Times New Roman" w:eastAsia="仿宋_GB2312" w:cs="Times New Roman"/>
          <w:b w:val="0"/>
          <w:bCs w:val="0"/>
          <w:color w:val="auto"/>
          <w:kern w:val="2"/>
          <w:sz w:val="32"/>
          <w:szCs w:val="32"/>
          <w:highlight w:val="none"/>
          <w:lang w:val="en-US" w:eastAsia="zh-CN" w:bidi="ar-SA"/>
        </w:rPr>
        <w:t>拓宽农村劳动力就地就业渠道。借</w:t>
      </w:r>
      <w:r>
        <w:rPr>
          <w:rFonts w:hint="eastAsia" w:ascii="仿宋_GB2312" w:hAnsi="仿宋_GB2312" w:eastAsia="仿宋_GB2312" w:cs="仿宋_GB2312"/>
          <w:b w:val="0"/>
          <w:bCs w:val="0"/>
          <w:color w:val="auto"/>
          <w:kern w:val="2"/>
          <w:sz w:val="32"/>
          <w:szCs w:val="32"/>
          <w:highlight w:val="none"/>
          <w:lang w:val="en-US" w:eastAsia="zh-CN" w:bidi="ar-SA"/>
        </w:rPr>
        <w:t>鉴“园区+车间+庭院”模</w:t>
      </w:r>
      <w:r>
        <w:rPr>
          <w:rFonts w:hint="default" w:ascii="Times New Roman" w:hAnsi="Times New Roman" w:eastAsia="仿宋_GB2312" w:cs="Times New Roman"/>
          <w:b w:val="0"/>
          <w:bCs w:val="0"/>
          <w:color w:val="auto"/>
          <w:kern w:val="2"/>
          <w:sz w:val="32"/>
          <w:szCs w:val="32"/>
          <w:highlight w:val="none"/>
          <w:lang w:val="en-US" w:eastAsia="zh-CN" w:bidi="ar-SA"/>
        </w:rPr>
        <w:t>式，推动产业园区与乡镇就业帮扶车间联动，打造</w:t>
      </w:r>
      <w:r>
        <w:rPr>
          <w:rFonts w:hint="eastAsia" w:ascii="仿宋_GB2312" w:hAnsi="仿宋_GB2312" w:eastAsia="仿宋_GB2312" w:cs="仿宋_GB2312"/>
          <w:b w:val="0"/>
          <w:bCs w:val="0"/>
          <w:color w:val="auto"/>
          <w:kern w:val="2"/>
          <w:sz w:val="32"/>
          <w:szCs w:val="32"/>
          <w:highlight w:val="none"/>
          <w:lang w:val="en-US" w:eastAsia="zh-CN" w:bidi="ar-SA"/>
        </w:rPr>
        <w:t>“家门口”就业</w:t>
      </w:r>
      <w:r>
        <w:rPr>
          <w:rFonts w:hint="default" w:ascii="Times New Roman" w:hAnsi="Times New Roman" w:eastAsia="仿宋_GB2312" w:cs="Times New Roman"/>
          <w:b w:val="0"/>
          <w:bCs w:val="0"/>
          <w:color w:val="auto"/>
          <w:kern w:val="2"/>
          <w:sz w:val="32"/>
          <w:szCs w:val="32"/>
          <w:highlight w:val="none"/>
          <w:lang w:val="en-US" w:eastAsia="zh-CN" w:bidi="ar-SA"/>
        </w:rPr>
        <w:t>平台。</w:t>
      </w:r>
      <w:r>
        <w:rPr>
          <w:rFonts w:hint="eastAsia" w:ascii="Times New Roman" w:hAnsi="Times New Roman" w:eastAsia="仿宋_GB2312" w:cs="Times New Roman"/>
          <w:b w:val="0"/>
          <w:bCs w:val="0"/>
          <w:color w:val="auto"/>
          <w:sz w:val="32"/>
          <w:szCs w:val="32"/>
          <w:highlight w:val="none"/>
          <w:lang w:val="en-US" w:eastAsia="zh-CN"/>
        </w:rPr>
        <w:t>落实</w:t>
      </w:r>
      <w:r>
        <w:rPr>
          <w:rFonts w:hint="default" w:ascii="Times New Roman" w:hAnsi="Times New Roman" w:eastAsia="仿宋_GB2312" w:cs="Times New Roman"/>
          <w:b w:val="0"/>
          <w:bCs w:val="0"/>
          <w:color w:val="auto"/>
          <w:sz w:val="32"/>
          <w:szCs w:val="32"/>
          <w:highlight w:val="none"/>
          <w:lang w:eastAsia="zh-CN"/>
        </w:rPr>
        <w:t>稳岗返还、税费减免、创业担保贷款等政策，</w:t>
      </w:r>
      <w:r>
        <w:rPr>
          <w:rFonts w:hint="eastAsia" w:ascii="Times New Roman" w:hAnsi="Times New Roman" w:eastAsia="仿宋_GB2312" w:cs="Times New Roman"/>
          <w:b w:val="0"/>
          <w:bCs w:val="0"/>
          <w:color w:val="auto"/>
          <w:sz w:val="32"/>
          <w:szCs w:val="32"/>
          <w:highlight w:val="none"/>
          <w:lang w:val="en-US" w:eastAsia="zh-CN"/>
        </w:rPr>
        <w:t>减轻</w:t>
      </w:r>
      <w:r>
        <w:rPr>
          <w:rFonts w:hint="default" w:ascii="Times New Roman" w:hAnsi="Times New Roman" w:eastAsia="仿宋_GB2312" w:cs="Times New Roman"/>
          <w:b w:val="0"/>
          <w:bCs w:val="0"/>
          <w:color w:val="auto"/>
          <w:sz w:val="32"/>
          <w:szCs w:val="32"/>
          <w:highlight w:val="none"/>
          <w:lang w:eastAsia="zh-CN"/>
        </w:rPr>
        <w:t>经营主体</w:t>
      </w:r>
      <w:r>
        <w:rPr>
          <w:rFonts w:hint="eastAsia" w:ascii="Times New Roman" w:hAnsi="Times New Roman" w:eastAsia="仿宋_GB2312" w:cs="Times New Roman"/>
          <w:b w:val="0"/>
          <w:bCs w:val="0"/>
          <w:color w:val="auto"/>
          <w:sz w:val="32"/>
          <w:szCs w:val="32"/>
          <w:highlight w:val="none"/>
          <w:lang w:val="en-US" w:eastAsia="zh-CN"/>
        </w:rPr>
        <w:t>负担。</w:t>
      </w:r>
      <w:r>
        <w:rPr>
          <w:rFonts w:hint="default" w:ascii="Times New Roman" w:hAnsi="Times New Roman" w:eastAsia="仿宋_GB2312" w:cs="Times New Roman"/>
          <w:b w:val="0"/>
          <w:bCs w:val="0"/>
          <w:color w:val="auto"/>
          <w:sz w:val="32"/>
          <w:szCs w:val="32"/>
          <w:highlight w:val="none"/>
          <w:lang w:eastAsia="zh-CN"/>
        </w:rPr>
        <w:t>全力促进高校毕业生等青年就业创业，</w:t>
      </w:r>
      <w:r>
        <w:rPr>
          <w:rFonts w:hint="eastAsia" w:ascii="Times New Roman" w:hAnsi="Times New Roman" w:eastAsia="仿宋_GB2312" w:cs="Times New Roman"/>
          <w:b w:val="0"/>
          <w:bCs w:val="0"/>
          <w:color w:val="auto"/>
          <w:sz w:val="32"/>
          <w:szCs w:val="32"/>
          <w:highlight w:val="none"/>
          <w:lang w:val="en-US" w:eastAsia="zh-CN"/>
        </w:rPr>
        <w:t>深化</w:t>
      </w:r>
      <w:r>
        <w:rPr>
          <w:rFonts w:hint="eastAsia" w:ascii="仿宋_GB2312" w:hAnsi="仿宋_GB2312" w:eastAsia="仿宋_GB2312" w:cs="仿宋_GB2312"/>
          <w:b w:val="0"/>
          <w:bCs w:val="0"/>
          <w:color w:val="auto"/>
          <w:sz w:val="32"/>
          <w:szCs w:val="32"/>
          <w:highlight w:val="none"/>
          <w:lang w:eastAsia="zh-CN"/>
        </w:rPr>
        <w:t>“百校联百园 千企促就业”供需对接行动</w:t>
      </w:r>
      <w:r>
        <w:rPr>
          <w:rFonts w:hint="eastAsia" w:ascii="仿宋_GB2312" w:hAnsi="仿宋_GB2312" w:eastAsia="仿宋_GB2312" w:cs="仿宋_GB2312"/>
          <w:b w:val="0"/>
          <w:bCs w:val="0"/>
          <w:color w:val="auto"/>
          <w:sz w:val="32"/>
          <w:szCs w:val="32"/>
          <w:highlight w:val="none"/>
          <w:lang w:val="en-US" w:eastAsia="zh-CN"/>
        </w:rPr>
        <w:t>与</w:t>
      </w:r>
      <w:r>
        <w:rPr>
          <w:rFonts w:hint="eastAsia" w:ascii="仿宋_GB2312" w:hAnsi="仿宋_GB2312" w:eastAsia="仿宋_GB2312" w:cs="仿宋_GB2312"/>
          <w:b w:val="0"/>
          <w:bCs w:val="0"/>
          <w:color w:val="auto"/>
          <w:sz w:val="32"/>
          <w:szCs w:val="32"/>
          <w:highlight w:val="none"/>
          <w:lang w:eastAsia="zh-CN"/>
        </w:rPr>
        <w:t>“技能照亮前程”</w:t>
      </w:r>
      <w:r>
        <w:rPr>
          <w:rFonts w:hint="default" w:ascii="Times New Roman" w:hAnsi="Times New Roman" w:eastAsia="仿宋_GB2312" w:cs="Times New Roman"/>
          <w:b w:val="0"/>
          <w:bCs w:val="0"/>
          <w:color w:val="auto"/>
          <w:sz w:val="32"/>
          <w:szCs w:val="32"/>
          <w:highlight w:val="none"/>
          <w:lang w:eastAsia="zh-CN"/>
        </w:rPr>
        <w:t>培训，对接新质生产力</w:t>
      </w:r>
      <w:r>
        <w:rPr>
          <w:rFonts w:hint="eastAsia" w:ascii="仿宋_GB2312" w:hAnsi="仿宋_GB2312" w:eastAsia="仿宋_GB2312" w:cs="仿宋_GB2312"/>
          <w:b w:val="0"/>
          <w:bCs w:val="0"/>
          <w:color w:val="auto"/>
          <w:sz w:val="32"/>
          <w:szCs w:val="32"/>
          <w:highlight w:val="none"/>
          <w:lang w:eastAsia="zh-CN"/>
        </w:rPr>
        <w:t>与“一老一小”</w:t>
      </w:r>
      <w:r>
        <w:rPr>
          <w:rFonts w:hint="default" w:ascii="Times New Roman" w:hAnsi="Times New Roman" w:eastAsia="仿宋_GB2312" w:cs="Times New Roman"/>
          <w:b w:val="0"/>
          <w:bCs w:val="0"/>
          <w:color w:val="auto"/>
          <w:sz w:val="32"/>
          <w:szCs w:val="32"/>
          <w:highlight w:val="none"/>
          <w:lang w:eastAsia="zh-CN"/>
        </w:rPr>
        <w:t>服务人才需求。健全重点群体</w:t>
      </w:r>
      <w:r>
        <w:rPr>
          <w:rFonts w:hint="eastAsia" w:ascii="Times New Roman" w:hAnsi="Times New Roman" w:eastAsia="仿宋_GB2312" w:cs="Times New Roman"/>
          <w:b w:val="0"/>
          <w:bCs w:val="0"/>
          <w:color w:val="auto"/>
          <w:sz w:val="32"/>
          <w:szCs w:val="32"/>
          <w:highlight w:val="none"/>
          <w:lang w:val="en-US" w:eastAsia="zh-CN"/>
        </w:rPr>
        <w:t>分类</w:t>
      </w:r>
      <w:r>
        <w:rPr>
          <w:rFonts w:hint="default" w:ascii="Times New Roman" w:hAnsi="Times New Roman" w:eastAsia="仿宋_GB2312" w:cs="Times New Roman"/>
          <w:b w:val="0"/>
          <w:bCs w:val="0"/>
          <w:color w:val="auto"/>
          <w:sz w:val="32"/>
          <w:szCs w:val="32"/>
          <w:highlight w:val="none"/>
          <w:lang w:eastAsia="zh-CN"/>
        </w:rPr>
        <w:t>帮扶机制，对高校毕业生、农民工、退役军人</w:t>
      </w:r>
      <w:r>
        <w:rPr>
          <w:rFonts w:hint="eastAsia" w:ascii="Times New Roman" w:hAnsi="Times New Roman" w:eastAsia="仿宋_GB2312" w:cs="Times New Roman"/>
          <w:b w:val="0"/>
          <w:bCs w:val="0"/>
          <w:color w:val="auto"/>
          <w:sz w:val="32"/>
          <w:szCs w:val="32"/>
          <w:highlight w:val="none"/>
          <w:lang w:eastAsia="zh-CN"/>
        </w:rPr>
        <w:t>等开展精准</w:t>
      </w:r>
      <w:r>
        <w:rPr>
          <w:rFonts w:hint="default" w:ascii="Times New Roman" w:hAnsi="Times New Roman" w:eastAsia="仿宋_GB2312" w:cs="Times New Roman"/>
          <w:b w:val="0"/>
          <w:bCs w:val="0"/>
          <w:color w:val="auto"/>
          <w:sz w:val="32"/>
          <w:szCs w:val="32"/>
          <w:highlight w:val="none"/>
          <w:lang w:eastAsia="zh-CN"/>
        </w:rPr>
        <w:t>援助，</w:t>
      </w:r>
      <w:r>
        <w:rPr>
          <w:rFonts w:hint="eastAsia" w:ascii="仿宋_GB2312" w:hAnsi="仿宋_GB2312" w:eastAsia="仿宋_GB2312" w:cs="仿宋_GB2312"/>
          <w:b w:val="0"/>
          <w:bCs w:val="0"/>
          <w:color w:val="auto"/>
          <w:sz w:val="32"/>
          <w:szCs w:val="32"/>
          <w:highlight w:val="none"/>
          <w:lang w:eastAsia="zh-CN"/>
        </w:rPr>
        <w:t>动态</w:t>
      </w:r>
      <w:r>
        <w:rPr>
          <w:rFonts w:hint="eastAsia" w:ascii="仿宋_GB2312" w:hAnsi="仿宋_GB2312" w:eastAsia="仿宋_GB2312" w:cs="仿宋_GB2312"/>
          <w:b w:val="0"/>
          <w:bCs w:val="0"/>
          <w:color w:val="auto"/>
          <w:sz w:val="32"/>
          <w:szCs w:val="32"/>
          <w:highlight w:val="none"/>
          <w:lang w:val="en-US" w:eastAsia="zh-CN"/>
        </w:rPr>
        <w:t>消除</w:t>
      </w:r>
      <w:r>
        <w:rPr>
          <w:rFonts w:hint="eastAsia" w:ascii="仿宋_GB2312" w:hAnsi="仿宋_GB2312" w:eastAsia="仿宋_GB2312" w:cs="仿宋_GB2312"/>
          <w:b w:val="0"/>
          <w:bCs w:val="0"/>
          <w:color w:val="auto"/>
          <w:sz w:val="32"/>
          <w:szCs w:val="32"/>
          <w:highlight w:val="none"/>
          <w:lang w:eastAsia="zh-CN"/>
        </w:rPr>
        <w:t>零就业家庭。完善创业培训与服务支持体系，规范零工市场，加强</w:t>
      </w:r>
      <w:r>
        <w:rPr>
          <w:rFonts w:hint="default" w:ascii="Times New Roman" w:hAnsi="Times New Roman" w:eastAsia="仿宋_GB2312" w:cs="Times New Roman"/>
          <w:b w:val="0"/>
          <w:bCs w:val="0"/>
          <w:color w:val="auto"/>
          <w:sz w:val="32"/>
          <w:szCs w:val="32"/>
          <w:highlight w:val="none"/>
          <w:lang w:eastAsia="zh-CN"/>
        </w:rPr>
        <w:t>灵活就业保障。</w:t>
      </w:r>
      <w:r>
        <w:rPr>
          <w:rFonts w:hint="eastAsia" w:ascii="Times New Roman" w:hAnsi="Times New Roman" w:eastAsia="仿宋_GB2312" w:cs="Times New Roman"/>
          <w:b w:val="0"/>
          <w:bCs w:val="0"/>
          <w:color w:val="auto"/>
          <w:sz w:val="32"/>
          <w:szCs w:val="32"/>
          <w:highlight w:val="none"/>
          <w:lang w:val="en-US" w:eastAsia="zh-CN"/>
        </w:rPr>
        <w:t>夯实基层就业服务网络，</w:t>
      </w:r>
      <w:r>
        <w:rPr>
          <w:rFonts w:hint="eastAsia" w:ascii="Times New Roman" w:hAnsi="Times New Roman" w:eastAsia="仿宋_GB2312" w:cs="Times New Roman"/>
          <w:b w:val="0"/>
          <w:bCs w:val="0"/>
          <w:color w:val="auto"/>
          <w:kern w:val="2"/>
          <w:sz w:val="32"/>
          <w:szCs w:val="32"/>
          <w:highlight w:val="none"/>
          <w:lang w:val="en-US" w:eastAsia="zh-CN" w:bidi="ar-SA"/>
        </w:rPr>
        <w:t>依托柳州人力资源服务产业园强化县乡联动，发</w:t>
      </w:r>
      <w:r>
        <w:rPr>
          <w:rFonts w:hint="eastAsia" w:ascii="仿宋_GB2312" w:hAnsi="仿宋_GB2312" w:eastAsia="仿宋_GB2312" w:cs="仿宋_GB2312"/>
          <w:b w:val="0"/>
          <w:bCs w:val="0"/>
          <w:color w:val="auto"/>
          <w:kern w:val="2"/>
          <w:sz w:val="32"/>
          <w:szCs w:val="32"/>
          <w:highlight w:val="none"/>
          <w:lang w:val="en-US" w:eastAsia="zh-CN" w:bidi="ar-SA"/>
        </w:rPr>
        <w:t>挥</w:t>
      </w:r>
      <w:r>
        <w:rPr>
          <w:rFonts w:hint="eastAsia" w:ascii="仿宋_GB2312" w:hAnsi="仿宋_GB2312" w:eastAsia="仿宋_GB2312" w:cs="仿宋_GB2312"/>
          <w:b w:val="0"/>
          <w:bCs w:val="0"/>
          <w:color w:val="auto"/>
          <w:sz w:val="32"/>
          <w:szCs w:val="32"/>
          <w:highlight w:val="none"/>
          <w:lang w:eastAsia="zh-CN"/>
        </w:rPr>
        <w:t>“金牌就业管家”工作</w:t>
      </w:r>
      <w:r>
        <w:rPr>
          <w:rFonts w:hint="default" w:ascii="Times New Roman" w:hAnsi="Times New Roman" w:eastAsia="仿宋_GB2312" w:cs="Times New Roman"/>
          <w:b w:val="0"/>
          <w:bCs w:val="0"/>
          <w:color w:val="auto"/>
          <w:sz w:val="32"/>
          <w:szCs w:val="32"/>
          <w:highlight w:val="none"/>
          <w:lang w:eastAsia="zh-CN"/>
        </w:rPr>
        <w:t>站</w:t>
      </w:r>
      <w:r>
        <w:rPr>
          <w:rFonts w:hint="eastAsia" w:ascii="Times New Roman" w:hAnsi="Times New Roman" w:eastAsia="仿宋_GB2312" w:cs="Times New Roman"/>
          <w:b w:val="0"/>
          <w:bCs w:val="0"/>
          <w:color w:val="auto"/>
          <w:sz w:val="32"/>
          <w:szCs w:val="32"/>
          <w:highlight w:val="none"/>
          <w:lang w:eastAsia="zh-CN"/>
        </w:rPr>
        <w:t>作用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配强基层就业网格员</w:t>
      </w:r>
      <w:r>
        <w:rPr>
          <w:rFonts w:hint="default" w:ascii="Times New Roman" w:hAnsi="Times New Roman" w:eastAsia="仿宋_GB2312" w:cs="Times New Roman"/>
          <w:b w:val="0"/>
          <w:bCs w:val="0"/>
          <w:color w:val="auto"/>
          <w:sz w:val="32"/>
          <w:szCs w:val="32"/>
          <w:highlight w:val="none"/>
          <w:lang w:eastAsia="zh-CN"/>
        </w:rPr>
        <w:t>。加强劳动关系协商协调与劳动者权益保障，营造公平有序</w:t>
      </w:r>
      <w:r>
        <w:rPr>
          <w:rFonts w:hint="eastAsia" w:ascii="Times New Roman" w:hAnsi="Times New Roman" w:eastAsia="仿宋_GB2312" w:cs="Times New Roman"/>
          <w:b w:val="0"/>
          <w:bCs w:val="0"/>
          <w:color w:val="auto"/>
          <w:sz w:val="32"/>
          <w:szCs w:val="32"/>
          <w:highlight w:val="none"/>
          <w:lang w:eastAsia="zh-CN"/>
        </w:rPr>
        <w:t>、稳定和谐的</w:t>
      </w:r>
      <w:r>
        <w:rPr>
          <w:rFonts w:hint="default" w:ascii="Times New Roman" w:hAnsi="Times New Roman" w:eastAsia="仿宋_GB2312" w:cs="Times New Roman"/>
          <w:b w:val="0"/>
          <w:bCs w:val="0"/>
          <w:color w:val="auto"/>
          <w:sz w:val="32"/>
          <w:szCs w:val="32"/>
          <w:highlight w:val="none"/>
          <w:lang w:eastAsia="zh-CN"/>
        </w:rPr>
        <w:t>就业环境。</w:t>
      </w:r>
    </w:p>
    <w:p w14:paraId="7F70283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健全多层次社会保障体系。</w:t>
      </w:r>
      <w:r>
        <w:rPr>
          <w:rFonts w:hint="default" w:ascii="Times New Roman" w:hAnsi="Times New Roman" w:eastAsia="仿宋_GB2312" w:cs="Times New Roman"/>
          <w:b w:val="0"/>
          <w:bCs w:val="0"/>
          <w:color w:val="auto"/>
          <w:sz w:val="32"/>
          <w:szCs w:val="32"/>
          <w:highlight w:val="none"/>
          <w:lang w:val="en-US" w:eastAsia="zh-CN"/>
        </w:rPr>
        <w:t>全面对接养老保险全国统筹、渐进式延迟法定退休年龄等重大改革，确保平稳衔接。深入实施全民参保计划，</w:t>
      </w:r>
      <w:r>
        <w:rPr>
          <w:rFonts w:hint="eastAsia" w:ascii="Times New Roman" w:hAnsi="Times New Roman" w:eastAsia="仿宋_GB2312" w:cs="Times New Roman"/>
          <w:b w:val="0"/>
          <w:bCs w:val="0"/>
          <w:color w:val="auto"/>
          <w:sz w:val="32"/>
          <w:szCs w:val="32"/>
          <w:highlight w:val="none"/>
          <w:lang w:val="en-US" w:eastAsia="zh-CN"/>
        </w:rPr>
        <w:t>重点</w:t>
      </w:r>
      <w:r>
        <w:rPr>
          <w:rFonts w:hint="default" w:ascii="Times New Roman" w:hAnsi="Times New Roman" w:eastAsia="仿宋_GB2312" w:cs="Times New Roman"/>
          <w:b w:val="0"/>
          <w:bCs w:val="0"/>
          <w:color w:val="auto"/>
          <w:sz w:val="32"/>
          <w:szCs w:val="32"/>
          <w:highlight w:val="none"/>
          <w:lang w:val="en-US" w:eastAsia="zh-CN"/>
        </w:rPr>
        <w:t>将灵活就业人员、农民工、新就业形态劳动者</w:t>
      </w:r>
      <w:r>
        <w:rPr>
          <w:rFonts w:hint="eastAsia" w:ascii="Times New Roman" w:hAnsi="Times New Roman" w:eastAsia="仿宋_GB2312" w:cs="Times New Roman"/>
          <w:b w:val="0"/>
          <w:bCs w:val="0"/>
          <w:color w:val="auto"/>
          <w:sz w:val="32"/>
          <w:szCs w:val="32"/>
          <w:highlight w:val="none"/>
          <w:lang w:val="en-US" w:eastAsia="zh-CN"/>
        </w:rPr>
        <w:t>纳入</w:t>
      </w:r>
      <w:r>
        <w:rPr>
          <w:rFonts w:hint="default" w:ascii="Times New Roman" w:hAnsi="Times New Roman" w:eastAsia="仿宋_GB2312" w:cs="Times New Roman"/>
          <w:b w:val="0"/>
          <w:bCs w:val="0"/>
          <w:color w:val="auto"/>
          <w:sz w:val="32"/>
          <w:szCs w:val="32"/>
          <w:highlight w:val="none"/>
          <w:lang w:val="en-US" w:eastAsia="zh-CN"/>
        </w:rPr>
        <w:t>覆盖范围，同步推进失业、工伤保险应保尽保。积极构建多层次养老保险体系，推动企业年金、职业年金协同发展，鼓励用人单位建立多层次养老保障，引导商业保险</w:t>
      </w:r>
      <w:r>
        <w:rPr>
          <w:rFonts w:hint="eastAsia" w:ascii="Times New Roman" w:hAnsi="Times New Roman" w:eastAsia="仿宋_GB2312" w:cs="Times New Roman"/>
          <w:b w:val="0"/>
          <w:bCs w:val="0"/>
          <w:color w:val="auto"/>
          <w:sz w:val="32"/>
          <w:szCs w:val="32"/>
          <w:highlight w:val="none"/>
          <w:lang w:val="en-US" w:eastAsia="zh-CN"/>
        </w:rPr>
        <w:t>发挥</w:t>
      </w:r>
      <w:r>
        <w:rPr>
          <w:rFonts w:hint="default" w:ascii="Times New Roman" w:hAnsi="Times New Roman" w:eastAsia="仿宋_GB2312" w:cs="Times New Roman"/>
          <w:b w:val="0"/>
          <w:bCs w:val="0"/>
          <w:color w:val="auto"/>
          <w:sz w:val="32"/>
          <w:szCs w:val="32"/>
          <w:highlight w:val="none"/>
          <w:lang w:val="en-US" w:eastAsia="zh-CN"/>
        </w:rPr>
        <w:t>补充作用。推进经办管理服务标准化、智能化，创新</w:t>
      </w:r>
      <w:r>
        <w:rPr>
          <w:rFonts w:hint="eastAsia" w:ascii="仿宋_GB2312" w:hAnsi="仿宋_GB2312" w:eastAsia="仿宋_GB2312" w:cs="仿宋_GB2312"/>
          <w:b w:val="0"/>
          <w:bCs w:val="0"/>
          <w:color w:val="auto"/>
          <w:sz w:val="32"/>
          <w:szCs w:val="32"/>
          <w:highlight w:val="none"/>
          <w:lang w:val="en-US" w:eastAsia="zh-CN"/>
        </w:rPr>
        <w:t>“一揽子”受理、“一条龙”</w:t>
      </w:r>
      <w:r>
        <w:rPr>
          <w:rFonts w:hint="default" w:ascii="Times New Roman" w:hAnsi="Times New Roman" w:eastAsia="仿宋_GB2312" w:cs="Times New Roman"/>
          <w:b w:val="0"/>
          <w:bCs w:val="0"/>
          <w:color w:val="auto"/>
          <w:sz w:val="32"/>
          <w:szCs w:val="32"/>
          <w:highlight w:val="none"/>
          <w:lang w:val="en-US" w:eastAsia="zh-CN"/>
        </w:rPr>
        <w:t>服务模式，运用人工智能</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大数据加强动态监测与精准识别，实现政策精准推送</w:t>
      </w:r>
      <w:r>
        <w:rPr>
          <w:rFonts w:hint="eastAsia" w:ascii="Times New Roman" w:hAnsi="Times New Roman" w:eastAsia="仿宋_GB2312" w:cs="Times New Roman"/>
          <w:b w:val="0"/>
          <w:bCs w:val="0"/>
          <w:color w:val="auto"/>
          <w:sz w:val="32"/>
          <w:szCs w:val="32"/>
          <w:highlight w:val="none"/>
          <w:lang w:val="en-US" w:eastAsia="zh-CN"/>
        </w:rPr>
        <w:t>与</w:t>
      </w:r>
      <w:r>
        <w:rPr>
          <w:rFonts w:hint="default" w:ascii="Times New Roman" w:hAnsi="Times New Roman" w:eastAsia="仿宋_GB2312" w:cs="Times New Roman"/>
          <w:b w:val="0"/>
          <w:bCs w:val="0"/>
          <w:color w:val="auto"/>
          <w:sz w:val="32"/>
          <w:szCs w:val="32"/>
          <w:highlight w:val="none"/>
          <w:lang w:val="en-US" w:eastAsia="zh-CN"/>
        </w:rPr>
        <w:t>主动服务。健全分层分类社会救助体系，完善空巢老人、困境儿童、残疾人、困难妇女等</w:t>
      </w:r>
      <w:r>
        <w:rPr>
          <w:rFonts w:hint="eastAsia" w:ascii="Times New Roman" w:hAnsi="Times New Roman" w:eastAsia="仿宋_GB2312" w:cs="Times New Roman"/>
          <w:b w:val="0"/>
          <w:bCs w:val="0"/>
          <w:color w:val="auto"/>
          <w:sz w:val="32"/>
          <w:szCs w:val="32"/>
          <w:highlight w:val="none"/>
          <w:lang w:val="en-US" w:eastAsia="zh-CN"/>
        </w:rPr>
        <w:t>特殊</w:t>
      </w:r>
      <w:r>
        <w:rPr>
          <w:rFonts w:hint="default" w:ascii="Times New Roman" w:hAnsi="Times New Roman" w:eastAsia="仿宋_GB2312" w:cs="Times New Roman"/>
          <w:b w:val="0"/>
          <w:bCs w:val="0"/>
          <w:color w:val="auto"/>
          <w:sz w:val="32"/>
          <w:szCs w:val="32"/>
          <w:highlight w:val="none"/>
          <w:lang w:val="en-US" w:eastAsia="zh-CN"/>
        </w:rPr>
        <w:t>群体的精准识别与动态管理机制，加强流浪乞讨人员救助管理</w:t>
      </w:r>
      <w:r>
        <w:rPr>
          <w:rFonts w:hint="eastAsia" w:ascii="Times New Roman" w:hAnsi="Times New Roman" w:eastAsia="仿宋_GB2312" w:cs="Times New Roman"/>
          <w:b w:val="0"/>
          <w:bCs w:val="0"/>
          <w:color w:val="auto"/>
          <w:sz w:val="32"/>
          <w:szCs w:val="32"/>
          <w:highlight w:val="none"/>
          <w:lang w:val="en-US" w:eastAsia="zh-CN"/>
        </w:rPr>
        <w:t>。加快推进龙头山公墓建设，</w:t>
      </w:r>
      <w:r>
        <w:rPr>
          <w:rFonts w:hint="default" w:ascii="Times New Roman" w:hAnsi="Times New Roman" w:eastAsia="仿宋_GB2312" w:cs="Times New Roman"/>
          <w:b w:val="0"/>
          <w:bCs w:val="0"/>
          <w:color w:val="auto"/>
          <w:sz w:val="32"/>
          <w:szCs w:val="32"/>
          <w:highlight w:val="none"/>
          <w:lang w:val="en-US" w:eastAsia="zh-CN"/>
        </w:rPr>
        <w:t>持续落实惠民殡葬政策，</w:t>
      </w:r>
      <w:r>
        <w:rPr>
          <w:rFonts w:hint="eastAsia" w:ascii="Times New Roman" w:hAnsi="Times New Roman" w:eastAsia="仿宋_GB2312" w:cs="Times New Roman"/>
          <w:b w:val="0"/>
          <w:bCs w:val="0"/>
          <w:color w:val="auto"/>
          <w:sz w:val="32"/>
          <w:szCs w:val="32"/>
          <w:highlight w:val="none"/>
          <w:lang w:val="en-US" w:eastAsia="zh-CN"/>
        </w:rPr>
        <w:t>大力推行</w:t>
      </w:r>
      <w:r>
        <w:rPr>
          <w:rFonts w:hint="default" w:ascii="Times New Roman" w:hAnsi="Times New Roman" w:eastAsia="仿宋_GB2312" w:cs="Times New Roman"/>
          <w:b w:val="0"/>
          <w:bCs w:val="0"/>
          <w:color w:val="auto"/>
          <w:sz w:val="32"/>
          <w:szCs w:val="32"/>
          <w:highlight w:val="none"/>
          <w:lang w:val="en-US" w:eastAsia="zh-CN"/>
        </w:rPr>
        <w:t>绿色</w:t>
      </w:r>
      <w:r>
        <w:rPr>
          <w:rFonts w:hint="eastAsia" w:ascii="Times New Roman" w:hAnsi="Times New Roman" w:eastAsia="仿宋_GB2312" w:cs="Times New Roman"/>
          <w:b w:val="0"/>
          <w:bCs w:val="0"/>
          <w:color w:val="auto"/>
          <w:sz w:val="32"/>
          <w:szCs w:val="32"/>
          <w:highlight w:val="none"/>
          <w:lang w:val="en-US" w:eastAsia="zh-CN"/>
        </w:rPr>
        <w:t>生态</w:t>
      </w:r>
      <w:r>
        <w:rPr>
          <w:rFonts w:hint="default" w:ascii="Times New Roman" w:hAnsi="Times New Roman" w:eastAsia="仿宋_GB2312" w:cs="Times New Roman"/>
          <w:b w:val="0"/>
          <w:bCs w:val="0"/>
          <w:color w:val="auto"/>
          <w:sz w:val="32"/>
          <w:szCs w:val="32"/>
          <w:highlight w:val="none"/>
          <w:lang w:val="en-US" w:eastAsia="zh-CN"/>
        </w:rPr>
        <w:t>殡葬</w:t>
      </w:r>
      <w:r>
        <w:rPr>
          <w:rFonts w:hint="eastAsia" w:ascii="Times New Roman" w:hAnsi="Times New Roman" w:eastAsia="仿宋_GB2312" w:cs="Times New Roman"/>
          <w:b w:val="0"/>
          <w:bCs w:val="0"/>
          <w:color w:val="auto"/>
          <w:sz w:val="32"/>
          <w:szCs w:val="32"/>
          <w:highlight w:val="none"/>
          <w:lang w:val="en-US" w:eastAsia="zh-CN"/>
        </w:rPr>
        <w:t>，促进殡葬行业文明转型</w:t>
      </w:r>
      <w:r>
        <w:rPr>
          <w:rFonts w:hint="default" w:ascii="Times New Roman" w:hAnsi="Times New Roman" w:eastAsia="仿宋_GB2312" w:cs="Times New Roman"/>
          <w:b w:val="0"/>
          <w:bCs w:val="0"/>
          <w:color w:val="auto"/>
          <w:sz w:val="32"/>
          <w:szCs w:val="32"/>
          <w:highlight w:val="none"/>
          <w:lang w:val="en-US" w:eastAsia="zh-CN"/>
        </w:rPr>
        <w:t>。</w:t>
      </w:r>
    </w:p>
    <w:p w14:paraId="7711116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稳步推进基本公共服务均等化。</w:t>
      </w:r>
      <w:r>
        <w:rPr>
          <w:rFonts w:hint="default" w:ascii="Times New Roman" w:hAnsi="Times New Roman" w:eastAsia="仿宋_GB2312" w:cs="Times New Roman"/>
          <w:b w:val="0"/>
          <w:bCs w:val="0"/>
          <w:color w:val="auto"/>
          <w:sz w:val="32"/>
          <w:szCs w:val="32"/>
          <w:highlight w:val="none"/>
          <w:lang w:val="en-US" w:eastAsia="zh-CN"/>
        </w:rPr>
        <w:t>以标准化建设为抓手，推动基本公共服务资源向基层、农村</w:t>
      </w:r>
      <w:r>
        <w:rPr>
          <w:rFonts w:hint="eastAsia" w:ascii="Times New Roman" w:hAnsi="Times New Roman" w:eastAsia="仿宋_GB2312" w:cs="Times New Roman"/>
          <w:b w:val="0"/>
          <w:bCs w:val="0"/>
          <w:color w:val="auto"/>
          <w:sz w:val="32"/>
          <w:szCs w:val="32"/>
          <w:highlight w:val="none"/>
          <w:lang w:val="en-US" w:eastAsia="zh-CN"/>
        </w:rPr>
        <w:t>和</w:t>
      </w:r>
      <w:r>
        <w:rPr>
          <w:rFonts w:hint="default" w:ascii="Times New Roman" w:hAnsi="Times New Roman" w:eastAsia="仿宋_GB2312" w:cs="Times New Roman"/>
          <w:b w:val="0"/>
          <w:bCs w:val="0"/>
          <w:color w:val="auto"/>
          <w:sz w:val="32"/>
          <w:szCs w:val="32"/>
          <w:highlight w:val="none"/>
          <w:lang w:val="en-US" w:eastAsia="zh-CN"/>
        </w:rPr>
        <w:t>生活困难群体倾斜，强化对</w:t>
      </w:r>
      <w:r>
        <w:rPr>
          <w:rFonts w:hint="eastAsia" w:ascii="仿宋_GB2312" w:hAnsi="仿宋_GB2312" w:eastAsia="仿宋_GB2312" w:cs="仿宋_GB2312"/>
          <w:b w:val="0"/>
          <w:bCs w:val="0"/>
          <w:color w:val="auto"/>
          <w:sz w:val="32"/>
          <w:szCs w:val="32"/>
          <w:highlight w:val="none"/>
          <w:lang w:val="en-US" w:eastAsia="zh-CN"/>
        </w:rPr>
        <w:t>“一老一小”</w:t>
      </w:r>
      <w:r>
        <w:rPr>
          <w:rFonts w:hint="default" w:ascii="Times New Roman" w:hAnsi="Times New Roman" w:eastAsia="仿宋_GB2312" w:cs="Times New Roman"/>
          <w:b w:val="0"/>
          <w:bCs w:val="0"/>
          <w:color w:val="auto"/>
          <w:sz w:val="32"/>
          <w:szCs w:val="32"/>
          <w:highlight w:val="none"/>
          <w:lang w:val="en-US" w:eastAsia="zh-CN"/>
        </w:rPr>
        <w:t>的</w:t>
      </w:r>
      <w:r>
        <w:rPr>
          <w:rFonts w:hint="eastAsia" w:ascii="Times New Roman" w:hAnsi="Times New Roman" w:eastAsia="仿宋_GB2312" w:cs="Times New Roman"/>
          <w:b w:val="0"/>
          <w:bCs w:val="0"/>
          <w:color w:val="auto"/>
          <w:sz w:val="32"/>
          <w:szCs w:val="32"/>
          <w:highlight w:val="none"/>
          <w:lang w:val="en-US" w:eastAsia="zh-CN"/>
        </w:rPr>
        <w:t>服务供给</w:t>
      </w:r>
      <w:r>
        <w:rPr>
          <w:rFonts w:hint="default" w:ascii="Times New Roman" w:hAnsi="Times New Roman" w:eastAsia="仿宋_GB2312" w:cs="Times New Roman"/>
          <w:b w:val="0"/>
          <w:bCs w:val="0"/>
          <w:color w:val="auto"/>
          <w:sz w:val="32"/>
          <w:szCs w:val="32"/>
          <w:highlight w:val="none"/>
          <w:lang w:val="en-US" w:eastAsia="zh-CN"/>
        </w:rPr>
        <w:t>。按照</w:t>
      </w:r>
      <w:r>
        <w:rPr>
          <w:rFonts w:hint="eastAsia" w:ascii="仿宋_GB2312" w:hAnsi="仿宋_GB2312" w:eastAsia="仿宋_GB2312" w:cs="仿宋_GB2312"/>
          <w:b w:val="0"/>
          <w:bCs w:val="0"/>
          <w:color w:val="auto"/>
          <w:sz w:val="32"/>
          <w:szCs w:val="32"/>
          <w:highlight w:val="none"/>
          <w:lang w:val="en-US" w:eastAsia="zh-CN"/>
        </w:rPr>
        <w:t>“县城—中心镇—重点村”发</w:t>
      </w:r>
      <w:r>
        <w:rPr>
          <w:rFonts w:hint="default" w:ascii="Times New Roman" w:hAnsi="Times New Roman" w:eastAsia="仿宋_GB2312" w:cs="Times New Roman"/>
          <w:b w:val="0"/>
          <w:bCs w:val="0"/>
          <w:color w:val="auto"/>
          <w:sz w:val="32"/>
          <w:szCs w:val="32"/>
          <w:highlight w:val="none"/>
          <w:lang w:val="en-US" w:eastAsia="zh-CN"/>
        </w:rPr>
        <w:t>展轴布局，增加农村地区养老、医疗、托育、文化等服务供给，深化教共体、医共体、养共体建设，优化基层医疗机构布局</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建设老年助餐服务网络</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推进城乡公共设施无障碍改造，促进城乡公共服务资源均衡配置。</w:t>
      </w:r>
      <w:r>
        <w:rPr>
          <w:rFonts w:hint="eastAsia" w:ascii="Times New Roman" w:hAnsi="Times New Roman" w:eastAsia="仿宋_GB2312" w:cs="Times New Roman"/>
          <w:b w:val="0"/>
          <w:bCs w:val="0"/>
          <w:color w:val="auto"/>
          <w:sz w:val="32"/>
          <w:szCs w:val="32"/>
          <w:highlight w:val="none"/>
          <w:lang w:val="en-US" w:eastAsia="zh-CN"/>
        </w:rPr>
        <w:t>提升</w:t>
      </w:r>
      <w:r>
        <w:rPr>
          <w:rFonts w:hint="default" w:ascii="Times New Roman" w:hAnsi="Times New Roman" w:eastAsia="仿宋_GB2312" w:cs="Times New Roman"/>
          <w:b w:val="0"/>
          <w:bCs w:val="0"/>
          <w:color w:val="auto"/>
          <w:sz w:val="32"/>
          <w:szCs w:val="32"/>
          <w:highlight w:val="none"/>
          <w:lang w:val="en-US" w:eastAsia="zh-CN"/>
        </w:rPr>
        <w:t>妇幼保健机构、残疾人康复中心和退役军人服务保障能力，推进儿童活动场所、福利机构及未成年人救助保护机构标准化建设，完善多部门协同联动机制。健全老年人能力</w:t>
      </w:r>
      <w:r>
        <w:rPr>
          <w:rFonts w:hint="eastAsia" w:ascii="Times New Roman" w:hAnsi="Times New Roman" w:eastAsia="仿宋_GB2312" w:cs="Times New Roman"/>
          <w:b w:val="0"/>
          <w:bCs w:val="0"/>
          <w:color w:val="auto"/>
          <w:sz w:val="32"/>
          <w:szCs w:val="32"/>
          <w:highlight w:val="none"/>
          <w:lang w:val="en-US" w:eastAsia="zh-CN"/>
        </w:rPr>
        <w:t>综合</w:t>
      </w:r>
      <w:r>
        <w:rPr>
          <w:rFonts w:hint="default" w:ascii="Times New Roman" w:hAnsi="Times New Roman" w:eastAsia="仿宋_GB2312" w:cs="Times New Roman"/>
          <w:b w:val="0"/>
          <w:bCs w:val="0"/>
          <w:color w:val="auto"/>
          <w:sz w:val="32"/>
          <w:szCs w:val="32"/>
          <w:highlight w:val="none"/>
          <w:lang w:val="en-US" w:eastAsia="zh-CN"/>
        </w:rPr>
        <w:t>评估、日间照料、康复护理标准</w:t>
      </w:r>
      <w:r>
        <w:rPr>
          <w:rFonts w:hint="eastAsia" w:ascii="Times New Roman" w:hAnsi="Times New Roman" w:eastAsia="仿宋_GB2312" w:cs="Times New Roman"/>
          <w:b w:val="0"/>
          <w:bCs w:val="0"/>
          <w:color w:val="auto"/>
          <w:sz w:val="32"/>
          <w:szCs w:val="32"/>
          <w:highlight w:val="none"/>
          <w:lang w:val="en-US" w:eastAsia="zh-CN"/>
        </w:rPr>
        <w:t>规范</w:t>
      </w:r>
      <w:r>
        <w:rPr>
          <w:rFonts w:hint="default" w:ascii="Times New Roman" w:hAnsi="Times New Roman" w:eastAsia="仿宋_GB2312" w:cs="Times New Roman"/>
          <w:b w:val="0"/>
          <w:bCs w:val="0"/>
          <w:color w:val="auto"/>
          <w:sz w:val="32"/>
          <w:szCs w:val="32"/>
          <w:highlight w:val="none"/>
          <w:lang w:val="en-US" w:eastAsia="zh-CN"/>
        </w:rPr>
        <w:t>体系，推动适老化产品</w:t>
      </w:r>
      <w:r>
        <w:rPr>
          <w:rFonts w:hint="eastAsia" w:ascii="Times New Roman" w:hAnsi="Times New Roman" w:eastAsia="仿宋_GB2312" w:cs="Times New Roman"/>
          <w:b w:val="0"/>
          <w:bCs w:val="0"/>
          <w:color w:val="auto"/>
          <w:sz w:val="32"/>
          <w:szCs w:val="32"/>
          <w:highlight w:val="none"/>
          <w:lang w:val="en-US" w:eastAsia="zh-CN"/>
        </w:rPr>
        <w:t>供给</w:t>
      </w:r>
      <w:r>
        <w:rPr>
          <w:rFonts w:hint="default" w:ascii="Times New Roman" w:hAnsi="Times New Roman" w:eastAsia="仿宋_GB2312" w:cs="Times New Roman"/>
          <w:b w:val="0"/>
          <w:bCs w:val="0"/>
          <w:color w:val="auto"/>
          <w:sz w:val="32"/>
          <w:szCs w:val="32"/>
          <w:highlight w:val="none"/>
          <w:lang w:val="en-US" w:eastAsia="zh-CN"/>
        </w:rPr>
        <w:t>与服务</w:t>
      </w:r>
      <w:r>
        <w:rPr>
          <w:rFonts w:hint="eastAsia" w:ascii="Times New Roman" w:hAnsi="Times New Roman" w:eastAsia="仿宋_GB2312" w:cs="Times New Roman"/>
          <w:b w:val="0"/>
          <w:bCs w:val="0"/>
          <w:color w:val="auto"/>
          <w:sz w:val="32"/>
          <w:szCs w:val="32"/>
          <w:highlight w:val="none"/>
          <w:lang w:val="en-US" w:eastAsia="zh-CN"/>
        </w:rPr>
        <w:t>提质</w:t>
      </w:r>
      <w:r>
        <w:rPr>
          <w:rFonts w:hint="default" w:ascii="Times New Roman" w:hAnsi="Times New Roman" w:eastAsia="仿宋_GB2312" w:cs="Times New Roman"/>
          <w:b w:val="0"/>
          <w:bCs w:val="0"/>
          <w:color w:val="auto"/>
          <w:sz w:val="32"/>
          <w:szCs w:val="32"/>
          <w:highlight w:val="none"/>
          <w:lang w:val="en-US" w:eastAsia="zh-CN"/>
        </w:rPr>
        <w:t>升级。持续优化婚姻登记服务</w:t>
      </w:r>
      <w:r>
        <w:rPr>
          <w:rFonts w:hint="eastAsia" w:ascii="Times New Roman" w:hAnsi="Times New Roman" w:eastAsia="仿宋_GB2312" w:cs="Times New Roman"/>
          <w:b w:val="0"/>
          <w:bCs w:val="0"/>
          <w:color w:val="auto"/>
          <w:sz w:val="32"/>
          <w:szCs w:val="32"/>
          <w:highlight w:val="none"/>
          <w:lang w:val="en-US" w:eastAsia="zh-CN"/>
        </w:rPr>
        <w:t>流程</w:t>
      </w:r>
      <w:r>
        <w:rPr>
          <w:rFonts w:hint="default" w:ascii="Times New Roman" w:hAnsi="Times New Roman" w:eastAsia="仿宋_GB2312" w:cs="Times New Roman"/>
          <w:b w:val="0"/>
          <w:bCs w:val="0"/>
          <w:color w:val="auto"/>
          <w:sz w:val="32"/>
          <w:szCs w:val="32"/>
          <w:highlight w:val="none"/>
          <w:lang w:val="en-US" w:eastAsia="zh-CN"/>
        </w:rPr>
        <w:t>，拓展婚姻家庭辅导</w:t>
      </w:r>
      <w:r>
        <w:rPr>
          <w:rFonts w:hint="eastAsia" w:ascii="Times New Roman" w:hAnsi="Times New Roman" w:eastAsia="仿宋_GB2312" w:cs="Times New Roman"/>
          <w:b w:val="0"/>
          <w:bCs w:val="0"/>
          <w:color w:val="auto"/>
          <w:kern w:val="2"/>
          <w:sz w:val="32"/>
          <w:szCs w:val="32"/>
          <w:highlight w:val="none"/>
          <w:lang w:val="en-US" w:eastAsia="zh-CN" w:bidi="ar-SA"/>
        </w:rPr>
        <w:t>服务场景与内容，全面</w:t>
      </w:r>
      <w:r>
        <w:rPr>
          <w:rFonts w:hint="default" w:ascii="Times New Roman" w:hAnsi="Times New Roman" w:eastAsia="仿宋_GB2312" w:cs="Times New Roman"/>
          <w:b w:val="0"/>
          <w:bCs w:val="0"/>
          <w:color w:val="auto"/>
          <w:sz w:val="32"/>
          <w:szCs w:val="32"/>
          <w:highlight w:val="none"/>
          <w:lang w:val="en-US" w:eastAsia="zh-CN"/>
        </w:rPr>
        <w:t>提升基本公共服务的可及性、普惠性与精准性。</w:t>
      </w:r>
    </w:p>
    <w:p w14:paraId="556D61DE">
      <w:pPr>
        <w:pStyle w:val="5"/>
        <w:tabs>
          <w:tab w:val="right" w:leader="dot" w:pos="9060"/>
        </w:tabs>
        <w:bidi w:val="0"/>
        <w:jc w:val="center"/>
        <w:outlineLvl w:val="0"/>
        <w:rPr>
          <w:rFonts w:hint="default"/>
          <w:b w:val="0"/>
          <w:bCs/>
          <w:color w:val="auto"/>
          <w:sz w:val="36"/>
          <w:szCs w:val="36"/>
          <w:highlight w:val="none"/>
          <w:lang w:val="en-US" w:eastAsia="zh-CN"/>
        </w:rPr>
      </w:pPr>
      <w:bookmarkStart w:id="280" w:name="_Toc8823"/>
      <w:bookmarkStart w:id="281" w:name="_Toc1025"/>
      <w:bookmarkStart w:id="282" w:name="_Toc27613"/>
      <w:r>
        <w:rPr>
          <w:rFonts w:hint="eastAsia" w:ascii="黑体" w:hAnsi="黑体" w:eastAsia="黑体" w:cs="黑体"/>
          <w:b w:val="0"/>
          <w:bCs/>
          <w:color w:val="auto"/>
          <w:sz w:val="36"/>
          <w:szCs w:val="36"/>
          <w:highlight w:val="none"/>
          <w:lang w:val="en-US" w:eastAsia="zh-CN"/>
        </w:rPr>
        <w:t>第</w:t>
      </w:r>
      <w:r>
        <w:rPr>
          <w:rFonts w:hint="eastAsia" w:ascii="黑体" w:hAnsi="黑体" w:cs="黑体"/>
          <w:b w:val="0"/>
          <w:bCs/>
          <w:color w:val="auto"/>
          <w:sz w:val="36"/>
          <w:szCs w:val="36"/>
          <w:highlight w:val="none"/>
          <w:lang w:val="en-US" w:eastAsia="zh-CN"/>
        </w:rPr>
        <w:t>五</w:t>
      </w:r>
      <w:r>
        <w:rPr>
          <w:rFonts w:hint="eastAsia" w:ascii="黑体" w:hAnsi="黑体" w:eastAsia="黑体" w:cs="黑体"/>
          <w:b w:val="0"/>
          <w:bCs/>
          <w:color w:val="auto"/>
          <w:sz w:val="36"/>
          <w:szCs w:val="36"/>
          <w:highlight w:val="none"/>
          <w:lang w:val="en-US" w:eastAsia="zh-CN"/>
        </w:rPr>
        <w:t xml:space="preserve">节  </w:t>
      </w:r>
      <w:bookmarkEnd w:id="280"/>
      <w:r>
        <w:rPr>
          <w:rFonts w:hint="eastAsia"/>
          <w:b w:val="0"/>
          <w:bCs/>
          <w:color w:val="auto"/>
          <w:sz w:val="36"/>
          <w:szCs w:val="36"/>
          <w:highlight w:val="none"/>
          <w:lang w:val="en-US" w:eastAsia="zh-CN"/>
        </w:rPr>
        <w:t>持续提升民主法治建设水平</w:t>
      </w:r>
      <w:bookmarkEnd w:id="281"/>
      <w:bookmarkEnd w:id="282"/>
    </w:p>
    <w:p w14:paraId="1EDE31F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kern w:val="2"/>
          <w:sz w:val="32"/>
          <w:szCs w:val="32"/>
          <w:highlight w:val="none"/>
          <w:lang w:val="en-US" w:eastAsia="zh-CN" w:bidi="ar-SA"/>
        </w:rPr>
        <w:t>坚持党的领导、人民当家作主、依法治国有机统一，积极践行和发展全过程人民民主。坚持和完善人民代表大会制度，</w:t>
      </w:r>
      <w:r>
        <w:rPr>
          <w:rFonts w:ascii="仿宋_GB2312" w:hAnsi="仿宋_GB2312" w:eastAsia="仿宋_GB2312" w:cs="仿宋_GB2312"/>
          <w:b w:val="0"/>
          <w:bCs w:val="0"/>
          <w:color w:val="auto"/>
          <w:sz w:val="31"/>
          <w:szCs w:val="31"/>
          <w:highlight w:val="none"/>
        </w:rPr>
        <w:t>支持人大加强对“一府一委两院”</w:t>
      </w:r>
      <w:r>
        <w:rPr>
          <w:rStyle w:val="25"/>
          <w:rFonts w:hint="default" w:ascii="Times New Roman" w:hAnsi="Times New Roman" w:eastAsia="仿宋_GB2312" w:cs="Times New Roman"/>
          <w:b w:val="0"/>
          <w:bCs w:val="0"/>
          <w:color w:val="auto"/>
          <w:sz w:val="31"/>
          <w:szCs w:val="31"/>
          <w:highlight w:val="none"/>
        </w:rPr>
        <w:t>[</w:t>
      </w:r>
      <w:r>
        <w:rPr>
          <w:rStyle w:val="25"/>
          <w:rFonts w:hint="default" w:ascii="Times New Roman" w:hAnsi="Times New Roman" w:eastAsia="仿宋_GB2312" w:cs="Times New Roman"/>
          <w:b w:val="0"/>
          <w:bCs w:val="0"/>
          <w:color w:val="auto"/>
          <w:sz w:val="31"/>
          <w:szCs w:val="31"/>
          <w:highlight w:val="none"/>
        </w:rPr>
        <w:endnoteReference w:id="26"/>
      </w:r>
      <w:r>
        <w:rPr>
          <w:rStyle w:val="25"/>
          <w:rFonts w:hint="default" w:ascii="Times New Roman" w:hAnsi="Times New Roman" w:eastAsia="仿宋_GB2312" w:cs="Times New Roman"/>
          <w:b w:val="0"/>
          <w:bCs w:val="0"/>
          <w:color w:val="auto"/>
          <w:sz w:val="31"/>
          <w:szCs w:val="31"/>
          <w:highlight w:val="none"/>
        </w:rPr>
        <w:t>]</w:t>
      </w:r>
      <w:r>
        <w:rPr>
          <w:rFonts w:ascii="仿宋_GB2312" w:hAnsi="仿宋_GB2312" w:eastAsia="仿宋_GB2312" w:cs="仿宋_GB2312"/>
          <w:b w:val="0"/>
          <w:bCs w:val="0"/>
          <w:color w:val="auto"/>
          <w:sz w:val="31"/>
          <w:szCs w:val="31"/>
          <w:highlight w:val="none"/>
        </w:rPr>
        <w:t>的监督，</w:t>
      </w:r>
      <w:r>
        <w:rPr>
          <w:rFonts w:hint="eastAsia" w:ascii="Times New Roman" w:hAnsi="Times New Roman" w:eastAsia="仿宋_GB2312" w:cs="Times New Roman"/>
          <w:b w:val="0"/>
          <w:bCs w:val="0"/>
          <w:color w:val="auto"/>
          <w:kern w:val="2"/>
          <w:sz w:val="32"/>
          <w:szCs w:val="32"/>
          <w:highlight w:val="none"/>
          <w:lang w:val="en-US" w:eastAsia="zh-CN" w:bidi="ar-SA"/>
        </w:rPr>
        <w:t>深化人大代表“混合编组、多级联动、履职为民”工作，建好用好基层立法联系点，畅通民意表达渠道，</w:t>
      </w:r>
      <w:r>
        <w:rPr>
          <w:rFonts w:ascii="仿宋_GB2312" w:hAnsi="仿宋_GB2312" w:eastAsia="仿宋_GB2312" w:cs="仿宋_GB2312"/>
          <w:b w:val="0"/>
          <w:bCs w:val="0"/>
          <w:color w:val="auto"/>
          <w:sz w:val="31"/>
          <w:szCs w:val="31"/>
          <w:highlight w:val="none"/>
        </w:rPr>
        <w:t>确保人民群众民主权利、合法权益得到维护和实现</w:t>
      </w:r>
      <w:r>
        <w:rPr>
          <w:rFonts w:hint="eastAsia" w:ascii="Times New Roman" w:hAnsi="Times New Roman" w:eastAsia="仿宋_GB2312" w:cs="Times New Roman"/>
          <w:b w:val="0"/>
          <w:bCs w:val="0"/>
          <w:color w:val="auto"/>
          <w:kern w:val="2"/>
          <w:sz w:val="32"/>
          <w:szCs w:val="32"/>
          <w:highlight w:val="none"/>
          <w:lang w:val="en-US" w:eastAsia="zh-CN" w:bidi="ar-SA"/>
        </w:rPr>
        <w:t>。坚持和完善中国共产党领导的政治协商制度，发挥人民政协专门协商机构作用，推进协商民主广泛多层制度化发展。健全吸纳民意、汇集民智工作机制，充分发挥工会、共青团、妇联、</w:t>
      </w:r>
      <w:r>
        <w:rPr>
          <w:rFonts w:ascii="仿宋_GB2312" w:hAnsi="仿宋_GB2312" w:eastAsia="仿宋_GB2312" w:cs="仿宋_GB2312"/>
          <w:b w:val="0"/>
          <w:bCs w:val="0"/>
          <w:color w:val="auto"/>
          <w:sz w:val="31"/>
          <w:szCs w:val="31"/>
          <w:highlight w:val="none"/>
        </w:rPr>
        <w:t>文联、残联、工商联、社科联、科协</w:t>
      </w:r>
      <w:r>
        <w:rPr>
          <w:rFonts w:hint="eastAsia" w:ascii="Times New Roman" w:hAnsi="Times New Roman" w:eastAsia="仿宋_GB2312" w:cs="Times New Roman"/>
          <w:b w:val="0"/>
          <w:bCs w:val="0"/>
          <w:color w:val="auto"/>
          <w:kern w:val="2"/>
          <w:sz w:val="32"/>
          <w:szCs w:val="32"/>
          <w:highlight w:val="none"/>
          <w:lang w:val="en-US" w:eastAsia="zh-CN" w:bidi="ar-SA"/>
        </w:rPr>
        <w:t>等群团组织桥梁纽带作用，巩固和发展最广泛的爱国统一战线，做好史志、党校、档案、老干部、关心下一代、双拥共建等各项工作，调动一切积极因素，凝聚起推动发展的强大力量。依法管理宗教事务，构建大统战工作格局，凝聚发展合力。扎实推进法治鹿寨建设，维护宪法法律权威，聚焦产业发展、生态保护、基层治理等重点领域加强制度供给。深入推进法治政府建设，健全行政决策机制，规范行政执法行为，实施行政执法质量提升行动，完善行政争议实质性化解机制。支持法院、检察院依法独立公正行使审判权、检察权，强化法律监督和公益诉讼。推进法治社会建设，完善覆盖城乡的现代公共法律服务体系，加强涉外法律服务能力建设，运用科技手段强化依法治理监督，营造办事依法、遇事找法、解决问题用法、化解矛盾靠法的良好法治环境，以民主法治之力护航鹿寨高质量发展。</w:t>
      </w:r>
    </w:p>
    <w:p w14:paraId="65CF7052">
      <w:pPr>
        <w:pStyle w:val="5"/>
        <w:tabs>
          <w:tab w:val="right" w:leader="dot" w:pos="9060"/>
        </w:tabs>
        <w:bidi w:val="0"/>
        <w:jc w:val="center"/>
        <w:outlineLvl w:val="0"/>
        <w:rPr>
          <w:rFonts w:hint="default"/>
          <w:b w:val="0"/>
          <w:bCs/>
          <w:color w:val="auto"/>
          <w:sz w:val="36"/>
          <w:szCs w:val="36"/>
          <w:highlight w:val="none"/>
          <w:lang w:val="en-US" w:eastAsia="zh-CN"/>
        </w:rPr>
      </w:pPr>
      <w:bookmarkStart w:id="283" w:name="_Toc5220"/>
      <w:bookmarkStart w:id="284" w:name="_Toc5448"/>
      <w:r>
        <w:rPr>
          <w:rFonts w:hint="eastAsia"/>
          <w:b w:val="0"/>
          <w:bCs/>
          <w:color w:val="auto"/>
          <w:sz w:val="36"/>
          <w:szCs w:val="36"/>
          <w:highlight w:val="none"/>
          <w:lang w:val="en-US" w:eastAsia="zh-CN"/>
        </w:rPr>
        <w:t>第六节  推进社会治理现代化</w:t>
      </w:r>
      <w:bookmarkEnd w:id="283"/>
      <w:bookmarkEnd w:id="284"/>
    </w:p>
    <w:p w14:paraId="1A42BE6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坚定不移贯彻总体国家安全观，把安全发展贯穿发展各领域和全过程，着力构建与高质量发展相适应的社会治理与安全屏障。</w:t>
      </w:r>
    </w:p>
    <w:p w14:paraId="2675F48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提高公共安全治理水平。</w:t>
      </w:r>
      <w:r>
        <w:rPr>
          <w:rFonts w:hint="eastAsia" w:ascii="仿宋_GB2312" w:hAnsi="仿宋_GB2312" w:eastAsia="仿宋_GB2312" w:cs="仿宋_GB2312"/>
          <w:b w:val="0"/>
          <w:bCs w:val="0"/>
          <w:color w:val="auto"/>
          <w:kern w:val="2"/>
          <w:sz w:val="32"/>
          <w:szCs w:val="32"/>
          <w:highlight w:val="none"/>
          <w:lang w:val="en-US" w:eastAsia="zh-CN" w:bidi="ar-SA"/>
        </w:rPr>
        <w:t>完善公共安全体系，</w:t>
      </w:r>
      <w:r>
        <w:rPr>
          <w:rFonts w:hint="eastAsia" w:ascii="Times New Roman" w:hAnsi="Times New Roman" w:eastAsia="仿宋_GB2312" w:cs="Times New Roman"/>
          <w:b w:val="0"/>
          <w:bCs w:val="0"/>
          <w:color w:val="auto"/>
          <w:sz w:val="32"/>
          <w:szCs w:val="32"/>
          <w:highlight w:val="none"/>
          <w:lang w:val="en-US" w:eastAsia="zh-CN"/>
        </w:rPr>
        <w:t>强化先期预防、应急指挥、关键救援、科技支撑及基层应急“五大能力”。</w:t>
      </w:r>
      <w:r>
        <w:rPr>
          <w:rFonts w:hint="eastAsia" w:ascii="仿宋_GB2312" w:hAnsi="仿宋_GB2312" w:eastAsia="仿宋_GB2312" w:cs="仿宋_GB2312"/>
          <w:b w:val="0"/>
          <w:bCs w:val="0"/>
          <w:color w:val="auto"/>
          <w:kern w:val="2"/>
          <w:sz w:val="32"/>
          <w:szCs w:val="32"/>
          <w:highlight w:val="none"/>
          <w:lang w:val="en-US" w:eastAsia="zh-CN" w:bidi="ar-SA"/>
        </w:rPr>
        <w:t>推进重点领域安全防治工程建设，提升重要基础设施本质安全水平，增强防灾减灾救灾及重大突发公共事件处置保障能力，抓实安全生产、食品药品安全监管，坚决遏制重特大事故发生。完善社会治安整体防控体系，推进政法工作数字化平台、综治中心规范化建设，加强社会治安重点人群服务管理，严防个人极端案事件和重大命案，筑牢大型公共场所安全防线。常态化开展扫黑除恶斗争，纵深推进电信网络诈骗、毒品犯罪打击治理。深化网络空间安全综合治理，强化个人信息保护。健全未成年人违法犯罪预防矫治体系。增强全民安全防范意识。全面准确贯彻宽严相济刑事政策，依法严厉打击各类违法犯罪活动。</w:t>
      </w:r>
    </w:p>
    <w:p w14:paraId="3036E2C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完善社会治理体系。</w:t>
      </w:r>
      <w:r>
        <w:rPr>
          <w:rFonts w:hint="eastAsia" w:ascii="仿宋_GB2312" w:hAnsi="仿宋_GB2312" w:eastAsia="仿宋_GB2312" w:cs="仿宋_GB2312"/>
          <w:b w:val="0"/>
          <w:bCs w:val="0"/>
          <w:color w:val="auto"/>
          <w:kern w:val="2"/>
          <w:sz w:val="32"/>
          <w:szCs w:val="32"/>
          <w:highlight w:val="none"/>
          <w:lang w:val="en-US" w:eastAsia="zh-CN" w:bidi="ar-SA"/>
        </w:rPr>
        <w:t>全面落实维护社会稳定责任制，完善共建共治共享的社会治理制度。加强社会组织培育管理，推动行业协会商会改革发展。坚持党建引领的基层治理和基层政权建设，全面实施乡镇履行职责事项清单，健全完善村（社区）工作事项准入制度。坚持和发展新时代“枫桥经验”</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27"/>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推进网上网下协同，推动“人工智能+”赋能社会治理。完善凝聚服务群众工作机制，发挥市民公约、村规民约等作用，加强家庭家教家风建设，深入推进移风易俗，培育勤俭节约文明新风。健全社会心理服务体系和危机干预机制。优化政务服务便民热线等平台功能。发展志愿服务，加强志愿服务组织管理。深入推进信访工作法治化，推动矛盾纠纷源头化解、多元化解、有序化解。健全社会工作体制机制，加强社会工作者队伍建设，积极落实广西社会工作高质量发展</w:t>
      </w:r>
      <w:r>
        <w:rPr>
          <w:rFonts w:hint="eastAsia" w:ascii="Times New Roman" w:hAnsi="Times New Roman" w:eastAsia="仿宋_GB2312" w:cs="Times New Roman"/>
          <w:b w:val="0"/>
          <w:bCs w:val="0"/>
          <w:color w:val="auto"/>
          <w:sz w:val="32"/>
          <w:szCs w:val="32"/>
          <w:highlight w:val="none"/>
          <w:lang w:val="en-US" w:eastAsia="zh-CN"/>
        </w:rPr>
        <w:t>“十百千万”</w:t>
      </w:r>
      <w:r>
        <w:rPr>
          <w:rStyle w:val="25"/>
          <w:rFonts w:hint="eastAsia" w:ascii="Times New Roman" w:hAnsi="Times New Roman" w:eastAsia="仿宋_GB2312" w:cs="Times New Roman"/>
          <w:b w:val="0"/>
          <w:bCs w:val="0"/>
          <w:color w:val="auto"/>
          <w:sz w:val="32"/>
          <w:szCs w:val="32"/>
          <w:highlight w:val="none"/>
          <w:lang w:val="en-US" w:eastAsia="zh-CN"/>
        </w:rPr>
        <w:t>[</w:t>
      </w:r>
      <w:r>
        <w:rPr>
          <w:rStyle w:val="25"/>
          <w:rFonts w:hint="eastAsia" w:ascii="Times New Roman" w:hAnsi="Times New Roman" w:eastAsia="仿宋_GB2312" w:cs="Times New Roman"/>
          <w:b w:val="0"/>
          <w:bCs w:val="0"/>
          <w:color w:val="auto"/>
          <w:sz w:val="32"/>
          <w:szCs w:val="32"/>
          <w:highlight w:val="none"/>
          <w:lang w:val="en-US" w:eastAsia="zh-CN"/>
        </w:rPr>
        <w:endnoteReference w:id="28"/>
      </w:r>
      <w:r>
        <w:rPr>
          <w:rStyle w:val="25"/>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工程。</w:t>
      </w:r>
    </w:p>
    <w:p w14:paraId="3409CC1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增强重点领域安全保障能力</w:t>
      </w:r>
      <w:r>
        <w:rPr>
          <w:rFonts w:hint="eastAsia" w:ascii="仿宋_GB2312" w:hAnsi="仿宋_GB2312" w:eastAsia="仿宋_GB2312" w:cs="仿宋_GB2312"/>
          <w:b/>
          <w:bCs/>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健全经济安全保障体系，加强经济安全风险预警与防控能力建设，确保重要产业、</w:t>
      </w:r>
      <w:r>
        <w:rPr>
          <w:rFonts w:hint="eastAsia" w:ascii="仿宋_GB2312" w:hAnsi="仿宋_GB2312" w:eastAsia="仿宋_GB2312" w:cs="仿宋_GB2312"/>
          <w:b w:val="0"/>
          <w:bCs w:val="0"/>
          <w:color w:val="auto"/>
          <w:kern w:val="2"/>
          <w:sz w:val="32"/>
          <w:szCs w:val="32"/>
          <w:highlight w:val="none"/>
          <w:lang w:val="en-US" w:eastAsia="zh-CN" w:bidi="ar-SA"/>
        </w:rPr>
        <w:t>能源资源、重要产业链供应链、重大</w:t>
      </w:r>
      <w:r>
        <w:rPr>
          <w:rFonts w:hint="eastAsia" w:ascii="Times New Roman" w:hAnsi="Times New Roman" w:eastAsia="仿宋_GB2312" w:cs="Times New Roman"/>
          <w:color w:val="auto"/>
          <w:kern w:val="2"/>
          <w:sz w:val="32"/>
          <w:szCs w:val="32"/>
          <w:highlight w:val="none"/>
          <w:lang w:val="en-US" w:eastAsia="zh-CN" w:bidi="ar-SA"/>
        </w:rPr>
        <w:t>基础设施、战略资源等关键领域安全可控。</w:t>
      </w:r>
      <w:r>
        <w:rPr>
          <w:rFonts w:hint="eastAsia" w:ascii="仿宋_GB2312" w:hAnsi="仿宋_GB2312" w:eastAsia="仿宋_GB2312" w:cs="仿宋_GB2312"/>
          <w:color w:val="auto"/>
          <w:sz w:val="32"/>
          <w:szCs w:val="32"/>
          <w:highlight w:val="none"/>
        </w:rPr>
        <w:t>加强网络、数据、人工智能、生物、生态、低空等新兴领域安全能力建设</w:t>
      </w:r>
      <w:r>
        <w:rPr>
          <w:rFonts w:hint="eastAsia" w:ascii="Times New Roman" w:hAnsi="Times New Roman" w:eastAsia="仿宋_GB2312" w:cs="Times New Roman"/>
          <w:color w:val="auto"/>
          <w:kern w:val="2"/>
          <w:sz w:val="32"/>
          <w:szCs w:val="32"/>
          <w:highlight w:val="none"/>
          <w:lang w:val="en-US" w:eastAsia="zh-CN" w:bidi="ar-SA"/>
        </w:rPr>
        <w:t>，支持无人机等科技装备在应急救援、巡查监测、事故调查等领域深度应用，提升安全保障的科技化、智能化水平。稳妥有序化解房地产、地方政府债务等重点领域风险。协同推进金融监管，坚决守住不发生系统性、区域性金融风险底线。</w:t>
      </w:r>
      <w:r>
        <w:rPr>
          <w:rFonts w:hint="eastAsia" w:ascii="仿宋_GB2312" w:hAnsi="仿宋_GB2312" w:eastAsia="仿宋_GB2312" w:cs="仿宋_GB2312"/>
          <w:b w:val="0"/>
          <w:bCs w:val="0"/>
          <w:color w:val="auto"/>
          <w:kern w:val="2"/>
          <w:sz w:val="32"/>
          <w:szCs w:val="32"/>
          <w:highlight w:val="none"/>
          <w:lang w:val="en-US" w:eastAsia="zh-CN" w:bidi="ar-SA"/>
        </w:rPr>
        <w:t>树牢</w:t>
      </w:r>
      <w:r>
        <w:rPr>
          <w:rFonts w:hint="eastAsia" w:ascii="Times New Roman" w:hAnsi="Times New Roman" w:eastAsia="仿宋_GB2312" w:cs="Times New Roman"/>
          <w:b w:val="0"/>
          <w:bCs w:val="0"/>
          <w:color w:val="auto"/>
          <w:sz w:val="32"/>
          <w:szCs w:val="32"/>
          <w:highlight w:val="none"/>
          <w:lang w:val="en-US" w:eastAsia="zh-CN"/>
        </w:rPr>
        <w:t>“过紧日子”理念，</w:t>
      </w:r>
      <w:r>
        <w:rPr>
          <w:rFonts w:hint="eastAsia" w:ascii="Times New Roman" w:hAnsi="Times New Roman" w:eastAsia="仿宋_GB2312" w:cs="Times New Roman"/>
          <w:color w:val="auto"/>
          <w:kern w:val="2"/>
          <w:sz w:val="32"/>
          <w:szCs w:val="32"/>
          <w:highlight w:val="none"/>
          <w:lang w:val="en-US" w:eastAsia="zh-CN" w:bidi="ar-SA"/>
        </w:rPr>
        <w:t>强化财政承受能力评估，科学统筹财政支出，兜牢基层“三保”底线。坚持</w:t>
      </w:r>
      <w:r>
        <w:rPr>
          <w:rFonts w:hint="eastAsia" w:ascii="仿宋_GB2312" w:hAnsi="仿宋_GB2312" w:eastAsia="仿宋_GB2312" w:cs="仿宋_GB2312"/>
          <w:color w:val="auto"/>
          <w:sz w:val="32"/>
          <w:szCs w:val="32"/>
          <w:highlight w:val="none"/>
        </w:rPr>
        <w:t>党管武装根本原则和制度，扎实推进国防动员</w:t>
      </w:r>
      <w:r>
        <w:rPr>
          <w:rFonts w:hint="eastAsia" w:ascii="仿宋_GB2312" w:hAnsi="仿宋_GB2312" w:eastAsia="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rPr>
        <w:t>后备力量建设转型发展，巩固</w:t>
      </w:r>
      <w:r>
        <w:rPr>
          <w:rFonts w:hint="eastAsia" w:ascii="仿宋_GB2312" w:hAnsi="仿宋_GB2312" w:eastAsia="仿宋_GB2312" w:cs="仿宋_GB2312"/>
          <w:color w:val="auto"/>
          <w:sz w:val="32"/>
          <w:szCs w:val="32"/>
          <w:highlight w:val="none"/>
          <w:lang w:val="en-US" w:eastAsia="zh-CN"/>
        </w:rPr>
        <w:t>深化</w:t>
      </w:r>
      <w:r>
        <w:rPr>
          <w:rFonts w:hint="eastAsia" w:ascii="仿宋_GB2312" w:hAnsi="仿宋_GB2312" w:eastAsia="仿宋_GB2312" w:cs="仿宋_GB2312"/>
          <w:color w:val="auto"/>
          <w:sz w:val="32"/>
          <w:szCs w:val="32"/>
          <w:highlight w:val="none"/>
        </w:rPr>
        <w:t>新时代军政军民团结</w:t>
      </w:r>
      <w:r>
        <w:rPr>
          <w:rFonts w:hint="eastAsia" w:ascii="Times New Roman" w:hAnsi="Times New Roman" w:eastAsia="仿宋_GB2312" w:cs="Times New Roman"/>
          <w:color w:val="auto"/>
          <w:kern w:val="2"/>
          <w:sz w:val="32"/>
          <w:szCs w:val="32"/>
          <w:highlight w:val="none"/>
          <w:lang w:val="en-US" w:eastAsia="zh-CN" w:bidi="ar-SA"/>
        </w:rPr>
        <w:t>，促进经济建设与国防建设协调发展</w:t>
      </w:r>
      <w:r>
        <w:rPr>
          <w:rFonts w:hint="eastAsia" w:ascii="仿宋_GB2312" w:hAnsi="仿宋_GB2312" w:eastAsia="仿宋_GB2312" w:cs="仿宋_GB2312"/>
          <w:color w:val="auto"/>
          <w:sz w:val="32"/>
          <w:szCs w:val="32"/>
          <w:highlight w:val="none"/>
        </w:rPr>
        <w:t>。</w:t>
      </w:r>
    </w:p>
    <w:p w14:paraId="5536D32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p>
    <w:p w14:paraId="4F559C00">
      <w:pPr>
        <w:rPr>
          <w:rFonts w:hint="eastAsia" w:ascii="方正小标宋简体" w:hAnsi="方正小标宋简体" w:eastAsia="方正小标宋简体" w:cs="方正小标宋简体"/>
          <w:b w:val="0"/>
          <w:bCs/>
          <w:color w:val="auto"/>
          <w:highlight w:val="none"/>
          <w:lang w:val="en-US" w:eastAsia="zh-CN"/>
        </w:rPr>
      </w:pPr>
      <w:bookmarkStart w:id="285" w:name="_Toc24662"/>
      <w:bookmarkStart w:id="286" w:name="_Toc27059"/>
      <w:bookmarkStart w:id="287" w:name="_Toc2074"/>
      <w:r>
        <w:rPr>
          <w:rFonts w:hint="eastAsia" w:ascii="方正小标宋简体" w:hAnsi="方正小标宋简体" w:eastAsia="方正小标宋简体" w:cs="方正小标宋简体"/>
          <w:b w:val="0"/>
          <w:bCs/>
          <w:color w:val="auto"/>
          <w:highlight w:val="none"/>
          <w:lang w:val="en-US" w:eastAsia="zh-CN"/>
        </w:rPr>
        <w:br w:type="page"/>
      </w:r>
    </w:p>
    <w:p w14:paraId="2940DAC1">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288" w:name="_Toc32240"/>
      <w:r>
        <w:rPr>
          <w:rFonts w:hint="eastAsia" w:ascii="方正小标宋简体" w:hAnsi="方正小标宋简体" w:eastAsia="方正小标宋简体" w:cs="方正小标宋简体"/>
          <w:b w:val="0"/>
          <w:bCs/>
          <w:color w:val="auto"/>
          <w:highlight w:val="none"/>
          <w:lang w:val="en-US" w:eastAsia="zh-CN"/>
        </w:rPr>
        <w:t>第十二章</w:t>
      </w:r>
      <w:bookmarkEnd w:id="285"/>
      <w:bookmarkEnd w:id="286"/>
      <w:bookmarkEnd w:id="287"/>
      <w:bookmarkEnd w:id="288"/>
      <w:bookmarkStart w:id="289" w:name="_Toc10139"/>
      <w:bookmarkStart w:id="290" w:name="_Toc4881"/>
    </w:p>
    <w:p w14:paraId="3B8C582A">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rPr>
      </w:pPr>
      <w:bookmarkStart w:id="291" w:name="_Toc23022"/>
      <w:bookmarkStart w:id="292" w:name="_Toc2675"/>
      <w:r>
        <w:rPr>
          <w:rFonts w:hint="eastAsia" w:ascii="方正小标宋简体" w:hAnsi="方正小标宋简体" w:eastAsia="方正小标宋简体" w:cs="方正小标宋简体"/>
          <w:b w:val="0"/>
          <w:bCs/>
          <w:color w:val="auto"/>
          <w:highlight w:val="none"/>
          <w:lang w:val="en-US" w:eastAsia="zh-CN"/>
        </w:rPr>
        <w:t xml:space="preserve">推动绿色低碳转型  </w:t>
      </w:r>
      <w:r>
        <w:rPr>
          <w:rFonts w:hint="eastAsia" w:ascii="方正小标宋简体" w:hAnsi="方正小标宋简体" w:eastAsia="方正小标宋简体" w:cs="方正小标宋简体"/>
          <w:b w:val="0"/>
          <w:bCs/>
          <w:color w:val="auto"/>
          <w:highlight w:val="none"/>
        </w:rPr>
        <w:t>建设和谐共生美丽鹿寨</w:t>
      </w:r>
      <w:bookmarkEnd w:id="289"/>
      <w:bookmarkEnd w:id="290"/>
      <w:bookmarkEnd w:id="291"/>
      <w:bookmarkEnd w:id="292"/>
    </w:p>
    <w:p w14:paraId="335EDD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牢固树立和践行绿水青山就是金山银山的理念，坚持碳达峰、碳中和牵引，全面实施碳排放双控制度，协同推进降碳、减污、扩绿、增长，厚植鹿寨山水林田湖草的生态本底，推动传统产业绿色转型与生态价值转化互促共进，奋力打造工业强、生态美、人民富的和谐共生新鹿寨。</w:t>
      </w:r>
    </w:p>
    <w:p w14:paraId="5910E7D0">
      <w:pPr>
        <w:pStyle w:val="5"/>
        <w:bidi w:val="0"/>
        <w:jc w:val="center"/>
        <w:outlineLvl w:val="0"/>
        <w:rPr>
          <w:rFonts w:hint="default" w:eastAsia="黑体"/>
          <w:b w:val="0"/>
          <w:bCs/>
          <w:color w:val="auto"/>
          <w:sz w:val="36"/>
          <w:szCs w:val="36"/>
          <w:highlight w:val="none"/>
          <w:lang w:val="en-US" w:eastAsia="zh-CN"/>
        </w:rPr>
      </w:pPr>
      <w:bookmarkStart w:id="293" w:name="_Toc7185"/>
      <w:bookmarkStart w:id="294" w:name="_Toc6654"/>
      <w:bookmarkStart w:id="295" w:name="_Toc9310"/>
      <w:bookmarkStart w:id="296" w:name="_Toc30215"/>
      <w:bookmarkStart w:id="297" w:name="_Toc17915"/>
      <w:bookmarkStart w:id="298" w:name="_Toc26756"/>
      <w:r>
        <w:rPr>
          <w:rFonts w:hint="eastAsia"/>
          <w:b w:val="0"/>
          <w:bCs/>
          <w:color w:val="auto"/>
          <w:sz w:val="36"/>
          <w:szCs w:val="36"/>
          <w:highlight w:val="none"/>
        </w:rPr>
        <w:t>第</w:t>
      </w:r>
      <w:r>
        <w:rPr>
          <w:rFonts w:hint="eastAsia"/>
          <w:b w:val="0"/>
          <w:bCs/>
          <w:color w:val="auto"/>
          <w:sz w:val="36"/>
          <w:szCs w:val="36"/>
          <w:highlight w:val="none"/>
          <w:lang w:val="en-US" w:eastAsia="zh-CN"/>
        </w:rPr>
        <w:t>一</w:t>
      </w:r>
      <w:r>
        <w:rPr>
          <w:rFonts w:hint="eastAsia"/>
          <w:b w:val="0"/>
          <w:bCs/>
          <w:color w:val="auto"/>
          <w:sz w:val="36"/>
          <w:szCs w:val="36"/>
          <w:highlight w:val="none"/>
        </w:rPr>
        <w:t xml:space="preserve">节 </w:t>
      </w:r>
      <w:r>
        <w:rPr>
          <w:rFonts w:hint="eastAsia"/>
          <w:b w:val="0"/>
          <w:bCs/>
          <w:color w:val="auto"/>
          <w:sz w:val="36"/>
          <w:szCs w:val="36"/>
          <w:highlight w:val="none"/>
          <w:lang w:val="en-US" w:eastAsia="zh-CN"/>
        </w:rPr>
        <w:t xml:space="preserve"> </w:t>
      </w:r>
      <w:bookmarkEnd w:id="293"/>
      <w:bookmarkEnd w:id="294"/>
      <w:r>
        <w:rPr>
          <w:rFonts w:hint="eastAsia"/>
          <w:b w:val="0"/>
          <w:bCs/>
          <w:color w:val="auto"/>
          <w:sz w:val="36"/>
          <w:szCs w:val="36"/>
          <w:highlight w:val="none"/>
          <w:lang w:val="en-US" w:eastAsia="zh-CN"/>
        </w:rPr>
        <w:t>提升生态环境质量</w:t>
      </w:r>
      <w:bookmarkEnd w:id="295"/>
      <w:bookmarkEnd w:id="296"/>
    </w:p>
    <w:p w14:paraId="21F22C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聚焦污染防治攻坚战关键领域，坚持精准、科学、依法治污，统筹运用人工智能等现代技术手段，推动生态环境质量由巩固提升向全面优化迈进，不断满足人民群众对优美生态环境的新期待。</w:t>
      </w:r>
    </w:p>
    <w:p w14:paraId="34B4873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深化多污染物协同治理提升空气质量。</w:t>
      </w:r>
      <w:r>
        <w:rPr>
          <w:rFonts w:hint="eastAsia" w:ascii="仿宋_GB2312" w:hAnsi="仿宋_GB2312" w:eastAsia="仿宋_GB2312" w:cs="仿宋_GB2312"/>
          <w:color w:val="auto"/>
          <w:kern w:val="2"/>
          <w:sz w:val="32"/>
          <w:szCs w:val="32"/>
          <w:highlight w:val="none"/>
          <w:lang w:val="en-US" w:eastAsia="zh-CN" w:bidi="ar-SA"/>
        </w:rPr>
        <w:t>以持续降低细颗粒物</w:t>
      </w:r>
      <w:r>
        <w:rPr>
          <w:rFonts w:hint="default" w:ascii="Times New Roman" w:hAnsi="Times New Roman" w:eastAsia="仿宋_GB2312" w:cs="Times New Roman"/>
          <w:color w:val="auto"/>
          <w:kern w:val="2"/>
          <w:sz w:val="32"/>
          <w:szCs w:val="32"/>
          <w:highlight w:val="none"/>
          <w:lang w:val="en-US" w:eastAsia="zh-CN" w:bidi="ar-SA"/>
        </w:rPr>
        <w:t>（PM2.5）浓度为</w:t>
      </w:r>
      <w:r>
        <w:rPr>
          <w:rFonts w:hint="eastAsia" w:ascii="Times New Roman" w:hAnsi="Times New Roman" w:eastAsia="仿宋_GB2312" w:cs="Times New Roman"/>
          <w:color w:val="auto"/>
          <w:kern w:val="2"/>
          <w:sz w:val="32"/>
          <w:szCs w:val="32"/>
          <w:highlight w:val="none"/>
          <w:lang w:val="en-US" w:eastAsia="zh-CN" w:bidi="ar-SA"/>
        </w:rPr>
        <w:t>核心</w:t>
      </w:r>
      <w:r>
        <w:rPr>
          <w:rFonts w:hint="default" w:ascii="Times New Roman" w:hAnsi="Times New Roman" w:eastAsia="仿宋_GB2312" w:cs="Times New Roman"/>
          <w:color w:val="auto"/>
          <w:kern w:val="2"/>
          <w:sz w:val="32"/>
          <w:szCs w:val="32"/>
          <w:highlight w:val="none"/>
          <w:lang w:val="en-US" w:eastAsia="zh-CN" w:bidi="ar-SA"/>
        </w:rPr>
        <w:t>，协同推进臭氧（O</w:t>
      </w:r>
      <w:r>
        <w:rPr>
          <w:rFonts w:hint="default" w:ascii="Times New Roman" w:hAnsi="Times New Roman" w:eastAsia="仿宋_GB2312" w:cs="Times New Roman"/>
          <w:color w:val="auto"/>
          <w:kern w:val="2"/>
          <w:sz w:val="32"/>
          <w:szCs w:val="32"/>
          <w:highlight w:val="none"/>
          <w:vertAlign w:val="subscript"/>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）污染防控，大力推动氮氧化物（NOx）和挥发性有机物（VOCs）</w:t>
      </w:r>
      <w:r>
        <w:rPr>
          <w:rFonts w:hint="eastAsia" w:ascii="仿宋_GB2312" w:hAnsi="仿宋_GB2312" w:eastAsia="仿宋_GB2312" w:cs="仿宋_GB2312"/>
          <w:color w:val="auto"/>
          <w:kern w:val="2"/>
          <w:sz w:val="32"/>
          <w:szCs w:val="32"/>
          <w:highlight w:val="none"/>
          <w:lang w:val="en-US" w:eastAsia="zh-CN" w:bidi="ar-SA"/>
        </w:rPr>
        <w:t>协同减排。深化工业污染源精准管控，实施水泥等行业超低排放改造，推进糖厂蔗渣锅炉清洁燃烧技术改造与烟气深度治理，促进工业涂装、包装印刷等行业低挥发性有机物原辅材料源头替代。强化涉气“小散乱”企业综合治理与动态清零，有序推动落后产能退出。强化面源精细化管控，深化施工与道路扬尘治理，严格落实秸秆禁烧责任制，推进综合利用项目建设，培育规范的收储利用市场。推广高效油烟净化设施，配合市级谋划餐饮油烟在线监控平台建设，实现智能化动态监管。</w:t>
      </w:r>
      <w:r>
        <w:rPr>
          <w:rFonts w:hint="eastAsia" w:ascii="Times New Roman" w:hAnsi="Times New Roman" w:eastAsia="仿宋_GB2312" w:cs="Times New Roman"/>
          <w:b w:val="0"/>
          <w:bCs w:val="0"/>
          <w:color w:val="auto"/>
          <w:sz w:val="32"/>
          <w:szCs w:val="32"/>
          <w:highlight w:val="none"/>
          <w:lang w:val="en-US" w:eastAsia="zh-CN"/>
        </w:rPr>
        <w:t>优化烟花爆竹禁燃限放管理，</w:t>
      </w:r>
      <w:r>
        <w:rPr>
          <w:rFonts w:hint="eastAsia" w:ascii="Times New Roman" w:hAnsi="Times New Roman" w:eastAsia="仿宋_GB2312"/>
          <w:color w:val="auto"/>
          <w:sz w:val="32"/>
          <w:szCs w:val="32"/>
          <w:highlight w:val="none"/>
        </w:rPr>
        <w:t>配合市级</w:t>
      </w:r>
      <w:r>
        <w:rPr>
          <w:rFonts w:hint="eastAsia" w:ascii="Times New Roman" w:hAnsi="Times New Roman" w:eastAsia="仿宋_GB2312" w:cs="Times New Roman"/>
          <w:b w:val="0"/>
          <w:bCs w:val="0"/>
          <w:color w:val="auto"/>
          <w:sz w:val="32"/>
          <w:szCs w:val="32"/>
          <w:highlight w:val="none"/>
          <w:lang w:val="en-US" w:eastAsia="zh-CN"/>
        </w:rPr>
        <w:t>构建“智慧大气”精准监测与应急响应体系，推动污染源自动监控与</w:t>
      </w:r>
      <w:r>
        <w:rPr>
          <w:rFonts w:hint="default" w:ascii="Times New Roman" w:hAnsi="Times New Roman" w:eastAsia="仿宋_GB2312" w:cs="Times New Roman"/>
          <w:b w:val="0"/>
          <w:bCs w:val="0"/>
          <w:color w:val="auto"/>
          <w:sz w:val="32"/>
          <w:szCs w:val="32"/>
          <w:highlight w:val="none"/>
          <w:lang w:val="en-US" w:eastAsia="zh-CN"/>
        </w:rPr>
        <w:t>AI</w:t>
      </w:r>
      <w:r>
        <w:rPr>
          <w:rFonts w:hint="eastAsia" w:ascii="Times New Roman" w:hAnsi="Times New Roman" w:eastAsia="仿宋_GB2312" w:cs="Times New Roman"/>
          <w:b w:val="0"/>
          <w:bCs w:val="0"/>
          <w:color w:val="auto"/>
          <w:sz w:val="32"/>
          <w:szCs w:val="32"/>
          <w:highlight w:val="none"/>
          <w:lang w:val="en-US" w:eastAsia="zh-CN"/>
        </w:rPr>
        <w:t>智能识别等非现场监管技术应用，</w:t>
      </w:r>
      <w:r>
        <w:rPr>
          <w:rFonts w:hint="eastAsia" w:ascii="仿宋_GB2312" w:hAnsi="仿宋_GB2312" w:eastAsia="仿宋_GB2312" w:cs="仿宋_GB2312"/>
          <w:color w:val="auto"/>
          <w:kern w:val="2"/>
          <w:sz w:val="32"/>
          <w:szCs w:val="32"/>
          <w:highlight w:val="none"/>
          <w:lang w:val="en-US" w:eastAsia="zh-CN" w:bidi="ar-SA"/>
        </w:rPr>
        <w:t>推进人工影响天气水资源保障工程建设，加强空中云水资源开发利用，实现污染成因精准分析、快速响应和动态调控。</w:t>
      </w:r>
    </w:p>
    <w:p w14:paraId="3808152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统筹“三水共治”建设美丽河湖。</w:t>
      </w:r>
      <w:r>
        <w:rPr>
          <w:rFonts w:hint="eastAsia" w:ascii="仿宋_GB2312" w:hAnsi="仿宋_GB2312" w:eastAsia="仿宋_GB2312" w:cs="仿宋_GB2312"/>
          <w:b w:val="0"/>
          <w:bCs w:val="0"/>
          <w:color w:val="auto"/>
          <w:kern w:val="2"/>
          <w:sz w:val="32"/>
          <w:szCs w:val="32"/>
          <w:highlight w:val="none"/>
          <w:lang w:val="en-US" w:eastAsia="zh-CN" w:bidi="ar-SA"/>
        </w:rPr>
        <w:t>以洛清江、石榴河流域系统治理为重点，统筹推进水资源、水环境、水生态协同治理。加快鹿寨县产业园污水处理设施及配套管网建设，提升工业污水收集处理效能。持续开展城市建成区污水管网更新修复，全面完成入河排污口排查整治。推进拉沟、导江、江口等乡镇污水处理设施及配套管网建设，提高镇级污水处理设施运行负荷率。</w:t>
      </w:r>
      <w:r>
        <w:rPr>
          <w:rFonts w:hint="eastAsia" w:ascii="仿宋_GB2312" w:hAnsi="仿宋_GB2312" w:eastAsia="仿宋_GB2312" w:cs="仿宋_GB2312"/>
          <w:color w:val="auto"/>
          <w:kern w:val="2"/>
          <w:sz w:val="32"/>
          <w:szCs w:val="32"/>
          <w:highlight w:val="none"/>
          <w:lang w:val="en-US" w:eastAsia="zh-CN" w:bidi="ar-SA"/>
        </w:rPr>
        <w:t>强化农业面源污染防控，在喀斯特地貌环境敏感区优化调整畜禽养殖布局，支持粪污处理设施改造与生态养殖模式推广，深化畜禽粪污资源化利用，推进化肥农药减量增效与农膜回收利用。系统实施水生态保护修复，持续开展石榴河流域生态修复，建设青草滩秋沙鸭栖息基地、人工湿地、生态护岸等工程，保障重点河流生态流量，加强水生生物多样性保护与渔业资源管理，打造美丽河湖鹿寨样板。</w:t>
      </w:r>
    </w:p>
    <w:p w14:paraId="4E7677A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强化土壤与地下水污染防控。</w:t>
      </w:r>
      <w:r>
        <w:rPr>
          <w:rFonts w:hint="eastAsia" w:ascii="仿宋_GB2312" w:hAnsi="仿宋_GB2312" w:eastAsia="仿宋_GB2312" w:cs="仿宋_GB2312"/>
          <w:color w:val="auto"/>
          <w:kern w:val="2"/>
          <w:sz w:val="32"/>
          <w:szCs w:val="32"/>
          <w:highlight w:val="none"/>
          <w:lang w:val="en-US" w:eastAsia="zh-CN" w:bidi="ar-SA"/>
        </w:rPr>
        <w:t>严格涉重金属行业准入，优化产业布局，控制重金属排放总量。加强土壤污染重点监管单位及涉重金属、化工类企业环境监管，从源头防控土壤污染。</w:t>
      </w:r>
      <w:r>
        <w:rPr>
          <w:rFonts w:hint="eastAsia" w:ascii="Times New Roman" w:hAnsi="Times New Roman" w:eastAsia="仿宋_GB2312" w:cs="Times New Roman"/>
          <w:b w:val="0"/>
          <w:bCs w:val="0"/>
          <w:color w:val="auto"/>
          <w:sz w:val="32"/>
          <w:szCs w:val="32"/>
          <w:highlight w:val="none"/>
          <w:lang w:val="en-US" w:eastAsia="zh-CN"/>
        </w:rPr>
        <w:t>协同推进历史遗留矿山污染治理、风险管控与生态修复。</w:t>
      </w:r>
      <w:r>
        <w:rPr>
          <w:rFonts w:hint="eastAsia" w:ascii="仿宋_GB2312" w:hAnsi="仿宋_GB2312" w:eastAsia="仿宋_GB2312" w:cs="仿宋_GB2312"/>
          <w:color w:val="auto"/>
          <w:kern w:val="2"/>
          <w:sz w:val="32"/>
          <w:szCs w:val="32"/>
          <w:highlight w:val="none"/>
          <w:lang w:val="en-US" w:eastAsia="zh-CN" w:bidi="ar-SA"/>
        </w:rPr>
        <w:t>突出农用地安全利用，配合开展耕地土壤污染成因排查分析，实施分类管理与安全利用。建立未污染土壤保护机制，扎实推进受污染耕地安全利用与风险管控，</w:t>
      </w:r>
      <w:r>
        <w:rPr>
          <w:rFonts w:hint="eastAsia" w:ascii="Times New Roman" w:hAnsi="Times New Roman" w:eastAsia="仿宋_GB2312" w:cs="Times New Roman"/>
          <w:b w:val="0"/>
          <w:bCs w:val="0"/>
          <w:color w:val="auto"/>
          <w:sz w:val="32"/>
          <w:szCs w:val="32"/>
          <w:highlight w:val="none"/>
          <w:lang w:val="en-US" w:eastAsia="zh-CN"/>
        </w:rPr>
        <w:t>分阶段实现农用地土壤污染溯源与整治全覆盖。</w:t>
      </w:r>
      <w:r>
        <w:rPr>
          <w:rFonts w:hint="eastAsia" w:ascii="仿宋_GB2312" w:hAnsi="仿宋_GB2312" w:eastAsia="仿宋_GB2312" w:cs="仿宋_GB2312"/>
          <w:color w:val="auto"/>
          <w:kern w:val="2"/>
          <w:sz w:val="32"/>
          <w:szCs w:val="32"/>
          <w:highlight w:val="none"/>
          <w:lang w:val="en-US" w:eastAsia="zh-CN" w:bidi="ar-SA"/>
        </w:rPr>
        <w:t>强化建设用地准入管理，严格污染地块再开发利用准入，动态更新污染地块名录并依法公开。推进中渡铁矿等历史遗留矿山地块风险管控、治理修复与安全利用。开展化工园区、垃圾填埋场等重点区域地下水污染状况调查评估，实施分区管控，推进土壤与地下水污染协同防治。</w:t>
      </w:r>
    </w:p>
    <w:p w14:paraId="2DC3B14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推进固体废</w:t>
      </w:r>
      <w:r>
        <w:rPr>
          <w:rFonts w:hint="eastAsia" w:ascii="Times New Roman" w:hAnsi="Times New Roman" w:eastAsia="仿宋_GB2312" w:cs="Times New Roman"/>
          <w:b/>
          <w:bCs/>
          <w:color w:val="auto"/>
          <w:sz w:val="32"/>
          <w:szCs w:val="32"/>
          <w:highlight w:val="none"/>
          <w:lang w:val="en-US" w:eastAsia="zh-CN"/>
        </w:rPr>
        <w:t>物综合治理与污染</w:t>
      </w:r>
      <w:r>
        <w:rPr>
          <w:rFonts w:hint="eastAsia" w:ascii="仿宋_GB2312" w:hAnsi="仿宋_GB2312" w:eastAsia="仿宋_GB2312" w:cs="仿宋_GB2312"/>
          <w:b/>
          <w:bCs/>
          <w:color w:val="auto"/>
          <w:kern w:val="2"/>
          <w:sz w:val="32"/>
          <w:szCs w:val="32"/>
          <w:highlight w:val="none"/>
          <w:lang w:val="en-US" w:eastAsia="zh-CN" w:bidi="ar-SA"/>
        </w:rPr>
        <w:t>防控。</w:t>
      </w:r>
      <w:r>
        <w:rPr>
          <w:rFonts w:hint="eastAsia" w:ascii="仿宋_GB2312" w:hAnsi="仿宋_GB2312" w:eastAsia="仿宋_GB2312" w:cs="仿宋_GB2312"/>
          <w:b w:val="0"/>
          <w:bCs w:val="0"/>
          <w:color w:val="auto"/>
          <w:kern w:val="2"/>
          <w:sz w:val="32"/>
          <w:szCs w:val="32"/>
          <w:highlight w:val="none"/>
          <w:lang w:val="en-US" w:eastAsia="zh-CN" w:bidi="ar-SA"/>
        </w:rPr>
        <w:t>坚持系统观念，统筹推进固体废物源头减量、资源化利用与无害化处理。加强工业固体废物综合利用与污染防治，严厉打击非法倾倒行为。推广绿色建造方式，强化建筑垃圾源头管控和资源化利用。提升秸秆、农膜等农业废弃物综合利用水平。严格实施危险废物产生、收集、转移、利用、处置全过程规范化管理。以</w:t>
      </w:r>
      <w:r>
        <w:rPr>
          <w:rFonts w:hint="default" w:ascii="仿宋_GB2312" w:hAnsi="仿宋_GB2312" w:eastAsia="仿宋_GB2312" w:cs="仿宋_GB2312"/>
          <w:b w:val="0"/>
          <w:bCs w:val="0"/>
          <w:color w:val="auto"/>
          <w:kern w:val="2"/>
          <w:sz w:val="32"/>
          <w:szCs w:val="32"/>
          <w:highlight w:val="none"/>
          <w:lang w:val="en-US" w:eastAsia="zh-CN" w:bidi="ar-SA"/>
        </w:rPr>
        <w:t>危险废物规范化管理评估</w:t>
      </w:r>
      <w:r>
        <w:rPr>
          <w:rFonts w:hint="eastAsia" w:ascii="仿宋_GB2312" w:hAnsi="仿宋_GB2312" w:eastAsia="仿宋_GB2312" w:cs="仿宋_GB2312"/>
          <w:b w:val="0"/>
          <w:bCs w:val="0"/>
          <w:color w:val="auto"/>
          <w:kern w:val="2"/>
          <w:sz w:val="32"/>
          <w:szCs w:val="32"/>
          <w:highlight w:val="none"/>
          <w:lang w:val="en-US" w:eastAsia="zh-CN" w:bidi="ar-SA"/>
        </w:rPr>
        <w:t>为抓手，全面落实市级下达的目标值考核要求，确保辖区内重点产废单位和经营单位管理评估达标率稳步提升，坚决防范危险废物环境风险。深入推进“无废城市”建设，</w:t>
      </w:r>
      <w:r>
        <w:rPr>
          <w:rFonts w:hint="eastAsia" w:ascii="Times New Roman" w:hAnsi="Times New Roman" w:eastAsia="仿宋_GB2312" w:cs="Times New Roman"/>
          <w:b w:val="0"/>
          <w:bCs w:val="0"/>
          <w:color w:val="auto"/>
          <w:sz w:val="32"/>
          <w:szCs w:val="32"/>
          <w:highlight w:val="none"/>
          <w:lang w:val="en-US" w:eastAsia="zh-CN"/>
        </w:rPr>
        <w:t>持续开展新污染物调查与动态清单管理，常态化开展涉重金属重点行业环境安全监管。</w:t>
      </w:r>
      <w:r>
        <w:rPr>
          <w:rFonts w:hint="eastAsia" w:ascii="仿宋_GB2312" w:hAnsi="仿宋_GB2312" w:eastAsia="仿宋_GB2312" w:cs="仿宋_GB2312"/>
          <w:b w:val="0"/>
          <w:bCs w:val="0"/>
          <w:color w:val="auto"/>
          <w:kern w:val="2"/>
          <w:sz w:val="32"/>
          <w:szCs w:val="32"/>
          <w:highlight w:val="none"/>
          <w:lang w:val="en-US" w:eastAsia="zh-CN" w:bidi="ar-SA"/>
        </w:rPr>
        <w:t>坚持“查、评、改、治、防、管”系统施策，强化全过程监管与分类整治。严格源头管控，优化涉重金属产业结构，推进矿业领域整合与“小散乱”企业专项治理，依法淘汰落后过剩产能。围绕洛清江、石榴河等重点流域，针对铅、镉、铊等特征污染物，深入开展涉重金属污染与非法采矿“倒查十年”专项行动，严惩无证开采、超层越界、违法用地及超标排污等行为。聚焦矿采选、冶炼、电镀等重点行业，持续开展排查整治，健全跨部门协同监管机制，完善县、乡、村三级联防联控网络，切实巩固整治成效，保障群众身体健康与生态环境安全。</w:t>
      </w:r>
    </w:p>
    <w:p w14:paraId="587CB045">
      <w:pPr>
        <w:pStyle w:val="5"/>
        <w:bidi w:val="0"/>
        <w:jc w:val="center"/>
        <w:outlineLvl w:val="0"/>
        <w:rPr>
          <w:rFonts w:hint="eastAsia"/>
          <w:b w:val="0"/>
          <w:bCs/>
          <w:color w:val="auto"/>
          <w:sz w:val="36"/>
          <w:szCs w:val="36"/>
          <w:highlight w:val="none"/>
        </w:rPr>
      </w:pPr>
      <w:bookmarkStart w:id="299" w:name="_Toc31661"/>
      <w:bookmarkStart w:id="300" w:name="_Toc7948"/>
      <w:r>
        <w:rPr>
          <w:rFonts w:hint="eastAsia"/>
          <w:b w:val="0"/>
          <w:bCs/>
          <w:color w:val="auto"/>
          <w:sz w:val="36"/>
          <w:szCs w:val="36"/>
          <w:highlight w:val="none"/>
        </w:rPr>
        <w:t>第</w:t>
      </w:r>
      <w:r>
        <w:rPr>
          <w:rFonts w:hint="eastAsia"/>
          <w:b w:val="0"/>
          <w:bCs/>
          <w:color w:val="auto"/>
          <w:sz w:val="36"/>
          <w:szCs w:val="36"/>
          <w:highlight w:val="none"/>
          <w:lang w:val="en-US" w:eastAsia="zh-CN"/>
        </w:rPr>
        <w:t>二</w:t>
      </w:r>
      <w:r>
        <w:rPr>
          <w:rFonts w:hint="eastAsia"/>
          <w:b w:val="0"/>
          <w:bCs/>
          <w:color w:val="auto"/>
          <w:sz w:val="36"/>
          <w:szCs w:val="36"/>
          <w:highlight w:val="none"/>
        </w:rPr>
        <w:t xml:space="preserve">节 </w:t>
      </w:r>
      <w:r>
        <w:rPr>
          <w:rFonts w:hint="eastAsia"/>
          <w:b w:val="0"/>
          <w:bCs/>
          <w:color w:val="auto"/>
          <w:sz w:val="36"/>
          <w:szCs w:val="36"/>
          <w:highlight w:val="none"/>
          <w:lang w:val="en-US" w:eastAsia="zh-CN"/>
        </w:rPr>
        <w:t xml:space="preserve"> </w:t>
      </w:r>
      <w:r>
        <w:rPr>
          <w:rFonts w:hint="eastAsia"/>
          <w:b w:val="0"/>
          <w:bCs/>
          <w:color w:val="auto"/>
          <w:sz w:val="36"/>
          <w:szCs w:val="36"/>
          <w:highlight w:val="none"/>
        </w:rPr>
        <w:t>筑牢生态安全屏障</w:t>
      </w:r>
      <w:bookmarkEnd w:id="297"/>
      <w:bookmarkEnd w:id="298"/>
      <w:bookmarkEnd w:id="299"/>
      <w:bookmarkEnd w:id="300"/>
    </w:p>
    <w:p w14:paraId="0FA3DD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坚持保护优先、自然恢复为主，统筹推进山水林田湖草沙一体化保护和系统治理，强化生态空间管控与环境风险全链条防控，全面提升生态系统稳定性与服务功能，为鹿寨绿色发展奠定坚实生态基础。</w:t>
      </w:r>
    </w:p>
    <w:p w14:paraId="6C9E805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系统推进生态保护与修复。</w:t>
      </w:r>
      <w:r>
        <w:rPr>
          <w:rFonts w:hint="eastAsia" w:ascii="仿宋_GB2312" w:hAnsi="仿宋_GB2312" w:eastAsia="仿宋_GB2312" w:cs="仿宋_GB2312"/>
          <w:b w:val="0"/>
          <w:bCs w:val="0"/>
          <w:color w:val="auto"/>
          <w:kern w:val="2"/>
          <w:sz w:val="32"/>
          <w:szCs w:val="32"/>
          <w:highlight w:val="none"/>
          <w:lang w:val="en-US" w:eastAsia="zh-CN" w:bidi="ar-SA"/>
        </w:rPr>
        <w:t>严格落实生态保护红线、永久基本农田、城镇开发边界管控要求，确保生态空间总量稳定，功能持续提升。以喀斯特地貌区、重点流域等生态脆弱区和重要生态功能区为核心，系统实施历史遗留矿山生态修复、石漠化治理、水土流失防治和地质灾害综合治理。</w:t>
      </w:r>
      <w:r>
        <w:rPr>
          <w:rFonts w:hint="eastAsia" w:ascii="Times New Roman" w:hAnsi="Times New Roman" w:eastAsia="仿宋_GB2312" w:cs="Times New Roman"/>
          <w:b w:val="0"/>
          <w:bCs w:val="0"/>
          <w:color w:val="auto"/>
          <w:sz w:val="32"/>
          <w:szCs w:val="32"/>
          <w:highlight w:val="none"/>
          <w:lang w:val="en-US" w:eastAsia="zh-CN"/>
        </w:rPr>
        <w:t>统筹推进林地、湿地、河湖水系保护与修复，加快石榴河流域等生态修复项目建设，增强生态系统完整性与连通性。</w:t>
      </w:r>
      <w:r>
        <w:rPr>
          <w:rFonts w:hint="eastAsia" w:ascii="仿宋_GB2312" w:hAnsi="仿宋_GB2312" w:eastAsia="仿宋_GB2312" w:cs="仿宋_GB2312"/>
          <w:b w:val="0"/>
          <w:bCs w:val="0"/>
          <w:color w:val="auto"/>
          <w:kern w:val="2"/>
          <w:sz w:val="32"/>
          <w:szCs w:val="32"/>
          <w:highlight w:val="none"/>
          <w:lang w:val="en-US" w:eastAsia="zh-CN" w:bidi="ar-SA"/>
        </w:rPr>
        <w:t>强化山水林田湖草沙系统治理，加大湿地保护修复力度，实施森林质量精准提升工程，科学开展国土绿化。加强自然保护地监管与生态廊道建设，严厉打击破坏生态环境行为，持续推进绿色矿山建设。</w:t>
      </w:r>
      <w:r>
        <w:rPr>
          <w:rFonts w:ascii="仿宋_GB2312" w:hAnsi="仿宋_GB2312" w:eastAsia="仿宋_GB2312" w:cs="仿宋_GB2312"/>
          <w:b w:val="0"/>
          <w:bCs w:val="0"/>
          <w:color w:val="auto"/>
          <w:sz w:val="31"/>
          <w:szCs w:val="31"/>
          <w:highlight w:val="none"/>
        </w:rPr>
        <w:t>落实广西生物多样性保护战略与行动计划，</w:t>
      </w:r>
      <w:r>
        <w:rPr>
          <w:rFonts w:hint="eastAsia" w:ascii="仿宋_GB2312" w:hAnsi="仿宋_GB2312" w:eastAsia="仿宋_GB2312" w:cs="仿宋_GB2312"/>
          <w:b w:val="0"/>
          <w:bCs w:val="0"/>
          <w:color w:val="auto"/>
          <w:sz w:val="31"/>
          <w:szCs w:val="31"/>
          <w:highlight w:val="none"/>
          <w:lang w:eastAsia="zh-CN"/>
        </w:rPr>
        <w:t>完善</w:t>
      </w:r>
      <w:r>
        <w:rPr>
          <w:rFonts w:ascii="仿宋_GB2312" w:hAnsi="仿宋_GB2312" w:eastAsia="仿宋_GB2312" w:cs="仿宋_GB2312"/>
          <w:b w:val="0"/>
          <w:bCs w:val="0"/>
          <w:color w:val="auto"/>
          <w:sz w:val="31"/>
          <w:szCs w:val="31"/>
          <w:highlight w:val="none"/>
        </w:rPr>
        <w:t>生物多样性保护和监管制度。提升生态系统</w:t>
      </w:r>
      <w:r>
        <w:rPr>
          <w:rFonts w:hint="eastAsia" w:ascii="仿宋_GB2312" w:hAnsi="仿宋_GB2312" w:eastAsia="仿宋_GB2312" w:cs="仿宋_GB2312"/>
          <w:b w:val="0"/>
          <w:bCs w:val="0"/>
          <w:color w:val="auto"/>
          <w:sz w:val="31"/>
          <w:szCs w:val="31"/>
          <w:highlight w:val="none"/>
          <w:lang w:eastAsia="zh-CN"/>
        </w:rPr>
        <w:t>稳定性和自我</w:t>
      </w:r>
      <w:r>
        <w:rPr>
          <w:rFonts w:ascii="仿宋_GB2312" w:hAnsi="仿宋_GB2312" w:eastAsia="仿宋_GB2312" w:cs="仿宋_GB2312"/>
          <w:b w:val="0"/>
          <w:bCs w:val="0"/>
          <w:color w:val="auto"/>
          <w:sz w:val="31"/>
          <w:szCs w:val="31"/>
          <w:highlight w:val="none"/>
        </w:rPr>
        <w:t>修复能力</w:t>
      </w:r>
      <w:r>
        <w:rPr>
          <w:rFonts w:hint="eastAsia" w:ascii="仿宋_GB2312" w:hAnsi="仿宋_GB2312" w:eastAsia="仿宋_GB2312" w:cs="仿宋_GB2312"/>
          <w:b w:val="0"/>
          <w:bCs w:val="0"/>
          <w:color w:val="auto"/>
          <w:sz w:val="31"/>
          <w:szCs w:val="31"/>
          <w:highlight w:val="none"/>
          <w:lang w:eastAsia="zh-CN"/>
        </w:rPr>
        <w:t>，</w:t>
      </w:r>
      <w:r>
        <w:rPr>
          <w:rFonts w:hint="eastAsia" w:ascii="仿宋_GB2312" w:hAnsi="仿宋_GB2312" w:eastAsia="仿宋_GB2312" w:cs="仿宋_GB2312"/>
          <w:b w:val="0"/>
          <w:bCs w:val="0"/>
          <w:color w:val="auto"/>
          <w:kern w:val="2"/>
          <w:sz w:val="31"/>
          <w:szCs w:val="31"/>
          <w:highlight w:val="none"/>
          <w:lang w:val="en-US" w:eastAsia="zh-CN" w:bidi="ar-SA"/>
        </w:rPr>
        <w:t>构建持续健康、人与自然和谐共生的生态格局。</w:t>
      </w:r>
    </w:p>
    <w:p w14:paraId="46EF3BB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健全生态文明制度体系。</w:t>
      </w:r>
      <w:r>
        <w:rPr>
          <w:rFonts w:hint="eastAsia" w:ascii="仿宋_GB2312" w:hAnsi="仿宋_GB2312" w:eastAsia="仿宋_GB2312" w:cs="仿宋_GB2312"/>
          <w:b w:val="0"/>
          <w:bCs w:val="0"/>
          <w:color w:val="auto"/>
          <w:kern w:val="2"/>
          <w:sz w:val="32"/>
          <w:szCs w:val="32"/>
          <w:highlight w:val="none"/>
          <w:lang w:val="en-US" w:eastAsia="zh-CN" w:bidi="ar-SA"/>
        </w:rPr>
        <w:t>完善以生态环境分区管控为核心的政策协同、环境准入与执法监管机制。深化排污许可制改革，严格落实固定污染源监管制度。提升生态环境依法治理能力，强化依法审批、监管和执法效能。完善生态环境标准、监测、评价与考核制度，全面压实河长制、林长制责任。探索建立市场化、多元化生态保护补偿机制，鼓励社会资本参与生态保护修复。加强生物多样性保护宣传，突出秋沙鸭等珍稀物种保护，引导公众参与，营造共建共治共享的社会氛围。健全生态环境行政执法与刑事司法衔接机制，完善生态环境公益诉讼制度，适时推动相关法规规章和政策文件的制定修订工作。</w:t>
      </w:r>
    </w:p>
    <w:p w14:paraId="4AC3A6C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color w:val="auto"/>
          <w:highlight w:val="none"/>
          <w:lang w:eastAsia="zh-CN"/>
        </w:rPr>
      </w:pPr>
      <w:r>
        <w:rPr>
          <w:rFonts w:hint="eastAsia" w:ascii="仿宋_GB2312" w:hAnsi="仿宋_GB2312" w:eastAsia="仿宋_GB2312" w:cs="仿宋_GB2312"/>
          <w:b/>
          <w:bCs/>
          <w:color w:val="auto"/>
          <w:kern w:val="2"/>
          <w:sz w:val="32"/>
          <w:szCs w:val="32"/>
          <w:highlight w:val="none"/>
          <w:lang w:val="en-US" w:eastAsia="zh-CN" w:bidi="ar-SA"/>
        </w:rPr>
        <w:t>积极稳妥推进碳达峰行动。</w:t>
      </w:r>
      <w:r>
        <w:rPr>
          <w:rFonts w:hint="eastAsia" w:ascii="Times New Roman" w:hAnsi="Times New Roman" w:eastAsia="仿宋_GB2312" w:cs="Times New Roman"/>
          <w:b w:val="0"/>
          <w:bCs w:val="0"/>
          <w:color w:val="auto"/>
          <w:sz w:val="32"/>
          <w:szCs w:val="32"/>
          <w:highlight w:val="none"/>
          <w:lang w:val="en-US" w:eastAsia="zh-CN"/>
        </w:rPr>
        <w:t>全面落实《碳达峰碳中和的中国行动》，</w:t>
      </w:r>
      <w:r>
        <w:rPr>
          <w:rFonts w:hint="eastAsia" w:ascii="仿宋_GB2312" w:hAnsi="仿宋_GB2312" w:eastAsia="仿宋_GB2312" w:cs="仿宋_GB2312"/>
          <w:b w:val="0"/>
          <w:bCs w:val="0"/>
          <w:color w:val="auto"/>
          <w:kern w:val="2"/>
          <w:sz w:val="32"/>
          <w:szCs w:val="32"/>
          <w:highlight w:val="none"/>
          <w:lang w:val="en-US" w:eastAsia="zh-CN" w:bidi="ar-SA"/>
        </w:rPr>
        <w:t>推进产业、能源和消费结构绿色低碳转型，促进能源开发、经济增长与节能降碳协同发展，加强二氧化碳及其他温室气体排放管控，持续提升生态系统碳汇能力，增强全社会低碳意识，有效控制碳排放总量。深入实施节能降碳增效，高标准推进重点行业节能改造，加快设备更新与产品绿色升级。推动企业积极参与全国碳排放权交易与温室气体自愿减排交易，完善市场化减排机制。完善适应气候变化工作体系，增强应对极端天气和气候风险的能力。</w:t>
      </w:r>
    </w:p>
    <w:p w14:paraId="5BE048D6">
      <w:pPr>
        <w:pStyle w:val="6"/>
        <w:keepNext/>
        <w:keepLines/>
        <w:pageBreakBefore w:val="0"/>
        <w:widowControl w:val="0"/>
        <w:kinsoku/>
        <w:wordWrap/>
        <w:overflowPunct/>
        <w:topLinePunct w:val="0"/>
        <w:autoSpaceDE/>
        <w:autoSpaceDN/>
        <w:bidi w:val="0"/>
        <w:adjustRightInd/>
        <w:snapToGrid/>
        <w:spacing w:before="313" w:beforeLines="100" w:after="313" w:afterLines="100" w:line="560" w:lineRule="exact"/>
        <w:ind w:firstLine="720" w:firstLineChars="200"/>
        <w:jc w:val="center"/>
        <w:textAlignment w:val="auto"/>
        <w:outlineLvl w:val="0"/>
        <w:rPr>
          <w:rFonts w:hint="eastAsia" w:ascii="黑体" w:hAnsi="黑体" w:eastAsia="黑体" w:cs="黑体"/>
          <w:b w:val="0"/>
          <w:bCs w:val="0"/>
          <w:color w:val="auto"/>
          <w:sz w:val="36"/>
          <w:szCs w:val="36"/>
          <w:highlight w:val="none"/>
        </w:rPr>
      </w:pPr>
      <w:bookmarkStart w:id="301" w:name="_Toc24811"/>
      <w:bookmarkStart w:id="302" w:name="_Toc11647"/>
      <w:bookmarkStart w:id="303" w:name="_Toc24151"/>
      <w:bookmarkStart w:id="304" w:name="_Toc24288"/>
      <w:r>
        <w:rPr>
          <w:rFonts w:hint="eastAsia" w:ascii="黑体" w:hAnsi="黑体" w:eastAsia="黑体" w:cs="黑体"/>
          <w:b w:val="0"/>
          <w:bCs w:val="0"/>
          <w:color w:val="auto"/>
          <w:sz w:val="36"/>
          <w:szCs w:val="36"/>
          <w:highlight w:val="none"/>
        </w:rPr>
        <w:t xml:space="preserve">第三节 </w:t>
      </w:r>
      <w:r>
        <w:rPr>
          <w:rFonts w:hint="eastAsia" w:ascii="黑体" w:hAnsi="黑体" w:eastAsia="黑体" w:cs="黑体"/>
          <w:b w:val="0"/>
          <w:bCs w:val="0"/>
          <w:color w:val="auto"/>
          <w:sz w:val="36"/>
          <w:szCs w:val="36"/>
          <w:highlight w:val="none"/>
          <w:lang w:val="en-US" w:eastAsia="zh-CN"/>
        </w:rPr>
        <w:t xml:space="preserve"> </w:t>
      </w:r>
      <w:r>
        <w:rPr>
          <w:rFonts w:hint="eastAsia" w:ascii="黑体" w:hAnsi="黑体" w:eastAsia="黑体" w:cs="黑体"/>
          <w:b w:val="0"/>
          <w:bCs w:val="0"/>
          <w:color w:val="auto"/>
          <w:sz w:val="36"/>
          <w:szCs w:val="36"/>
          <w:highlight w:val="none"/>
        </w:rPr>
        <w:t>推动发展方式绿色低碳转型</w:t>
      </w:r>
      <w:bookmarkEnd w:id="301"/>
      <w:bookmarkEnd w:id="302"/>
      <w:bookmarkEnd w:id="303"/>
      <w:bookmarkEnd w:id="304"/>
    </w:p>
    <w:p w14:paraId="2ADE4F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坚持生态优先、绿色发展，协同推进降碳、减污、扩绿、增长，将绿色低碳理念融入经济社会发展全过程，加快形成节约资源和保护环境的空间格局、产业结构、生产生活方式，促进人与自然和谐共生。</w:t>
      </w:r>
    </w:p>
    <w:p w14:paraId="01EEE57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构建绿色低碳循环经济体系。</w:t>
      </w:r>
      <w:r>
        <w:rPr>
          <w:rFonts w:hint="eastAsia" w:ascii="仿宋_GB2312" w:hAnsi="仿宋_GB2312" w:eastAsia="仿宋_GB2312" w:cs="仿宋_GB2312"/>
          <w:b w:val="0"/>
          <w:bCs w:val="0"/>
          <w:color w:val="auto"/>
          <w:kern w:val="2"/>
          <w:sz w:val="32"/>
          <w:szCs w:val="32"/>
          <w:highlight w:val="none"/>
          <w:lang w:val="en-US" w:eastAsia="zh-CN" w:bidi="ar-SA"/>
        </w:rPr>
        <w:t>落实生态环境分区管控，衔接国土空间规划，严守生态保护红线、城镇开发边界和河湖岸线管控要求。深入实施“碳达峰十大行动”，落实碳排放总量和强度双控制度。严控“两高”项目准入，依法淘汰落后产能。实施新一轮“千企技改”，推动建材、水泥、化工、造纸、制糖等传统产业工艺、技术和装备升级。加快发展循环经济，构建循环产业链，鼓励企业按</w:t>
      </w:r>
      <w:r>
        <w:rPr>
          <w:rFonts w:hint="eastAsia" w:ascii="Times New Roman" w:hAnsi="Times New Roman" w:eastAsia="仿宋_GB2312" w:cs="Times New Roman"/>
          <w:b w:val="0"/>
          <w:bCs w:val="0"/>
          <w:color w:val="auto"/>
          <w:sz w:val="32"/>
          <w:szCs w:val="32"/>
          <w:highlight w:val="none"/>
          <w:lang w:val="en-US" w:eastAsia="zh-CN"/>
        </w:rPr>
        <w:t>“新五化”</w:t>
      </w:r>
      <w:r>
        <w:rPr>
          <w:rStyle w:val="25"/>
          <w:rFonts w:hint="eastAsia" w:ascii="Times New Roman" w:hAnsi="Times New Roman" w:eastAsia="仿宋_GB2312" w:cs="Times New Roman"/>
          <w:b w:val="0"/>
          <w:bCs w:val="0"/>
          <w:color w:val="auto"/>
          <w:sz w:val="32"/>
          <w:szCs w:val="32"/>
          <w:highlight w:val="none"/>
          <w:lang w:val="en-US" w:eastAsia="zh-CN"/>
        </w:rPr>
        <w:t>[</w:t>
      </w:r>
      <w:r>
        <w:rPr>
          <w:rStyle w:val="25"/>
          <w:rFonts w:hint="eastAsia" w:ascii="Times New Roman" w:hAnsi="Times New Roman" w:eastAsia="仿宋_GB2312" w:cs="Times New Roman"/>
          <w:b w:val="0"/>
          <w:bCs w:val="0"/>
          <w:color w:val="auto"/>
          <w:sz w:val="32"/>
          <w:szCs w:val="32"/>
          <w:highlight w:val="none"/>
          <w:lang w:val="en-US" w:eastAsia="zh-CN"/>
        </w:rPr>
        <w:endnoteReference w:id="29"/>
      </w:r>
      <w:r>
        <w:rPr>
          <w:rStyle w:val="25"/>
          <w:rFonts w:hint="eastAsia"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b w:val="0"/>
          <w:bCs w:val="0"/>
          <w:color w:val="auto"/>
          <w:kern w:val="2"/>
          <w:sz w:val="32"/>
          <w:szCs w:val="32"/>
          <w:highlight w:val="none"/>
          <w:lang w:val="en-US" w:eastAsia="zh-CN" w:bidi="ar-SA"/>
        </w:rPr>
        <w:t>原则建设绿色工厂。优化能源结构，积极发展分布式光伏、分散式风电等清洁能源。</w:t>
      </w:r>
      <w:r>
        <w:rPr>
          <w:rFonts w:hint="eastAsia" w:ascii="Times New Roman" w:hAnsi="Times New Roman" w:eastAsia="仿宋_GB2312" w:cs="Times New Roman"/>
          <w:b w:val="0"/>
          <w:bCs w:val="0"/>
          <w:color w:val="auto"/>
          <w:sz w:val="32"/>
          <w:szCs w:val="32"/>
          <w:highlight w:val="none"/>
          <w:lang w:val="en-US" w:eastAsia="zh-CN"/>
        </w:rPr>
        <w:t>立足鹿寨生态资源优势，积极推动林业碳汇、水环境权益交易等生态产品价值实现。</w:t>
      </w:r>
    </w:p>
    <w:p w14:paraId="623E781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推广绿色生产生活方式。</w:t>
      </w:r>
      <w:r>
        <w:rPr>
          <w:rFonts w:hint="eastAsia" w:ascii="仿宋_GB2312" w:hAnsi="仿宋_GB2312" w:eastAsia="仿宋_GB2312" w:cs="仿宋_GB2312"/>
          <w:b w:val="0"/>
          <w:bCs w:val="0"/>
          <w:color w:val="auto"/>
          <w:kern w:val="2"/>
          <w:sz w:val="32"/>
          <w:szCs w:val="32"/>
          <w:highlight w:val="none"/>
          <w:lang w:val="en-US" w:eastAsia="zh-CN" w:bidi="ar-SA"/>
        </w:rPr>
        <w:t>配合柳州市国家低碳试点城市创建，</w:t>
      </w:r>
      <w:r>
        <w:rPr>
          <w:rFonts w:hint="eastAsia" w:ascii="Times New Roman" w:hAnsi="Times New Roman" w:eastAsia="仿宋_GB2312" w:cs="Times New Roman"/>
          <w:b w:val="0"/>
          <w:bCs w:val="0"/>
          <w:color w:val="auto"/>
          <w:sz w:val="32"/>
          <w:szCs w:val="32"/>
          <w:highlight w:val="none"/>
          <w:lang w:val="en-US" w:eastAsia="zh-CN"/>
        </w:rPr>
        <w:t>推动低碳产业园区、低碳社区等建设。</w:t>
      </w:r>
      <w:r>
        <w:rPr>
          <w:rFonts w:hint="eastAsia" w:ascii="仿宋_GB2312" w:hAnsi="仿宋_GB2312" w:eastAsia="仿宋_GB2312" w:cs="仿宋_GB2312"/>
          <w:b w:val="0"/>
          <w:bCs w:val="0"/>
          <w:color w:val="auto"/>
          <w:kern w:val="2"/>
          <w:sz w:val="32"/>
          <w:szCs w:val="32"/>
          <w:highlight w:val="none"/>
          <w:lang w:val="en-US" w:eastAsia="zh-CN" w:bidi="ar-SA"/>
        </w:rPr>
        <w:t>推广绿色节能建筑，加快低碳建筑技术应用，推动既有公共建筑节能改造。优化交通出行结构，推动公共交通、物流车辆新能源化。争创自然资源节约集约示范县，加强矿产资源综合利用与工业固体废物、建筑垃圾、农业废弃物资源化利用。完善绿色消费激励机制，</w:t>
      </w:r>
      <w:r>
        <w:rPr>
          <w:rFonts w:hint="eastAsia" w:ascii="Times New Roman" w:hAnsi="Times New Roman" w:eastAsia="仿宋_GB2312" w:cs="Times New Roman"/>
          <w:b w:val="0"/>
          <w:bCs w:val="0"/>
          <w:color w:val="auto"/>
          <w:sz w:val="32"/>
          <w:szCs w:val="32"/>
          <w:highlight w:val="none"/>
          <w:lang w:val="en-US" w:eastAsia="zh-CN"/>
        </w:rPr>
        <w:t>深化</w:t>
      </w:r>
      <w:r>
        <w:rPr>
          <w:rFonts w:hint="eastAsia" w:ascii="仿宋_GB2312" w:hAnsi="仿宋_GB2312" w:eastAsia="仿宋_GB2312" w:cs="仿宋_GB2312"/>
          <w:b w:val="0"/>
          <w:bCs w:val="0"/>
          <w:color w:val="auto"/>
          <w:kern w:val="2"/>
          <w:sz w:val="32"/>
          <w:szCs w:val="32"/>
          <w:highlight w:val="none"/>
          <w:lang w:val="en-US" w:eastAsia="zh-CN" w:bidi="ar-SA"/>
        </w:rPr>
        <w:t>绿色家庭、绿色学校、绿色社区创建，推广节能节水器具、绿色家电与建材，倡导简约适度、绿色低碳生活风尚。</w:t>
      </w:r>
      <w:r>
        <w:rPr>
          <w:rFonts w:hint="eastAsia" w:ascii="Times New Roman" w:hAnsi="Times New Roman" w:eastAsia="仿宋_GB2312" w:cs="Times New Roman"/>
          <w:b w:val="0"/>
          <w:bCs w:val="0"/>
          <w:color w:val="auto"/>
          <w:sz w:val="32"/>
          <w:szCs w:val="32"/>
          <w:highlight w:val="none"/>
          <w:lang w:val="en-US" w:eastAsia="zh-CN"/>
        </w:rPr>
        <w:t>充分利用中渡、黄冕、拉沟等资源优势</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sz w:val="32"/>
          <w:szCs w:val="32"/>
          <w:highlight w:val="none"/>
          <w:lang w:val="en-US" w:eastAsia="zh-CN"/>
        </w:rPr>
        <w:t>拓展升级生态旅游、康养旅游产品，打造“绿水青山就是金山银山”鹿寨实践创新基地。</w:t>
      </w:r>
    </w:p>
    <w:p w14:paraId="7491256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完善绿色发展制度保障。</w:t>
      </w:r>
      <w:r>
        <w:rPr>
          <w:rFonts w:hint="eastAsia" w:ascii="仿宋_GB2312" w:hAnsi="仿宋_GB2312" w:eastAsia="仿宋_GB2312" w:cs="仿宋_GB2312"/>
          <w:b w:val="0"/>
          <w:bCs w:val="0"/>
          <w:color w:val="auto"/>
          <w:kern w:val="2"/>
          <w:sz w:val="32"/>
          <w:szCs w:val="32"/>
          <w:highlight w:val="none"/>
          <w:lang w:val="en-US" w:eastAsia="zh-CN" w:bidi="ar-SA"/>
        </w:rPr>
        <w:t>落实绿色低碳发展的财税、金融、投资、价格等政策，完善资源总量管理和全面节约制度。加强低碳技术研发与推广支持力度。提升生态系统碳汇能力，控制非二氧化碳温室气体排放。深化生态文明建设示范区创建，探索“绿水青山就是金山银山”转化鹿寨路径，打造美丽广西县域样板。通过制度创新与实践推进，有效控制碳排放总量，增强社会低碳意识，保障绿色转型实效。</w:t>
      </w:r>
    </w:p>
    <w:p w14:paraId="21C16C99">
      <w:pPr>
        <w:pStyle w:val="27"/>
        <w:rPr>
          <w:rFonts w:hint="eastAsia" w:ascii="仿宋_GB2312" w:hAnsi="仿宋_GB2312" w:eastAsia="仿宋_GB2312" w:cs="仿宋_GB2312"/>
          <w:b w:val="0"/>
          <w:bCs w:val="0"/>
          <w:color w:val="auto"/>
          <w:kern w:val="2"/>
          <w:sz w:val="32"/>
          <w:szCs w:val="32"/>
          <w:highlight w:val="none"/>
          <w:lang w:val="en-US" w:eastAsia="zh-CN" w:bidi="ar-SA"/>
        </w:rPr>
      </w:pPr>
    </w:p>
    <w:p w14:paraId="7D868D2D">
      <w:pPr>
        <w:pStyle w:val="8"/>
        <w:rPr>
          <w:rFonts w:hint="eastAsia" w:ascii="仿宋_GB2312" w:hAnsi="仿宋_GB2312" w:eastAsia="仿宋_GB2312" w:cs="仿宋_GB2312"/>
          <w:b w:val="0"/>
          <w:bCs w:val="0"/>
          <w:color w:val="auto"/>
          <w:kern w:val="2"/>
          <w:sz w:val="32"/>
          <w:szCs w:val="32"/>
          <w:highlight w:val="none"/>
          <w:lang w:val="en-US" w:eastAsia="zh-CN" w:bidi="ar-SA"/>
        </w:rPr>
      </w:pPr>
    </w:p>
    <w:p w14:paraId="03D98A84">
      <w:pPr>
        <w:rPr>
          <w:rFonts w:hint="eastAsia" w:ascii="仿宋_GB2312" w:hAnsi="仿宋_GB2312" w:eastAsia="仿宋_GB2312" w:cs="仿宋_GB2312"/>
          <w:b w:val="0"/>
          <w:bCs w:val="0"/>
          <w:color w:val="auto"/>
          <w:kern w:val="2"/>
          <w:sz w:val="32"/>
          <w:szCs w:val="32"/>
          <w:highlight w:val="none"/>
          <w:lang w:val="en-US" w:eastAsia="zh-CN" w:bidi="ar-SA"/>
        </w:rPr>
      </w:pPr>
    </w:p>
    <w:p w14:paraId="3F4F2292">
      <w:pPr>
        <w:pStyle w:val="27"/>
        <w:rPr>
          <w:rFonts w:hint="eastAsia"/>
          <w:color w:val="auto"/>
          <w:lang w:val="en-US" w:eastAsia="zh-CN"/>
        </w:rPr>
      </w:pPr>
    </w:p>
    <w:tbl>
      <w:tblPr>
        <w:tblStyle w:val="21"/>
        <w:tblpPr w:leftFromText="180" w:rightFromText="180" w:vertAnchor="text" w:horzAnchor="page" w:tblpXSpec="center" w:tblpY="479"/>
        <w:tblOverlap w:val="never"/>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0EF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820" w:type="dxa"/>
            <w:vAlign w:val="center"/>
          </w:tcPr>
          <w:p w14:paraId="43BF10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方正小标宋简体" w:hAnsi="Times New Roman" w:eastAsia="方正小标宋简体" w:cs="Times New Roman"/>
                <w:color w:val="auto"/>
                <w:kern w:val="2"/>
                <w:sz w:val="28"/>
                <w:szCs w:val="22"/>
                <w:highlight w:val="none"/>
                <w:lang w:val="en-US" w:eastAsia="zh-CN" w:bidi="ar-SA"/>
              </w:rPr>
            </w:pPr>
            <w:r>
              <w:rPr>
                <w:rFonts w:hint="eastAsia" w:ascii="方正小标宋简体" w:hAnsi="Times New Roman" w:eastAsia="方正小标宋简体" w:cs="Times New Roman"/>
                <w:color w:val="auto"/>
                <w:kern w:val="2"/>
                <w:sz w:val="28"/>
                <w:szCs w:val="22"/>
                <w:highlight w:val="none"/>
                <w:lang w:val="en-US" w:eastAsia="zh-CN" w:bidi="ar-SA"/>
              </w:rPr>
              <w:t>专栏</w:t>
            </w:r>
            <w:r>
              <w:rPr>
                <w:rFonts w:hint="default" w:ascii="Times New Roman" w:hAnsi="Times New Roman" w:eastAsia="方正小标宋简体" w:cs="Times New Roman"/>
                <w:color w:val="auto"/>
                <w:kern w:val="2"/>
                <w:sz w:val="28"/>
                <w:szCs w:val="22"/>
                <w:highlight w:val="none"/>
                <w:lang w:val="en-US" w:eastAsia="zh-CN" w:bidi="ar-SA"/>
              </w:rPr>
              <w:t>12-1</w:t>
            </w:r>
            <w:r>
              <w:rPr>
                <w:rFonts w:hint="eastAsia" w:ascii="Times New Roman" w:hAnsi="Times New Roman" w:eastAsia="方正小标宋简体" w:cs="Times New Roman"/>
                <w:color w:val="auto"/>
                <w:kern w:val="2"/>
                <w:sz w:val="28"/>
                <w:szCs w:val="22"/>
                <w:highlight w:val="none"/>
                <w:lang w:val="en-US" w:eastAsia="zh-CN" w:bidi="ar-SA"/>
              </w:rPr>
              <w:t>：</w:t>
            </w:r>
            <w:r>
              <w:rPr>
                <w:rFonts w:hint="eastAsia" w:ascii="方正小标宋简体" w:hAnsi="Times New Roman" w:eastAsia="方正小标宋简体" w:cs="Times New Roman"/>
                <w:color w:val="auto"/>
                <w:kern w:val="2"/>
                <w:sz w:val="28"/>
                <w:szCs w:val="22"/>
                <w:highlight w:val="none"/>
                <w:lang w:val="en-US" w:eastAsia="zh-CN" w:bidi="ar-SA"/>
              </w:rPr>
              <w:t>生态建设和环境保护实施项目</w:t>
            </w:r>
          </w:p>
        </w:tc>
      </w:tr>
      <w:tr w14:paraId="6AAD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jc w:val="center"/>
        </w:trPr>
        <w:tc>
          <w:tcPr>
            <w:tcW w:w="8820" w:type="dxa"/>
            <w:vAlign w:val="center"/>
          </w:tcPr>
          <w:p w14:paraId="596A7C8C">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eastAsia="仿宋_GB2312" w:cs="Times New Roman"/>
                <w:b/>
                <w:color w:val="auto"/>
                <w:sz w:val="28"/>
                <w:szCs w:val="28"/>
                <w:highlight w:val="none"/>
                <w:lang w:val="zh-TW" w:eastAsia="zh-CN"/>
              </w:rPr>
            </w:pPr>
            <w:r>
              <w:rPr>
                <w:rFonts w:hint="eastAsia" w:eastAsia="仿宋_GB2312" w:cs="Times New Roman"/>
                <w:b/>
                <w:color w:val="auto"/>
                <w:sz w:val="28"/>
                <w:szCs w:val="28"/>
                <w:highlight w:val="none"/>
                <w:lang w:val="zh-TW" w:eastAsia="zh-CN"/>
              </w:rPr>
              <w:t>污染防治攻坚：</w:t>
            </w:r>
            <w:r>
              <w:rPr>
                <w:rFonts w:hint="eastAsia" w:eastAsia="仿宋_GB2312" w:cs="Times New Roman"/>
                <w:color w:val="auto"/>
                <w:sz w:val="28"/>
                <w:szCs w:val="28"/>
                <w:highlight w:val="none"/>
                <w:lang w:val="en-US" w:eastAsia="zh-CN"/>
              </w:rPr>
              <w:t>推进鹿寨县矿山修复整治等项目</w:t>
            </w:r>
            <w:r>
              <w:rPr>
                <w:rFonts w:hint="eastAsia" w:eastAsia="仿宋_GB2312" w:cs="Times New Roman"/>
                <w:color w:val="auto"/>
                <w:sz w:val="28"/>
                <w:szCs w:val="28"/>
                <w:highlight w:val="none"/>
                <w:lang w:val="zh-TW" w:eastAsia="zh-CN"/>
              </w:rPr>
              <w:t>。</w:t>
            </w:r>
          </w:p>
          <w:p w14:paraId="72725711">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eastAsia="仿宋_GB2312" w:cs="Times New Roman"/>
                <w:b/>
                <w:color w:val="auto"/>
                <w:sz w:val="28"/>
                <w:szCs w:val="28"/>
                <w:highlight w:val="none"/>
                <w:lang w:val="zh-TW" w:eastAsia="zh-CN"/>
              </w:rPr>
            </w:pPr>
            <w:r>
              <w:rPr>
                <w:rFonts w:hint="eastAsia" w:eastAsia="仿宋_GB2312" w:cs="Times New Roman"/>
                <w:b/>
                <w:color w:val="auto"/>
                <w:sz w:val="28"/>
                <w:szCs w:val="28"/>
                <w:highlight w:val="none"/>
                <w:lang w:val="zh-TW" w:eastAsia="zh-CN"/>
              </w:rPr>
              <w:t>生态保护与修复：</w:t>
            </w:r>
            <w:r>
              <w:rPr>
                <w:rFonts w:hint="eastAsia" w:eastAsia="仿宋_GB2312" w:cs="Times New Roman"/>
                <w:color w:val="auto"/>
                <w:sz w:val="28"/>
                <w:szCs w:val="28"/>
                <w:highlight w:val="none"/>
                <w:lang w:val="zh-TW" w:eastAsia="zh-CN"/>
              </w:rPr>
              <w:t>推进</w:t>
            </w:r>
            <w:r>
              <w:rPr>
                <w:rFonts w:hint="eastAsia" w:eastAsia="仿宋_GB2312" w:cs="Times New Roman"/>
                <w:color w:val="auto"/>
                <w:sz w:val="28"/>
                <w:szCs w:val="28"/>
                <w:highlight w:val="none"/>
                <w:lang w:val="en-US" w:eastAsia="zh-CN"/>
              </w:rPr>
              <w:t>鹿寨</w:t>
            </w:r>
            <w:r>
              <w:rPr>
                <w:rFonts w:hint="eastAsia" w:eastAsia="仿宋_GB2312" w:cs="Times New Roman"/>
                <w:color w:val="auto"/>
                <w:sz w:val="28"/>
                <w:szCs w:val="28"/>
                <w:highlight w:val="none"/>
                <w:lang w:val="zh-TW" w:eastAsia="zh-CN"/>
              </w:rPr>
              <w:t>县</w:t>
            </w:r>
            <w:r>
              <w:rPr>
                <w:rFonts w:hint="eastAsia" w:eastAsia="仿宋_GB2312" w:cs="Times New Roman"/>
                <w:b w:val="0"/>
                <w:bCs/>
                <w:color w:val="auto"/>
                <w:sz w:val="28"/>
                <w:szCs w:val="28"/>
                <w:highlight w:val="none"/>
                <w:lang w:val="zh-TW"/>
              </w:rPr>
              <w:t>中华秋沙鸭保护基地提升</w:t>
            </w:r>
            <w:r>
              <w:rPr>
                <w:rFonts w:hint="eastAsia" w:eastAsia="仿宋_GB2312" w:cs="Times New Roman"/>
                <w:b w:val="0"/>
                <w:bCs/>
                <w:color w:val="auto"/>
                <w:sz w:val="28"/>
                <w:szCs w:val="28"/>
                <w:highlight w:val="none"/>
                <w:lang w:val="zh-TW" w:eastAsia="zh-CN"/>
              </w:rPr>
              <w:t>、</w:t>
            </w:r>
            <w:r>
              <w:rPr>
                <w:rFonts w:hint="default" w:eastAsia="仿宋_GB2312" w:cs="Times New Roman"/>
                <w:color w:val="auto"/>
                <w:sz w:val="28"/>
                <w:szCs w:val="28"/>
                <w:highlight w:val="none"/>
                <w:lang w:val="zh-TW" w:eastAsia="zh-CN"/>
              </w:rPr>
              <w:t>洛清江</w:t>
            </w:r>
            <w:r>
              <w:rPr>
                <w:rFonts w:hint="eastAsia" w:eastAsia="仿宋_GB2312" w:cs="Times New Roman"/>
                <w:color w:val="auto"/>
                <w:sz w:val="28"/>
                <w:szCs w:val="28"/>
                <w:highlight w:val="none"/>
                <w:lang w:val="en-US" w:eastAsia="zh-CN"/>
              </w:rPr>
              <w:t>流域综合</w:t>
            </w:r>
            <w:r>
              <w:rPr>
                <w:rFonts w:hint="default" w:eastAsia="仿宋_GB2312" w:cs="Times New Roman"/>
                <w:color w:val="auto"/>
                <w:sz w:val="28"/>
                <w:szCs w:val="28"/>
                <w:highlight w:val="none"/>
                <w:lang w:val="zh-TW" w:eastAsia="zh-CN"/>
              </w:rPr>
              <w:t>治理、拉沟河山洪沟治理、柳江流域水源区水土流失治理、石榴河流域治理</w:t>
            </w:r>
            <w:r>
              <w:rPr>
                <w:rFonts w:hint="eastAsia" w:eastAsia="仿宋_GB2312" w:cs="Times New Roman"/>
                <w:color w:val="auto"/>
                <w:sz w:val="28"/>
                <w:szCs w:val="28"/>
                <w:highlight w:val="none"/>
                <w:lang w:val="en-US" w:eastAsia="zh-CN"/>
              </w:rPr>
              <w:t>与</w:t>
            </w:r>
            <w:r>
              <w:rPr>
                <w:rFonts w:hint="default" w:eastAsia="仿宋_GB2312" w:cs="Times New Roman"/>
                <w:color w:val="auto"/>
                <w:sz w:val="28"/>
                <w:szCs w:val="28"/>
                <w:highlight w:val="none"/>
                <w:lang w:val="zh-TW" w:eastAsia="zh-CN"/>
              </w:rPr>
              <w:t>生态修复、柳州市古偿河水库水源地规范化</w:t>
            </w:r>
            <w:r>
              <w:rPr>
                <w:rFonts w:hint="eastAsia" w:eastAsia="仿宋_GB2312" w:cs="Times New Roman"/>
                <w:color w:val="auto"/>
                <w:sz w:val="28"/>
                <w:szCs w:val="28"/>
                <w:highlight w:val="none"/>
                <w:lang w:val="zh-TW" w:eastAsia="zh-CN"/>
              </w:rPr>
              <w:t>等项目</w:t>
            </w:r>
            <w:r>
              <w:rPr>
                <w:rFonts w:hint="eastAsia" w:eastAsia="仿宋_GB2312" w:cs="Times New Roman"/>
                <w:b w:val="0"/>
                <w:bCs/>
                <w:color w:val="auto"/>
                <w:sz w:val="28"/>
                <w:szCs w:val="28"/>
                <w:highlight w:val="none"/>
                <w:lang w:val="zh-TW"/>
              </w:rPr>
              <w:t>。</w:t>
            </w:r>
          </w:p>
          <w:p w14:paraId="187538ED">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default" w:eastAsia="仿宋_GB2312" w:cs="Times New Roman"/>
                <w:color w:val="auto"/>
                <w:sz w:val="28"/>
                <w:szCs w:val="28"/>
                <w:highlight w:val="none"/>
                <w:lang w:val="en-US" w:eastAsia="zh-CN"/>
              </w:rPr>
            </w:pPr>
            <w:r>
              <w:rPr>
                <w:rFonts w:hint="eastAsia" w:ascii="Times New Roman" w:hAnsi="Times New Roman" w:eastAsia="仿宋_GB2312" w:cs="Times New Roman"/>
                <w:b/>
                <w:bCs/>
                <w:color w:val="auto"/>
                <w:sz w:val="28"/>
                <w:szCs w:val="28"/>
                <w:highlight w:val="none"/>
                <w:lang w:val="en-US" w:eastAsia="zh-CN"/>
              </w:rPr>
              <w:t>固体废物治理：</w:t>
            </w:r>
            <w:r>
              <w:rPr>
                <w:rFonts w:hint="eastAsia" w:ascii="Times New Roman" w:hAnsi="Times New Roman" w:eastAsia="仿宋_GB2312" w:cs="Times New Roman"/>
                <w:b w:val="0"/>
                <w:bCs w:val="0"/>
                <w:color w:val="auto"/>
                <w:sz w:val="28"/>
                <w:szCs w:val="28"/>
                <w:highlight w:val="none"/>
                <w:lang w:val="en-US" w:eastAsia="zh-CN"/>
              </w:rPr>
              <w:t>推</w:t>
            </w:r>
            <w:r>
              <w:rPr>
                <w:rFonts w:hint="eastAsia" w:eastAsia="仿宋_GB2312" w:cs="Times New Roman"/>
                <w:color w:val="auto"/>
                <w:sz w:val="28"/>
                <w:szCs w:val="28"/>
                <w:highlight w:val="none"/>
                <w:lang w:val="en-US" w:eastAsia="zh-CN"/>
              </w:rPr>
              <w:t>进鹿寨餐厨废弃物处置、生活垃圾卫生填埋场综合整治等项目，谋划建筑垃圾综合循环产业园等项目。</w:t>
            </w:r>
          </w:p>
        </w:tc>
      </w:tr>
    </w:tbl>
    <w:p w14:paraId="6EB4F89C">
      <w:pPr>
        <w:rPr>
          <w:rFonts w:hint="eastAsia" w:ascii="方正小标宋简体" w:hAnsi="方正小标宋简体" w:eastAsia="方正小标宋简体" w:cs="方正小标宋简体"/>
          <w:b w:val="0"/>
          <w:bCs/>
          <w:color w:val="auto"/>
          <w:highlight w:val="none"/>
          <w:lang w:val="en-US" w:eastAsia="zh-CN"/>
        </w:rPr>
      </w:pPr>
      <w:bookmarkStart w:id="305" w:name="_Toc27529"/>
      <w:bookmarkStart w:id="306" w:name="_Toc13370"/>
      <w:bookmarkStart w:id="307" w:name="_Toc2686"/>
      <w:bookmarkStart w:id="308" w:name="_Toc4782"/>
      <w:bookmarkStart w:id="309" w:name="_Toc1451"/>
      <w:r>
        <w:rPr>
          <w:rFonts w:hint="eastAsia" w:ascii="方正小标宋简体" w:hAnsi="方正小标宋简体" w:eastAsia="方正小标宋简体" w:cs="方正小标宋简体"/>
          <w:b w:val="0"/>
          <w:bCs/>
          <w:color w:val="auto"/>
          <w:highlight w:val="none"/>
          <w:lang w:val="en-US" w:eastAsia="zh-CN"/>
        </w:rPr>
        <w:br w:type="page"/>
      </w:r>
    </w:p>
    <w:p w14:paraId="29D378F9">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310" w:name="_Toc5945"/>
      <w:r>
        <w:rPr>
          <w:rFonts w:hint="eastAsia" w:ascii="方正小标宋简体" w:hAnsi="方正小标宋简体" w:eastAsia="方正小标宋简体" w:cs="方正小标宋简体"/>
          <w:b w:val="0"/>
          <w:bCs/>
          <w:color w:val="auto"/>
          <w:highlight w:val="none"/>
          <w:lang w:val="en-US" w:eastAsia="zh-CN"/>
        </w:rPr>
        <w:t>第十三章</w:t>
      </w:r>
      <w:bookmarkEnd w:id="305"/>
      <w:bookmarkEnd w:id="306"/>
      <w:bookmarkEnd w:id="310"/>
    </w:p>
    <w:p w14:paraId="131B5C24">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sz w:val="44"/>
          <w:szCs w:val="44"/>
          <w:highlight w:val="none"/>
          <w:lang w:val="en-US" w:eastAsia="zh-CN"/>
        </w:rPr>
      </w:pPr>
      <w:bookmarkStart w:id="311" w:name="_Toc18524"/>
      <w:bookmarkStart w:id="312" w:name="_Toc9919"/>
      <w:bookmarkStart w:id="313" w:name="_Toc22246"/>
      <w:r>
        <w:rPr>
          <w:rFonts w:hint="eastAsia" w:ascii="方正小标宋简体" w:hAnsi="方正小标宋简体" w:eastAsia="方正小标宋简体" w:cs="方正小标宋简体"/>
          <w:b w:val="0"/>
          <w:bCs/>
          <w:color w:val="auto"/>
          <w:sz w:val="44"/>
          <w:szCs w:val="44"/>
          <w:highlight w:val="none"/>
          <w:lang w:val="en-US" w:eastAsia="zh-CN"/>
        </w:rPr>
        <w:t>强化规划实施保障  护航发展蓝图落地</w:t>
      </w:r>
      <w:bookmarkEnd w:id="311"/>
      <w:bookmarkEnd w:id="312"/>
      <w:bookmarkEnd w:id="313"/>
    </w:p>
    <w:p w14:paraId="116E8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本规划经县人民代表大会审查批准，具有法定效力。坚持党对规划工作的集中统一领导，建立健全一体推进的</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实施保障</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机制，强化规划衔接、政策协同、资源统筹、评价联动，</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形成全社会推动规划实施的强大合力，万众一心，众志成城，将“十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五</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五”规划美好蓝图转为发展实效。</w:t>
      </w:r>
    </w:p>
    <w:p w14:paraId="28E1F0CC">
      <w:pPr>
        <w:pStyle w:val="5"/>
        <w:pageBreakBefore w:val="0"/>
        <w:tabs>
          <w:tab w:val="right" w:leader="dot" w:pos="9060"/>
        </w:tabs>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黑体" w:hAnsi="黑体" w:eastAsia="黑体" w:cs="黑体"/>
          <w:b w:val="0"/>
          <w:bCs w:val="0"/>
          <w:color w:val="auto"/>
          <w:kern w:val="2"/>
          <w:sz w:val="36"/>
          <w:szCs w:val="36"/>
          <w:highlight w:val="none"/>
          <w:lang w:val="en-US" w:eastAsia="zh-CN" w:bidi="ar-SA"/>
        </w:rPr>
      </w:pPr>
      <w:bookmarkStart w:id="314" w:name="_Toc29664"/>
      <w:bookmarkStart w:id="315" w:name="_Toc15261"/>
      <w:bookmarkStart w:id="316" w:name="_Toc5971"/>
      <w:bookmarkStart w:id="317" w:name="_Toc29202"/>
      <w:r>
        <w:rPr>
          <w:rFonts w:hint="eastAsia" w:ascii="黑体" w:hAnsi="黑体" w:eastAsia="黑体" w:cs="黑体"/>
          <w:b w:val="0"/>
          <w:bCs w:val="0"/>
          <w:color w:val="auto"/>
          <w:kern w:val="2"/>
          <w:sz w:val="36"/>
          <w:szCs w:val="36"/>
          <w:highlight w:val="none"/>
          <w:lang w:val="en-US" w:eastAsia="zh-CN" w:bidi="ar-SA"/>
        </w:rPr>
        <w:t xml:space="preserve">第一节  </w:t>
      </w:r>
      <w:bookmarkEnd w:id="314"/>
      <w:bookmarkEnd w:id="315"/>
      <w:r>
        <w:rPr>
          <w:rFonts w:hint="eastAsia"/>
          <w:b w:val="0"/>
          <w:bCs/>
          <w:color w:val="auto"/>
          <w:sz w:val="36"/>
          <w:szCs w:val="36"/>
          <w:highlight w:val="none"/>
          <w:lang w:val="en-US" w:eastAsia="zh-CN"/>
        </w:rPr>
        <w:t>坚持党的全面领导</w:t>
      </w:r>
      <w:bookmarkEnd w:id="316"/>
      <w:bookmarkEnd w:id="317"/>
    </w:p>
    <w:p w14:paraId="1A747BD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highlight w:val="none"/>
          <w:u w:val="none"/>
          <w:lang w:val="en-US" w:eastAsia="zh-CN" w:bidi="ar-SA"/>
        </w:rPr>
      </w:pP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坚决落实党</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总揽全局、协调各方的领导制度，坚持科学决策、民主决策、依法决策</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，切实</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把方向、谋大局、定政策、促改革，</w:t>
      </w:r>
      <w:r>
        <w:rPr>
          <w:rFonts w:hint="eastAsia" w:ascii="Times New Roman" w:hAnsi="Times New Roman" w:eastAsia="仿宋_GB2312" w:cs="Times New Roman"/>
          <w:b w:val="0"/>
          <w:bCs w:val="0"/>
          <w:color w:val="auto"/>
          <w:kern w:val="2"/>
          <w:sz w:val="32"/>
          <w:szCs w:val="32"/>
          <w:highlight w:val="none"/>
          <w:lang w:val="en-US" w:eastAsia="zh-CN" w:bidi="ar-SA"/>
        </w:rPr>
        <w:t>将党的领导贯穿经济社会发展各领域各方面全过程。凝聚思想共识、汇聚奋进意志、强化行动协同，确保政令畅通、执行高效</w:t>
      </w:r>
      <w:r>
        <w:rPr>
          <w:rFonts w:hint="eastAsia" w:ascii="Times New Roman" w:hAnsi="Times New Roman" w:eastAsia="仿宋_GB2312" w:cs="Times New Roman"/>
          <w:b w:val="0"/>
          <w:bCs w:val="0"/>
          <w:color w:val="auto"/>
          <w:kern w:val="2"/>
          <w:sz w:val="32"/>
          <w:szCs w:val="32"/>
          <w:highlight w:val="none"/>
          <w:u w:val="none"/>
          <w:lang w:val="en-US" w:eastAsia="zh-CN" w:bidi="ar-SA"/>
        </w:rPr>
        <w:t>。建强新时代干部队伍，树立正确选人用人导向，构建选人用人高质量发展考核评价指标体系，健全全面立体透视察人识人机制，完善干部成长选育管用培养体系，坚持严管厚爱结合、激励约束并重，推进领导干部能上能下常态化，有效</w:t>
      </w:r>
      <w:r>
        <w:rPr>
          <w:rFonts w:hint="default" w:ascii="Times New Roman" w:hAnsi="Times New Roman" w:eastAsia="仿宋_GB2312" w:cs="Times New Roman"/>
          <w:b w:val="0"/>
          <w:bCs w:val="0"/>
          <w:color w:val="auto"/>
          <w:kern w:val="2"/>
          <w:sz w:val="32"/>
          <w:szCs w:val="32"/>
          <w:highlight w:val="none"/>
          <w:u w:val="none"/>
          <w:lang w:val="en-US" w:eastAsia="zh-CN" w:bidi="ar-SA"/>
        </w:rPr>
        <w:t>激发干部队伍内生动力</w:t>
      </w:r>
      <w:r>
        <w:rPr>
          <w:rFonts w:hint="eastAsia" w:ascii="Times New Roman" w:hAnsi="Times New Roman" w:eastAsia="仿宋_GB2312" w:cs="Times New Roman"/>
          <w:b w:val="0"/>
          <w:bCs w:val="0"/>
          <w:color w:val="auto"/>
          <w:kern w:val="2"/>
          <w:sz w:val="32"/>
          <w:szCs w:val="32"/>
          <w:highlight w:val="none"/>
          <w:u w:val="none"/>
          <w:lang w:val="en-US" w:eastAsia="zh-CN" w:bidi="ar-SA"/>
        </w:rPr>
        <w:t>，凝聚干事创业强大合力。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推动作风建设常态化长效化，</w:t>
      </w:r>
      <w:r>
        <w:rPr>
          <w:rFonts w:hint="eastAsia" w:ascii="Times New Roman" w:hAnsi="Times New Roman" w:eastAsia="仿宋_GB2312" w:cs="Times New Roman"/>
          <w:b w:val="0"/>
          <w:bCs w:val="0"/>
          <w:color w:val="auto"/>
          <w:kern w:val="2"/>
          <w:sz w:val="32"/>
          <w:szCs w:val="32"/>
          <w:highlight w:val="none"/>
          <w:u w:val="none"/>
          <w:lang w:val="en-US" w:eastAsia="zh-CN" w:bidi="ar-SA"/>
        </w:rPr>
        <w:t>加强廉洁文化建设，锲而不舍落实中央八项规定及其实施细则精神，深化整治形式主义为基层减负，健全完善权力运行和监督制约体系，坚定不移推进反腐败斗争，深入整治群众身边的不正之风和腐败问题，一体推进不敢腐、不能腐、不想腐，持续巩固风清气正的政治生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，为高质量发展提供坚强纪律保障</w:t>
      </w:r>
      <w:r>
        <w:rPr>
          <w:rFonts w:hint="eastAsia" w:ascii="Times New Roman" w:hAnsi="Times New Roman" w:eastAsia="仿宋_GB2312" w:cs="Times New Roman"/>
          <w:b w:val="0"/>
          <w:bCs w:val="0"/>
          <w:color w:val="auto"/>
          <w:kern w:val="2"/>
          <w:sz w:val="32"/>
          <w:szCs w:val="32"/>
          <w:highlight w:val="none"/>
          <w:u w:val="none"/>
          <w:lang w:val="en-US" w:eastAsia="zh-CN" w:bidi="ar-SA"/>
        </w:rPr>
        <w:t>。</w:t>
      </w:r>
    </w:p>
    <w:p w14:paraId="20ACCB1B">
      <w:pPr>
        <w:pStyle w:val="5"/>
        <w:keepNext/>
        <w:keepLines/>
        <w:pageBreakBefore w:val="0"/>
        <w:widowControl w:val="0"/>
        <w:tabs>
          <w:tab w:val="right" w:leader="dot" w:pos="9060"/>
        </w:tabs>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318" w:name="_Toc1639"/>
      <w:bookmarkStart w:id="319" w:name="_Toc28809"/>
      <w:bookmarkStart w:id="320" w:name="_Toc5588"/>
      <w:r>
        <w:rPr>
          <w:rFonts w:hint="eastAsia"/>
          <w:b w:val="0"/>
          <w:bCs/>
          <w:color w:val="auto"/>
          <w:sz w:val="36"/>
          <w:szCs w:val="36"/>
          <w:highlight w:val="none"/>
          <w:lang w:val="en-US" w:eastAsia="zh-CN"/>
        </w:rPr>
        <w:t>第二节  完善规划实施机制</w:t>
      </w:r>
      <w:bookmarkEnd w:id="318"/>
      <w:bookmarkEnd w:id="319"/>
      <w:bookmarkEnd w:id="320"/>
    </w:p>
    <w:p w14:paraId="1F6ED6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健全统一规划体系。以本发展规划纲要为统领，以国土空间规划为基础，以专项规划和区域规划为支撑，构建</w:t>
      </w:r>
      <w:r>
        <w:rPr>
          <w:rFonts w:hint="eastAsia" w:ascii="Times New Roman" w:hAnsi="Times New Roman" w:eastAsia="仿宋_GB2312" w:cs="Times New Roman"/>
          <w:b w:val="0"/>
          <w:bCs w:val="0"/>
          <w:color w:val="auto"/>
          <w:kern w:val="2"/>
          <w:sz w:val="32"/>
          <w:szCs w:val="32"/>
          <w:highlight w:val="none"/>
          <w:u w:val="none"/>
          <w:lang w:val="en-US" w:eastAsia="zh-CN" w:bidi="ar-SA"/>
        </w:rPr>
        <w:t>形成定位准确、边界清晰、</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功能互补、</w:t>
      </w:r>
      <w:r>
        <w:rPr>
          <w:rFonts w:hint="eastAsia" w:ascii="Times New Roman" w:hAnsi="Times New Roman" w:eastAsia="仿宋_GB2312" w:cs="Times New Roman"/>
          <w:b w:val="0"/>
          <w:bCs w:val="0"/>
          <w:color w:val="auto"/>
          <w:kern w:val="2"/>
          <w:sz w:val="32"/>
          <w:szCs w:val="32"/>
          <w:highlight w:val="none"/>
          <w:u w:val="none"/>
          <w:lang w:val="en-US" w:eastAsia="zh-CN" w:bidi="ar-SA"/>
        </w:rPr>
        <w:t>上下贯通、统一衔接的县域规划体系</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，切实发挥发展规划战略导向作用</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各部门制定各类规划、年度计划，要严格贯彻落实本规划的战略意图和主要任务，维护规划的严肃性和权威性。健全规划实施协同机制。构建纵向衔接、横向协调的规划衔接机制，确保各级各类规划与本规划在主要目标、发展方向、总体布局、重大政策、重大工程、风险防控等方面协调衔接。构建发展规划和各类政策协调协同的实施机制，加强公共预算安排、金融资本运用、资源要素配置等领域与规划实施的衔接协调，把规划作为安排政府投资和财政支出预算、审批核准重大项目、制定行业领域相关政策的重要依据。强化年度计划与本规划的衔接，将本规划确定的主要指标分解纳入年度计划指标体系，科学设置年度目标，合理确定年度工作重点，做好年度间的综合平衡。明确规划实施责任。</w:t>
      </w:r>
      <w:r>
        <w:rPr>
          <w:rFonts w:hint="default"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强化政府主体责任，</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制定规划实施方案，落实牵头单位和工作责任，推动</w:t>
      </w:r>
      <w:r>
        <w:rPr>
          <w:rFonts w:hint="default"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规划组织实施</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，形成上下协同、齐抓共管的强大工作合力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确保</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“十五五”</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规划各项部署推进有力度、</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有成效</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、可持续。严格落实</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一把手</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负责制，各乡镇、各部门、各单位要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强化</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担当、</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积极</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作为，把落实规划任务</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摆在突出位置，</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既</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要</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各司其职、各负其责，</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也要协同联动、</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密切配合，确保</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各项</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工作</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扎实推进，取得实效。各专项规划牵头单位应具体负责相应规划的组织实施，制定详细方案，明确进度安排与政策举措，确保规划目标分阶段、按计划落实到位。</w:t>
      </w:r>
    </w:p>
    <w:p w14:paraId="357F2614">
      <w:pPr>
        <w:pStyle w:val="5"/>
        <w:keepNext/>
        <w:keepLines/>
        <w:pageBreakBefore w:val="0"/>
        <w:widowControl w:val="0"/>
        <w:tabs>
          <w:tab w:val="right" w:leader="dot" w:pos="9060"/>
        </w:tabs>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lang w:val="en-US" w:eastAsia="zh-CN"/>
        </w:rPr>
      </w:pPr>
      <w:bookmarkStart w:id="321" w:name="_Toc6663"/>
      <w:bookmarkStart w:id="322" w:name="_Toc31373"/>
      <w:bookmarkStart w:id="323" w:name="_Toc6837"/>
      <w:r>
        <w:rPr>
          <w:rFonts w:hint="eastAsia"/>
          <w:b w:val="0"/>
          <w:bCs/>
          <w:color w:val="auto"/>
          <w:sz w:val="36"/>
          <w:szCs w:val="36"/>
          <w:highlight w:val="none"/>
          <w:lang w:val="en-US" w:eastAsia="zh-CN"/>
        </w:rPr>
        <w:t>第三节  强化规划项目支撑</w:t>
      </w:r>
      <w:bookmarkEnd w:id="321"/>
      <w:bookmarkEnd w:id="322"/>
    </w:p>
    <w:p w14:paraId="2305C5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突出重大项目的支撑引领作用。坚持投资于物与投资于人并重，坚持规划引领项目、项目落实规划，紧扣</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国家投资政策导向和全县现代化产业体系布局，在聚焦绿色化工、林木加工、机械汽配等主导产业升级及人工智能、低空经济等前沿领域谋划储备战略性引领项目的同时，同步加大教育、医疗、托育、养老、文化体育等公共服务领域项目储备力度，积极申报争取重大基础设施、大规模设备更新、产业</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升级</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和社会民生</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类</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项目，加大招商引资项目推介力度，组织实施一批</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事关</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全局和长远发展的</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标杆性</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项目，确保重大项目空间</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布局合理、时序推进</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有序。强化重大项目要素保障。建立健全“项目跟着规划走、要素跟着项目走”</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的</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投资保障机制，抢抓中央预算内投资、超长期特别国债、专项债券等政策性资金机遇，发挥金融工具和产业基金引导作用，落实民营企业参与重大项目长效机制，强化土地、资金、用能、人才等全要素精准配置。</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严格</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重大项目实施管理。落实重</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大项目联动协调机制，</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深化</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前期论证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研判和风险量化分析</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，对重点项目实行问题清单化管理与全生命周期</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闭环</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服务，</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构建“</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建设一批、竣工一批、启动一批、储备一批</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的滚动</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发展格局</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。健全政府投资管理制度，</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完善</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项目监管</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与</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后评价</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体系</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优化</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考核奖惩激励机制，</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以</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重大项目</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高效推进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为规划</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落地</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提供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硬核</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保障。</w:t>
      </w:r>
    </w:p>
    <w:p w14:paraId="06215CFF">
      <w:pPr>
        <w:pStyle w:val="5"/>
        <w:keepNext/>
        <w:keepLines/>
        <w:pageBreakBefore w:val="0"/>
        <w:widowControl w:val="0"/>
        <w:tabs>
          <w:tab w:val="right" w:leader="dot" w:pos="9060"/>
        </w:tabs>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324" w:name="_Toc8860"/>
      <w:bookmarkStart w:id="325" w:name="_Toc10208"/>
      <w:r>
        <w:rPr>
          <w:rFonts w:hint="default"/>
          <w:b w:val="0"/>
          <w:bCs/>
          <w:color w:val="auto"/>
          <w:sz w:val="36"/>
          <w:szCs w:val="36"/>
          <w:highlight w:val="none"/>
          <w:lang w:val="en-US" w:eastAsia="zh-CN"/>
        </w:rPr>
        <w:t>第</w:t>
      </w:r>
      <w:r>
        <w:rPr>
          <w:rFonts w:hint="eastAsia"/>
          <w:b w:val="0"/>
          <w:bCs/>
          <w:color w:val="auto"/>
          <w:sz w:val="36"/>
          <w:szCs w:val="36"/>
          <w:highlight w:val="none"/>
          <w:lang w:val="en-US" w:eastAsia="zh-CN"/>
        </w:rPr>
        <w:t>四</w:t>
      </w:r>
      <w:r>
        <w:rPr>
          <w:rFonts w:hint="default"/>
          <w:b w:val="0"/>
          <w:bCs/>
          <w:color w:val="auto"/>
          <w:sz w:val="36"/>
          <w:szCs w:val="36"/>
          <w:highlight w:val="none"/>
          <w:lang w:val="en-US" w:eastAsia="zh-CN"/>
        </w:rPr>
        <w:t xml:space="preserve">节 </w:t>
      </w:r>
      <w:r>
        <w:rPr>
          <w:rFonts w:hint="eastAsia"/>
          <w:b w:val="0"/>
          <w:bCs/>
          <w:color w:val="auto"/>
          <w:sz w:val="36"/>
          <w:szCs w:val="36"/>
          <w:highlight w:val="none"/>
          <w:lang w:val="en-US" w:eastAsia="zh-CN"/>
        </w:rPr>
        <w:t xml:space="preserve"> 加强规划</w:t>
      </w:r>
      <w:r>
        <w:rPr>
          <w:rFonts w:hint="default"/>
          <w:b w:val="0"/>
          <w:bCs/>
          <w:color w:val="auto"/>
          <w:sz w:val="36"/>
          <w:szCs w:val="36"/>
          <w:highlight w:val="none"/>
          <w:lang w:val="en-US" w:eastAsia="zh-CN"/>
        </w:rPr>
        <w:t>监督评估</w:t>
      </w:r>
      <w:bookmarkEnd w:id="323"/>
      <w:bookmarkEnd w:id="324"/>
      <w:bookmarkEnd w:id="325"/>
    </w:p>
    <w:p w14:paraId="125612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加强规划实施监测。开展对规划指标、政策措施和重大项目实施情况的跟踪监测分析，强化动态管理，提高规划实施效果。各规划编制单位要加强对专项规划任务完成情况的监测，确保工作成效。创新监测方式，完善规划指标统计制度，加强对发展规模、速度、质量、结构、效益、安全等领域的统计分析，全面真实反映规划实施情况，为科学评估提供支撑。完善规划评估制度。</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组织</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开展规划年度监测分析、中期评估和总结评估，重点评估实施进展情况及存在的问题，提出后续实施建议，经县人民政府审定后提请县人大常委会审议，将监测评估结果作为改进政府工作和绩效考核的重要依据。强化规划权威性、严肃性，未经法定程序批准，不得随意调整更改各类规划。健全规划动态调整和修订机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经中期评估，</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因新形势新要求确需调整修订时，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由县人民政府提出调整建议，经县委同意后提请县人大常委会审查批准。</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完善规划实施监督评价机制。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强化</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规划执行监督</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力度</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，自觉接受人大监督、政协民主监督、审计</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专业</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监督和社会</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公众</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监督，</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健全</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政府向人大、政协的</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定期</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报告</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与常态化</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沟通机制，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确保</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落地见效</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加大</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规划宣传</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阐释力度</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，增强公众对规划的认知、认可和认同，营造全社会共同参与、</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协同推进</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规划实施的良好氛围。</w:t>
      </w:r>
    </w:p>
    <w:p w14:paraId="6B0AA086">
      <w:pPr>
        <w:pStyle w:val="3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zh-CN" w:eastAsia="zh-CN" w:bidi="ar-SA"/>
        </w:rPr>
      </w:pP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CN" w:eastAsia="zh-CN" w:bidi="ar-SA"/>
        </w:rPr>
        <w:t>蓝图绘就启新程，实干笃行谱新篇。全县上下要更加紧密团结在以习近平同志为核心的党中央周围，坚持以习近平新时代中国特色社会主义思想为指导，牢固树立“实干为要、创新为魂，用业绩说话、让人民评价”鲜明导向，坚定信心、众志成城，踔厉奋发、勇毅前行，以新担当、新作为，奋力谱写中国式现代化鹿寨篇章。</w:t>
      </w:r>
    </w:p>
    <w:bookmarkEnd w:id="307"/>
    <w:bookmarkEnd w:id="308"/>
    <w:bookmarkEnd w:id="309"/>
    <w:p w14:paraId="100504E6">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0C42E1B2">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CAD947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131C93F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11013104">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02BEBE20">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37BD8864">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8C41158">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107E2C13">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40A21194">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3FA2985A">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65B99A7">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CC66280">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2D995E58">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5E05CF29">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47FE4A8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25FDB10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513A99B8">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05E047BE">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7EF4176C">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auto"/>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pacing w:val="20"/>
          <w:sz w:val="44"/>
          <w:szCs w:val="44"/>
          <w:highlight w:val="none"/>
          <w:lang w:eastAsia="zh-CN"/>
        </w:rPr>
        <w:t>名词解释</w:t>
      </w:r>
    </w:p>
    <w:sectPr>
      <w:footerReference r:id="rId7" w:type="default"/>
      <w:endnotePr>
        <w:numFmt w:val="decimal"/>
      </w:endnotePr>
      <w:pgSz w:w="11906" w:h="16838"/>
      <w:pgMar w:top="2098" w:right="1474" w:bottom="1587"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60">
    <w:p>
      <w:pPr>
        <w:spacing w:line="240" w:lineRule="auto"/>
      </w:pPr>
    </w:p>
  </w:endnote>
  <w:endnote w:type="continuationSeparator" w:id="61">
    <w:p>
      <w:pPr>
        <w:spacing w:line="240" w:lineRule="auto"/>
      </w:pPr>
    </w:p>
  </w:endnote>
  <w:endnote w:id="0">
    <w:p w14:paraId="3DA8407C">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val="0"/>
          <w:i w:val="0"/>
          <w:iCs/>
          <w:strike w:val="0"/>
          <w:dstrike w:val="0"/>
          <w:color w:val="auto"/>
          <w:sz w:val="24"/>
          <w:szCs w:val="24"/>
          <w:highlight w:val="none"/>
          <w:vertAlign w:val="baseline"/>
          <w:lang w:eastAsia="zh-CN"/>
        </w:rPr>
        <w:t>“双卡一联盟”</w:t>
      </w:r>
      <w:r>
        <w:rPr>
          <w:rFonts w:hint="eastAsia" w:ascii="仿宋_GB2312" w:hAnsi="仿宋_GB2312" w:eastAsia="仿宋_GB2312" w:cs="仿宋_GB2312"/>
          <w:b w:val="0"/>
          <w:bCs/>
          <w:i w:val="0"/>
          <w:iCs/>
          <w:strike w:val="0"/>
          <w:dstrike w:val="0"/>
          <w:color w:val="auto"/>
          <w:sz w:val="24"/>
          <w:szCs w:val="24"/>
          <w:highlight w:val="none"/>
          <w:vertAlign w:val="baseline"/>
          <w:lang w:eastAsia="zh-CN"/>
        </w:rPr>
        <w:t>：“双卡”是指对经济高质量发展作出突出贡献的民营企业颁发“鹿商卡”、优秀人才颁发“鹿才卡”，持卡企业可享受行政审批、金融、税务等</w:t>
      </w:r>
      <w:r>
        <w:rPr>
          <w:rFonts w:hint="default" w:ascii="Times New Roman" w:hAnsi="Times New Roman" w:eastAsia="仿宋_GB2312" w:cs="Times New Roman"/>
          <w:b w:val="0"/>
          <w:bCs/>
          <w:i w:val="0"/>
          <w:iCs/>
          <w:strike w:val="0"/>
          <w:dstrike w:val="0"/>
          <w:color w:val="auto"/>
          <w:sz w:val="24"/>
          <w:szCs w:val="24"/>
          <w:highlight w:val="none"/>
          <w:vertAlign w:val="baseline"/>
          <w:lang w:eastAsia="zh-CN"/>
        </w:rPr>
        <w:t>12</w:t>
      </w:r>
      <w:r>
        <w:rPr>
          <w:rFonts w:hint="eastAsia" w:ascii="仿宋_GB2312" w:hAnsi="仿宋_GB2312" w:eastAsia="仿宋_GB2312" w:cs="仿宋_GB2312"/>
          <w:b w:val="0"/>
          <w:bCs/>
          <w:i w:val="0"/>
          <w:iCs/>
          <w:strike w:val="0"/>
          <w:dstrike w:val="0"/>
          <w:color w:val="auto"/>
          <w:sz w:val="24"/>
          <w:szCs w:val="24"/>
          <w:highlight w:val="none"/>
          <w:vertAlign w:val="baseline"/>
          <w:lang w:eastAsia="zh-CN"/>
        </w:rPr>
        <w:t>项专属权益，持卡人可享受安居保障、配偶随迁、科研项目</w:t>
      </w:r>
      <w:r>
        <w:rPr>
          <w:rFonts w:hint="default" w:ascii="Times New Roman" w:hAnsi="Times New Roman" w:eastAsia="仿宋_GB2312" w:cs="Times New Roman"/>
          <w:b w:val="0"/>
          <w:bCs/>
          <w:i w:val="0"/>
          <w:iCs/>
          <w:strike w:val="0"/>
          <w:dstrike w:val="0"/>
          <w:color w:val="auto"/>
          <w:sz w:val="24"/>
          <w:szCs w:val="24"/>
          <w:highlight w:val="none"/>
          <w:vertAlign w:val="baseline"/>
          <w:lang w:eastAsia="zh-CN"/>
        </w:rPr>
        <w:t>等15</w:t>
      </w:r>
      <w:r>
        <w:rPr>
          <w:rFonts w:hint="eastAsia" w:ascii="仿宋_GB2312" w:hAnsi="仿宋_GB2312" w:eastAsia="仿宋_GB2312" w:cs="仿宋_GB2312"/>
          <w:b w:val="0"/>
          <w:bCs/>
          <w:i w:val="0"/>
          <w:iCs/>
          <w:strike w:val="0"/>
          <w:dstrike w:val="0"/>
          <w:color w:val="auto"/>
          <w:sz w:val="24"/>
          <w:szCs w:val="24"/>
          <w:highlight w:val="none"/>
          <w:vertAlign w:val="baseline"/>
          <w:lang w:eastAsia="zh-CN"/>
        </w:rPr>
        <w:t>项保障服务；“一联盟”即评选一批优质的服务类企业组建“鹿商联盟”，依托“鹿商卡”电子服务平台，开设“鹿商联盟”消费优惠功能，持有“鹿商卡”的企业及“鹿才卡”的人才享受多元的优惠便捷服务。</w:t>
      </w:r>
    </w:p>
  </w:endnote>
  <w:endnote w:id="1">
    <w:p w14:paraId="0970D6D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“一区两地一园一通道”:</w:t>
      </w:r>
      <w:r>
        <w:rPr>
          <w:rFonts w:hint="eastAsia" w:ascii="仿宋_GB2312" w:hAnsi="仿宋_GB2312" w:eastAsia="仿宋_GB2312" w:cs="仿宋_GB2312"/>
          <w:b w:val="0"/>
          <w:bCs w:val="0"/>
          <w:strike w:val="0"/>
          <w:dstrike w:val="0"/>
          <w:color w:val="auto"/>
          <w:kern w:val="2"/>
          <w:sz w:val="24"/>
          <w:szCs w:val="24"/>
          <w:vertAlign w:val="baseline"/>
          <w:lang w:val="en-US" w:eastAsia="zh-CN" w:bidi="ar-SA"/>
        </w:rPr>
        <w:t>“一区”是指建设铸牢中华民族共同体意识示范区；“两地”是指打造国内国际双循环市场经营便利地和粤港澳大湾区重要战略腹地；“一园”是指建设沿边临港产业园区；“一通道”是指高水平共建西部陆海新通道。</w:t>
      </w:r>
    </w:p>
  </w:endnote>
  <w:endnote w:id="2">
    <w:p w14:paraId="22615DFC">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lang w:eastAsia="zh-CN"/>
        </w:rPr>
        <w:t>“两区一基地一门户”：</w:t>
      </w:r>
      <w:r>
        <w:rPr>
          <w:rFonts w:hint="eastAsia" w:ascii="仿宋_GB2312" w:hAnsi="仿宋_GB2312" w:eastAsia="仿宋_GB2312" w:cs="仿宋_GB2312"/>
          <w:strike w:val="0"/>
          <w:dstrike w:val="0"/>
          <w:sz w:val="24"/>
          <w:szCs w:val="24"/>
          <w:vertAlign w:val="baseline"/>
        </w:rPr>
        <w:t>建设全国城乡融合与新型城镇化建设</w:t>
      </w:r>
      <w:r>
        <w:rPr>
          <w:rFonts w:hint="eastAsia" w:ascii="仿宋_GB2312" w:hAnsi="仿宋_GB2312" w:eastAsia="仿宋_GB2312" w:cs="仿宋_GB2312"/>
          <w:strike w:val="0"/>
          <w:dstrike w:val="0"/>
          <w:color w:val="auto"/>
          <w:sz w:val="24"/>
          <w:szCs w:val="24"/>
          <w:vertAlign w:val="baseline"/>
          <w:lang w:eastAsia="zh-CN"/>
        </w:rPr>
        <w:t>实践</w:t>
      </w:r>
      <w:r>
        <w:rPr>
          <w:rFonts w:hint="eastAsia" w:ascii="仿宋_GB2312" w:hAnsi="仿宋_GB2312" w:eastAsia="仿宋_GB2312" w:cs="仿宋_GB2312"/>
          <w:strike w:val="0"/>
          <w:dstrike w:val="0"/>
          <w:color w:val="auto"/>
          <w:sz w:val="24"/>
          <w:szCs w:val="24"/>
          <w:vertAlign w:val="baseline"/>
        </w:rPr>
        <w:t>区、</w:t>
      </w:r>
      <w:r>
        <w:rPr>
          <w:rFonts w:hint="eastAsia" w:ascii="仿宋_GB2312" w:hAnsi="仿宋_GB2312" w:eastAsia="仿宋_GB2312" w:cs="仿宋_GB2312"/>
          <w:strike w:val="0"/>
          <w:dstrike w:val="0"/>
          <w:sz w:val="24"/>
          <w:szCs w:val="24"/>
          <w:vertAlign w:val="baseline"/>
        </w:rPr>
        <w:t>打造广西县域经济高质量发展先行区、成为柳州城市副中心和新兴工业制造基地、建成生产服务型国家物流枢纽向海门户</w:t>
      </w:r>
      <w:r>
        <w:rPr>
          <w:rFonts w:hint="eastAsia" w:ascii="仿宋_GB2312" w:hAnsi="仿宋_GB2312" w:eastAsia="仿宋_GB2312" w:cs="仿宋_GB2312"/>
          <w:strike w:val="0"/>
          <w:dstrike w:val="0"/>
          <w:sz w:val="24"/>
          <w:szCs w:val="24"/>
          <w:vertAlign w:val="baseline"/>
          <w:lang w:eastAsia="zh-CN"/>
        </w:rPr>
        <w:t>。</w:t>
      </w:r>
    </w:p>
  </w:endnote>
  <w:endnote w:id="3">
    <w:p w14:paraId="7C4EB47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default" w:ascii="Times New Roman" w:hAnsi="Times New Roman" w:eastAsia="仿宋_GB2312" w:cs="Times New Roman"/>
          <w:b/>
          <w:bCs/>
          <w:strike w:val="0"/>
          <w:dstrike w:val="0"/>
          <w:sz w:val="24"/>
          <w:szCs w:val="24"/>
          <w:vertAlign w:val="baseline"/>
        </w:rPr>
        <w:t>2311</w:t>
      </w:r>
      <w:r>
        <w:rPr>
          <w:rFonts w:hint="eastAsia" w:ascii="仿宋_GB2312" w:hAnsi="仿宋_GB2312" w:eastAsia="仿宋_GB2312" w:cs="仿宋_GB2312"/>
          <w:b/>
          <w:bCs/>
          <w:strike w:val="0"/>
          <w:dstrike w:val="0"/>
          <w:sz w:val="24"/>
          <w:szCs w:val="24"/>
          <w:vertAlign w:val="baseline"/>
        </w:rPr>
        <w:t>”现代化</w:t>
      </w:r>
      <w:r>
        <w:rPr>
          <w:rFonts w:hint="eastAsia" w:ascii="仿宋_GB2312" w:hAnsi="仿宋_GB2312" w:eastAsia="仿宋_GB2312" w:cs="仿宋_GB2312"/>
          <w:b/>
          <w:bCs/>
          <w:strike w:val="0"/>
          <w:dstrike w:val="0"/>
          <w:sz w:val="24"/>
          <w:szCs w:val="24"/>
          <w:vertAlign w:val="baseline"/>
          <w:lang w:eastAsia="zh-CN"/>
        </w:rPr>
        <w:t>产业</w:t>
      </w:r>
      <w:r>
        <w:rPr>
          <w:rFonts w:hint="eastAsia" w:ascii="仿宋_GB2312" w:hAnsi="仿宋_GB2312" w:eastAsia="仿宋_GB2312" w:cs="仿宋_GB2312"/>
          <w:b/>
          <w:bCs/>
          <w:strike w:val="0"/>
          <w:dstrike w:val="0"/>
          <w:sz w:val="24"/>
          <w:szCs w:val="24"/>
          <w:vertAlign w:val="baseline"/>
        </w:rPr>
        <w:t>体系</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eastAsia="zh-CN"/>
        </w:rPr>
        <w:t>“</w:t>
      </w:r>
      <w:r>
        <w:rPr>
          <w:rFonts w:hint="default" w:ascii="Times New Roman" w:hAnsi="Times New Roman" w:eastAsia="仿宋_GB2312" w:cs="Times New Roman"/>
          <w:b w:val="0"/>
          <w:bCs w:val="0"/>
          <w:strike w:val="0"/>
          <w:dstrike w:val="0"/>
          <w:sz w:val="24"/>
          <w:szCs w:val="24"/>
          <w:vertAlign w:val="baseline"/>
          <w:lang w:val="en-US" w:eastAsia="zh-CN"/>
        </w:rPr>
        <w:t>2</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val="en-US" w:eastAsia="zh-CN"/>
        </w:rPr>
        <w:t>是指</w:t>
      </w:r>
      <w:r>
        <w:rPr>
          <w:rFonts w:hint="eastAsia" w:ascii="仿宋_GB2312" w:hAnsi="仿宋_GB2312" w:eastAsia="仿宋_GB2312" w:cs="仿宋_GB2312"/>
          <w:b w:val="0"/>
          <w:bCs w:val="0"/>
          <w:strike w:val="0"/>
          <w:dstrike w:val="0"/>
          <w:sz w:val="24"/>
          <w:szCs w:val="24"/>
          <w:vertAlign w:val="baseline"/>
        </w:rPr>
        <w:t>打</w:t>
      </w:r>
      <w:r>
        <w:rPr>
          <w:rFonts w:hint="eastAsia" w:ascii="仿宋_GB2312" w:hAnsi="仿宋_GB2312" w:eastAsia="仿宋_GB2312" w:cs="仿宋_GB2312"/>
          <w:strike w:val="0"/>
          <w:dstrike w:val="0"/>
          <w:sz w:val="24"/>
          <w:szCs w:val="24"/>
          <w:vertAlign w:val="baseline"/>
        </w:rPr>
        <w:t>造高端绿色家居、绿色化工及新</w:t>
      </w:r>
      <w:r>
        <w:rPr>
          <w:rFonts w:hint="default" w:ascii="Times New Roman" w:hAnsi="Times New Roman" w:eastAsia="仿宋_GB2312" w:cs="Times New Roman"/>
          <w:strike w:val="0"/>
          <w:dstrike w:val="0"/>
          <w:sz w:val="24"/>
          <w:szCs w:val="24"/>
          <w:vertAlign w:val="baseline"/>
        </w:rPr>
        <w:t>材料2个百亿级支柱产业集群</w:t>
      </w:r>
      <w:r>
        <w:rPr>
          <w:rFonts w:hint="eastAsia" w:ascii="Times New Roman" w:hAnsi="Times New Roman" w:eastAsia="仿宋_GB2312" w:cs="Times New Roman"/>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Times New Roman" w:hAnsi="Times New Roman" w:eastAsia="仿宋_GB2312" w:cs="Times New Roman"/>
          <w:b w:val="0"/>
          <w:bCs w:val="0"/>
          <w:strike w:val="0"/>
          <w:dstrike w:val="0"/>
          <w:sz w:val="24"/>
          <w:szCs w:val="24"/>
          <w:vertAlign w:val="baseline"/>
          <w:lang w:val="en-US" w:eastAsia="zh-CN"/>
        </w:rPr>
        <w:t>3</w:t>
      </w:r>
      <w:r>
        <w:rPr>
          <w:rFonts w:hint="eastAsia" w:ascii="仿宋_GB2312" w:hAnsi="仿宋_GB2312" w:eastAsia="仿宋_GB2312" w:cs="仿宋_GB2312"/>
          <w:b w:val="0"/>
          <w:bCs w:val="0"/>
          <w:strike w:val="0"/>
          <w:dstrike w:val="0"/>
          <w:sz w:val="24"/>
          <w:szCs w:val="24"/>
          <w:vertAlign w:val="baseline"/>
          <w:lang w:eastAsia="zh-CN"/>
        </w:rPr>
        <w:t>”是指</w:t>
      </w:r>
      <w:r>
        <w:rPr>
          <w:rFonts w:hint="default" w:ascii="Times New Roman" w:hAnsi="Times New Roman" w:eastAsia="仿宋_GB2312" w:cs="Times New Roman"/>
          <w:strike w:val="0"/>
          <w:dstrike w:val="0"/>
          <w:sz w:val="24"/>
          <w:szCs w:val="24"/>
          <w:vertAlign w:val="baseline"/>
        </w:rPr>
        <w:t>形成高端装备制造产业、智慧轻工及大健康、新能源3个五十亿级特色产业集群</w:t>
      </w:r>
      <w:r>
        <w:rPr>
          <w:rFonts w:hint="eastAsia" w:ascii="Times New Roman" w:hAnsi="Times New Roman" w:eastAsia="仿宋_GB2312" w:cs="Times New Roman"/>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Times New Roman" w:hAnsi="Times New Roman" w:eastAsia="仿宋_GB2312" w:cs="Times New Roman"/>
          <w:b w:val="0"/>
          <w:bCs w:val="0"/>
          <w:strike w:val="0"/>
          <w:dstrike w:val="0"/>
          <w:sz w:val="24"/>
          <w:szCs w:val="24"/>
          <w:vertAlign w:val="baseline"/>
          <w:lang w:val="en-US" w:eastAsia="zh-CN"/>
        </w:rPr>
        <w:t>1</w:t>
      </w:r>
      <w:r>
        <w:rPr>
          <w:rFonts w:hint="eastAsia" w:ascii="仿宋_GB2312" w:hAnsi="仿宋_GB2312" w:eastAsia="仿宋_GB2312" w:cs="仿宋_GB2312"/>
          <w:b w:val="0"/>
          <w:bCs w:val="0"/>
          <w:strike w:val="0"/>
          <w:dstrike w:val="0"/>
          <w:sz w:val="24"/>
          <w:szCs w:val="24"/>
          <w:vertAlign w:val="baseline"/>
          <w:lang w:eastAsia="zh-CN"/>
        </w:rPr>
        <w:t>”是指</w:t>
      </w:r>
      <w:r>
        <w:rPr>
          <w:rFonts w:hint="default" w:ascii="Times New Roman" w:hAnsi="Times New Roman" w:eastAsia="仿宋_GB2312" w:cs="Times New Roman"/>
          <w:strike w:val="0"/>
          <w:dstrike w:val="0"/>
          <w:sz w:val="24"/>
          <w:szCs w:val="24"/>
          <w:vertAlign w:val="baseline"/>
        </w:rPr>
        <w:t>布局低空经济1个百亿级新兴产业</w:t>
      </w:r>
      <w:r>
        <w:rPr>
          <w:rFonts w:hint="eastAsia" w:ascii="Times New Roman" w:hAnsi="Times New Roman" w:eastAsia="仿宋_GB2312" w:cs="Times New Roman"/>
          <w:strike w:val="0"/>
          <w:dstrike w:val="0"/>
          <w:sz w:val="24"/>
          <w:szCs w:val="24"/>
          <w:vertAlign w:val="baseline"/>
          <w:lang w:eastAsia="zh-CN"/>
        </w:rPr>
        <w:t>新赛道；</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Times New Roman" w:hAnsi="Times New Roman" w:eastAsia="仿宋_GB2312" w:cs="Times New Roman"/>
          <w:b w:val="0"/>
          <w:bCs w:val="0"/>
          <w:strike w:val="0"/>
          <w:dstrike w:val="0"/>
          <w:sz w:val="24"/>
          <w:szCs w:val="24"/>
          <w:vertAlign w:val="baseline"/>
          <w:lang w:val="en-US" w:eastAsia="zh-CN"/>
        </w:rPr>
        <w:t>1</w:t>
      </w:r>
      <w:r>
        <w:rPr>
          <w:rFonts w:hint="eastAsia" w:ascii="仿宋_GB2312" w:hAnsi="仿宋_GB2312" w:eastAsia="仿宋_GB2312" w:cs="仿宋_GB2312"/>
          <w:b w:val="0"/>
          <w:bCs w:val="0"/>
          <w:strike w:val="0"/>
          <w:dstrike w:val="0"/>
          <w:sz w:val="24"/>
          <w:szCs w:val="24"/>
          <w:vertAlign w:val="baseline"/>
          <w:lang w:eastAsia="zh-CN"/>
        </w:rPr>
        <w:t>”是指</w:t>
      </w:r>
      <w:r>
        <w:rPr>
          <w:rFonts w:hint="default" w:ascii="Times New Roman" w:hAnsi="Times New Roman" w:eastAsia="仿宋_GB2312" w:cs="Times New Roman"/>
          <w:strike w:val="0"/>
          <w:dstrike w:val="0"/>
          <w:sz w:val="24"/>
          <w:szCs w:val="24"/>
          <w:vertAlign w:val="baseline"/>
        </w:rPr>
        <w:t>培育临港沿江1个百</w:t>
      </w:r>
      <w:r>
        <w:rPr>
          <w:rFonts w:hint="eastAsia" w:ascii="仿宋_GB2312" w:hAnsi="仿宋_GB2312" w:eastAsia="仿宋_GB2312" w:cs="仿宋_GB2312"/>
          <w:strike w:val="0"/>
          <w:dstrike w:val="0"/>
          <w:sz w:val="24"/>
          <w:szCs w:val="24"/>
          <w:vertAlign w:val="baseline"/>
        </w:rPr>
        <w:t>亿级产业带。</w:t>
      </w:r>
    </w:p>
  </w:endnote>
  <w:endnote w:id="4">
    <w:p w14:paraId="63E53DC2">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“以竹代塑”：</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是指通过推广可降解竹材替代塑料制品。</w:t>
      </w:r>
    </w:p>
  </w:endnote>
  <w:endnote w:id="5">
    <w:p w14:paraId="6F222444">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Times New Roman" w:hAnsi="Times New Roman" w:eastAsia="仿宋_GB2312" w:cs="Times New Roman"/>
          <w:b/>
          <w:bCs/>
          <w:strike w:val="0"/>
          <w:dstrike w:val="0"/>
          <w:color w:val="auto"/>
          <w:spacing w:val="0"/>
          <w:kern w:val="2"/>
          <w:sz w:val="24"/>
          <w:szCs w:val="24"/>
          <w:vertAlign w:val="baseline"/>
          <w:lang w:val="en-US" w:eastAsia="zh-CN" w:bidi="ar-SA"/>
        </w:rPr>
        <w:t>“</w:t>
      </w:r>
      <w:r>
        <w:rPr>
          <w:rFonts w:hint="default" w:ascii="Times New Roman" w:hAnsi="Times New Roman" w:eastAsia="仿宋_GB2312" w:cs="Times New Roman"/>
          <w:b/>
          <w:bCs/>
          <w:strike w:val="0"/>
          <w:dstrike w:val="0"/>
          <w:color w:val="auto"/>
          <w:spacing w:val="0"/>
          <w:kern w:val="2"/>
          <w:sz w:val="24"/>
          <w:szCs w:val="24"/>
          <w:vertAlign w:val="baseline"/>
          <w:lang w:val="en-US" w:eastAsia="zh-CN" w:bidi="ar-SA"/>
        </w:rPr>
        <w:t>FSC森林认证</w:t>
      </w:r>
      <w:r>
        <w:rPr>
          <w:rFonts w:hint="eastAsia" w:ascii="Times New Roman" w:hAnsi="Times New Roman" w:eastAsia="仿宋_GB2312" w:cs="Times New Roman"/>
          <w:b/>
          <w:bCs/>
          <w:strike w:val="0"/>
          <w:dstrike w:val="0"/>
          <w:color w:val="auto"/>
          <w:spacing w:val="0"/>
          <w:kern w:val="2"/>
          <w:sz w:val="24"/>
          <w:szCs w:val="24"/>
          <w:vertAlign w:val="baseline"/>
          <w:lang w:val="en-US" w:eastAsia="zh-CN" w:bidi="ar-SA"/>
        </w:rPr>
        <w:t>”</w:t>
      </w:r>
      <w:r>
        <w:rPr>
          <w:rFonts w:hint="default" w:ascii="Times New Roman" w:hAnsi="Times New Roman" w:eastAsia="仿宋_GB2312" w:cs="Times New Roman"/>
          <w:b/>
          <w:bCs/>
          <w:strike w:val="0"/>
          <w:dstrike w:val="0"/>
          <w:color w:val="auto"/>
          <w:spacing w:val="0"/>
          <w:kern w:val="2"/>
          <w:sz w:val="24"/>
          <w:szCs w:val="24"/>
          <w:vertAlign w:val="baseline"/>
          <w:lang w:val="en-US" w:eastAsia="zh-CN" w:bidi="ar-SA"/>
        </w:rPr>
        <w:t>：</w:t>
      </w:r>
      <w:r>
        <w:rPr>
          <w:rFonts w:hint="eastAsia" w:ascii="仿宋_GB2312" w:hAnsi="仿宋_GB2312" w:eastAsia="仿宋_GB2312" w:cs="仿宋_GB2312"/>
          <w:b w:val="0"/>
          <w:bCs w:val="0"/>
          <w:strike w:val="0"/>
          <w:dstrike w:val="0"/>
          <w:color w:val="auto"/>
          <w:spacing w:val="0"/>
          <w:kern w:val="2"/>
          <w:sz w:val="24"/>
          <w:szCs w:val="24"/>
          <w:vertAlign w:val="baseline"/>
          <w:lang w:val="en-US" w:eastAsia="zh-CN" w:bidi="ar-SA"/>
        </w:rPr>
        <w:t>由森林管理委员会（</w:t>
      </w:r>
      <w:r>
        <w:rPr>
          <w:rFonts w:hint="default" w:ascii="Times New Roman" w:hAnsi="Times New Roman" w:eastAsia="仿宋_GB2312" w:cs="Times New Roman"/>
          <w:b w:val="0"/>
          <w:bCs w:val="0"/>
          <w:strike w:val="0"/>
          <w:dstrike w:val="0"/>
          <w:color w:val="auto"/>
          <w:spacing w:val="0"/>
          <w:kern w:val="2"/>
          <w:sz w:val="24"/>
          <w:szCs w:val="24"/>
          <w:vertAlign w:val="baseline"/>
          <w:lang w:val="en-US" w:eastAsia="zh-CN" w:bidi="ar-SA"/>
        </w:rPr>
        <w:t>FSC</w:t>
      </w:r>
      <w:r>
        <w:rPr>
          <w:rFonts w:hint="eastAsia" w:ascii="仿宋_GB2312" w:hAnsi="仿宋_GB2312" w:eastAsia="仿宋_GB2312" w:cs="仿宋_GB2312"/>
          <w:b w:val="0"/>
          <w:bCs w:val="0"/>
          <w:strike w:val="0"/>
          <w:dstrike w:val="0"/>
          <w:color w:val="auto"/>
          <w:spacing w:val="0"/>
          <w:kern w:val="2"/>
          <w:sz w:val="24"/>
          <w:szCs w:val="24"/>
          <w:vertAlign w:val="baseline"/>
          <w:lang w:val="en-US" w:eastAsia="zh-CN" w:bidi="ar-SA"/>
        </w:rPr>
        <w:t>）发起的国际通用森林可持续经营认证体系，核心是通过标准规范森林培育、采伐、加工及产品溯源全流程，确保木材及制品来源合法、环境友好、社会负责，为绿色产业链构建提供合规支撑。</w:t>
      </w:r>
    </w:p>
  </w:endnote>
  <w:endnote w:id="6">
    <w:p w14:paraId="0F7CB531">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lang w:eastAsia="zh-CN"/>
        </w:rPr>
        <w:t>“智改数转”</w:t>
      </w:r>
      <w:r>
        <w:rPr>
          <w:rFonts w:hint="eastAsia" w:ascii="仿宋_GB2312" w:hAnsi="仿宋_GB2312" w:eastAsia="仿宋_GB2312" w:cs="仿宋_GB2312"/>
          <w:strike w:val="0"/>
          <w:dstrike w:val="0"/>
          <w:sz w:val="24"/>
          <w:szCs w:val="24"/>
          <w:vertAlign w:val="baseline"/>
          <w:lang w:eastAsia="zh-CN"/>
        </w:rPr>
        <w:t>：是指智能化改造数字化转型。</w:t>
      </w:r>
    </w:p>
  </w:endnote>
  <w:endnote w:id="7">
    <w:p w14:paraId="30FAE3F7">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b/>
          <w:bCs/>
          <w:strike w:val="0"/>
          <w:dstrike w:val="0"/>
          <w:sz w:val="24"/>
          <w:szCs w:val="24"/>
          <w:vertAlign w:val="baseline"/>
        </w:rPr>
        <w:t>源网荷储一体化</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rPr>
        <w:t>是通过优化整合本地电源侧（源）、电网侧（网）、负荷侧（荷）与储能侧（储）资源，以先进技术和体制机制创新为支撑，构建源网荷储高度融合、多向互动的新型电力系统。</w:t>
      </w:r>
    </w:p>
  </w:endnote>
  <w:endnote w:id="8">
    <w:p w14:paraId="1ACC237F">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“绿电直连”：</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是指风电、光伏、生物质发电等可再生能源通过专用电力线路直接向单一用户供电，实现电量全程物理溯源。</w:t>
      </w:r>
    </w:p>
  </w:endnote>
  <w:endnote w:id="9">
    <w:p w14:paraId="374BB7F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eastAsia" w:ascii="仿宋_GB2312" w:hAnsi="仿宋_GB2312" w:eastAsia="仿宋_GB2312" w:cs="仿宋_GB2312"/>
          <w:b/>
          <w:bCs/>
          <w:strike w:val="0"/>
          <w:dstrike w:val="0"/>
          <w:sz w:val="24"/>
          <w:szCs w:val="24"/>
          <w:vertAlign w:val="baseline"/>
          <w:lang w:eastAsia="zh-CN"/>
        </w:rPr>
        <w:t>二</w:t>
      </w:r>
      <w:r>
        <w:rPr>
          <w:rFonts w:hint="eastAsia" w:ascii="仿宋_GB2312" w:hAnsi="仿宋_GB2312" w:eastAsia="仿宋_GB2312" w:cs="仿宋_GB2312"/>
          <w:b/>
          <w:bCs/>
          <w:strike w:val="0"/>
          <w:dstrike w:val="0"/>
          <w:sz w:val="24"/>
          <w:szCs w:val="24"/>
          <w:vertAlign w:val="baseline"/>
        </w:rPr>
        <w:t>品一标”</w:t>
      </w:r>
      <w:r>
        <w:rPr>
          <w:rFonts w:hint="eastAsia" w:ascii="仿宋_GB2312" w:hAnsi="仿宋_GB2312" w:eastAsia="仿宋_GB2312" w:cs="仿宋_GB2312"/>
          <w:strike w:val="0"/>
          <w:dstrike w:val="0"/>
          <w:sz w:val="24"/>
          <w:szCs w:val="24"/>
          <w:vertAlign w:val="baseline"/>
        </w:rPr>
        <w:t>：是指绿色食品、有机农产品和农产品地理标志。</w:t>
      </w:r>
    </w:p>
  </w:endnote>
  <w:endnote w:id="10">
    <w:p w14:paraId="49AE6D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“千万工程”：</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是指“千村示范、万村整治”工程的简称，由习近平同志在</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2003</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年担任浙江省委书记时亲自谋划、部署和推动。</w:t>
      </w:r>
    </w:p>
  </w:endnote>
  <w:endnote w:id="11">
    <w:p w14:paraId="616494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“四好农村路”：</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是指把农村公路建好、管好、护好和运营好，这是习近平总书记</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于2014年3月</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首先提出的，是习近平总书记亲自部署推进、推动实践的一项重大民生工程、民心工程、德政工程。</w:t>
      </w:r>
    </w:p>
  </w:endnote>
  <w:endnote w:id="12">
    <w:p w14:paraId="65A6D47F">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default" w:ascii="Times New Roman" w:hAnsi="Times New Roman" w:eastAsia="仿宋_GB2312" w:cs="Times New Roman"/>
          <w:b/>
          <w:bCs/>
          <w:strike w:val="0"/>
          <w:dstrike w:val="0"/>
          <w:sz w:val="24"/>
          <w:szCs w:val="24"/>
          <w:vertAlign w:val="baseline"/>
        </w:rPr>
        <w:t>1</w:t>
      </w:r>
      <w:r>
        <w:rPr>
          <w:rFonts w:hint="default" w:ascii="Times New Roman" w:hAnsi="Times New Roman" w:eastAsia="仿宋_GB2312" w:cs="Times New Roman"/>
          <w:b/>
          <w:bCs/>
          <w:strike w:val="0"/>
          <w:dstrike w:val="0"/>
          <w:sz w:val="24"/>
          <w:szCs w:val="24"/>
          <w:vertAlign w:val="baseline"/>
          <w:lang w:val="en-US" w:eastAsia="zh-CN"/>
        </w:rPr>
        <w:t>0</w:t>
      </w:r>
      <w:r>
        <w:rPr>
          <w:rFonts w:hint="eastAsia" w:ascii="仿宋_GB2312" w:hAnsi="仿宋_GB2312" w:eastAsia="仿宋_GB2312" w:cs="仿宋_GB2312"/>
          <w:b/>
          <w:bCs/>
          <w:strike w:val="0"/>
          <w:dstrike w:val="0"/>
          <w:sz w:val="24"/>
          <w:szCs w:val="24"/>
          <w:vertAlign w:val="baseline"/>
        </w:rPr>
        <w:t>分钟便民生活圈”</w:t>
      </w:r>
      <w:r>
        <w:rPr>
          <w:rFonts w:hint="eastAsia" w:ascii="仿宋_GB2312" w:hAnsi="仿宋_GB2312" w:eastAsia="仿宋_GB2312" w:cs="仿宋_GB2312"/>
          <w:strike w:val="0"/>
          <w:dstrike w:val="0"/>
          <w:sz w:val="24"/>
          <w:szCs w:val="24"/>
          <w:vertAlign w:val="baseline"/>
        </w:rPr>
        <w:t>：是指以社区居民为服务对象，在步</w:t>
      </w:r>
      <w:r>
        <w:rPr>
          <w:rFonts w:hint="default" w:ascii="Times New Roman" w:hAnsi="Times New Roman" w:eastAsia="仿宋_GB2312" w:cs="Times New Roman"/>
          <w:strike w:val="0"/>
          <w:dstrike w:val="0"/>
          <w:sz w:val="24"/>
          <w:szCs w:val="24"/>
          <w:vertAlign w:val="baseline"/>
        </w:rPr>
        <w:t>行1</w:t>
      </w:r>
      <w:r>
        <w:rPr>
          <w:rFonts w:hint="default" w:ascii="Times New Roman" w:hAnsi="Times New Roman" w:eastAsia="仿宋_GB2312" w:cs="Times New Roman"/>
          <w:strike w:val="0"/>
          <w:dstrike w:val="0"/>
          <w:sz w:val="24"/>
          <w:szCs w:val="24"/>
          <w:vertAlign w:val="baseline"/>
          <w:lang w:val="en-US" w:eastAsia="zh-CN"/>
        </w:rPr>
        <w:t>0</w:t>
      </w:r>
      <w:r>
        <w:rPr>
          <w:rFonts w:hint="eastAsia" w:ascii="仿宋_GB2312" w:hAnsi="仿宋_GB2312" w:eastAsia="仿宋_GB2312" w:cs="仿宋_GB2312"/>
          <w:strike w:val="0"/>
          <w:dstrike w:val="0"/>
          <w:sz w:val="24"/>
          <w:szCs w:val="24"/>
          <w:vertAlign w:val="baseline"/>
        </w:rPr>
        <w:t>分钟范围内，通过多业态集聚形成的社区商圈，旨在满足居民日常生活消费需求。</w:t>
      </w:r>
    </w:p>
  </w:endnote>
  <w:endnote w:id="13">
    <w:p w14:paraId="31041347">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lang w:eastAsia="zh-CN"/>
        </w:rPr>
        <w:t>“两横四纵”</w:t>
      </w:r>
      <w:r>
        <w:rPr>
          <w:rFonts w:hint="eastAsia" w:ascii="仿宋_GB2312" w:hAnsi="仿宋_GB2312" w:eastAsia="仿宋_GB2312" w:cs="仿宋_GB2312"/>
          <w:strike w:val="0"/>
          <w:dstrike w:val="0"/>
          <w:sz w:val="24"/>
          <w:szCs w:val="24"/>
          <w:vertAlign w:val="baseline"/>
          <w:lang w:eastAsia="zh-CN"/>
        </w:rPr>
        <w:t>：“两横”是指鹿罗高速、柳金高速；“四纵”是指泉南高速、桂林至钦州港高速、鹿寨至钦州港高速、柳州到梧州高速。</w:t>
      </w:r>
    </w:p>
  </w:endnote>
  <w:endnote w:id="14">
    <w:p w14:paraId="596280AB">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sz w:val="24"/>
          <w:szCs w:val="24"/>
          <w:highlight w:val="none"/>
          <w:vertAlign w:val="baseline"/>
          <w:lang w:val="zh-TW" w:eastAsia="zh-CN"/>
        </w:rPr>
        <w:t>“两横三纵二支线”</w:t>
      </w:r>
      <w:r>
        <w:rPr>
          <w:rFonts w:hint="eastAsia" w:ascii="仿宋_GB2312" w:hAnsi="仿宋_GB2312" w:eastAsia="仿宋_GB2312" w:cs="仿宋_GB2312"/>
          <w:strike w:val="0"/>
          <w:dstrike w:val="0"/>
          <w:color w:val="auto"/>
          <w:sz w:val="24"/>
          <w:szCs w:val="24"/>
          <w:highlight w:val="none"/>
          <w:vertAlign w:val="baseline"/>
          <w:lang w:val="zh-TW" w:eastAsia="zh-CN"/>
        </w:rPr>
        <w:t>：“两横”是指柳州经贺州至韶关铁路（规划）、柳州经贺州至永清广高铁联络线（规划）；“三纵”是指湘桂铁路、衡柳高铁、南宁经柳州至衡阳高铁（规划）；“二支线”是指屯秋铁路支线、江口港铁路专用线（规划）。</w:t>
      </w:r>
    </w:p>
  </w:endnote>
  <w:endnote w:id="15">
    <w:p w14:paraId="714C7CF8">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rPr>
        <w:t>“光储直柔”</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rPr>
        <w:t>是当前推动建筑绿色化、实现“双碳”目标的关键技术路线</w:t>
      </w:r>
      <w:r>
        <w:rPr>
          <w:rFonts w:hint="eastAsia" w:ascii="仿宋_GB2312" w:hAnsi="仿宋_GB2312" w:eastAsia="仿宋_GB2312" w:cs="仿宋_GB2312"/>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rPr>
        <w:t>它是“光伏发电、储能、直流配电、柔性用电”四项技术在建筑领域集成应用的简称</w:t>
      </w:r>
      <w:r>
        <w:rPr>
          <w:rFonts w:hint="eastAsia" w:ascii="仿宋_GB2312" w:hAnsi="仿宋_GB2312" w:eastAsia="仿宋_GB2312" w:cs="仿宋_GB2312"/>
          <w:strike w:val="0"/>
          <w:dstrike w:val="0"/>
          <w:sz w:val="24"/>
          <w:szCs w:val="24"/>
          <w:vertAlign w:val="baseline"/>
          <w:lang w:eastAsia="zh-CN"/>
        </w:rPr>
        <w:t>。</w:t>
      </w:r>
    </w:p>
  </w:endnote>
  <w:endnote w:id="16">
    <w:p w14:paraId="05783B29">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rPr>
        <w:t>“双千兆”</w:t>
      </w:r>
      <w:r>
        <w:rPr>
          <w:rFonts w:hint="eastAsia" w:ascii="仿宋_GB2312" w:hAnsi="仿宋_GB2312" w:eastAsia="仿宋_GB2312" w:cs="仿宋_GB2312"/>
          <w:strike w:val="0"/>
          <w:dstrike w:val="0"/>
          <w:sz w:val="24"/>
          <w:szCs w:val="24"/>
          <w:vertAlign w:val="baseline"/>
        </w:rPr>
        <w:t>：是指移动宽带和固定宽带都达到千兆速度。</w:t>
      </w:r>
    </w:p>
  </w:endnote>
  <w:endnote w:id="17">
    <w:p w14:paraId="5A5A7CDF">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eastAsia="宋体"/>
          <w:strike w:val="0"/>
          <w:dstrike w:val="0"/>
          <w:sz w:val="24"/>
          <w:szCs w:val="24"/>
          <w:vertAlign w:val="baseline"/>
          <w:lang w:eastAsia="zh-CN"/>
        </w:rPr>
      </w:pPr>
      <w:r>
        <w:rPr>
          <w:rStyle w:val="25"/>
          <w:rFonts w:hint="eastAsia" w:ascii="仿宋_GB2312" w:hAnsi="仿宋_GB2312" w:eastAsia="仿宋_GB2312" w:cs="仿宋_GB2312"/>
          <w:strike w:val="0"/>
          <w:dstrike w:val="0"/>
          <w:sz w:val="24"/>
          <w:szCs w:val="24"/>
          <w:vertAlign w:val="baseline"/>
        </w:rPr>
        <w:t>[</w:t>
      </w:r>
      <w:r>
        <w:rPr>
          <w:rStyle w:val="25"/>
          <w:rFonts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lang w:eastAsia="zh-CN"/>
        </w:rPr>
        <w:t>“两重”“两新”：</w:t>
      </w:r>
      <w:r>
        <w:rPr>
          <w:rFonts w:hint="eastAsia" w:ascii="仿宋_GB2312" w:hAnsi="仿宋_GB2312" w:eastAsia="仿宋_GB2312" w:cs="仿宋_GB2312"/>
          <w:b w:val="0"/>
          <w:bCs w:val="0"/>
          <w:strike w:val="0"/>
          <w:dstrike w:val="0"/>
          <w:sz w:val="24"/>
          <w:szCs w:val="24"/>
          <w:vertAlign w:val="baseline"/>
          <w:lang w:eastAsia="zh-CN"/>
        </w:rPr>
        <w:t>“两重”是</w:t>
      </w:r>
      <w:r>
        <w:rPr>
          <w:rFonts w:hint="eastAsia" w:ascii="仿宋_GB2312" w:hAnsi="仿宋_GB2312" w:eastAsia="仿宋_GB2312" w:cs="仿宋_GB2312"/>
          <w:strike w:val="0"/>
          <w:dstrike w:val="0"/>
          <w:sz w:val="24"/>
          <w:szCs w:val="24"/>
          <w:vertAlign w:val="baseline"/>
          <w:lang w:eastAsia="zh-CN"/>
        </w:rPr>
        <w:t>指国家重大战略实施和重点领域安全能力建设。“两新”是指大规模设备更新与消费品以旧换新。</w:t>
      </w:r>
    </w:p>
  </w:endnote>
  <w:endnote w:id="18">
    <w:p w14:paraId="5F59CE50">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sz w:val="24"/>
          <w:szCs w:val="24"/>
          <w:vertAlign w:val="baseline"/>
        </w:rPr>
        <w:t>[</w:t>
      </w:r>
      <w:r>
        <w:rPr>
          <w:rStyle w:val="25"/>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color w:val="000000"/>
          <w:kern w:val="2"/>
          <w:sz w:val="24"/>
          <w:szCs w:val="24"/>
          <w:vertAlign w:val="baseline"/>
          <w:lang w:val="en-US" w:eastAsia="zh-CN" w:bidi="ar-SA"/>
        </w:rPr>
        <w:t>“五个家园”</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：中华民族共有精神家园、共同富裕幸福家园、守望相助和谐家园、宜居康寿美丽家园、边疆稳定平安家园。</w:t>
      </w:r>
    </w:p>
  </w:endnote>
  <w:endnote w:id="19">
    <w:p w14:paraId="7B378688">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val="0"/>
          <w:strike w:val="0"/>
          <w:dstrike w:val="0"/>
          <w:color w:val="auto"/>
          <w:sz w:val="24"/>
          <w:szCs w:val="24"/>
          <w:highlight w:val="none"/>
          <w:vertAlign w:val="baseline"/>
          <w:lang w:val="en-US" w:eastAsia="zh-CN"/>
        </w:rPr>
        <w:t>“五百工程”：</w:t>
      </w:r>
      <w:r>
        <w:rPr>
          <w:rFonts w:hint="eastAsia" w:ascii="仿宋_GB2312" w:hAnsi="仿宋_GB2312" w:eastAsia="仿宋_GB2312" w:cs="仿宋_GB2312"/>
          <w:b w:val="0"/>
          <w:bCs/>
          <w:strike w:val="0"/>
          <w:dstrike w:val="0"/>
          <w:color w:val="auto"/>
          <w:sz w:val="24"/>
          <w:szCs w:val="24"/>
          <w:highlight w:val="none"/>
          <w:vertAlign w:val="baseline"/>
          <w:lang w:val="en-US" w:eastAsia="zh-CN"/>
        </w:rPr>
        <w:t>指百名作家写鹿寨、百名美术家画鹿寨、百名摄影家摄鹿寨、百名书法家书鹿寨、百名朗读者诵鹿寨。</w:t>
      </w:r>
    </w:p>
  </w:endnote>
  <w:endnote w:id="20">
    <w:p w14:paraId="6E16341A">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strike w:val="0"/>
          <w:dstrike w:val="0"/>
          <w:sz w:val="24"/>
          <w:szCs w:val="24"/>
          <w:vertAlign w:val="baseline"/>
        </w:rPr>
        <w:t xml:space="preserve"> </w:t>
      </w:r>
      <w:r>
        <w:rPr>
          <w:rFonts w:hint="eastAsia" w:ascii="仿宋_GB2312" w:hAnsi="仿宋_GB2312" w:eastAsia="仿宋_GB2312" w:cs="仿宋_GB2312"/>
          <w:b/>
          <w:bCs/>
          <w:strike w:val="0"/>
          <w:dstrike w:val="0"/>
          <w:color w:val="000000"/>
          <w:kern w:val="2"/>
          <w:sz w:val="24"/>
          <w:szCs w:val="24"/>
          <w:vertAlign w:val="baseline"/>
          <w:lang w:val="en-US" w:eastAsia="zh-CN" w:bidi="ar-SA"/>
        </w:rPr>
        <w:t>“云端”</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:“云”是指云计算。“端”是指终端设备。</w:t>
      </w:r>
    </w:p>
  </w:endnote>
  <w:endnote w:id="21">
    <w:p w14:paraId="0424ACC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Times New Roman" w:hAnsi="Times New Roman" w:cs="Times New Roman"/>
          <w:strike w:val="0"/>
          <w:dstrike w:val="0"/>
          <w:kern w:val="2"/>
          <w:sz w:val="24"/>
          <w:szCs w:val="24"/>
          <w:vertAlign w:val="baseline"/>
          <w:lang w:val="en-US" w:eastAsia="zh-CN" w:bidi="ar-SA"/>
        </w:rPr>
        <w:t xml:space="preserve"> </w:t>
      </w:r>
      <w:r>
        <w:rPr>
          <w:rFonts w:hint="default" w:ascii="Times New Roman" w:hAnsi="Times New Roman" w:eastAsia="仿宋_GB2312" w:cs="Times New Roman"/>
          <w:b/>
          <w:bCs/>
          <w:strike w:val="0"/>
          <w:dstrike w:val="0"/>
          <w:color w:val="auto"/>
          <w:kern w:val="2"/>
          <w:sz w:val="24"/>
          <w:szCs w:val="24"/>
          <w:vertAlign w:val="baseline"/>
          <w:lang w:val="en-US" w:eastAsia="zh-CN" w:bidi="ar-SA"/>
        </w:rPr>
        <w:t>IP</w:t>
      </w:r>
      <w:r>
        <w:rPr>
          <w:rFonts w:hint="eastAsia" w:ascii="仿宋_GB2312" w:hAnsi="仿宋_GB2312" w:eastAsia="仿宋_GB2312" w:cs="仿宋_GB2312"/>
          <w:b/>
          <w:bCs/>
          <w:strike w:val="0"/>
          <w:dstrike w:val="0"/>
          <w:color w:val="auto"/>
          <w:kern w:val="2"/>
          <w:sz w:val="24"/>
          <w:szCs w:val="24"/>
          <w:vertAlign w:val="baseline"/>
          <w:lang w:val="en-US" w:eastAsia="zh-CN" w:bidi="ar-SA"/>
        </w:rPr>
        <w:t>：</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Intellectual Property</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的缩写，是知识产权的简称，指人类智力创造 产生的无形财产专有权利。它主要包括版权、专利、商标、商业秘密等法律保护形式。在商业与创意领域，</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IP</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 xml:space="preserve">常特指具有高辨识度、能承载情感价值、并可进行多维度开发与商业转化的创造性成果（如文学形象、品牌符号等）。 </w:t>
      </w:r>
    </w:p>
  </w:endnote>
  <w:endnote w:id="22">
    <w:p w14:paraId="3417619B">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default" w:ascii="Times New Roman" w:hAnsi="Times New Roman" w:eastAsia="仿宋_GB2312" w:cs="Times New Roman"/>
          <w:b/>
          <w:bCs/>
          <w:strike w:val="0"/>
          <w:dstrike w:val="0"/>
          <w:sz w:val="24"/>
          <w:szCs w:val="24"/>
          <w:vertAlign w:val="baseline"/>
        </w:rPr>
        <w:t>5</w:t>
      </w:r>
      <w:r>
        <w:rPr>
          <w:rFonts w:hint="eastAsia" w:ascii="Times New Roman" w:hAnsi="Times New Roman" w:eastAsia="仿宋_GB2312" w:cs="Times New Roman"/>
          <w:b/>
          <w:bCs/>
          <w:strike w:val="0"/>
          <w:dstrike w:val="0"/>
          <w:sz w:val="24"/>
          <w:szCs w:val="24"/>
          <w:vertAlign w:val="baseline"/>
          <w:lang w:eastAsia="zh-CN"/>
        </w:rPr>
        <w:t>+</w:t>
      </w:r>
      <w:r>
        <w:rPr>
          <w:rFonts w:hint="default" w:ascii="Times New Roman" w:hAnsi="Times New Roman" w:eastAsia="仿宋_GB2312" w:cs="Times New Roman"/>
          <w:b/>
          <w:bCs/>
          <w:strike w:val="0"/>
          <w:dstrike w:val="0"/>
          <w:sz w:val="24"/>
          <w:szCs w:val="24"/>
          <w:vertAlign w:val="baseline"/>
        </w:rPr>
        <w:t>1</w:t>
      </w:r>
      <w:r>
        <w:rPr>
          <w:rFonts w:hint="eastAsia" w:ascii="仿宋_GB2312" w:hAnsi="仿宋_GB2312" w:eastAsia="仿宋_GB2312" w:cs="仿宋_GB2312"/>
          <w:b/>
          <w:bCs/>
          <w:strike w:val="0"/>
          <w:dstrike w:val="0"/>
          <w:sz w:val="24"/>
          <w:szCs w:val="24"/>
          <w:vertAlign w:val="baseline"/>
        </w:rPr>
        <w:t>”教师培养工程</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lang w:eastAsia="zh-CN"/>
        </w:rPr>
        <w:t>是指</w:t>
      </w:r>
      <w:r>
        <w:rPr>
          <w:rFonts w:hint="eastAsia" w:ascii="仿宋_GB2312" w:hAnsi="仿宋_GB2312" w:eastAsia="仿宋_GB2312" w:cs="仿宋_GB2312"/>
          <w:strike w:val="0"/>
          <w:dstrike w:val="0"/>
          <w:color w:val="000000"/>
          <w:sz w:val="24"/>
          <w:szCs w:val="24"/>
          <w:vertAlign w:val="baseline"/>
          <w:lang w:val="en-US" w:eastAsia="zh-CN"/>
        </w:rPr>
        <w:t>实施名师领航工程、市县教育共同体“一对一”帮扶工程、新教师三年递进式规范化培训工程、校本研修工程、“初中强校”人才培养工程、“研训一体”的教师专业发展服务支持体系。</w:t>
      </w:r>
    </w:p>
  </w:endnote>
  <w:endnote w:id="23">
    <w:p w14:paraId="11ABC68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b w:val="0"/>
          <w:bCs w:val="0"/>
          <w:strike w:val="0"/>
          <w:dstrike w:val="0"/>
          <w:sz w:val="24"/>
          <w:szCs w:val="24"/>
          <w:vertAlign w:val="baseline"/>
        </w:rPr>
      </w:pPr>
      <w:r>
        <w:rPr>
          <w:rStyle w:val="25"/>
          <w:rFonts w:hint="eastAsia" w:ascii="Times New Roman" w:hAnsi="Times New Roman" w:eastAsia="宋体" w:cs="Times New Roman"/>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Times New Roman" w:hAnsi="Times New Roman" w:eastAsia="宋体" w:cs="Times New Roman"/>
          <w:strike w:val="0"/>
          <w:dstrike w:val="0"/>
          <w:kern w:val="2"/>
          <w:sz w:val="24"/>
          <w:szCs w:val="24"/>
          <w:vertAlign w:val="baseline"/>
          <w:lang w:val="en-US" w:eastAsia="zh-CN" w:bidi="ar-SA"/>
        </w:rPr>
        <w:t>]</w:t>
      </w:r>
      <w:r>
        <w:rPr>
          <w:rFonts w:hint="eastAsia" w:ascii="Times New Roman" w:hAnsi="Times New Roman" w:cs="Times New Roman"/>
          <w:strike w:val="0"/>
          <w:dstrike w:val="0"/>
          <w:kern w:val="2"/>
          <w:sz w:val="24"/>
          <w:szCs w:val="24"/>
          <w:vertAlign w:val="baseline"/>
          <w:lang w:val="en-US" w:eastAsia="zh-CN" w:bidi="ar-SA"/>
        </w:rPr>
        <w:t xml:space="preserve">  </w:t>
      </w:r>
      <w:r>
        <w:rPr>
          <w:rFonts w:hint="default" w:ascii="Times New Roman" w:hAnsi="Times New Roman" w:eastAsia="仿宋_GB2312" w:cs="Times New Roman"/>
          <w:b/>
          <w:bCs/>
          <w:strike w:val="0"/>
          <w:dstrike w:val="0"/>
          <w:color w:val="000000"/>
          <w:kern w:val="2"/>
          <w:sz w:val="24"/>
          <w:szCs w:val="24"/>
          <w:vertAlign w:val="baseline"/>
          <w:lang w:val="en-US" w:eastAsia="zh-CN" w:bidi="ar-SA"/>
        </w:rPr>
        <w:t>DRG</w:t>
      </w:r>
      <w:r>
        <w:rPr>
          <w:rFonts w:hint="eastAsia" w:ascii="仿宋_GB2312" w:hAnsi="仿宋_GB2312" w:eastAsia="仿宋_GB2312" w:cs="仿宋_GB2312"/>
          <w:b/>
          <w:bCs/>
          <w:strike w:val="0"/>
          <w:dstrike w:val="0"/>
          <w:color w:val="000000"/>
          <w:kern w:val="2"/>
          <w:sz w:val="24"/>
          <w:szCs w:val="24"/>
          <w:vertAlign w:val="baseline"/>
          <w:lang w:val="en-US" w:eastAsia="zh-CN" w:bidi="ar-SA"/>
        </w:rPr>
        <w:t>：</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Diagnosis Related Groups（</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疾病诊断相关分组）的简称，是一种基于病例分类的医疗管理工具，根据患者年龄、诊断、治疗方式等因素将病例分组，形成按组打包付费的医保支付体系。</w:t>
      </w:r>
    </w:p>
  </w:endnote>
  <w:endnote w:id="24">
    <w:p w14:paraId="21175EA8">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default" w:ascii="Times New Roman" w:hAnsi="Times New Roman" w:eastAsia="宋体" w:cs="Times New Roman"/>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default" w:ascii="Times New Roman" w:hAnsi="Times New Roman" w:eastAsia="宋体" w:cs="Times New Roman"/>
          <w:strike w:val="0"/>
          <w:dstrike w:val="0"/>
          <w:kern w:val="2"/>
          <w:sz w:val="24"/>
          <w:szCs w:val="24"/>
          <w:vertAlign w:val="baseline"/>
          <w:lang w:val="en-US" w:eastAsia="zh-CN" w:bidi="ar-SA"/>
        </w:rPr>
        <w:t>]</w:t>
      </w:r>
      <w:r>
        <w:rPr>
          <w:rFonts w:hint="eastAsia" w:ascii="仿宋_GB2312" w:hAnsi="仿宋_GB2312" w:eastAsia="仿宋_GB2312" w:cs="仿宋_GB2312"/>
          <w:b/>
          <w:bCs/>
          <w:strike w:val="0"/>
          <w:dstrike w:val="0"/>
          <w:sz w:val="24"/>
          <w:szCs w:val="24"/>
          <w:vertAlign w:val="baseline"/>
        </w:rPr>
        <w:t xml:space="preserve"> 医院</w:t>
      </w:r>
      <w:r>
        <w:rPr>
          <w:rFonts w:hint="default" w:ascii="Times New Roman" w:hAnsi="Times New Roman" w:eastAsia="仿宋_GB2312" w:cs="Times New Roman"/>
          <w:b/>
          <w:bCs/>
          <w:strike w:val="0"/>
          <w:dstrike w:val="0"/>
          <w:sz w:val="24"/>
          <w:szCs w:val="24"/>
          <w:vertAlign w:val="baseline"/>
        </w:rPr>
        <w:t>HIS</w:t>
      </w:r>
      <w:r>
        <w:rPr>
          <w:rFonts w:hint="eastAsia" w:ascii="仿宋_GB2312" w:hAnsi="仿宋_GB2312" w:eastAsia="仿宋_GB2312" w:cs="仿宋_GB2312"/>
          <w:b/>
          <w:bCs/>
          <w:strike w:val="0"/>
          <w:dstrike w:val="0"/>
          <w:sz w:val="24"/>
          <w:szCs w:val="24"/>
          <w:vertAlign w:val="baseline"/>
        </w:rPr>
        <w:t>系统：</w:t>
      </w:r>
      <w:r>
        <w:rPr>
          <w:rFonts w:hint="eastAsia" w:ascii="仿宋_GB2312" w:hAnsi="仿宋_GB2312" w:eastAsia="仿宋_GB2312" w:cs="仿宋_GB2312"/>
          <w:strike w:val="0"/>
          <w:dstrike w:val="0"/>
          <w:sz w:val="24"/>
          <w:szCs w:val="24"/>
          <w:vertAlign w:val="baseline"/>
          <w:lang w:eastAsia="zh-CN"/>
        </w:rPr>
        <w:t>是</w:t>
      </w:r>
      <w:r>
        <w:rPr>
          <w:rFonts w:hint="default" w:ascii="Times New Roman" w:hAnsi="Times New Roman" w:eastAsia="仿宋_GB2312" w:cs="Times New Roman"/>
          <w:strike w:val="0"/>
          <w:dstrike w:val="0"/>
          <w:sz w:val="24"/>
          <w:szCs w:val="24"/>
          <w:vertAlign w:val="baseline"/>
        </w:rPr>
        <w:t>Hospital Information System</w:t>
      </w:r>
      <w:r>
        <w:rPr>
          <w:rFonts w:hint="eastAsia" w:ascii="仿宋_GB2312" w:hAnsi="仿宋_GB2312" w:eastAsia="仿宋_GB2312" w:cs="仿宋_GB2312"/>
          <w:strike w:val="0"/>
          <w:dstrike w:val="0"/>
          <w:sz w:val="24"/>
          <w:szCs w:val="24"/>
          <w:vertAlign w:val="baseline"/>
        </w:rPr>
        <w:t>的缩写，是医院信息系统的简称，指覆盖医院核心业务流程、支持全面信息管理的综合性软件平台。</w:t>
      </w:r>
    </w:p>
  </w:endnote>
  <w:endnote w:id="25">
    <w:p w14:paraId="3641575A">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b w:val="0"/>
          <w:bCs w:val="0"/>
          <w:strike w:val="0"/>
          <w:dstrike w:val="0"/>
          <w:color w:val="auto"/>
          <w:sz w:val="24"/>
          <w:szCs w:val="24"/>
          <w:vertAlign w:val="baseline"/>
          <w:lang w:eastAsia="zh-CN"/>
        </w:rPr>
      </w:pPr>
      <w:r>
        <w:rPr>
          <w:rStyle w:val="25"/>
          <w:rFonts w:hint="eastAsia" w:ascii="仿宋_GB2312" w:hAnsi="仿宋_GB2312" w:eastAsia="仿宋_GB2312" w:cs="仿宋_GB2312"/>
          <w:strike w:val="0"/>
          <w:dstrike w:val="0"/>
          <w:color w:val="auto"/>
          <w:kern w:val="2"/>
          <w:sz w:val="24"/>
          <w:szCs w:val="24"/>
          <w:vertAlign w:val="baseline"/>
          <w:lang w:val="en-US" w:eastAsia="zh-CN" w:bidi="ar-SA"/>
        </w:rPr>
        <w:t>[</w:t>
      </w:r>
      <w:r>
        <w:rPr>
          <w:rStyle w:val="25"/>
          <w:rFonts w:hint="eastAsia" w:ascii="Times New Roman" w:hAnsi="Times New Roman" w:eastAsia="宋体" w:cs="Times New Roman"/>
          <w:strike w:val="0"/>
          <w:dstrike w:val="0"/>
          <w:color w:val="auto"/>
          <w:kern w:val="2"/>
          <w:sz w:val="24"/>
          <w:szCs w:val="24"/>
          <w:vertAlign w:val="baseline"/>
          <w:lang w:val="en-US" w:eastAsia="zh-CN" w:bidi="ar-SA"/>
        </w:rPr>
        <w:endnoteRef/>
      </w:r>
      <w:r>
        <w:rPr>
          <w:rStyle w:val="25"/>
          <w:rFonts w:hint="eastAsia" w:ascii="仿宋_GB2312" w:hAnsi="仿宋_GB2312" w:eastAsia="仿宋_GB2312" w:cs="仿宋_GB2312"/>
          <w:strike w:val="0"/>
          <w:dstrike w:val="0"/>
          <w:color w:val="auto"/>
          <w:kern w:val="2"/>
          <w:sz w:val="24"/>
          <w:szCs w:val="24"/>
          <w:vertAlign w:val="baseline"/>
          <w:lang w:val="en-US" w:eastAsia="zh-CN" w:bidi="ar-SA"/>
        </w:rPr>
        <w:t>]</w:t>
      </w:r>
      <w:r>
        <w:rPr>
          <w:rStyle w:val="25"/>
          <w:rFonts w:hint="eastAsia" w:ascii="Times New Roman" w:hAnsi="Times New Roman" w:eastAsia="宋体" w:cs="Times New Roman"/>
          <w:strike w:val="0"/>
          <w:dstrike w:val="0"/>
          <w:color w:val="auto"/>
          <w:kern w:val="2"/>
          <w:sz w:val="24"/>
          <w:szCs w:val="24"/>
          <w:vertAlign w:val="baseline"/>
          <w:lang w:val="en-US" w:eastAsia="zh-CN" w:bidi="ar-SA"/>
        </w:rPr>
        <w:t xml:space="preserve"> </w:t>
      </w:r>
      <w:r>
        <w:rPr>
          <w:rFonts w:hint="default" w:ascii="仿宋_GB2312" w:hAnsi="仿宋_GB2312" w:eastAsia="仿宋_GB2312" w:cs="仿宋_GB2312"/>
          <w:b/>
          <w:bCs/>
          <w:strike w:val="0"/>
          <w:dstrike w:val="0"/>
          <w:color w:val="auto"/>
          <w:sz w:val="24"/>
          <w:szCs w:val="24"/>
          <w:vertAlign w:val="baseline"/>
          <w:lang w:val="en-US" w:eastAsia="zh-CN"/>
        </w:rPr>
        <w:t>“</w:t>
      </w:r>
      <w:r>
        <w:rPr>
          <w:rFonts w:hint="default" w:ascii="Times New Roman" w:hAnsi="Times New Roman" w:eastAsia="仿宋_GB2312" w:cs="Times New Roman"/>
          <w:b/>
          <w:bCs/>
          <w:strike w:val="0"/>
          <w:dstrike w:val="0"/>
          <w:color w:val="auto"/>
          <w:sz w:val="24"/>
          <w:szCs w:val="24"/>
          <w:vertAlign w:val="baseline"/>
          <w:lang w:val="en-US" w:eastAsia="zh-CN"/>
        </w:rPr>
        <w:t>1+1+X</w:t>
      </w:r>
      <w:r>
        <w:rPr>
          <w:rFonts w:hint="default" w:ascii="仿宋_GB2312" w:hAnsi="仿宋_GB2312" w:eastAsia="仿宋_GB2312" w:cs="仿宋_GB2312"/>
          <w:b/>
          <w:bCs/>
          <w:strike w:val="0"/>
          <w:dstrike w:val="0"/>
          <w:color w:val="auto"/>
          <w:sz w:val="24"/>
          <w:szCs w:val="24"/>
          <w:vertAlign w:val="baseline"/>
          <w:lang w:val="en-US" w:eastAsia="zh-CN"/>
        </w:rPr>
        <w:t>”</w:t>
      </w:r>
      <w:r>
        <w:rPr>
          <w:rFonts w:hint="eastAsia" w:ascii="仿宋_GB2312" w:hAnsi="仿宋_GB2312" w:eastAsia="仿宋_GB2312" w:cs="仿宋_GB2312"/>
          <w:b/>
          <w:bCs/>
          <w:strike w:val="0"/>
          <w:dstrike w:val="0"/>
          <w:color w:val="auto"/>
          <w:sz w:val="24"/>
          <w:szCs w:val="24"/>
          <w:vertAlign w:val="baseline"/>
          <w:lang w:val="en-US" w:eastAsia="zh-CN"/>
        </w:rPr>
        <w:t>：</w:t>
      </w:r>
      <w:r>
        <w:rPr>
          <w:rFonts w:hint="eastAsia" w:ascii="仿宋_GB2312" w:hAnsi="仿宋_GB2312" w:eastAsia="仿宋_GB2312" w:cs="仿宋_GB2312"/>
          <w:b w:val="0"/>
          <w:bCs w:val="0"/>
          <w:strike w:val="0"/>
          <w:dstrike w:val="0"/>
          <w:color w:val="auto"/>
          <w:sz w:val="24"/>
          <w:szCs w:val="24"/>
          <w:vertAlign w:val="baseline"/>
          <w:lang w:val="en-US" w:eastAsia="zh-CN"/>
        </w:rPr>
        <w:t>第一个“</w:t>
      </w:r>
      <w:r>
        <w:rPr>
          <w:rFonts w:hint="default" w:ascii="Times New Roman" w:hAnsi="Times New Roman" w:eastAsia="仿宋_GB2312" w:cs="Times New Roman"/>
          <w:b w:val="0"/>
          <w:bCs w:val="0"/>
          <w:strike w:val="0"/>
          <w:dstrike w:val="0"/>
          <w:color w:val="auto"/>
          <w:sz w:val="24"/>
          <w:szCs w:val="24"/>
          <w:vertAlign w:val="baseline"/>
          <w:lang w:eastAsia="zh-CN"/>
        </w:rPr>
        <w:t>1</w:t>
      </w:r>
      <w:r>
        <w:rPr>
          <w:rFonts w:hint="eastAsia" w:ascii="仿宋_GB2312" w:hAnsi="仿宋_GB2312" w:eastAsia="仿宋_GB2312" w:cs="仿宋_GB2312"/>
          <w:b w:val="0"/>
          <w:bCs w:val="0"/>
          <w:strike w:val="0"/>
          <w:dstrike w:val="0"/>
          <w:color w:val="auto"/>
          <w:sz w:val="24"/>
          <w:szCs w:val="24"/>
          <w:vertAlign w:val="baseline"/>
          <w:lang w:val="en-US" w:eastAsia="zh-CN"/>
        </w:rPr>
        <w:t>”是指</w:t>
      </w:r>
      <w:r>
        <w:rPr>
          <w:rFonts w:hint="eastAsia" w:ascii="仿宋_GB2312" w:hAnsi="仿宋_GB2312" w:eastAsia="仿宋_GB2312" w:cs="仿宋_GB2312"/>
          <w:b w:val="0"/>
          <w:bCs w:val="0"/>
          <w:strike w:val="0"/>
          <w:dstrike w:val="0"/>
          <w:color w:val="auto"/>
          <w:sz w:val="24"/>
          <w:szCs w:val="24"/>
          <w:vertAlign w:val="baseline"/>
          <w:lang w:eastAsia="zh-CN"/>
        </w:rPr>
        <w:t>上级专科医师，负责技术指导、会诊与转诊协调；第二个</w:t>
      </w:r>
      <w:r>
        <w:rPr>
          <w:rFonts w:hint="eastAsia" w:ascii="仿宋_GB2312" w:hAnsi="仿宋_GB2312" w:eastAsia="仿宋_GB2312" w:cs="仿宋_GB2312"/>
          <w:b w:val="0"/>
          <w:bCs w:val="0"/>
          <w:strike w:val="0"/>
          <w:dstrike w:val="0"/>
          <w:color w:val="auto"/>
          <w:sz w:val="24"/>
          <w:szCs w:val="24"/>
          <w:vertAlign w:val="baseline"/>
          <w:lang w:val="en-US" w:eastAsia="zh-CN"/>
        </w:rPr>
        <w:t>“</w:t>
      </w:r>
      <w:r>
        <w:rPr>
          <w:rFonts w:hint="default" w:ascii="Times New Roman" w:hAnsi="Times New Roman" w:eastAsia="仿宋_GB2312" w:cs="Times New Roman"/>
          <w:b w:val="0"/>
          <w:bCs w:val="0"/>
          <w:strike w:val="0"/>
          <w:dstrike w:val="0"/>
          <w:color w:val="auto"/>
          <w:sz w:val="24"/>
          <w:szCs w:val="24"/>
          <w:vertAlign w:val="baseline"/>
          <w:lang w:eastAsia="zh-CN"/>
        </w:rPr>
        <w:t>1</w:t>
      </w:r>
      <w:r>
        <w:rPr>
          <w:rFonts w:hint="eastAsia" w:ascii="仿宋_GB2312" w:hAnsi="仿宋_GB2312" w:eastAsia="仿宋_GB2312" w:cs="仿宋_GB2312"/>
          <w:b w:val="0"/>
          <w:bCs w:val="0"/>
          <w:strike w:val="0"/>
          <w:dstrike w:val="0"/>
          <w:color w:val="auto"/>
          <w:sz w:val="24"/>
          <w:szCs w:val="24"/>
          <w:vertAlign w:val="baseline"/>
          <w:lang w:val="en-US" w:eastAsia="zh-CN"/>
        </w:rPr>
        <w:t>”</w:t>
      </w:r>
      <w:r>
        <w:rPr>
          <w:rFonts w:hint="eastAsia" w:ascii="仿宋_GB2312" w:hAnsi="仿宋_GB2312" w:eastAsia="仿宋_GB2312" w:cs="仿宋_GB2312"/>
          <w:b w:val="0"/>
          <w:bCs w:val="0"/>
          <w:strike w:val="0"/>
          <w:dstrike w:val="0"/>
          <w:color w:val="auto"/>
          <w:sz w:val="24"/>
          <w:szCs w:val="24"/>
          <w:vertAlign w:val="baseline"/>
          <w:lang w:eastAsia="zh-CN"/>
        </w:rPr>
        <w:t>是指基层全科医生（团队长），负责日常诊疗、慢病管理与随访；“</w:t>
      </w:r>
      <w:r>
        <w:rPr>
          <w:rFonts w:hint="default" w:ascii="Times New Roman" w:hAnsi="Times New Roman" w:eastAsia="仿宋_GB2312" w:cs="Times New Roman"/>
          <w:b w:val="0"/>
          <w:bCs w:val="0"/>
          <w:strike w:val="0"/>
          <w:dstrike w:val="0"/>
          <w:color w:val="auto"/>
          <w:sz w:val="24"/>
          <w:szCs w:val="24"/>
          <w:vertAlign w:val="baseline"/>
          <w:lang w:eastAsia="zh-CN"/>
        </w:rPr>
        <w:t>X</w:t>
      </w:r>
      <w:r>
        <w:rPr>
          <w:rFonts w:hint="eastAsia" w:ascii="仿宋_GB2312" w:hAnsi="仿宋_GB2312" w:eastAsia="仿宋_GB2312" w:cs="仿宋_GB2312"/>
          <w:b w:val="0"/>
          <w:bCs w:val="0"/>
          <w:strike w:val="0"/>
          <w:dstrike w:val="0"/>
          <w:color w:val="auto"/>
          <w:sz w:val="24"/>
          <w:szCs w:val="24"/>
          <w:vertAlign w:val="baseline"/>
          <w:lang w:eastAsia="zh-CN"/>
        </w:rPr>
        <w:t>”是指协同成员（如护士、公卫医师、药师等），根据需求灵活配置，分工协作。</w:t>
      </w:r>
    </w:p>
  </w:endnote>
  <w:endnote w:id="26">
    <w:p w14:paraId="755B7323">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eastAsia="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default"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sz w:val="24"/>
          <w:szCs w:val="24"/>
          <w:vertAlign w:val="baseline"/>
        </w:rPr>
        <w:t>“一府一委两院”</w:t>
      </w:r>
      <w:r>
        <w:rPr>
          <w:rFonts w:hint="eastAsia" w:ascii="仿宋_GB2312" w:hAnsi="仿宋_GB2312" w:eastAsia="仿宋_GB2312" w:cs="仿宋_GB2312"/>
          <w:b w:val="0"/>
          <w:bCs w:val="0"/>
          <w:strike w:val="0"/>
          <w:dstrike w:val="0"/>
          <w:color w:val="auto"/>
          <w:sz w:val="24"/>
          <w:szCs w:val="24"/>
          <w:vertAlign w:val="baseline"/>
          <w:lang w:eastAsia="zh-CN"/>
        </w:rPr>
        <w:t>：“一府”是指人民政府，“一委”是指监察委员会，“两院”是指人民法院、人民检察院。</w:t>
      </w:r>
    </w:p>
  </w:endnote>
  <w:endnote w:id="27">
    <w:p w14:paraId="1E0E60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strike w:val="0"/>
          <w:dstrike w:val="0"/>
          <w:sz w:val="24"/>
          <w:szCs w:val="24"/>
          <w:vertAlign w:val="baseline"/>
        </w:rPr>
      </w:pPr>
      <w:r>
        <w:rPr>
          <w:rStyle w:val="25"/>
          <w:rFonts w:hint="eastAsia" w:ascii="仿宋_GB2312" w:hAnsi="仿宋_GB2312" w:eastAsia="仿宋_GB2312" w:cs="仿宋_GB2312"/>
          <w:strike w:val="0"/>
          <w:dstrike w:val="0"/>
          <w:sz w:val="24"/>
          <w:szCs w:val="24"/>
          <w:vertAlign w:val="baseline"/>
        </w:rPr>
        <w:t>[</w:t>
      </w:r>
      <w:r>
        <w:rPr>
          <w:rStyle w:val="25"/>
          <w:rFonts w:hint="default"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“枫桥经验”：</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是指浙江省诸暨市枫桥镇创造的，以“坚持党建引领，坚持人民主体，坚持‘三治’融合，坚持‘四防’并举，坚持‘共建共享’”为主要内容的社会治安综合治理经验。</w:t>
      </w:r>
    </w:p>
  </w:endnote>
  <w:endnote w:id="28">
    <w:p w14:paraId="2803AA5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sz w:val="24"/>
          <w:szCs w:val="24"/>
          <w:highlight w:val="none"/>
          <w:vertAlign w:val="baseline"/>
          <w:lang w:val="en-US" w:eastAsia="zh-CN"/>
        </w:rPr>
        <w:t>“十百千万”工程</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：根据《广西社会工作高质量发展“十百千万”工程实施方案》，在全区范围内推进建</w:t>
      </w:r>
      <w:r>
        <w:rPr>
          <w:rFonts w:hint="default" w:ascii="Times New Roman" w:hAnsi="Times New Roman" w:eastAsia="仿宋_GB2312" w:cs="Times New Roman"/>
          <w:b w:val="0"/>
          <w:bCs w:val="0"/>
          <w:strike w:val="0"/>
          <w:dstrike w:val="0"/>
          <w:color w:val="auto"/>
          <w:sz w:val="24"/>
          <w:szCs w:val="24"/>
          <w:highlight w:val="none"/>
          <w:vertAlign w:val="baseline"/>
          <w:lang w:val="en-US" w:eastAsia="zh-CN"/>
        </w:rPr>
        <w:t>设10个以上重点领域社会工作人才团队，培育100家以上</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的“枢纽型”社</w:t>
      </w:r>
      <w:r>
        <w:rPr>
          <w:rFonts w:hint="default" w:ascii="Times New Roman" w:hAnsi="Times New Roman" w:eastAsia="仿宋_GB2312" w:cs="Times New Roman"/>
          <w:b w:val="0"/>
          <w:bCs w:val="0"/>
          <w:strike w:val="0"/>
          <w:dstrike w:val="0"/>
          <w:color w:val="auto"/>
          <w:sz w:val="24"/>
          <w:szCs w:val="24"/>
          <w:highlight w:val="none"/>
          <w:vertAlign w:val="baseline"/>
          <w:lang w:val="en-US" w:eastAsia="zh-CN"/>
        </w:rPr>
        <w:t>会工作服务机构，整合开发1000个</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以上社会工作服务项目，培</w:t>
      </w:r>
      <w:r>
        <w:rPr>
          <w:rFonts w:hint="default" w:ascii="Times New Roman" w:hAnsi="Times New Roman" w:eastAsia="仿宋_GB2312" w:cs="Times New Roman"/>
          <w:b w:val="0"/>
          <w:bCs w:val="0"/>
          <w:strike w:val="0"/>
          <w:dstrike w:val="0"/>
          <w:color w:val="auto"/>
          <w:sz w:val="24"/>
          <w:szCs w:val="24"/>
          <w:highlight w:val="none"/>
          <w:vertAlign w:val="baseline"/>
          <w:lang w:val="en-US" w:eastAsia="zh-CN"/>
        </w:rPr>
        <w:t>养1万名</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以上高素质社会工作专业人才。</w:t>
      </w:r>
    </w:p>
  </w:endnote>
  <w:endnote w:id="29">
    <w:p w14:paraId="4D45B3CB">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color w:val="000000"/>
          <w:sz w:val="24"/>
          <w:szCs w:val="24"/>
          <w:vertAlign w:val="baseline"/>
        </w:rPr>
        <w:t>“</w:t>
      </w:r>
      <w:r>
        <w:rPr>
          <w:rFonts w:hint="eastAsia" w:ascii="仿宋_GB2312" w:hAnsi="仿宋_GB2312" w:eastAsia="仿宋_GB2312" w:cs="仿宋_GB2312"/>
          <w:b/>
          <w:bCs/>
          <w:strike w:val="0"/>
          <w:dstrike w:val="0"/>
          <w:color w:val="000000"/>
          <w:sz w:val="24"/>
          <w:szCs w:val="24"/>
          <w:vertAlign w:val="baseline"/>
          <w:lang w:eastAsia="zh-CN"/>
        </w:rPr>
        <w:t>新五化</w:t>
      </w:r>
      <w:r>
        <w:rPr>
          <w:rFonts w:hint="eastAsia" w:ascii="仿宋_GB2312" w:hAnsi="仿宋_GB2312" w:eastAsia="仿宋_GB2312" w:cs="仿宋_GB2312"/>
          <w:b/>
          <w:bCs/>
          <w:strike w:val="0"/>
          <w:dstrike w:val="0"/>
          <w:color w:val="000000"/>
          <w:sz w:val="24"/>
          <w:szCs w:val="24"/>
          <w:vertAlign w:val="baseline"/>
        </w:rPr>
        <w:t>”：</w:t>
      </w:r>
      <w:r>
        <w:rPr>
          <w:rFonts w:hint="eastAsia" w:ascii="仿宋_GB2312" w:hAnsi="仿宋_GB2312" w:eastAsia="仿宋_GB2312" w:cs="仿宋_GB2312"/>
          <w:b w:val="0"/>
          <w:bCs w:val="0"/>
          <w:strike w:val="0"/>
          <w:dstrike w:val="0"/>
          <w:color w:val="000000"/>
          <w:sz w:val="24"/>
          <w:szCs w:val="24"/>
          <w:vertAlign w:val="baseline"/>
          <w:lang w:eastAsia="zh-CN"/>
        </w:rPr>
        <w:t>是指绿色工程评价原则，即</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能源低碳化、资源高效化、生产洁净化、产品绿色化和用地集约化。</w:t>
      </w:r>
    </w:p>
    <w:p w14:paraId="304A7CAD">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3E13BA42">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203CCC32">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355EBB10">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563D157D">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1D140F9B">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726C56A6">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15E641E9">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5EEF81FA">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79F21EFB">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51E7B067">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26AA1EFC">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6AC96FF0">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1BDE7F2E">
      <w:pPr>
        <w:spacing w:line="580" w:lineRule="exact"/>
        <w:rPr>
          <w:rFonts w:hint="eastAsia" w:ascii="仿宋_GB2312" w:hAnsi="仿宋_GB2312" w:eastAsia="仿宋_GB2312" w:cs="仿宋_GB2312"/>
          <w:b/>
          <w:bCs/>
          <w:color w:val="000000"/>
          <w:kern w:val="2"/>
          <w:sz w:val="24"/>
          <w:szCs w:val="24"/>
          <w:lang w:val="en-US" w:eastAsia="zh-CN" w:bidi="ar-S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20B0503020204020204"/>
    <w:charset w:val="86"/>
    <w:family w:val="auto"/>
    <w:pitch w:val="default"/>
    <w:sig w:usb0="00000000" w:usb1="00000000" w:usb2="00000016" w:usb3="00000000" w:csb0="0004001F" w:csb1="00000000"/>
  </w:font>
  <w:font w:name="Tahoma">
    <w:altName w:val="noto sans thai"/>
    <w:panose1 w:val="020B0604030504040204"/>
    <w:charset w:val="00"/>
    <w:family w:val="auto"/>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Segoe UI">
    <w:altName w:val="Noto Naskh Arabic"/>
    <w:panose1 w:val="020B0502040204020203"/>
    <w:charset w:val="00"/>
    <w:family w:val="auto"/>
    <w:pitch w:val="default"/>
    <w:sig w:usb0="00000000" w:usb1="00000000" w:usb2="00000029" w:usb3="00000000" w:csb0="200001DF" w:csb1="20000000"/>
  </w:font>
  <w:font w:name="Noto Naskh Arabic">
    <w:panose1 w:val="020B0502040504020204"/>
    <w:charset w:val="00"/>
    <w:family w:val="auto"/>
    <w:pitch w:val="default"/>
    <w:sig w:usb0="80002003" w:usb1="80002000" w:usb2="00000008" w:usb3="00000000" w:csb0="00000041" w:csb1="0008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3015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C7DB">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3598A">
                          <w:pPr>
                            <w:pStyle w:val="12"/>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23598A">
                    <w:pPr>
                      <w:pStyle w:val="12"/>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E6C1F">
    <w:pPr>
      <w:pStyle w:val="12"/>
    </w:pPr>
    <w:r>
      <w:rPr>
        <w:sz w:val="18"/>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198EEBF">
                          <w:pPr>
                            <w:pStyle w:val="12"/>
                            <w:rPr>
                              <w:rFonts w:hint="default" w:ascii="Times New Roman" w:hAnsi="Times New Roman" w:eastAsia="宋体" w:cs="Times New Roman"/>
                              <w:sz w:val="28"/>
                            </w:rPr>
                          </w:pPr>
                          <w:r>
                            <w:rPr>
                              <w:rFonts w:hint="default" w:ascii="Times New Roman" w:hAnsi="Times New Roman" w:cs="Times New Roman"/>
                              <w:sz w:val="28"/>
                            </w:rPr>
                            <w:t xml:space="preserve">— </w:t>
                          </w:r>
                          <w:r>
                            <w:rPr>
                              <w:rFonts w:hint="default" w:ascii="Times New Roman" w:hAnsi="Times New Roman" w:eastAsia="仿宋_GB2312" w:cs="Times New Roman"/>
                              <w:sz w:val="28"/>
                            </w:rPr>
                            <w:fldChar w:fldCharType="begin"/>
                          </w:r>
                          <w:r>
                            <w:rPr>
                              <w:rFonts w:hint="default" w:ascii="Times New Roman" w:hAnsi="Times New Roman" w:eastAsia="仿宋_GB2312" w:cs="Times New Roman"/>
                              <w:sz w:val="28"/>
                            </w:rPr>
                            <w:instrText xml:space="preserve"> PAGE  \* MERGEFORMAT </w:instrText>
                          </w:r>
                          <w:r>
                            <w:rPr>
                              <w:rFonts w:hint="default" w:ascii="Times New Roman" w:hAnsi="Times New Roman" w:eastAsia="仿宋_GB2312" w:cs="Times New Roman"/>
                              <w:sz w:val="28"/>
                            </w:rPr>
                            <w:fldChar w:fldCharType="separate"/>
                          </w:r>
                          <w:r>
                            <w:rPr>
                              <w:rFonts w:hint="default" w:ascii="Times New Roman" w:hAnsi="Times New Roman" w:eastAsia="仿宋_GB2312" w:cs="Times New Roman"/>
                              <w:sz w:val="28"/>
                            </w:rPr>
                            <w:t>2</w:t>
                          </w:r>
                          <w:r>
                            <w:rPr>
                              <w:rFonts w:hint="default" w:ascii="Times New Roman" w:hAnsi="Times New Roman" w:eastAsia="仿宋_GB2312" w:cs="Times New Roman"/>
                              <w:sz w:val="28"/>
                            </w:rPr>
                            <w:fldChar w:fldCharType="end"/>
                          </w:r>
                          <w:r>
                            <w:rPr>
                              <w:rFonts w:hint="default" w:ascii="Times New Roman" w:hAnsi="Times New Roman" w:cs="Times New Roman"/>
                              <w:sz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5dblS0AAAAAUBAAAPAAAAAAAAAAEAIAAAACIAAABkcnMvZG93&#10;bnJldi54bWxQSwECFAAUAAAACACHTuJA6yY9L88BAACbAwAADgAAAAAAAAABACAAAAAfAQAAZHJz&#10;L2Uyb0RvYy54bWxQSwUGAAAAAAYABgBZAQAAYAUAAAAA&#10;">
              <v:fill on="f" focussize="0,0"/>
              <v:stroke on="f"/>
              <v:imagedata o:title=""/>
              <o:lock v:ext="edit" aspectratio="f"/>
              <v:textbox inset="0mm,0mm,0mm,0mm" style="mso-fit-shape-to-text:t;">
                <w:txbxContent>
                  <w:p w14:paraId="5198EEBF">
                    <w:pPr>
                      <w:pStyle w:val="12"/>
                      <w:rPr>
                        <w:rFonts w:hint="default" w:ascii="Times New Roman" w:hAnsi="Times New Roman" w:eastAsia="宋体" w:cs="Times New Roman"/>
                        <w:sz w:val="28"/>
                      </w:rPr>
                    </w:pPr>
                    <w:r>
                      <w:rPr>
                        <w:rFonts w:hint="default" w:ascii="Times New Roman" w:hAnsi="Times New Roman" w:cs="Times New Roman"/>
                        <w:sz w:val="28"/>
                      </w:rPr>
                      <w:t xml:space="preserve">— </w:t>
                    </w:r>
                    <w:r>
                      <w:rPr>
                        <w:rFonts w:hint="default" w:ascii="Times New Roman" w:hAnsi="Times New Roman" w:eastAsia="仿宋_GB2312" w:cs="Times New Roman"/>
                        <w:sz w:val="28"/>
                      </w:rPr>
                      <w:fldChar w:fldCharType="begin"/>
                    </w:r>
                    <w:r>
                      <w:rPr>
                        <w:rFonts w:hint="default" w:ascii="Times New Roman" w:hAnsi="Times New Roman" w:eastAsia="仿宋_GB2312" w:cs="Times New Roman"/>
                        <w:sz w:val="28"/>
                      </w:rPr>
                      <w:instrText xml:space="preserve"> PAGE  \* MERGEFORMAT </w:instrText>
                    </w:r>
                    <w:r>
                      <w:rPr>
                        <w:rFonts w:hint="default" w:ascii="Times New Roman" w:hAnsi="Times New Roman" w:eastAsia="仿宋_GB2312" w:cs="Times New Roman"/>
                        <w:sz w:val="28"/>
                      </w:rPr>
                      <w:fldChar w:fldCharType="separate"/>
                    </w:r>
                    <w:r>
                      <w:rPr>
                        <w:rFonts w:hint="default" w:ascii="Times New Roman" w:hAnsi="Times New Roman" w:eastAsia="仿宋_GB2312" w:cs="Times New Roman"/>
                        <w:sz w:val="28"/>
                      </w:rPr>
                      <w:t>2</w:t>
                    </w:r>
                    <w:r>
                      <w:rPr>
                        <w:rFonts w:hint="default" w:ascii="Times New Roman" w:hAnsi="Times New Roman" w:eastAsia="仿宋_GB2312" w:cs="Times New Roman"/>
                        <w:sz w:val="28"/>
                      </w:rPr>
                      <w:fldChar w:fldCharType="end"/>
                    </w:r>
                    <w:r>
                      <w:rPr>
                        <w:rFonts w:hint="default" w:ascii="Times New Roman" w:hAnsi="Times New Roman" w:cs="Times New Roman"/>
                        <w:sz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BCAFD"/>
    <w:multiLevelType w:val="singleLevel"/>
    <w:tmpl w:val="12CBCAFD"/>
    <w:lvl w:ilvl="0" w:tentative="0">
      <w:start w:val="2"/>
      <w:numFmt w:val="decimal"/>
      <w:lvlText w:val="%1."/>
      <w:lvlJc w:val="left"/>
      <w:pPr>
        <w:tabs>
          <w:tab w:val="left" w:pos="312"/>
        </w:tabs>
        <w:ind w:left="720" w:leftChars="0" w:firstLine="0" w:firstLineChars="0"/>
      </w:pPr>
    </w:lvl>
  </w:abstractNum>
  <w:abstractNum w:abstractNumId="1">
    <w:nsid w:val="2161138D"/>
    <w:multiLevelType w:val="singleLevel"/>
    <w:tmpl w:val="2161138D"/>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60"/>
    <w:endnote w:id="6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6973"/>
    <w:rsid w:val="00780158"/>
    <w:rsid w:val="00960D9E"/>
    <w:rsid w:val="01832BB2"/>
    <w:rsid w:val="01996210"/>
    <w:rsid w:val="01AD21D4"/>
    <w:rsid w:val="021D04ED"/>
    <w:rsid w:val="02243D7C"/>
    <w:rsid w:val="024B2609"/>
    <w:rsid w:val="02551A35"/>
    <w:rsid w:val="02B349AE"/>
    <w:rsid w:val="02B4260E"/>
    <w:rsid w:val="034239BA"/>
    <w:rsid w:val="036B5612"/>
    <w:rsid w:val="04677918"/>
    <w:rsid w:val="06455A2C"/>
    <w:rsid w:val="06494EA0"/>
    <w:rsid w:val="066D0DE3"/>
    <w:rsid w:val="06735A61"/>
    <w:rsid w:val="068835BC"/>
    <w:rsid w:val="069E3602"/>
    <w:rsid w:val="076A2F4C"/>
    <w:rsid w:val="07762B25"/>
    <w:rsid w:val="094D4313"/>
    <w:rsid w:val="095962AF"/>
    <w:rsid w:val="098A5DCF"/>
    <w:rsid w:val="0A1D7A60"/>
    <w:rsid w:val="0A8E74F0"/>
    <w:rsid w:val="0B0B03F0"/>
    <w:rsid w:val="0B2962B3"/>
    <w:rsid w:val="0B8D0492"/>
    <w:rsid w:val="0C211966"/>
    <w:rsid w:val="0CAB215C"/>
    <w:rsid w:val="0D1B6EC8"/>
    <w:rsid w:val="0D843127"/>
    <w:rsid w:val="0E172195"/>
    <w:rsid w:val="0EB06E60"/>
    <w:rsid w:val="0F264CED"/>
    <w:rsid w:val="0F641DAB"/>
    <w:rsid w:val="104F1229"/>
    <w:rsid w:val="10572E1C"/>
    <w:rsid w:val="10914580"/>
    <w:rsid w:val="111A05D5"/>
    <w:rsid w:val="11623776"/>
    <w:rsid w:val="11826737"/>
    <w:rsid w:val="129976A7"/>
    <w:rsid w:val="12F17558"/>
    <w:rsid w:val="13C34B60"/>
    <w:rsid w:val="143369C9"/>
    <w:rsid w:val="145C7BCB"/>
    <w:rsid w:val="14757545"/>
    <w:rsid w:val="14986C60"/>
    <w:rsid w:val="1546449E"/>
    <w:rsid w:val="15521C0E"/>
    <w:rsid w:val="1562418A"/>
    <w:rsid w:val="15B17B63"/>
    <w:rsid w:val="15D46F3B"/>
    <w:rsid w:val="15D805B2"/>
    <w:rsid w:val="161A0B74"/>
    <w:rsid w:val="16621EC7"/>
    <w:rsid w:val="176851F1"/>
    <w:rsid w:val="17BFCB50"/>
    <w:rsid w:val="18593767"/>
    <w:rsid w:val="187B115B"/>
    <w:rsid w:val="18922B6A"/>
    <w:rsid w:val="189C25B3"/>
    <w:rsid w:val="198F3BB3"/>
    <w:rsid w:val="19CD6BE4"/>
    <w:rsid w:val="1A2B77F4"/>
    <w:rsid w:val="1AC376FB"/>
    <w:rsid w:val="1AE355AA"/>
    <w:rsid w:val="1B3B3A35"/>
    <w:rsid w:val="1BD87507"/>
    <w:rsid w:val="1C5B1EE6"/>
    <w:rsid w:val="1D7E2186"/>
    <w:rsid w:val="1D8411E0"/>
    <w:rsid w:val="1DF11742"/>
    <w:rsid w:val="1E025410"/>
    <w:rsid w:val="1E222CBC"/>
    <w:rsid w:val="1E8F03C6"/>
    <w:rsid w:val="1EF90B02"/>
    <w:rsid w:val="1F721A21"/>
    <w:rsid w:val="1FB27251"/>
    <w:rsid w:val="1FB913FE"/>
    <w:rsid w:val="20793AC2"/>
    <w:rsid w:val="20DF7656"/>
    <w:rsid w:val="21707EBF"/>
    <w:rsid w:val="21887A62"/>
    <w:rsid w:val="21A25EC1"/>
    <w:rsid w:val="22446881"/>
    <w:rsid w:val="22EA5D72"/>
    <w:rsid w:val="24842118"/>
    <w:rsid w:val="24E5306B"/>
    <w:rsid w:val="24FE1DF8"/>
    <w:rsid w:val="250836EC"/>
    <w:rsid w:val="25413B2E"/>
    <w:rsid w:val="262D64D7"/>
    <w:rsid w:val="272F6449"/>
    <w:rsid w:val="27447E96"/>
    <w:rsid w:val="27C60B5C"/>
    <w:rsid w:val="27F15FE1"/>
    <w:rsid w:val="28126CB0"/>
    <w:rsid w:val="28D82090"/>
    <w:rsid w:val="28F3123F"/>
    <w:rsid w:val="29455654"/>
    <w:rsid w:val="29FB7923"/>
    <w:rsid w:val="2A0A650D"/>
    <w:rsid w:val="2AD92954"/>
    <w:rsid w:val="2AE414D1"/>
    <w:rsid w:val="2B2D2CA0"/>
    <w:rsid w:val="2B516A18"/>
    <w:rsid w:val="2BA22876"/>
    <w:rsid w:val="2BBE4815"/>
    <w:rsid w:val="2D1A7254"/>
    <w:rsid w:val="2D940DB4"/>
    <w:rsid w:val="2E36478B"/>
    <w:rsid w:val="2E5FBD8E"/>
    <w:rsid w:val="2E907410"/>
    <w:rsid w:val="2EF36421"/>
    <w:rsid w:val="2F34284F"/>
    <w:rsid w:val="2F815ACE"/>
    <w:rsid w:val="2FE7E682"/>
    <w:rsid w:val="30772FB0"/>
    <w:rsid w:val="30E958BB"/>
    <w:rsid w:val="30F85AFE"/>
    <w:rsid w:val="312E21D8"/>
    <w:rsid w:val="317D41B9"/>
    <w:rsid w:val="31921AAF"/>
    <w:rsid w:val="31942EDD"/>
    <w:rsid w:val="32D6323C"/>
    <w:rsid w:val="32EE7C87"/>
    <w:rsid w:val="32F210BA"/>
    <w:rsid w:val="33387E27"/>
    <w:rsid w:val="33A97448"/>
    <w:rsid w:val="33AF38A1"/>
    <w:rsid w:val="34304326"/>
    <w:rsid w:val="35456F50"/>
    <w:rsid w:val="35E7CA0D"/>
    <w:rsid w:val="362353CB"/>
    <w:rsid w:val="36507EF1"/>
    <w:rsid w:val="37046FAB"/>
    <w:rsid w:val="377B72AC"/>
    <w:rsid w:val="38131635"/>
    <w:rsid w:val="38A8569C"/>
    <w:rsid w:val="391B4A7F"/>
    <w:rsid w:val="39425847"/>
    <w:rsid w:val="3A3A6D80"/>
    <w:rsid w:val="3AC84793"/>
    <w:rsid w:val="3ACE1323"/>
    <w:rsid w:val="3AE91E82"/>
    <w:rsid w:val="3BE23F50"/>
    <w:rsid w:val="3CBD0D4E"/>
    <w:rsid w:val="3CEE280E"/>
    <w:rsid w:val="3DA0E167"/>
    <w:rsid w:val="3DF5A51A"/>
    <w:rsid w:val="3DF82913"/>
    <w:rsid w:val="3E040770"/>
    <w:rsid w:val="3E1567DC"/>
    <w:rsid w:val="3EA90A1B"/>
    <w:rsid w:val="3EE96209"/>
    <w:rsid w:val="3F841809"/>
    <w:rsid w:val="3FD6487A"/>
    <w:rsid w:val="40D95784"/>
    <w:rsid w:val="40EF7C5D"/>
    <w:rsid w:val="410B0A0D"/>
    <w:rsid w:val="41EA6441"/>
    <w:rsid w:val="42073DF3"/>
    <w:rsid w:val="42A94EAA"/>
    <w:rsid w:val="43385762"/>
    <w:rsid w:val="435A66DF"/>
    <w:rsid w:val="43711168"/>
    <w:rsid w:val="43E641FA"/>
    <w:rsid w:val="44E53B6A"/>
    <w:rsid w:val="44ED4855"/>
    <w:rsid w:val="46D669D6"/>
    <w:rsid w:val="46EB22EA"/>
    <w:rsid w:val="46EE5581"/>
    <w:rsid w:val="47265C98"/>
    <w:rsid w:val="478C5039"/>
    <w:rsid w:val="47A67C0A"/>
    <w:rsid w:val="48E852F5"/>
    <w:rsid w:val="49CB0594"/>
    <w:rsid w:val="49EC082B"/>
    <w:rsid w:val="4BCE34C5"/>
    <w:rsid w:val="4BDF3E4C"/>
    <w:rsid w:val="4BF52513"/>
    <w:rsid w:val="4C1633BA"/>
    <w:rsid w:val="4C8150A0"/>
    <w:rsid w:val="4C866DEB"/>
    <w:rsid w:val="4D681C01"/>
    <w:rsid w:val="4D7D140D"/>
    <w:rsid w:val="4E10612E"/>
    <w:rsid w:val="4EAA4484"/>
    <w:rsid w:val="4EAF1A9A"/>
    <w:rsid w:val="4F4E2A46"/>
    <w:rsid w:val="4F4F3D0A"/>
    <w:rsid w:val="4F991025"/>
    <w:rsid w:val="4FD572DE"/>
    <w:rsid w:val="50600BD0"/>
    <w:rsid w:val="51B22A66"/>
    <w:rsid w:val="52E8557B"/>
    <w:rsid w:val="530E01B0"/>
    <w:rsid w:val="53AC5800"/>
    <w:rsid w:val="53B711A6"/>
    <w:rsid w:val="54677B2D"/>
    <w:rsid w:val="54F00254"/>
    <w:rsid w:val="54F669AF"/>
    <w:rsid w:val="5533293F"/>
    <w:rsid w:val="55562C6F"/>
    <w:rsid w:val="555D7872"/>
    <w:rsid w:val="55836967"/>
    <w:rsid w:val="56720A17"/>
    <w:rsid w:val="56C065DD"/>
    <w:rsid w:val="57221F02"/>
    <w:rsid w:val="576B9069"/>
    <w:rsid w:val="57895A58"/>
    <w:rsid w:val="57F16C7F"/>
    <w:rsid w:val="589B332C"/>
    <w:rsid w:val="58DF2F7C"/>
    <w:rsid w:val="590D2FF3"/>
    <w:rsid w:val="59C83A10"/>
    <w:rsid w:val="59F34F31"/>
    <w:rsid w:val="5A470DD9"/>
    <w:rsid w:val="5ABA77FD"/>
    <w:rsid w:val="5B15555B"/>
    <w:rsid w:val="5B38460D"/>
    <w:rsid w:val="5BC47279"/>
    <w:rsid w:val="5BF7396C"/>
    <w:rsid w:val="5C1174D3"/>
    <w:rsid w:val="5C63323F"/>
    <w:rsid w:val="5D9DDA08"/>
    <w:rsid w:val="5E827465"/>
    <w:rsid w:val="5E9CAD25"/>
    <w:rsid w:val="5EAE68B1"/>
    <w:rsid w:val="5F0276AC"/>
    <w:rsid w:val="5F2E07B9"/>
    <w:rsid w:val="5F313E05"/>
    <w:rsid w:val="5F4B3119"/>
    <w:rsid w:val="5FFFB9AE"/>
    <w:rsid w:val="600F6A38"/>
    <w:rsid w:val="610E0234"/>
    <w:rsid w:val="61EE33F7"/>
    <w:rsid w:val="62A7628A"/>
    <w:rsid w:val="62B22CFD"/>
    <w:rsid w:val="63372058"/>
    <w:rsid w:val="6480395A"/>
    <w:rsid w:val="65042A47"/>
    <w:rsid w:val="652A3DD7"/>
    <w:rsid w:val="65E60C0A"/>
    <w:rsid w:val="66895ED4"/>
    <w:rsid w:val="66C75AE1"/>
    <w:rsid w:val="673C2D36"/>
    <w:rsid w:val="68692862"/>
    <w:rsid w:val="688A3D96"/>
    <w:rsid w:val="69684A24"/>
    <w:rsid w:val="69971A68"/>
    <w:rsid w:val="69A71894"/>
    <w:rsid w:val="69C7262D"/>
    <w:rsid w:val="69C97A5C"/>
    <w:rsid w:val="69DE53A9"/>
    <w:rsid w:val="6A230737"/>
    <w:rsid w:val="6B347157"/>
    <w:rsid w:val="6B4922A0"/>
    <w:rsid w:val="6BB34465"/>
    <w:rsid w:val="6C090D12"/>
    <w:rsid w:val="6C472EBA"/>
    <w:rsid w:val="6C7915DC"/>
    <w:rsid w:val="6CC62031"/>
    <w:rsid w:val="6CEC4774"/>
    <w:rsid w:val="6D2505E2"/>
    <w:rsid w:val="6D5A4F2A"/>
    <w:rsid w:val="6E565636"/>
    <w:rsid w:val="6F7F6C3C"/>
    <w:rsid w:val="6FBE7E3E"/>
    <w:rsid w:val="6FC25CFF"/>
    <w:rsid w:val="6FD17BF1"/>
    <w:rsid w:val="6FDE58E3"/>
    <w:rsid w:val="706F6F19"/>
    <w:rsid w:val="7082146C"/>
    <w:rsid w:val="71175BC3"/>
    <w:rsid w:val="716F7240"/>
    <w:rsid w:val="71D7342C"/>
    <w:rsid w:val="72566757"/>
    <w:rsid w:val="72CB2CC3"/>
    <w:rsid w:val="73257E50"/>
    <w:rsid w:val="73F759FC"/>
    <w:rsid w:val="747833B6"/>
    <w:rsid w:val="74E9297F"/>
    <w:rsid w:val="75003311"/>
    <w:rsid w:val="7568637B"/>
    <w:rsid w:val="75B55338"/>
    <w:rsid w:val="75D25F33"/>
    <w:rsid w:val="75E943C2"/>
    <w:rsid w:val="76732B1D"/>
    <w:rsid w:val="771F2633"/>
    <w:rsid w:val="776A5D57"/>
    <w:rsid w:val="77712A38"/>
    <w:rsid w:val="77A830F6"/>
    <w:rsid w:val="77AA69D8"/>
    <w:rsid w:val="77F44BF7"/>
    <w:rsid w:val="784E79CB"/>
    <w:rsid w:val="792F33EB"/>
    <w:rsid w:val="79510932"/>
    <w:rsid w:val="798A28A3"/>
    <w:rsid w:val="7A5A3719"/>
    <w:rsid w:val="7AB2355C"/>
    <w:rsid w:val="7AF1471D"/>
    <w:rsid w:val="7AFFD6C2"/>
    <w:rsid w:val="7B465B1A"/>
    <w:rsid w:val="7BA1576E"/>
    <w:rsid w:val="7BA32155"/>
    <w:rsid w:val="7BD39738"/>
    <w:rsid w:val="7C2C632E"/>
    <w:rsid w:val="7CF84488"/>
    <w:rsid w:val="7D627B54"/>
    <w:rsid w:val="7DB87BEE"/>
    <w:rsid w:val="7DFF6296"/>
    <w:rsid w:val="7F3C788F"/>
    <w:rsid w:val="7F5B0937"/>
    <w:rsid w:val="7FAF4BA7"/>
    <w:rsid w:val="7FBE7C30"/>
    <w:rsid w:val="7FF6298B"/>
    <w:rsid w:val="A3FF460F"/>
    <w:rsid w:val="A3FF8F17"/>
    <w:rsid w:val="ABEEA94B"/>
    <w:rsid w:val="ABFF9ECB"/>
    <w:rsid w:val="C3BB9BA4"/>
    <w:rsid w:val="CFF6C360"/>
    <w:rsid w:val="D5CDCA2E"/>
    <w:rsid w:val="DAAF1629"/>
    <w:rsid w:val="DEB93B04"/>
    <w:rsid w:val="DFEF198E"/>
    <w:rsid w:val="E5CB755F"/>
    <w:rsid w:val="EBBFCD8E"/>
    <w:rsid w:val="EEF6EF88"/>
    <w:rsid w:val="F3FE34C5"/>
    <w:rsid w:val="F7A9EF5F"/>
    <w:rsid w:val="FA97A28D"/>
    <w:rsid w:val="FABF0D07"/>
    <w:rsid w:val="FD7FDBA3"/>
    <w:rsid w:val="FDEFEC4F"/>
    <w:rsid w:val="FDF313D8"/>
    <w:rsid w:val="FDFF91C2"/>
    <w:rsid w:val="FE0752A9"/>
    <w:rsid w:val="FEBF3F3E"/>
    <w:rsid w:val="FF7DD33E"/>
    <w:rsid w:val="FF9F16F4"/>
    <w:rsid w:val="FFF752F6"/>
    <w:rsid w:val="FFFD9E83"/>
    <w:rsid w:val="FFFF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jc w:val="both"/>
    </w:pPr>
    <w:rPr>
      <w:rFonts w:ascii="Calibri" w:hAnsi="Calibri" w:eastAsia="宋体" w:cs="宋体"/>
      <w:kern w:val="2"/>
      <w:sz w:val="21"/>
      <w:szCs w:val="22"/>
      <w:lang w:val="en-US" w:eastAsia="zh-CN" w:bidi="ar-SA"/>
    </w:rPr>
  </w:style>
  <w:style w:type="paragraph" w:styleId="4">
    <w:name w:val="heading 1"/>
    <w:basedOn w:val="1"/>
    <w:next w:val="1"/>
    <w:link w:val="55"/>
    <w:qFormat/>
    <w:uiPriority w:val="9"/>
    <w:pPr>
      <w:keepNext/>
      <w:keepLines/>
      <w:spacing w:before="340" w:beforeAutospacing="0" w:after="330" w:afterAutospacing="0" w:line="576" w:lineRule="auto"/>
      <w:outlineLvl w:val="0"/>
    </w:pPr>
    <w:rPr>
      <w:b/>
      <w:kern w:val="44"/>
      <w:sz w:val="44"/>
    </w:rPr>
  </w:style>
  <w:style w:type="paragraph" w:styleId="5">
    <w:name w:val="heading 2"/>
    <w:basedOn w:val="1"/>
    <w:next w:val="1"/>
    <w:qFormat/>
    <w:uiPriority w:val="9"/>
    <w:pPr>
      <w:keepNext/>
      <w:keepLines/>
      <w:spacing w:before="260" w:beforeAutospacing="0" w:after="260" w:afterAutospacing="0" w:line="413" w:lineRule="auto"/>
      <w:outlineLvl w:val="1"/>
    </w:pPr>
    <w:rPr>
      <w:rFonts w:ascii="Arial" w:hAnsi="Arial" w:eastAsia="黑体"/>
      <w:b/>
      <w:sz w:val="32"/>
    </w:rPr>
  </w:style>
  <w:style w:type="paragraph" w:styleId="6">
    <w:name w:val="heading 3"/>
    <w:basedOn w:val="1"/>
    <w:next w:val="1"/>
    <w:link w:val="41"/>
    <w:qFormat/>
    <w:uiPriority w:val="0"/>
    <w:pPr>
      <w:keepNext/>
      <w:keepLines/>
      <w:spacing w:before="20" w:after="20" w:line="240" w:lineRule="auto"/>
      <w:ind w:firstLine="720" w:firstLineChars="200"/>
      <w:outlineLvl w:val="2"/>
    </w:pPr>
    <w:rPr>
      <w:rFonts w:ascii="Times New Roman" w:hAnsi="Times New Roman" w:eastAsia="仿宋"/>
      <w:b/>
      <w:bCs/>
      <w:sz w:val="32"/>
      <w:szCs w:val="32"/>
    </w:rPr>
  </w:style>
  <w:style w:type="character" w:default="1" w:styleId="23">
    <w:name w:val="Default Paragraph Font"/>
    <w:qFormat/>
    <w:uiPriority w:val="1"/>
  </w:style>
  <w:style w:type="table" w:default="1" w:styleId="21">
    <w:name w:val="Normal Table"/>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99"/>
    <w:pPr>
      <w:spacing w:before="60" w:after="120" w:line="560" w:lineRule="exact"/>
      <w:jc w:val="center"/>
      <w:outlineLvl w:val="0"/>
    </w:pPr>
    <w:rPr>
      <w:rFonts w:eastAsia="方正小标宋简体"/>
      <w:sz w:val="44"/>
      <w:szCs w:val="44"/>
    </w:rPr>
  </w:style>
  <w:style w:type="paragraph" w:styleId="7">
    <w:name w:val="Normal Indent"/>
    <w:basedOn w:val="1"/>
    <w:next w:val="1"/>
    <w:qFormat/>
    <w:uiPriority w:val="0"/>
    <w:pPr>
      <w:ind w:firstLine="420"/>
    </w:pPr>
  </w:style>
  <w:style w:type="paragraph" w:styleId="8">
    <w:name w:val="index 6"/>
    <w:basedOn w:val="1"/>
    <w:next w:val="1"/>
    <w:qFormat/>
    <w:uiPriority w:val="0"/>
    <w:pPr>
      <w:ind w:left="2100"/>
    </w:pPr>
    <w:rPr>
      <w:szCs w:val="22"/>
    </w:rPr>
  </w:style>
  <w:style w:type="paragraph" w:styleId="9">
    <w:name w:val="toc 3"/>
    <w:basedOn w:val="1"/>
    <w:next w:val="1"/>
    <w:qFormat/>
    <w:uiPriority w:val="39"/>
    <w:pPr>
      <w:ind w:left="840" w:leftChars="400"/>
    </w:pPr>
  </w:style>
  <w:style w:type="paragraph" w:styleId="10">
    <w:name w:val="Body Text Indent 2"/>
    <w:basedOn w:val="1"/>
    <w:qFormat/>
    <w:uiPriority w:val="99"/>
    <w:pPr>
      <w:spacing w:line="480" w:lineRule="exact"/>
      <w:ind w:right="-302" w:rightChars="-144" w:firstLine="600" w:firstLineChars="200"/>
    </w:pPr>
    <w:rPr>
      <w:rFonts w:ascii="仿宋_GB2312" w:eastAsia="仿宋_GB2312"/>
      <w:sz w:val="30"/>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rPr>
  </w:style>
  <w:style w:type="paragraph" w:styleId="16">
    <w:name w:val="toc 2"/>
    <w:basedOn w:val="1"/>
    <w:next w:val="1"/>
    <w:qFormat/>
    <w:uiPriority w:val="39"/>
    <w:pPr>
      <w:ind w:left="420" w:leftChars="200"/>
    </w:pPr>
  </w:style>
  <w:style w:type="paragraph" w:styleId="17">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1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paragraph" w:styleId="19">
    <w:name w:val="Body Text First Indent"/>
    <w:basedOn w:val="2"/>
    <w:qFormat/>
    <w:uiPriority w:val="0"/>
    <w:pPr>
      <w:spacing w:line="600" w:lineRule="exact"/>
      <w:ind w:firstLine="800" w:firstLineChars="200"/>
    </w:pPr>
  </w:style>
  <w:style w:type="paragraph" w:styleId="20">
    <w:name w:val="Body Text First Indent 2"/>
    <w:next w:val="1"/>
    <w:qFormat/>
    <w:uiPriority w:val="99"/>
    <w:pPr>
      <w:widowControl w:val="0"/>
      <w:spacing w:after="120" w:line="560" w:lineRule="exact"/>
      <w:ind w:left="420" w:leftChars="200" w:firstLine="420" w:firstLineChars="200"/>
      <w:jc w:val="both"/>
    </w:pPr>
    <w:rPr>
      <w:rFonts w:ascii="Calibri" w:hAnsi="Calibri" w:eastAsia="宋体" w:cs="Times New Roman"/>
      <w:kern w:val="2"/>
      <w:sz w:val="32"/>
      <w:szCs w:val="20"/>
      <w:lang w:val="en-US" w:eastAsia="zh-CN" w:bidi="ar-SA"/>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endnote reference"/>
    <w:basedOn w:val="23"/>
    <w:qFormat/>
    <w:uiPriority w:val="0"/>
    <w:rPr>
      <w:vertAlign w:val="superscript"/>
    </w:rPr>
  </w:style>
  <w:style w:type="character" w:styleId="26">
    <w:name w:val="footnote reference"/>
    <w:basedOn w:val="23"/>
    <w:qFormat/>
    <w:uiPriority w:val="99"/>
    <w:rPr>
      <w:vertAlign w:val="superscript"/>
    </w:rPr>
  </w:style>
  <w:style w:type="paragraph" w:customStyle="1" w:styleId="27">
    <w:name w:val="Default"/>
    <w:basedOn w:val="28"/>
    <w:next w:val="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8">
    <w:name w:val="纯文本1"/>
    <w:qFormat/>
    <w:uiPriority w:val="0"/>
    <w:pPr>
      <w:widowControl w:val="0"/>
      <w:jc w:val="both"/>
      <w:textAlignment w:val="baseline"/>
    </w:pPr>
    <w:rPr>
      <w:rFonts w:ascii="宋体" w:hAnsi="Courier New" w:eastAsia="宋体" w:cs="Times New Roman"/>
      <w:kern w:val="2"/>
      <w:sz w:val="21"/>
      <w:szCs w:val="24"/>
      <w:lang w:val="en-US" w:eastAsia="zh-CN" w:bidi="ar-SA"/>
    </w:rPr>
  </w:style>
  <w:style w:type="paragraph" w:customStyle="1" w:styleId="29">
    <w:name w:val="_Style 2"/>
    <w:basedOn w:val="1"/>
    <w:next w:val="1"/>
    <w:qFormat/>
    <w:uiPriority w:val="0"/>
    <w:pPr>
      <w:wordWrap w:val="0"/>
      <w:spacing w:before="360" w:after="360"/>
      <w:ind w:left="950" w:right="950"/>
      <w:jc w:val="center"/>
    </w:pPr>
    <w:rPr>
      <w:rFonts w:ascii="Times New Roman" w:hAnsi="Times New Roman"/>
      <w:i/>
    </w:rPr>
  </w:style>
  <w:style w:type="paragraph" w:customStyle="1" w:styleId="30">
    <w:name w:val="正文-公1"/>
    <w:basedOn w:val="1"/>
    <w:qFormat/>
    <w:uiPriority w:val="0"/>
    <w:pPr>
      <w:spacing w:line="240" w:lineRule="auto"/>
      <w:ind w:firstLine="200" w:firstLineChars="200"/>
      <w:jc w:val="left"/>
    </w:pPr>
    <w:rPr>
      <w:rFonts w:cs="Times New Roman"/>
      <w:sz w:val="21"/>
      <w:szCs w:val="21"/>
    </w:rPr>
  </w:style>
  <w:style w:type="paragraph" w:customStyle="1" w:styleId="31">
    <w:name w:val="Intense Quote_df4619cf-6a95-4928-9991-068d235c3df9"/>
    <w:basedOn w:val="1"/>
    <w:next w:val="1"/>
    <w:qFormat/>
    <w:uiPriority w:val="0"/>
    <w:pPr>
      <w:widowControl w:val="0"/>
      <w:wordWrap w:val="0"/>
      <w:spacing w:before="360" w:after="360"/>
      <w:ind w:left="950" w:right="950"/>
      <w:jc w:val="center"/>
    </w:pPr>
    <w:rPr>
      <w:rFonts w:ascii="Times New Roman" w:hAnsi="Times New Roman" w:eastAsia="宋体" w:cs="Times New Roman"/>
      <w:i/>
      <w:kern w:val="2"/>
      <w:sz w:val="21"/>
      <w:szCs w:val="24"/>
      <w:lang w:val="en-US" w:eastAsia="zh-CN" w:bidi="ar-SA"/>
    </w:rPr>
  </w:style>
  <w:style w:type="paragraph" w:customStyle="1" w:styleId="32">
    <w:name w:val="BodyText"/>
    <w:basedOn w:val="1"/>
    <w:qFormat/>
    <w:uiPriority w:val="0"/>
    <w:pPr>
      <w:spacing w:after="120"/>
      <w:textAlignment w:val="baseline"/>
    </w:pPr>
    <w:rPr>
      <w:rFonts w:ascii="Calibri" w:hAnsi="Calibri" w:eastAsia="Calibri"/>
    </w:rPr>
  </w:style>
  <w:style w:type="paragraph" w:customStyle="1" w:styleId="33">
    <w:name w:val="BodyText1I2"/>
    <w:basedOn w:val="34"/>
    <w:qFormat/>
    <w:uiPriority w:val="0"/>
    <w:pPr>
      <w:ind w:left="420" w:leftChars="200" w:firstLine="420" w:firstLineChars="200"/>
      <w:jc w:val="both"/>
      <w:textAlignment w:val="baseline"/>
    </w:pPr>
  </w:style>
  <w:style w:type="paragraph" w:customStyle="1" w:styleId="34">
    <w:name w:val="BodyTextIndent"/>
    <w:basedOn w:val="1"/>
    <w:qFormat/>
    <w:uiPriority w:val="0"/>
    <w:pPr>
      <w:ind w:left="420" w:leftChars="200"/>
      <w:jc w:val="both"/>
      <w:textAlignment w:val="baseline"/>
    </w:pPr>
  </w:style>
  <w:style w:type="character" w:customStyle="1" w:styleId="35">
    <w:name w:val="font71"/>
    <w:basedOn w:val="23"/>
    <w:qFormat/>
    <w:uiPriority w:val="0"/>
    <w:rPr>
      <w:rFonts w:hint="eastAsia" w:ascii="黑体" w:hAnsi="宋体" w:eastAsia="黑体" w:cs="黑体"/>
      <w:b/>
      <w:bCs/>
      <w:color w:val="000000"/>
      <w:sz w:val="22"/>
      <w:szCs w:val="22"/>
      <w:u w:val="none"/>
    </w:rPr>
  </w:style>
  <w:style w:type="character" w:customStyle="1" w:styleId="36">
    <w:name w:val="font141"/>
    <w:basedOn w:val="23"/>
    <w:qFormat/>
    <w:uiPriority w:val="0"/>
    <w:rPr>
      <w:rFonts w:hint="eastAsia" w:ascii="仿宋_GB2312" w:eastAsia="仿宋_GB2312" w:cs="仿宋_GB2312"/>
      <w:color w:val="000000"/>
      <w:sz w:val="24"/>
      <w:szCs w:val="24"/>
      <w:u w:val="none"/>
    </w:rPr>
  </w:style>
  <w:style w:type="character" w:customStyle="1" w:styleId="37">
    <w:name w:val="font41"/>
    <w:basedOn w:val="23"/>
    <w:qFormat/>
    <w:uiPriority w:val="0"/>
    <w:rPr>
      <w:rFonts w:hint="default" w:ascii="Times New Roman" w:hAnsi="Times New Roman" w:cs="Times New Roman"/>
      <w:color w:val="000000"/>
      <w:sz w:val="24"/>
      <w:szCs w:val="24"/>
      <w:u w:val="none"/>
    </w:rPr>
  </w:style>
  <w:style w:type="character" w:customStyle="1" w:styleId="38">
    <w:name w:val="font161"/>
    <w:basedOn w:val="23"/>
    <w:qFormat/>
    <w:uiPriority w:val="0"/>
    <w:rPr>
      <w:rFonts w:hint="default" w:ascii="Times New Roman" w:hAnsi="Times New Roman" w:cs="Times New Roman"/>
      <w:color w:val="000000"/>
      <w:sz w:val="22"/>
      <w:szCs w:val="22"/>
      <w:u w:val="none"/>
    </w:rPr>
  </w:style>
  <w:style w:type="character" w:customStyle="1" w:styleId="39">
    <w:name w:val="font81"/>
    <w:basedOn w:val="23"/>
    <w:qFormat/>
    <w:uiPriority w:val="0"/>
    <w:rPr>
      <w:rFonts w:hint="eastAsia" w:ascii="仿宋_GB2312" w:eastAsia="仿宋_GB2312" w:cs="仿宋_GB2312"/>
      <w:color w:val="000000"/>
      <w:sz w:val="22"/>
      <w:szCs w:val="22"/>
      <w:u w:val="none"/>
    </w:rPr>
  </w:style>
  <w:style w:type="character" w:customStyle="1" w:styleId="40">
    <w:name w:val="font171"/>
    <w:basedOn w:val="23"/>
    <w:qFormat/>
    <w:uiPriority w:val="0"/>
    <w:rPr>
      <w:rFonts w:hint="default" w:ascii="Times New Roman" w:hAnsi="Times New Roman" w:cs="Times New Roman"/>
      <w:color w:val="000000"/>
      <w:sz w:val="24"/>
      <w:szCs w:val="24"/>
      <w:u w:val="none"/>
      <w:vertAlign w:val="subscript"/>
    </w:rPr>
  </w:style>
  <w:style w:type="character" w:customStyle="1" w:styleId="41">
    <w:name w:val="标题 3 Char"/>
    <w:basedOn w:val="23"/>
    <w:link w:val="6"/>
    <w:qFormat/>
    <w:uiPriority w:val="0"/>
    <w:rPr>
      <w:rFonts w:ascii="Times New Roman" w:hAnsi="Times New Roman" w:eastAsia="仿宋"/>
      <w:b/>
      <w:bCs/>
      <w:sz w:val="32"/>
      <w:szCs w:val="32"/>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paragraph" w:customStyle="1" w:styleId="44">
    <w:name w:val="WPSOffice手动目录 3"/>
    <w:qFormat/>
    <w:uiPriority w:val="0"/>
    <w:pPr>
      <w:ind w:leftChars="400"/>
    </w:pPr>
    <w:rPr>
      <w:rFonts w:ascii="Times New Roman" w:hAnsi="Times New Roman" w:eastAsia="宋体" w:cs="Times New Roman"/>
      <w:sz w:val="20"/>
      <w:szCs w:val="20"/>
    </w:rPr>
  </w:style>
  <w:style w:type="paragraph" w:customStyle="1" w:styleId="45">
    <w:name w:val="any"/>
    <w:basedOn w:val="1"/>
    <w:qFormat/>
    <w:uiPriority w:val="0"/>
    <w:rPr>
      <w:rFonts w:ascii="微软雅黑" w:hAnsi="微软雅黑" w:eastAsia="微软雅黑" w:cs="微软雅黑"/>
    </w:rPr>
  </w:style>
  <w:style w:type="character" w:customStyle="1" w:styleId="46">
    <w:name w:val="font31"/>
    <w:basedOn w:val="23"/>
    <w:qFormat/>
    <w:uiPriority w:val="0"/>
    <w:rPr>
      <w:rFonts w:hint="eastAsia" w:ascii="宋体" w:hAnsi="宋体" w:eastAsia="宋体" w:cs="宋体"/>
      <w:b/>
      <w:bCs/>
      <w:color w:val="000000"/>
      <w:sz w:val="22"/>
      <w:szCs w:val="22"/>
      <w:u w:val="none"/>
    </w:rPr>
  </w:style>
  <w:style w:type="character" w:customStyle="1" w:styleId="47">
    <w:name w:val="font51"/>
    <w:basedOn w:val="23"/>
    <w:qFormat/>
    <w:uiPriority w:val="0"/>
    <w:rPr>
      <w:rFonts w:hint="default" w:ascii="Times New Roman" w:hAnsi="Times New Roman" w:cs="Times New Roman"/>
      <w:b/>
      <w:bCs/>
      <w:color w:val="000000"/>
      <w:sz w:val="22"/>
      <w:szCs w:val="22"/>
      <w:u w:val="none"/>
    </w:rPr>
  </w:style>
  <w:style w:type="character" w:customStyle="1" w:styleId="48">
    <w:name w:val="font01"/>
    <w:basedOn w:val="23"/>
    <w:qFormat/>
    <w:uiPriority w:val="0"/>
    <w:rPr>
      <w:rFonts w:hint="eastAsia" w:ascii="宋体" w:hAnsi="宋体" w:eastAsia="宋体" w:cs="宋体"/>
      <w:color w:val="000000"/>
      <w:sz w:val="22"/>
      <w:szCs w:val="22"/>
      <w:u w:val="none"/>
    </w:rPr>
  </w:style>
  <w:style w:type="character" w:customStyle="1" w:styleId="49">
    <w:name w:val="font61"/>
    <w:basedOn w:val="23"/>
    <w:qFormat/>
    <w:uiPriority w:val="0"/>
    <w:rPr>
      <w:rFonts w:hint="eastAsia" w:ascii="微软雅黑" w:hAnsi="微软雅黑" w:eastAsia="微软雅黑" w:cs="微软雅黑"/>
      <w:color w:val="000000"/>
      <w:sz w:val="22"/>
      <w:szCs w:val="22"/>
      <w:u w:val="none"/>
    </w:rPr>
  </w:style>
  <w:style w:type="character" w:customStyle="1" w:styleId="50">
    <w:name w:val="font11"/>
    <w:basedOn w:val="23"/>
    <w:qFormat/>
    <w:uiPriority w:val="0"/>
    <w:rPr>
      <w:rFonts w:hint="default" w:ascii="Times New Roman" w:hAnsi="Times New Roman" w:cs="Times New Roman"/>
      <w:color w:val="000000"/>
      <w:sz w:val="22"/>
      <w:szCs w:val="22"/>
      <w:u w:val="none"/>
    </w:rPr>
  </w:style>
  <w:style w:type="character" w:customStyle="1" w:styleId="51">
    <w:name w:val="font91"/>
    <w:basedOn w:val="23"/>
    <w:qFormat/>
    <w:uiPriority w:val="0"/>
    <w:rPr>
      <w:rFonts w:hint="eastAsia" w:ascii="宋体" w:hAnsi="宋体" w:eastAsia="宋体" w:cs="宋体"/>
      <w:color w:val="000000"/>
      <w:sz w:val="18"/>
      <w:szCs w:val="18"/>
      <w:u w:val="none"/>
    </w:rPr>
  </w:style>
  <w:style w:type="paragraph" w:customStyle="1" w:styleId="52">
    <w:name w:val="No Spacing_3ead1491-7776-4d24-b10a-7cae9aafab53"/>
    <w:basedOn w:val="1"/>
    <w:qFormat/>
    <w:uiPriority w:val="0"/>
    <w:pPr>
      <w:keepNext w:val="0"/>
      <w:keepLines w:val="0"/>
      <w:widowControl/>
      <w:suppressLineNumbers w:val="0"/>
      <w:adjustRightInd w:val="0"/>
      <w:snapToGrid w:val="0"/>
      <w:spacing w:before="0" w:beforeAutospacing="0" w:after="0" w:afterAutospacing="0"/>
      <w:ind w:left="0" w:right="0"/>
      <w:jc w:val="left"/>
    </w:pPr>
    <w:rPr>
      <w:rFonts w:hint="default" w:ascii="Tahoma" w:hAnsi="Tahoma" w:eastAsia="微软雅黑" w:cs="Times New Roman"/>
      <w:kern w:val="0"/>
      <w:sz w:val="22"/>
      <w:szCs w:val="22"/>
      <w:lang w:val="en-US" w:eastAsia="zh-CN"/>
    </w:rPr>
  </w:style>
  <w:style w:type="paragraph" w:customStyle="1" w:styleId="53">
    <w:name w:val="表标题"/>
    <w:basedOn w:val="1"/>
    <w:qFormat/>
    <w:uiPriority w:val="0"/>
    <w:pPr>
      <w:jc w:val="center"/>
    </w:pPr>
    <w:rPr>
      <w:rFonts w:ascii="方正小标宋简体" w:hAnsi="Times New Roman" w:eastAsia="方正小标宋简体" w:cs="Times New Roman"/>
      <w:sz w:val="28"/>
    </w:rPr>
  </w:style>
  <w:style w:type="paragraph" w:customStyle="1" w:styleId="54">
    <w:name w:val="专栏内文"/>
    <w:basedOn w:val="1"/>
    <w:qFormat/>
    <w:uiPriority w:val="0"/>
    <w:pPr>
      <w:ind w:firstLine="200" w:firstLineChars="200"/>
    </w:pPr>
    <w:rPr>
      <w:rFonts w:ascii="Times New Roman" w:hAnsi="Times New Roman" w:eastAsia="仿宋_GB2312" w:cs="Times New Roman"/>
      <w:sz w:val="24"/>
      <w:szCs w:val="24"/>
    </w:rPr>
  </w:style>
  <w:style w:type="character" w:customStyle="1" w:styleId="55">
    <w:name w:val="标题 1 Char"/>
    <w:link w:val="4"/>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cda3e98e-a629-420e-86f1-8e00e87ce7ba</errorID>
      <errorWord xmlns="http://schemas.wps.cn/vas-ai-hub/contract-review">党的二十大及二十届历次全会精神</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党的二十大和二十届历次全会精神</item>
      </candidateList>
      <explain xmlns="http://schemas.wps.cn/vas-ai-hub/contract-review">词汇“党的二十大和二十届历次全会精神”在特定场景下为固定表述形式，请确认此处的“党的二十大及二十届历次全会精神”是否存在不当。</explain>
      <paraID xmlns="http://schemas.wps.cn/vas-ai-hub/contract-review">16F5364D</paraID>
      <start xmlns="http://schemas.wps.cn/vas-ai-hub/contract-review">73</start>
      <end xmlns="http://schemas.wps.cn/vas-ai-hub/contract-review">88</end>
      <status xmlns="http://schemas.wps.cn/vas-ai-hub/contract-review">modified</status>
      <modifiedWord xmlns="http://schemas.wps.cn/vas-ai-hub/contract-review">党的二十大和二十届历次全会精神</modifiedWord>
      <trackRevisions xmlns="http://schemas.wps.cn/vas-ai-hub/contract-review">false</trackRevisions>
    </reviewItem>
    <reviewItem xmlns="http://schemas.wps.cn/vas-ai-hub/contract-review">
      <errorID xmlns="http://schemas.wps.cn/vas-ai-hub/contract-review">3b0f21fd-7201-4f4f-b5ff-55f21861062a</errorID>
      <errorWord xmlns="http://schemas.wps.cn/vas-ai-hub/contract-review">脱贫攻坚同乡村振兴有效衔接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脱贫攻坚成果同乡村振兴有效衔接</item>
      </candidateList>
      <explain xmlns="http://schemas.wps.cn/vas-ai-hub/contract-review"/>
      <paraID xmlns="http://schemas.wps.cn/vas-ai-hub/contract-review">3B0E701E</paraID>
      <start xmlns="http://schemas.wps.cn/vas-ai-hub/contract-review">15</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c63cae6f-8110-4dd3-96ac-b8d3f8e0feae</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3B0E701E</paraID>
      <start xmlns="http://schemas.wps.cn/vas-ai-hub/contract-review">256</start>
      <end xmlns="http://schemas.wps.cn/vas-ai-hub/contract-review">257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4218f37f-765b-4d21-9bfe-5a56256f5da0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10E05E4E</paraID>
      <start xmlns="http://schemas.wps.cn/vas-ai-hub/contract-review">463</start>
      <end xmlns="http://schemas.wps.cn/vas-ai-hub/contract-review">464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975b8fd1-6a35-4419-bc45-63ff5fe3dc6b</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5FB49C17</paraID>
      <start xmlns="http://schemas.wps.cn/vas-ai-hub/contract-review">184</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004f98fd-0dda-4d98-b47e-ecf86a8fc8d6</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740BB2C6</paraID>
      <start xmlns="http://schemas.wps.cn/vas-ai-hub/contract-review">66</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158fadc7-3630-4eb5-a6d3-618b3c11e3b7</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3E18F2D2</paraID>
      <start xmlns="http://schemas.wps.cn/vas-ai-hub/contract-review">32</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9007d66d-cd78-467f-b0ec-6d2b74522032</errorID>
      <errorWord xmlns="http://schemas.wps.cn/vas-ai-hub/contract-review">十五五</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“十五五”</item>
      </candidateList>
      <explain xmlns="http://schemas.wps.cn/vas-ai-hub/contract-review">注意检查当前固定表述标点是否使用规范。</explain>
      <paraID xmlns="http://schemas.wps.cn/vas-ai-hub/contract-review">478D2553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9e1f1afe-05c9-4b08-828c-66f40a1d6e96</errorID>
      <errorWord xmlns="http://schemas.wps.cn/vas-ai-hub/contract-review">经济实力、科技实力、综合实力</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经济实力、科技实力、综合国力</item>
      </candidateList>
      <explain xmlns="http://schemas.wps.cn/vas-ai-hub/contract-review">词汇“经济实力、科技实力、综合国力”在特定场景下为固定表述形式，请确认此处的“经济实力、科技实力、综合实力”是否存在不当。</explain>
      <paraID xmlns="http://schemas.wps.cn/vas-ai-hub/contract-review">478D2553</paraID>
      <start xmlns="http://schemas.wps.cn/vas-ai-hub/contract-review">53</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3293b162-06a1-4c69-ba89-2253d8b6f2cb</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6B2301AF</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dd7f5ce1-2421-4b75-8372-e9acda0f1fa2</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1B1D7739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2d8deb1a-9960-4a2d-955f-64eef9b498e2</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26215975</paraID>
      <start xmlns="http://schemas.wps.cn/vas-ai-hub/contract-review">85</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a6b24b72-d2ac-43fd-9d4e-dc55e9631eef</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40A2D0D1</paraID>
      <start xmlns="http://schemas.wps.cn/vas-ai-hub/contract-review">23</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222dec0a-2246-42d6-af70-83465c7f3907</errorID>
      <errorWord xmlns="http://schemas.wps.cn/vas-ai-hub/contract-review">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生产</item>
      </candidateList>
      <explain xmlns="http://schemas.wps.cn/vas-ai-hub/contract-review">〈动〉❶人们使用工具来创造各种生产资料和生活资料：工业～｜发展～｜～出更好的产品。❷生孩子。</explain>
      <paraID xmlns="http://schemas.wps.cn/vas-ai-hub/contract-review"> C53E898</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114c9329-4452-4928-8435-ffd7a5384781</errorID>
      <errorWord xmlns="http://schemas.wps.cn/vas-ai-hub/contract-review">生产线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产线</item>
      </candidateList>
      <explain xmlns="http://schemas.wps.cn/vas-ai-hub/contract-review"/>
      <paraID xmlns="http://schemas.wps.cn/vas-ai-hub/contract-review"> C53E898</paraID>
      <start xmlns="http://schemas.wps.cn/vas-ai-hub/contract-review">66</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711a6e2b-8b5b-424a-8c8c-94d4b33ea1d6</errorID>
      <errorWord xmlns="http://schemas.wps.cn/vas-ai-hub/contract-review">中科院</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中国科学院</item>
      </candidateList>
      <explain xmlns="http://schemas.wps.cn/vas-ai-hub/contract-review"/>
      <paraID xmlns="http://schemas.wps.cn/vas-ai-hub/contract-review">15272A9B</paraID>
      <start xmlns="http://schemas.wps.cn/vas-ai-hub/contract-review">82</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f6a24993-b8d7-4213-af4b-ace0085b812b</errorID>
      <errorWord xmlns="http://schemas.wps.cn/vas-ai-hub/contract-review">专精特新—‘小巨人’”企业</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专精特新“小巨人”企业</item>
      </candidateList>
      <explain xmlns="http://schemas.wps.cn/vas-ai-hub/contract-review">注意检查当前固定表述标点是否使用规范。</explain>
      <paraID xmlns="http://schemas.wps.cn/vas-ai-hub/contract-review"> 63E0574</paraID>
      <start xmlns="http://schemas.wps.cn/vas-ai-hub/contract-review">220</start>
      <end xmlns="http://schemas.wps.cn/vas-ai-hub/contract-review">233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c0f3a8-1a05-4b4f-9e78-4bd94816cb27}">
  <ds:schemaRefs/>
</ds:datastoreItem>
</file>

<file path=docProps/app.xml><?xml version="1.0" encoding="utf-8"?>
<Properties xmlns="http://schemas.openxmlformats.org/officeDocument/2006/extended-properties" xmlns:vt="http://schemas.openxmlformats.org/officeDocument/2006/docPropsVTypes">
  <Template>Normal</Template>
  <Pages>134</Pages>
  <Words>7685</Words>
  <Characters>8164</Characters>
  <Paragraphs>1083</Paragraphs>
  <TotalTime>1190</TotalTime>
  <ScaleCrop>false</ScaleCrop>
  <LinksUpToDate>false</LinksUpToDate>
  <CharactersWithSpaces>8531</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2020-10-03T16:07:00Z</dcterms:created>
  <dc:creator>admin</dc:creator>
  <cp:lastModifiedBy>gxxc</cp:lastModifiedBy>
  <cp:lastPrinted>2026-06-26T09:22:00Z</cp:lastPrinted>
  <dcterms:modified xsi:type="dcterms:W3CDTF">2026-07-21T12:13:03Z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B1A072D326244DDD8466F35BF879A15C_13</vt:lpwstr>
  </property>
  <property fmtid="{D5CDD505-2E9C-101B-9397-08002B2CF9AE}" pid="4" name="KSOTemplateDocerSaveRecord">
    <vt:lpwstr>eyJoZGlkIjoiZWFkNmQxMjRmODlhZGVlZTAxMzBlNGQ0NDdiZjdlY2EiLCJ1c2VySWQiOiI0NDkyNTYxMDMifQ==</vt:lpwstr>
  </property>
</Properties>
</file>