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（八）财政预决算领域基层政务公开标准目录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tbl>
      <w:tblPr>
        <w:tblStyle w:val="3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60"/>
        <w:gridCol w:w="765"/>
        <w:gridCol w:w="2820"/>
        <w:gridCol w:w="1950"/>
        <w:gridCol w:w="1500"/>
        <w:gridCol w:w="930"/>
        <w:gridCol w:w="1785"/>
        <w:gridCol w:w="675"/>
        <w:gridCol w:w="765"/>
        <w:gridCol w:w="720"/>
        <w:gridCol w:w="840"/>
        <w:gridCol w:w="67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■财政部门网站公开平台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《中华人民共和国预算法》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、《财政部关于印发&lt;地方预决算公开操作规程的通知&gt;》等法律法规和文件规定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鹿寨县财政局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■部门网站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spacing w:before="0" w:after="200" w:line="579" w:lineRule="auto"/>
        <w:jc w:val="both"/>
        <w:rPr>
          <w:rFonts w:ascii="方正小标宋_GBK" w:hAnsi="方正小标宋_GBK" w:eastAsia="方正小标宋_GBK"/>
          <w:b w:val="0"/>
          <w:bCs w:val="0"/>
          <w:sz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524B4"/>
    <w:rsid w:val="0D3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2020-11-27T02:12:00Z</dcterms:created>
  <dc:creator>我是一只猪</dc:creator>
  <cp:lastModifiedBy>我是一只猪</cp:lastModifiedBy>
  <dcterms:modified xsi:type="dcterms:W3CDTF">2020-11-27T02:15:25Z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