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shd w:val="clear"/>
        <w:tblLayout w:type="autofit"/>
        <w:tblCellMar>
          <w:top w:w="0" w:type="dxa"/>
          <w:left w:w="0" w:type="dxa"/>
          <w:bottom w:w="0" w:type="dxa"/>
          <w:right w:w="0" w:type="dxa"/>
        </w:tblCellMar>
      </w:tblPr>
      <w:tblGrid>
        <w:gridCol w:w="404"/>
        <w:gridCol w:w="905"/>
        <w:gridCol w:w="1485"/>
        <w:gridCol w:w="3144"/>
        <w:gridCol w:w="3894"/>
        <w:gridCol w:w="750"/>
        <w:gridCol w:w="546"/>
        <w:gridCol w:w="864"/>
        <w:gridCol w:w="348"/>
        <w:gridCol w:w="360"/>
        <w:gridCol w:w="313"/>
        <w:gridCol w:w="348"/>
        <w:gridCol w:w="313"/>
        <w:gridCol w:w="314"/>
      </w:tblGrid>
      <w:tr>
        <w:tblPrEx>
          <w:tblCellMar>
            <w:top w:w="0" w:type="dxa"/>
            <w:left w:w="0" w:type="dxa"/>
            <w:bottom w:w="0" w:type="dxa"/>
            <w:right w:w="0" w:type="dxa"/>
          </w:tblCellMar>
        </w:tblPrEx>
        <w:trPr>
          <w:trHeight w:val="402" w:hRule="atLeast"/>
        </w:trPr>
        <w:tc>
          <w:tcPr>
            <w:tcW w:w="0" w:type="auto"/>
            <w:gridSpan w:val="1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bdr w:val="none" w:color="auto" w:sz="0" w:space="0"/>
                <w:lang w:val="en-US" w:eastAsia="zh-CN" w:bidi="ar"/>
              </w:rPr>
              <w:t>附件2</w:t>
            </w:r>
          </w:p>
        </w:tc>
      </w:tr>
      <w:tr>
        <w:tblPrEx>
          <w:shd w:val="clear"/>
          <w:tblCellMar>
            <w:top w:w="0" w:type="dxa"/>
            <w:left w:w="0" w:type="dxa"/>
            <w:bottom w:w="0" w:type="dxa"/>
            <w:right w:w="0" w:type="dxa"/>
          </w:tblCellMar>
        </w:tblPrEx>
        <w:trPr>
          <w:trHeight w:val="882" w:hRule="atLeast"/>
        </w:trPr>
        <w:tc>
          <w:tcPr>
            <w:tcW w:w="0" w:type="auto"/>
            <w:gridSpan w:val="14"/>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bookmarkStart w:id="0" w:name="_GoBack"/>
            <w:r>
              <w:rPr>
                <w:rFonts w:hint="default" w:ascii="方正小标宋简体" w:hAnsi="方正小标宋简体" w:eastAsia="方正小标宋简体" w:cs="方正小标宋简体"/>
                <w:i w:val="0"/>
                <w:color w:val="000000"/>
                <w:kern w:val="0"/>
                <w:sz w:val="44"/>
                <w:szCs w:val="44"/>
                <w:u w:val="none"/>
                <w:bdr w:val="none" w:color="auto" w:sz="0" w:space="0"/>
                <w:lang w:val="en-US" w:eastAsia="zh-CN" w:bidi="ar"/>
              </w:rPr>
              <w:t>鹿寨县社会保险领域基层政务公开标准目录</w:t>
            </w:r>
            <w:bookmarkEnd w:id="0"/>
          </w:p>
        </w:tc>
      </w:tr>
      <w:tr>
        <w:tblPrEx>
          <w:shd w:val="clear"/>
          <w:tblCellMar>
            <w:top w:w="0" w:type="dxa"/>
            <w:left w:w="0" w:type="dxa"/>
            <w:bottom w:w="0" w:type="dxa"/>
            <w:right w:w="0" w:type="dxa"/>
          </w:tblCellMar>
        </w:tblPrEx>
        <w:trPr>
          <w:trHeight w:val="55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公开事项</w:t>
            </w:r>
          </w:p>
        </w:tc>
        <w:tc>
          <w:tcPr>
            <w:tcW w:w="0" w:type="auto"/>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公开内容（要素）</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公开时限</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公开渠道和载体</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公开方式</w:t>
            </w:r>
          </w:p>
        </w:tc>
        <w:tc>
          <w:tcPr>
            <w:tcW w:w="0" w:type="auto"/>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公开层级</w:t>
            </w:r>
          </w:p>
        </w:tc>
      </w:tr>
      <w:tr>
        <w:tblPrEx>
          <w:shd w:val="clear"/>
          <w:tblCellMar>
            <w:top w:w="0" w:type="dxa"/>
            <w:left w:w="0" w:type="dxa"/>
            <w:bottom w:w="0" w:type="dxa"/>
            <w:right w:w="0" w:type="dxa"/>
          </w:tblCellMar>
        </w:tblPrEx>
        <w:trPr>
          <w:trHeight w:val="9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6"/>
                <w:szCs w:val="26"/>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一级事项</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二级事项</w:t>
            </w:r>
          </w:p>
        </w:tc>
        <w:tc>
          <w:tcPr>
            <w:tcW w:w="0" w:type="auto"/>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6"/>
                <w:szCs w:val="2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6"/>
                <w:szCs w:val="2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6"/>
                <w:szCs w:val="2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6"/>
                <w:szCs w:val="2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黑体" w:hAnsi="宋体" w:eastAsia="黑体" w:cs="黑体"/>
                <w:i w:val="0"/>
                <w:color w:val="000000"/>
                <w:sz w:val="26"/>
                <w:szCs w:val="26"/>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全 社会</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特定群体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依 申请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县级</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bdr w:val="none" w:color="auto" w:sz="0" w:space="0"/>
                <w:lang w:val="en-US" w:eastAsia="zh-CN" w:bidi="ar"/>
              </w:rPr>
              <w:t>乡级</w:t>
            </w:r>
          </w:p>
        </w:tc>
      </w:tr>
      <w:tr>
        <w:tblPrEx>
          <w:tblCellMar>
            <w:top w:w="0" w:type="dxa"/>
            <w:left w:w="0" w:type="dxa"/>
            <w:bottom w:w="0" w:type="dxa"/>
            <w:right w:w="0" w:type="dxa"/>
          </w:tblCellMar>
        </w:tblPrEx>
        <w:trPr>
          <w:trHeight w:val="3620"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1社会保险登记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1.1企业社会保险登记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1.2机关事业单位社会保险登记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3.《国务院关于机关事业单位工作人员养老保险制度改革的决定》（国发﹝2015﹞2号）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 工程建设项目办理工伤保险参保登记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1.4参保单位注销</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1.5职工参保登记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1.6非全日制用工参加工伤保险人员参保登记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1.7按工程建设项目参加工伤保险人员参保登记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1.8城乡居民养老保险参保登记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2社会保险参保信息维护</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2.1单位（项目）基本信息变更</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2.2个人基本信息变更</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2.3工程建设项目办理工伤保险变更登记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2.4缴费明细信息修改、补录</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2.5参保人员一人多编号合并</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2.6领取被征地农民养老保障生活补助费人员基本信息变更</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3.社会保险缴费申报</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3.1缴费人员增减申报</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3.2社会保险费断缴补缴申报</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3.3参保人员缴费基数申报</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3.4参保人员缴费基数调整申报</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3.5社会保险退费</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3.6补缴社会保险个人申请办理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3.7工伤保险费率调整</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3.8社会保险网上申报</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3.9新增就业岗位补贴测算</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3.10生活困难人员申请养老保险助保贷款</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4.社会保险参保缴费记录查询</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4.1单位参保证明查询打印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4.2个人权益记录查询打印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0" w:type="auto"/>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5.养老保险服务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5.1职工正常退休（职）申请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5.2职工提前退休（退职）申请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5.3供养直系亲属待遇申请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5.4暂停养老保险待遇申请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5.5恢复养老保险待遇申请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5.6个人账户一次性待遇申领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5.7丧葬补助金、抚恤金申领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5.8基本养老保险待遇领取资格确认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5.9重复领取养老保险待遇处理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5.10退休人员基本养老金重新核定申请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3.《国务院办公厅关于转发人力资源社会保障部财政部城镇企业职工基本养老保险关系转移接续暂行办法的通知》（国办发﹝2009﹞66号）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5.11调整企业离退休人员供养直系亲属救济费申请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3.《人力资源社会保障部财政部关于机关事业单位基本养老保险关系和职业年金转移接续有关问题的通知》（人社部规﹝2017﹞1号）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5.12离休干部养老护理费调整申请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5.13供养直系亲属待遇终止</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3.《人力资源社会保障部财政部关于机关事业单位基本养老保险关系和职业年金转移接续有关问题的通知》（人社部规﹝2017﹞1号）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5.14领取被征地农民养老保障生活补助费人员待遇申请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3.《人力资源社会保障部财政部关于印发＜城乡养老保险制度衔接暂行办法＞的通知》（人社部发﹝2014﹞17号）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5.15领取被征地农民养老保障生活补助费人员待遇终止</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3.《人力资源社会保障部财政部总参谋部总政治部总后勤部关于军人退役基本养老保险关系转移接续有关问题的通知》（后财﹝2015﹞1726号）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5.16城镇职工基本养老保险关系转移接续申请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3.《国务院办公厅关于转发人力资源社会保障部财政部城镇企业职工基本养老保险关系转移接续暂行办法的通知》（国办发﹝2009﹞66号）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5.17机关事业单位养老保险关系转移接续申请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3.《人力资源社会保障部财政部关于机关事业单位基本养老保险关系和职业年金转移接续有关问题的通知》（人社部规﹝2017﹞1号）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5.18机关事业单位基本养老保险与城镇企业职工基本养老保险互转申请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3.《人力资源社会保障部财政部关于机关事业单位基本养老保险关系和职业年金转移接续有关问题的通知》（人社部规﹝2017﹞1号）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5.19城镇职工基本养老保险与城乡居民基本养老保险制度衔接申请  </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3.《人力资源社会保障部财政部关于印发＜城乡养老保险制度衔接暂行办法＞的通知》（人社部发﹝2014﹞17号）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5.20军地养老保险关系转移接续申请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3.《人力资源社会保障部财政部总参谋部总政治部总后勤部关于军人退役基本养老保险关系转移接续有关问题的通知》（后财﹝2015﹞1726号）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5.21城乡居民养老保险待遇申领</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5.22居民养老保险注销登记</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0" w:type="auto"/>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5.23城乡居民基本养老保险关系转移接续申请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6.工伤保险服务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6.1异地居住就医申请确认</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6.2异地工伤就医报告</w:t>
            </w:r>
          </w:p>
        </w:tc>
        <w:tc>
          <w:tcPr>
            <w:tcW w:w="0" w:type="auto"/>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6.3旧伤复发申请确认（含旧伤复发治疗备案、工伤继续治疗申请确认）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6.4转诊转院申请确认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6.5工伤康复申请确认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6.6工伤康复治疗期延长申请（含工伤治疗期延长申请）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6.7辅助器具配置或更换申请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6.8辅助器具异地配置（更换）申请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6.9停工留薪期确认和延长确认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6.10工伤医疗（康复）费用申报</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6.11住院伙食补助费申领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6.12统筹地区以外交通、食宿费申领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6.13一次性工伤医疗补助金申请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6.14辅助器具配置（更换）费用申报</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6.15伤残待遇申领（一次性伤残补助金、伤残津贴和生活护理费）</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6.16一次性工亡补助金（含生活困难，预支50%确认）、丧葬补助金申领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6.17供养亲属抚恤金申领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6.18工伤保险待遇变更</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6.19领取工伤保险定期待遇资格确认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6.20企业老工伤人员纳入工伤保险统筹管理申请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6.21机关事业单位老工（公）伤人员纳入工伤保险统筹管理申请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6.22工伤保险待遇先行支付申请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6.23工伤事故备案</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6.24用人单位办理工伤登记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6.25变更工伤登记</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6.26协议医疗机构的确认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6.27协议康复机构的确认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6.28辅助器具配置协议机构的确认</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3.《工伤保险条例》（中华人民共和国国务院令第586号）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7.失业保险服务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7.1失业保险金申领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7.2丧葬补助金和抚恤金申领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7.3稳岗补贴申领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7.4技能提升补贴申领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7.5失业保险金停发</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7.6失业保险金退款</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7.7失业人员失业保险金重算</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7.8价格临时补贴申领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7.9职业培训补贴申领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87</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7.10农民合同制工人一次性生活补助申领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88</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7.11失业人员培训职业技能鉴定费补贴申请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89</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7.12职业介绍补贴申领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7.13失业保险待遇转移</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3.《失业保险条例》（中华人民共和国国务院令第258号）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8.企业年金方案备案</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8.1企业年金方案备案</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3.《企业年金办法》（中华人民共和国人力资源和社会保障部、财政部令第36号）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8.2企业年金方案重要条款变更备案</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3.《企业年金办法》（中华人民共和国人力资源和社会保障部、财政部令第36号）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8.3企业年金方案终止备案</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3.《企业年金办法》（中华人民共和国人力资源和社会保障部、财政部令第36号）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9.社会保障卡服务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9.1社会保障卡申领</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9.2社会保障卡启用</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9.3社会保障卡应用状态查询</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9.4社会保障卡信息变更</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9.5社会保障卡制卡进度查询</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9.6社会保障卡密码修改与重置</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9.7社会保障卡挂失与解挂</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799"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9.8社会保障卡补领、换领、换发</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9.9社会保障卡注销</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3.《人力资源和社会保障部关于印发“中华人民共和国社会保障卡”管理办法的通知》（人社部发[2011]47号）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tblCellMar>
            <w:top w:w="0" w:type="dxa"/>
            <w:left w:w="0" w:type="dxa"/>
            <w:bottom w:w="0" w:type="dxa"/>
            <w:right w:w="0" w:type="dxa"/>
          </w:tblCellMar>
        </w:tblPrEx>
        <w:trPr>
          <w:trHeight w:val="3480"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10.社会保险费缴纳</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10.1参保单位社会保险费缴纳</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104</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10.2灵活就业人员社会保险费缴纳</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105</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10.3按项目参加工伤保险费缴纳</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3.《社会保险费征缴暂行条例》（中华人民共和国国务院令710号）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320"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11.职业年金服务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11.1机关事业单位职业年金关系转移接续申请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107</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12.被征地农民以灵活就业方式参加企业职工养老保险服务</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12.1被征地农民以灵活就业人员身份参加城镇企业职工基本养老保险参保登记及缴费</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108</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12.2被征地农民社会保险补贴申请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109</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12.3被征地农民养老保障生活补助基金参保登记及缴费</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110</w:t>
            </w:r>
          </w:p>
        </w:tc>
        <w:tc>
          <w:tcPr>
            <w:tcW w:w="0" w:type="auto"/>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13.社会保险待遇发放账户维护申请</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13.1</w:t>
            </w:r>
            <w:r>
              <w:rPr>
                <w:rStyle w:val="5"/>
                <w:bdr w:val="none" w:color="auto" w:sz="0" w:space="0"/>
                <w:lang w:val="en-US" w:eastAsia="zh-CN" w:bidi="ar"/>
              </w:rPr>
              <w:t>养老保险待遇发放账户维护申请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111</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13.2</w:t>
            </w:r>
            <w:r>
              <w:rPr>
                <w:rStyle w:val="5"/>
                <w:bdr w:val="none" w:color="auto" w:sz="0" w:space="0"/>
                <w:lang w:val="en-US" w:eastAsia="zh-CN" w:bidi="ar"/>
              </w:rPr>
              <w:t>工伤保险待遇发放账户维护申请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112</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13.3</w:t>
            </w:r>
            <w:r>
              <w:rPr>
                <w:rStyle w:val="5"/>
                <w:bdr w:val="none" w:color="auto" w:sz="0" w:space="0"/>
                <w:lang w:val="en-US" w:eastAsia="zh-CN" w:bidi="ar"/>
              </w:rPr>
              <w:t>失业保险待遇发放账户维护申请</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r>
        <w:tblPrEx>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113</w:t>
            </w:r>
          </w:p>
        </w:tc>
        <w:tc>
          <w:tcPr>
            <w:tcW w:w="0" w:type="auto"/>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bdr w:val="none" w:color="auto" w:sz="0" w:space="0"/>
                <w:lang w:val="en-US" w:eastAsia="zh-CN" w:bidi="ar"/>
              </w:rPr>
              <w:t>13.4</w:t>
            </w:r>
            <w:r>
              <w:rPr>
                <w:rStyle w:val="5"/>
                <w:bdr w:val="none" w:color="auto" w:sz="0" w:space="0"/>
                <w:lang w:val="en-US" w:eastAsia="zh-CN" w:bidi="ar"/>
              </w:rPr>
              <w:t>被征地农民养老保障生活补助基金参保人银行卡信息变更</w:t>
            </w:r>
          </w:p>
        </w:tc>
        <w:tc>
          <w:tcPr>
            <w:tcW w:w="0" w:type="auto"/>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公开事项信息形成或变更之日起20个工作日内公开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鹿寨县人力资源和社会保障局</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■政府网站    □政府公报</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□两微一端    □发布会/听证会</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□广播电视    □纸质媒体</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□公开查阅点  ■政务服务中心</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□便民服务站  □入户/现场</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□社区/企事业单位/村公示栏（电子屏）</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□精准推送    ■其他</w:t>
            </w:r>
            <w:r>
              <w:rPr>
                <w:rStyle w:val="4"/>
                <w:bdr w:val="none" w:color="auto" w:sz="0" w:space="0"/>
                <w:lang w:val="en-US" w:eastAsia="zh-CN" w:bidi="ar"/>
              </w:rPr>
              <w:t xml:space="preserve"> 基层公共服务平台</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10911"/>
    <w:rsid w:val="2F31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uiPriority w:val="0"/>
    <w:rPr>
      <w:rFonts w:hint="eastAsia" w:ascii="宋体" w:hAnsi="宋体" w:eastAsia="宋体" w:cs="宋体"/>
      <w:color w:val="000000"/>
      <w:sz w:val="24"/>
      <w:szCs w:val="24"/>
      <w:u w:val="single"/>
    </w:rPr>
  </w:style>
  <w:style w:type="character" w:customStyle="1" w:styleId="5">
    <w:name w:val="font2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2020-11-27T02:57:00Z</dcterms:created>
  <dc:creator>我是一只猪</dc:creator>
  <cp:lastModifiedBy>我是一只猪</cp:lastModifiedBy>
  <dcterms:modified xsi:type="dcterms:W3CDTF">2020-11-27T02:58:35Z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