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2"/>
          <w:sz w:val="24"/>
          <w:szCs w:val="24"/>
          <w:lang w:val="en-US" w:eastAsia="zh-CN" w:bidi="ar"/>
        </w:rPr>
      </w:pPr>
    </w:p>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2"/>
          <w:sz w:val="24"/>
          <w:szCs w:val="24"/>
          <w:lang w:val="en-US" w:eastAsia="zh-CN" w:bidi="ar"/>
        </w:rPr>
      </w:pPr>
      <w:r>
        <w:rPr>
          <w:rFonts w:hint="eastAsia" w:ascii="宋体" w:hAnsi="宋体" w:eastAsia="宋体" w:cs="宋体"/>
          <w:b/>
          <w:color w:val="000000"/>
          <w:kern w:val="2"/>
          <w:sz w:val="24"/>
          <w:szCs w:val="24"/>
          <w:lang w:val="en-US" w:eastAsia="zh-CN" w:bidi="ar"/>
        </w:rPr>
        <w:t>鹿寨县公共资源交易领域基层政务公开标准目录</w:t>
      </w:r>
    </w:p>
    <w:tbl>
      <w:tblPr>
        <w:tblStyle w:val="3"/>
        <w:tblW w:w="5012" w:type="pct"/>
        <w:jc w:val="center"/>
        <w:tblLayout w:type="fixed"/>
        <w:tblCellMar>
          <w:top w:w="0" w:type="dxa"/>
          <w:left w:w="0" w:type="dxa"/>
          <w:bottom w:w="0" w:type="dxa"/>
          <w:right w:w="0" w:type="dxa"/>
        </w:tblCellMar>
      </w:tblPr>
      <w:tblGrid>
        <w:gridCol w:w="240"/>
        <w:gridCol w:w="486"/>
        <w:gridCol w:w="772"/>
        <w:gridCol w:w="3350"/>
        <w:gridCol w:w="682"/>
        <w:gridCol w:w="3623"/>
        <w:gridCol w:w="1832"/>
        <w:gridCol w:w="861"/>
        <w:gridCol w:w="289"/>
        <w:gridCol w:w="269"/>
        <w:gridCol w:w="267"/>
        <w:gridCol w:w="292"/>
        <w:gridCol w:w="483"/>
        <w:gridCol w:w="473"/>
        <w:gridCol w:w="60"/>
        <w:gridCol w:w="9"/>
        <w:gridCol w:w="34"/>
      </w:tblGrid>
      <w:tr>
        <w:tblPrEx>
          <w:tblCellMar>
            <w:top w:w="0" w:type="dxa"/>
            <w:left w:w="0" w:type="dxa"/>
            <w:bottom w:w="0" w:type="dxa"/>
            <w:right w:w="0" w:type="dxa"/>
          </w:tblCellMar>
        </w:tblPrEx>
        <w:trPr>
          <w:gridAfter w:val="1"/>
          <w:wAfter w:w="12" w:type="pct"/>
          <w:trHeight w:val="740" w:hRule="atLeast"/>
          <w:jc w:val="center"/>
        </w:trPr>
        <w:tc>
          <w:tcPr>
            <w:tcW w:w="85" w:type="pct"/>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lang w:val="en-US"/>
              </w:rPr>
            </w:pPr>
            <w:r>
              <w:rPr>
                <w:rFonts w:hint="eastAsia" w:ascii="宋体" w:hAnsi="宋体" w:eastAsia="宋体" w:cs="宋体"/>
                <w:b/>
                <w:color w:val="000000"/>
                <w:kern w:val="2"/>
                <w:sz w:val="24"/>
                <w:szCs w:val="24"/>
                <w:lang w:val="en-US" w:eastAsia="zh-CN" w:bidi="ar"/>
              </w:rPr>
              <w:t>序号</w:t>
            </w:r>
          </w:p>
        </w:tc>
        <w:tc>
          <w:tcPr>
            <w:tcW w:w="448" w:type="pct"/>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lang w:val="en-US"/>
              </w:rPr>
            </w:pPr>
            <w:r>
              <w:rPr>
                <w:rFonts w:hint="eastAsia" w:ascii="宋体" w:hAnsi="宋体" w:eastAsia="宋体" w:cs="宋体"/>
                <w:b/>
                <w:color w:val="000000"/>
                <w:kern w:val="2"/>
                <w:sz w:val="24"/>
                <w:szCs w:val="24"/>
                <w:lang w:val="en-US" w:eastAsia="zh-CN" w:bidi="ar"/>
              </w:rPr>
              <w:t>公开事项</w:t>
            </w:r>
          </w:p>
        </w:tc>
        <w:tc>
          <w:tcPr>
            <w:tcW w:w="1194" w:type="pct"/>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lang w:val="en-US"/>
              </w:rPr>
            </w:pPr>
            <w:r>
              <w:rPr>
                <w:rFonts w:hint="eastAsia" w:ascii="宋体" w:hAnsi="宋体" w:eastAsia="宋体" w:cs="宋体"/>
                <w:b/>
                <w:color w:val="000000"/>
                <w:kern w:val="2"/>
                <w:sz w:val="24"/>
                <w:szCs w:val="24"/>
                <w:lang w:val="en-US" w:eastAsia="zh-CN" w:bidi="ar"/>
              </w:rPr>
              <w:t>公开内容（要素）</w:t>
            </w:r>
          </w:p>
        </w:tc>
        <w:tc>
          <w:tcPr>
            <w:tcW w:w="243" w:type="pct"/>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lang w:val="en-US"/>
              </w:rPr>
            </w:pPr>
            <w:r>
              <w:rPr>
                <w:rFonts w:hint="eastAsia" w:ascii="宋体" w:hAnsi="宋体" w:eastAsia="宋体" w:cs="宋体"/>
                <w:b/>
                <w:color w:val="000000"/>
                <w:kern w:val="2"/>
                <w:sz w:val="24"/>
                <w:szCs w:val="24"/>
                <w:lang w:val="en-US" w:eastAsia="zh-CN" w:bidi="ar"/>
              </w:rPr>
              <w:t>公开主体</w:t>
            </w:r>
          </w:p>
        </w:tc>
        <w:tc>
          <w:tcPr>
            <w:tcW w:w="1291" w:type="pct"/>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lang w:val="en-US"/>
              </w:rPr>
            </w:pPr>
            <w:r>
              <w:rPr>
                <w:rFonts w:hint="eastAsia" w:ascii="宋体" w:hAnsi="宋体" w:eastAsia="宋体" w:cs="宋体"/>
                <w:b/>
                <w:color w:val="000000"/>
                <w:kern w:val="2"/>
                <w:sz w:val="24"/>
                <w:szCs w:val="24"/>
                <w:lang w:val="en-US" w:eastAsia="zh-CN" w:bidi="ar"/>
              </w:rPr>
              <w:t>公开依据</w:t>
            </w:r>
          </w:p>
        </w:tc>
        <w:tc>
          <w:tcPr>
            <w:tcW w:w="653" w:type="pct"/>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lang w:val="en-US"/>
              </w:rPr>
            </w:pPr>
            <w:r>
              <w:rPr>
                <w:rFonts w:hint="eastAsia" w:ascii="宋体" w:hAnsi="宋体" w:eastAsia="宋体" w:cs="宋体"/>
                <w:b/>
                <w:color w:val="000000"/>
                <w:kern w:val="2"/>
                <w:sz w:val="24"/>
                <w:szCs w:val="24"/>
                <w:lang w:val="en-US" w:eastAsia="zh-CN" w:bidi="ar"/>
              </w:rPr>
              <w:t>公开</w:t>
            </w:r>
            <w:r>
              <w:rPr>
                <w:rFonts w:hint="eastAsia" w:ascii="宋体" w:hAnsi="宋体" w:eastAsia="宋体" w:cs="宋体"/>
                <w:b/>
                <w:color w:val="000000"/>
                <w:kern w:val="2"/>
                <w:sz w:val="24"/>
                <w:szCs w:val="24"/>
                <w:lang w:val="en-US" w:eastAsia="zh-CN" w:bidi="ar"/>
              </w:rPr>
              <w:br w:type="textWrapping"/>
            </w:r>
            <w:r>
              <w:rPr>
                <w:rFonts w:hint="eastAsia" w:ascii="宋体" w:hAnsi="宋体" w:eastAsia="宋体" w:cs="宋体"/>
                <w:b/>
                <w:color w:val="000000"/>
                <w:kern w:val="2"/>
                <w:sz w:val="24"/>
                <w:szCs w:val="24"/>
                <w:lang w:val="en-US" w:eastAsia="zh-CN" w:bidi="ar"/>
              </w:rPr>
              <w:t>时限</w:t>
            </w:r>
          </w:p>
        </w:tc>
        <w:tc>
          <w:tcPr>
            <w:tcW w:w="307" w:type="pct"/>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lang w:val="en-US"/>
              </w:rPr>
            </w:pPr>
            <w:r>
              <w:rPr>
                <w:rFonts w:hint="eastAsia" w:ascii="宋体" w:hAnsi="宋体" w:eastAsia="宋体" w:cs="宋体"/>
                <w:b/>
                <w:color w:val="000000"/>
                <w:kern w:val="2"/>
                <w:sz w:val="24"/>
                <w:szCs w:val="24"/>
                <w:lang w:val="en-US" w:eastAsia="zh-CN" w:bidi="ar"/>
              </w:rPr>
              <w:t>公开渠道和</w:t>
            </w:r>
            <w:r>
              <w:rPr>
                <w:rFonts w:hint="eastAsia" w:ascii="宋体" w:hAnsi="宋体" w:eastAsia="宋体" w:cs="宋体"/>
                <w:b/>
                <w:color w:val="000000"/>
                <w:kern w:val="2"/>
                <w:sz w:val="24"/>
                <w:szCs w:val="24"/>
                <w:lang w:val="en-US" w:eastAsia="zh-CN" w:bidi="ar"/>
              </w:rPr>
              <w:br w:type="textWrapping"/>
            </w:r>
            <w:r>
              <w:rPr>
                <w:rFonts w:hint="eastAsia" w:ascii="宋体" w:hAnsi="宋体" w:eastAsia="宋体" w:cs="宋体"/>
                <w:b/>
                <w:color w:val="000000"/>
                <w:kern w:val="2"/>
                <w:sz w:val="24"/>
                <w:szCs w:val="24"/>
                <w:lang w:val="en-US" w:eastAsia="zh-CN" w:bidi="ar"/>
              </w:rPr>
              <w:t>载体</w:t>
            </w:r>
          </w:p>
        </w:tc>
        <w:tc>
          <w:tcPr>
            <w:tcW w:w="198" w:type="pct"/>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lang w:val="en-US"/>
              </w:rPr>
            </w:pPr>
            <w:r>
              <w:rPr>
                <w:rFonts w:hint="eastAsia" w:ascii="宋体" w:hAnsi="宋体" w:eastAsia="宋体" w:cs="宋体"/>
                <w:b/>
                <w:color w:val="000000"/>
                <w:kern w:val="2"/>
                <w:sz w:val="24"/>
                <w:szCs w:val="24"/>
                <w:lang w:val="en-US" w:eastAsia="zh-CN" w:bidi="ar"/>
              </w:rPr>
              <w:t>公开对象</w:t>
            </w:r>
          </w:p>
        </w:tc>
        <w:tc>
          <w:tcPr>
            <w:tcW w:w="199" w:type="pct"/>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lang w:val="en-US"/>
              </w:rPr>
            </w:pPr>
            <w:r>
              <w:rPr>
                <w:rFonts w:hint="eastAsia" w:ascii="宋体" w:hAnsi="宋体" w:eastAsia="宋体" w:cs="宋体"/>
                <w:b/>
                <w:color w:val="000000"/>
                <w:kern w:val="2"/>
                <w:sz w:val="24"/>
                <w:szCs w:val="24"/>
                <w:lang w:val="en-US" w:eastAsia="zh-CN" w:bidi="ar"/>
              </w:rPr>
              <w:t>公开方式</w:t>
            </w:r>
          </w:p>
        </w:tc>
        <w:tc>
          <w:tcPr>
            <w:tcW w:w="36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2"/>
                <w:szCs w:val="22"/>
                <w:lang w:val="en-US"/>
              </w:rPr>
            </w:pPr>
            <w:r>
              <w:rPr>
                <w:rFonts w:hint="eastAsia" w:ascii="宋体" w:hAnsi="宋体" w:eastAsia="宋体" w:cs="宋体"/>
                <w:b/>
                <w:color w:val="000000"/>
                <w:kern w:val="2"/>
                <w:sz w:val="22"/>
                <w:szCs w:val="22"/>
                <w:lang w:val="en-US" w:eastAsia="zh-CN" w:bidi="ar"/>
              </w:rPr>
              <w:t>公开层级</w:t>
            </w:r>
          </w:p>
        </w:tc>
      </w:tr>
      <w:tr>
        <w:tblPrEx>
          <w:tblCellMar>
            <w:top w:w="0" w:type="dxa"/>
            <w:left w:w="0" w:type="dxa"/>
            <w:bottom w:w="0" w:type="dxa"/>
            <w:right w:w="0" w:type="dxa"/>
          </w:tblCellMar>
        </w:tblPrEx>
        <w:trPr>
          <w:gridAfter w:val="1"/>
          <w:wAfter w:w="12" w:type="pct"/>
          <w:trHeight w:val="540" w:hRule="atLeast"/>
          <w:jc w:val="center"/>
        </w:trPr>
        <w:tc>
          <w:tcPr>
            <w:tcW w:w="85" w:type="pct"/>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2"/>
                <w:szCs w:val="22"/>
                <w:lang w:val="en-US"/>
              </w:rPr>
            </w:pPr>
            <w:r>
              <w:rPr>
                <w:rFonts w:hint="eastAsia" w:ascii="宋体" w:hAnsi="宋体" w:eastAsia="宋体" w:cs="宋体"/>
                <w:b/>
                <w:color w:val="000000"/>
                <w:kern w:val="2"/>
                <w:sz w:val="22"/>
                <w:szCs w:val="22"/>
                <w:lang w:val="en-US" w:eastAsia="zh-CN" w:bidi="ar"/>
              </w:rPr>
              <w:t>一级</w:t>
            </w:r>
            <w:r>
              <w:rPr>
                <w:rFonts w:hint="eastAsia" w:ascii="宋体" w:hAnsi="宋体" w:eastAsia="宋体" w:cs="宋体"/>
                <w:b/>
                <w:color w:val="000000"/>
                <w:kern w:val="2"/>
                <w:sz w:val="22"/>
                <w:szCs w:val="22"/>
                <w:lang w:val="en-US" w:eastAsia="zh-CN" w:bidi="ar"/>
              </w:rPr>
              <w:br w:type="textWrapping"/>
            </w:r>
            <w:r>
              <w:rPr>
                <w:rFonts w:hint="eastAsia" w:ascii="宋体" w:hAnsi="宋体" w:eastAsia="宋体" w:cs="宋体"/>
                <w:b/>
                <w:color w:val="000000"/>
                <w:kern w:val="2"/>
                <w:sz w:val="22"/>
                <w:szCs w:val="22"/>
                <w:lang w:val="en-US" w:eastAsia="zh-CN" w:bidi="ar"/>
              </w:rPr>
              <w:t>事项</w:t>
            </w: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2"/>
                <w:szCs w:val="22"/>
                <w:lang w:val="en-US"/>
              </w:rPr>
            </w:pPr>
            <w:r>
              <w:rPr>
                <w:rFonts w:hint="eastAsia" w:ascii="宋体" w:hAnsi="宋体" w:eastAsia="宋体" w:cs="宋体"/>
                <w:b/>
                <w:color w:val="000000"/>
                <w:kern w:val="2"/>
                <w:sz w:val="22"/>
                <w:szCs w:val="22"/>
                <w:lang w:val="en-US" w:eastAsia="zh-CN" w:bidi="ar"/>
              </w:rPr>
              <w:t>二级</w:t>
            </w:r>
            <w:r>
              <w:rPr>
                <w:rFonts w:hint="eastAsia" w:ascii="宋体" w:hAnsi="宋体" w:eastAsia="宋体" w:cs="宋体"/>
                <w:b/>
                <w:color w:val="000000"/>
                <w:kern w:val="2"/>
                <w:sz w:val="22"/>
                <w:szCs w:val="22"/>
                <w:lang w:val="en-US" w:eastAsia="zh-CN" w:bidi="ar"/>
              </w:rPr>
              <w:br w:type="textWrapping"/>
            </w:r>
            <w:r>
              <w:rPr>
                <w:rFonts w:hint="eastAsia" w:ascii="宋体" w:hAnsi="宋体" w:eastAsia="宋体" w:cs="宋体"/>
                <w:b/>
                <w:color w:val="000000"/>
                <w:kern w:val="2"/>
                <w:sz w:val="22"/>
                <w:szCs w:val="22"/>
                <w:lang w:val="en-US" w:eastAsia="zh-CN" w:bidi="ar"/>
              </w:rPr>
              <w:t>事项</w:t>
            </w:r>
          </w:p>
        </w:tc>
        <w:tc>
          <w:tcPr>
            <w:tcW w:w="1194" w:type="pct"/>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43" w:type="pct"/>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291" w:type="pct"/>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307" w:type="pct"/>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2"/>
                <w:szCs w:val="22"/>
                <w:lang w:val="en-US"/>
              </w:rPr>
            </w:pPr>
            <w:r>
              <w:rPr>
                <w:rFonts w:hint="eastAsia" w:ascii="宋体" w:hAnsi="宋体" w:eastAsia="宋体" w:cs="宋体"/>
                <w:b/>
                <w:color w:val="000000"/>
                <w:kern w:val="2"/>
                <w:sz w:val="22"/>
                <w:szCs w:val="22"/>
                <w:lang w:val="en-US" w:eastAsia="zh-CN" w:bidi="ar"/>
              </w:rPr>
              <w:t>全社会</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2"/>
                <w:szCs w:val="22"/>
                <w:lang w:val="en-US"/>
              </w:rPr>
            </w:pPr>
            <w:r>
              <w:rPr>
                <w:rFonts w:hint="eastAsia" w:ascii="宋体" w:hAnsi="宋体" w:eastAsia="宋体" w:cs="宋体"/>
                <w:b/>
                <w:color w:val="000000"/>
                <w:kern w:val="2"/>
                <w:sz w:val="22"/>
                <w:szCs w:val="22"/>
                <w:lang w:val="en-US" w:eastAsia="zh-CN" w:bidi="ar"/>
              </w:rPr>
              <w:t>特定</w:t>
            </w:r>
            <w:r>
              <w:rPr>
                <w:rFonts w:hint="eastAsia" w:ascii="宋体" w:hAnsi="宋体" w:eastAsia="宋体" w:cs="宋体"/>
                <w:b/>
                <w:color w:val="000000"/>
                <w:kern w:val="2"/>
                <w:sz w:val="22"/>
                <w:szCs w:val="22"/>
                <w:lang w:val="en-US" w:eastAsia="zh-CN" w:bidi="ar"/>
              </w:rPr>
              <w:br w:type="textWrapping"/>
            </w:r>
            <w:r>
              <w:rPr>
                <w:rFonts w:hint="eastAsia" w:ascii="宋体" w:hAnsi="宋体" w:eastAsia="宋体" w:cs="宋体"/>
                <w:b/>
                <w:color w:val="000000"/>
                <w:kern w:val="2"/>
                <w:sz w:val="22"/>
                <w:szCs w:val="22"/>
                <w:lang w:val="en-US" w:eastAsia="zh-CN" w:bidi="ar"/>
              </w:rPr>
              <w:t>群众</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2"/>
                <w:szCs w:val="22"/>
                <w:lang w:val="en-US"/>
              </w:rPr>
            </w:pPr>
            <w:r>
              <w:rPr>
                <w:rFonts w:hint="eastAsia" w:ascii="宋体" w:hAnsi="宋体" w:eastAsia="宋体" w:cs="宋体"/>
                <w:b/>
                <w:color w:val="000000"/>
                <w:kern w:val="2"/>
                <w:sz w:val="22"/>
                <w:szCs w:val="22"/>
                <w:lang w:val="en-US" w:eastAsia="zh-CN" w:bidi="ar"/>
              </w:rPr>
              <w:t>主动</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2"/>
                <w:szCs w:val="22"/>
                <w:lang w:val="en-US"/>
              </w:rPr>
            </w:pPr>
            <w:r>
              <w:rPr>
                <w:rFonts w:hint="eastAsia" w:ascii="宋体" w:hAnsi="宋体" w:eastAsia="宋体" w:cs="宋体"/>
                <w:b/>
                <w:color w:val="000000"/>
                <w:kern w:val="2"/>
                <w:sz w:val="22"/>
                <w:szCs w:val="22"/>
                <w:lang w:val="en-US" w:eastAsia="zh-CN" w:bidi="ar"/>
              </w:rPr>
              <w:t>依申请</w:t>
            </w:r>
            <w:r>
              <w:rPr>
                <w:rFonts w:hint="eastAsia" w:ascii="宋体" w:hAnsi="宋体" w:eastAsia="宋体" w:cs="宋体"/>
                <w:b/>
                <w:color w:val="000000"/>
                <w:kern w:val="2"/>
                <w:sz w:val="22"/>
                <w:szCs w:val="22"/>
                <w:lang w:val="en-US" w:eastAsia="zh-CN" w:bidi="ar"/>
              </w:rPr>
              <w:br w:type="textWrapping"/>
            </w:r>
            <w:r>
              <w:rPr>
                <w:rFonts w:hint="eastAsia" w:ascii="宋体" w:hAnsi="宋体" w:eastAsia="宋体" w:cs="宋体"/>
                <w:b/>
                <w:color w:val="000000"/>
                <w:kern w:val="2"/>
                <w:sz w:val="22"/>
                <w:szCs w:val="22"/>
                <w:lang w:val="en-US" w:eastAsia="zh-CN" w:bidi="ar"/>
              </w:rPr>
              <w:t>公开</w:t>
            </w: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2"/>
                <w:szCs w:val="22"/>
                <w:lang w:val="en-US"/>
              </w:rPr>
            </w:pPr>
            <w:r>
              <w:rPr>
                <w:rFonts w:hint="eastAsia" w:ascii="宋体" w:hAnsi="宋体" w:eastAsia="宋体" w:cs="宋体"/>
                <w:b/>
                <w:color w:val="000000"/>
                <w:kern w:val="2"/>
                <w:sz w:val="22"/>
                <w:szCs w:val="22"/>
                <w:lang w:val="en-US" w:eastAsia="zh-CN" w:bidi="ar"/>
              </w:rPr>
              <w:t>县级</w:t>
            </w:r>
          </w:p>
        </w:tc>
        <w:tc>
          <w:tcPr>
            <w:tcW w:w="193" w:type="pct"/>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2"/>
                <w:szCs w:val="22"/>
                <w:lang w:val="en-US"/>
              </w:rPr>
            </w:pPr>
            <w:r>
              <w:rPr>
                <w:rFonts w:hint="eastAsia" w:ascii="宋体" w:hAnsi="宋体" w:eastAsia="宋体" w:cs="宋体"/>
                <w:b/>
                <w:color w:val="000000"/>
                <w:kern w:val="2"/>
                <w:sz w:val="22"/>
                <w:szCs w:val="22"/>
                <w:lang w:val="en-US" w:eastAsia="zh-CN" w:bidi="ar"/>
              </w:rPr>
              <w:t>乡、</w:t>
            </w:r>
            <w:r>
              <w:rPr>
                <w:rFonts w:hint="eastAsia" w:ascii="宋体" w:hAnsi="宋体" w:eastAsia="宋体" w:cs="宋体"/>
                <w:b/>
                <w:color w:val="000000"/>
                <w:kern w:val="2"/>
                <w:sz w:val="22"/>
                <w:szCs w:val="22"/>
                <w:lang w:val="en-US" w:eastAsia="zh-CN" w:bidi="ar"/>
              </w:rPr>
              <w:br w:type="textWrapping"/>
            </w:r>
            <w:r>
              <w:rPr>
                <w:rFonts w:hint="eastAsia" w:ascii="宋体" w:hAnsi="宋体" w:eastAsia="宋体" w:cs="宋体"/>
                <w:b/>
                <w:color w:val="000000"/>
                <w:kern w:val="2"/>
                <w:sz w:val="22"/>
                <w:szCs w:val="22"/>
                <w:lang w:val="en-US" w:eastAsia="zh-CN" w:bidi="ar"/>
              </w:rPr>
              <w:t>村级</w:t>
            </w:r>
          </w:p>
        </w:tc>
      </w:tr>
      <w:tr>
        <w:tblPrEx>
          <w:tblCellMar>
            <w:top w:w="0" w:type="dxa"/>
            <w:left w:w="0" w:type="dxa"/>
            <w:bottom w:w="0" w:type="dxa"/>
            <w:right w:w="0" w:type="dxa"/>
          </w:tblCellMar>
        </w:tblPrEx>
        <w:trPr>
          <w:gridAfter w:val="1"/>
          <w:wAfter w:w="12" w:type="pct"/>
          <w:trHeight w:val="122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w:t>
            </w:r>
          </w:p>
        </w:tc>
        <w:tc>
          <w:tcPr>
            <w:tcW w:w="173"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工程建设项目招标投标信息</w:t>
            </w: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项目审批核准备案信息</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招标内容、招标范围、招标组织形式、招标方式、招标估算金额、招标事项审核、核准或备案部门。</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核准部门</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《招标投标法实施条例》、《政府信息公开条例》、《国务院办公厅关于推进公共资源配置领域政府信息公开的意见》（国办发〔2017〕97号）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信息形成之日起20个工作日内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■政府网站部门集约栏目中部门集约公告</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3" w:type="pct"/>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gridAfter w:val="1"/>
          <w:wAfter w:w="12" w:type="pct"/>
          <w:trHeight w:val="33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2</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资格预审公告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1.招标项目名称、内容、范围、规模、资金来源；</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2.投标资格能力要求，以及是否接受联合体投标；</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3.获取资格预审文件的时间、方式；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4.递交资格预审文件的截止时间、方式；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5.招标人及其招标代理机构的名称、地址、联系人及联系方式；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6.采用电子招标投标方式的，潜在投标人访问电子招标投标交易平台的网址和方法；</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7.其他依法应当载明的内容。</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招标人或其委托的招标代理机构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投标法》、《招标投标法实施条例》、《国务院办公厅关于推进公共资源配置领域政府信息公开的意见》（国办发〔2017〕97号）、《招标公告和公示信息发布管理办法》（中华人民共和国国家发展和改革委员会令第10号）、《电子招标投标办法》（国家发展改革委等八部委2013年第20号令）</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24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■广西壮族自治区招标投标公共服务平台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■全国公共资源交易平台（广西壮族自治区）</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3" w:type="pct"/>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2"/>
          <w:wAfter w:w="15" w:type="pct"/>
          <w:trHeight w:val="322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3</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1.招标项目名称、内容、范围、规模、资金来源；</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2.投标资格能力要求，以及是否接受联合体投标；</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3.获取招标文件的时间、方式；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4.递交投标文件的截止时间、方式；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5.招标人及其招标代理机构的名称、地址、联系人及联系方式；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6.采用电子招标投标方式的，潜在投标人访问电子招标投标交易平台的网址和方法；</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7.其他依法应当载明的内容。</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招标人或其委托的招标代理机构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投标法》、《招标投标法实施条例》、《国务院办公厅关于推进公共资源配置领域政府信息公开的意见》（国办发〔2017〕97号）、《招标公告和公示信息发布管理办法》（中华人民共和国国家发展和改革委员会令第10号）、《电子招标投标办法》（国家发展改革委等八部委2013年第20号令）</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24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■广西壮族自治区招标投标公共服务平台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■全国公共资源交易平台（广西壮族自治区）</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2"/>
          <w:wAfter w:w="15" w:type="pct"/>
          <w:trHeight w:val="26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4</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中标候选人公示</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1.中标候选人排序、名称、投标报价、质量、工期（交货期），以及评标情况；</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2.中标候选人按照招标文件要求承诺的项目负责人姓名及其相关证书名称和编号；</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3.中标候选人响应招标文件要求的资格能力条件；</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4.提出异议的渠道和方式；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5.招标文件规定公示的其他内容。</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招标人或其委托的招标代理机构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投标法》、《招标投标法实施条例》、《国务院办公厅关于推进公共资源配置领域政府信息公开的意见》（国办发〔2017〕97号）、《招标公告和公示信息发布管理办法》（中华人民共和国国家发展和改革委员会令第10号）、《电子招标投标办法》（国家发展改革委等八部委2013年第20号令）</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依法必须进行招标的项目，招标人应当自收到评标报告之日起3日内公示中标候选人，公示期不得少于3日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24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■广西壮族自治区招标投标公共服务平台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■全国公共资源交易平台（广西壮族自治区）</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2"/>
          <w:wAfter w:w="15" w:type="pct"/>
          <w:trHeight w:val="188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5</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中标结果</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招标项目名称、中标人名称、中标价、工期、项目负责人、中标内容、项目关键管理人员信息。</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招标人或其委托的招标代理机构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投标法》、《招标投标法实施条例》、《国务院办公厅关于推进公共资源配置领域政府信息公开的意见》（国办发〔2017〕97号）、《招标公告和公示信息发布管理办法》（中华人民共和国国家发展和改革委员会令第10号）、《电子招标投标办法》（国家发展改革委等八部委2013年第20号令）</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■广西壮族自治区招标投标公共服务平台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■全国公共资源交易平台（广西壮族自治区）</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2"/>
          <w:wAfter w:w="15" w:type="pct"/>
          <w:trHeight w:val="178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6</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合同订立信息</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包括项目名称、合同双方名称、合同价款、签约时间、合同期限。</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合同当事人</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《招标投标法》、《招标投标法实施条例》、《国务院办公厅关于推进公共资源配置领域政府信息公开的意见》（国办发〔2017〕97号）、《电子招标投标办法》（国家发展改革委等八部委2013年第20号令）</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■广西壮族自治区招标投标公共服务平台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■全国公共资源交易平台（广西壮族自治区）</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2"/>
          <w:wAfter w:w="15" w:type="pct"/>
          <w:trHeight w:val="18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7</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合同履行及变更信息</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1.项目名称、标段名称、建设单位、承包人、项目完成质量、期限、结算金额、合同发生的变更、解除合同通知书、违约行为的处理结果；</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2.参建单位主要相关人员按合同约定到场信息、合同双方履约信息。</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合同当事人</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《国务院办公厅关于推进公共资源配置领域政府信息公开的意见》（国办发〔2017〕97号）、《电子招标投标办法》（国家发展改革委等八部委2013年第20号令）</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b/>
                <w:color w:val="000000"/>
                <w:kern w:val="2"/>
                <w:sz w:val="20"/>
                <w:szCs w:val="20"/>
                <w:lang w:val="en-US"/>
              </w:rPr>
            </w:pPr>
            <w:r>
              <w:rPr>
                <w:rFonts w:hint="eastAsia" w:ascii="宋体" w:hAnsi="宋体" w:eastAsia="宋体" w:cs="宋体"/>
                <w:b/>
                <w:color w:val="000000"/>
                <w:kern w:val="2"/>
                <w:sz w:val="20"/>
                <w:szCs w:val="20"/>
                <w:lang w:val="en-US" w:eastAsia="zh-CN" w:bidi="ar"/>
              </w:rPr>
              <w:t>鼓励</w:t>
            </w: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■广西壮族自治区招标投标公共服务平台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■全国公共资源交易平台（广西壮族自治区）</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2"/>
          <w:wAfter w:w="15" w:type="pct"/>
          <w:trHeight w:val="26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8</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资格预审文件、招标文件澄清或修改</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项目名称；标段名称；澄清或修改事项；招标人及其招标代理机构的名称、地址、联系人及联系方式。</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招标人或其委托的招标代理机构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《招标投标法》、《招标投标法实施条例》、《电子招标投标办法》（国家发展改革委等八部委2013年第20号令）</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依法必须进行招标的项目，澄清或者修改的内容可能影响资格预审申请文件或者投标文件编制的，应当在提交资格预审申请文件截止时间至少3日前，或者投标截止时间至少15日前</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■广西壮族自治区招标投标公共服务平台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■全国公共资源交易平台（广西壮族自治区）</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2"/>
          <w:wAfter w:w="15" w:type="pct"/>
          <w:trHeight w:val="188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9</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招标公告和公示信息澄清、修改</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项目名称；标段名称；澄清或修改事项；招标人及其招标代理机构的名称、地址、联系人及联系方式。</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招标人或其委托的招标代理机构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《招标公告和公示信息发布管理办法》（中华人民共和国国家发展和改革委员会令第10号）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■广西壮族自治区招标投标公共服务平台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■全国公共资源交易平台（广西壮族自治区）</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2"/>
          <w:wAfter w:w="15" w:type="pct"/>
          <w:trHeight w:val="192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10</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暂停、终止招标</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招标人名称、招标项目名称、招标项目编号、本项目首次公告日期、招标暂停或终止原因、联系方式、其他事项。</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招标人或其委托的招标代理机构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《招标公告和公示信息发布管理办法》（中华人民共和国国家发展和改革委员会令第10号）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■广西壮族自治区招标投标公共服务平台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■全国公共资源交易平台（广西壮族自治区）</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2"/>
          <w:wAfter w:w="15" w:type="pct"/>
          <w:trHeight w:val="324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11</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市场主体信用信息</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1.行政处罚信息：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负责管理的部门分别公开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行政处罚法》、《政府信息公开条例》、《国务院办公厅关于推进公共资源配置领域政府信息公开的意见》（国办发〔2017〕97号）、《住房城乡建设部关于印发建筑市场信用管理暂行办法的通知》（建市〔2017〕241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信息形成之日起20个工作日内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■全国公共资源交易平台（广西壮族自治区）</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■信用中国（广西柳州）</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9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gridAfter w:val="3"/>
          <w:wAfter w:w="36" w:type="pct"/>
          <w:trHeight w:val="362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12</w:t>
            </w:r>
          </w:p>
        </w:tc>
        <w:tc>
          <w:tcPr>
            <w:tcW w:w="173"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政府采购信息</w:t>
            </w: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1.采购人及其委托的采购代理机构的名称、地址和联系方法，公告期限；</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2.采购人的采购需求；</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3.采购项目的名称、数量、简要规格描述或项目基本概况介绍；</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4.采购项目预算金额，设定最高限价的，还应当公开最高限价；</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5.采购项目需要落实的政府采购政策；</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6.投标人的资格要求，获取招标文件的时间、地点、方式及招标文件售价，投标截止时间、开标时间及地点，采购项目联系人姓名和电话等。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政府采购货物和服务招标投标管理办法》（财政部令第87号）、《财政部关于做好政府采购信息公开工作的通知》（财库〔2015〕135号）、《政府采购信息发布管理办法》（财政部令第101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及时公开，公告期限为5个工作日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gridAfter w:val="3"/>
          <w:wAfter w:w="36" w:type="pct"/>
          <w:trHeight w:val="294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13</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资格预审公告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1.采购人及其委托的采购代理机构的名称、地址和联系方法；</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2.采购项目名称、预算金额，设定最高限价的，还应当公开最高限价；</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3.采购人的采购需求；</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4.采购项目数量、简要规格描述或项目基本概况介绍，采购项目需要落实的政府采购政策；</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5.投标人的资格要求以及审查标准、方法；</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6.公告期限；</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7.获取资格预审文件的时间期限、地点、方式；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8.投标人应当提供的资格预审申请文件的组成和格式，提交资格预审申请文件的截止时间、地点及资格预审日期；</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9.采购项目联系人姓名和电话。</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政府采购货物和服务招标投标管理办法》（财政部令第87号）、《财政部关于做好政府采购信息公开工作的通知》（财库〔2015〕135号）、《政府采购信息发布管理办法》（财政部令第101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及时公开，公告期限为5个工作日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30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14</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竞争性谈判公告、竞争性磋商公告和询价公告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1.采购人和采购代理机构的名称、地址和联系方法；</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2.采购项目的名称、数量、简要规格描述或项目基本概况介绍；</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3.采购项目预算金额；</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4.采购项目需要落实的政府采购政策；</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5.对供应商的资格要求；</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6.获取谈判、磋商、询价文件的时间、地点、方式及文件售价；</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7.响应文件提交的截止时间、开启时间及地点；</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8.采购项目联系人姓名和电话。</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及时公开，公告期限为3个工作日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312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15</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采购项目预算金额</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随采购公告、采购文件公开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trHeight w:val="554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16</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采购文件</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b/>
                <w:color w:val="000000"/>
                <w:kern w:val="2"/>
                <w:sz w:val="20"/>
                <w:szCs w:val="20"/>
                <w:lang w:val="en-US"/>
              </w:rPr>
            </w:pPr>
            <w:r>
              <w:rPr>
                <w:rFonts w:hint="eastAsia" w:ascii="宋体" w:hAnsi="宋体" w:eastAsia="宋体" w:cs="宋体"/>
                <w:b/>
                <w:color w:val="000000"/>
                <w:kern w:val="2"/>
                <w:sz w:val="20"/>
                <w:szCs w:val="20"/>
                <w:lang w:val="en-US" w:eastAsia="zh-CN" w:bidi="ar"/>
              </w:rPr>
              <w:t>1.公开招标文件、邀请招标文件：</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投标邀请；投标人须知；投标人应当提交的资格、资信证明文件；为落实政府采购政策，采购标的需满足的要求，以及投标人须提供的证明材料；投标文件编制要求、投标报价要求和投标保证金交纳、退还方式以及不予退还投标保证金的情形；采购项目预算金额，设定最高限价的，还应当公开最高限价；采购项目的技术规格、数量、服务标准、验收等要求；拟签订的合同文本；货物、服务提供的时间、地点、方式；采购资金的支付方式、时间、条件；评标方法、评标标准和投标无效情形；投标有效期；投标截止时间、开标时间及地点；采购代理机构代理费用的收取标准和方式；投标人信用信息查询渠道及截止时点、信用信息查询记录和证据留存的具体方式、信用信息的使用规则等。</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b/>
                <w:color w:val="000000"/>
                <w:kern w:val="2"/>
                <w:sz w:val="20"/>
                <w:szCs w:val="20"/>
                <w:lang w:val="en-US" w:eastAsia="zh-CN" w:bidi="ar"/>
              </w:rPr>
              <w:t>2.竞争性谈判文件、询价通知书：</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 xml:space="preserve">供应商资格条件、采购邀请、采购方式、采购预算、采购需求、采购程序、价格构成或者报价要求、响应文件编制要求、提交响应文件截止时间及地点、保证金交纳数额和形式、评定成交的标准等。谈判文件还应当明确谈判小组根据与供应商谈判情况可能实质性变动的内容等。    </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b/>
                <w:color w:val="000000"/>
                <w:kern w:val="2"/>
                <w:sz w:val="20"/>
                <w:szCs w:val="20"/>
                <w:lang w:val="en-US" w:eastAsia="zh-CN" w:bidi="ar"/>
              </w:rPr>
              <w:t>3.竞争性磋商文件：</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随中标、成交结果同时公告。中标、成交结果公告前采购文件已公告的，不再重复公告</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■公共资源交易平台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trHeight w:val="300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17</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采购信息更正公告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1.采购人和采购代理机构名称、地址、联系方式；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2.原公告的采购项目名称及首次公告日期；</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3.更正事项、内容及日期；</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4.采购项目联系人和电话。</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投标截止时间至少15日前、提交资格预审申请文件截止时间至少3日前，或者提交首次响应文件截止之日3个工作日前</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trHeight w:val="272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18</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单一来源公示</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1.采购人、采购项目名称；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2.拟采购的货物或者服务的说明、拟采购的货物或者服务的预算金额；</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3.采用单一来源方式的原因及相关说明；</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4.拟定的唯一供应商名称、地址；</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5.专业人员对相关供应商因专利、专有技术等原因具有唯一性的具体论证意见，以及专业人员的姓名、工作单位和职称；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6.公示的期限；</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7.采购人、采购代理机构、财政部门的联系地址、联系人和联系电话。</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政府采购货物和服务招标投标管理办法》（财政部令第87号）、《财政部关于做好政府采购信息公开工作的通知》（财库〔2015〕135号）、《政府采购信息发布管理办法》（财政部令第101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及时公开，公示期限不得少于5个工作日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24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trHeight w:val="288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19</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中标、成交结果</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1.采购人和采购代理机构名称、地址、联系方式；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2.项目名称和项目编号；</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3.中标或者成交供应商名称、地址和中标或者成交金额；</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4.主要中标或者成交标的的名称、规格型号、数量、单价、服务要求或者标的的基本概况；</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5.评审专家名单；</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6.协议供货、定点采购项目还应当公告入围价格、价格调整规则和优惠条件；</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7.采用书面推荐供应商参加采购活动的，还应当公告采购人和评审专家的推荐意见。</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财政部关于做好政府采购信息公开工作的通知》（财库〔2015〕135号）、《政府采购信息发布管理办法》（财政部令第101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自中标、成交供应商确定之日起2个工作日内公告，公告期限为1个工作日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294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20</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采购合同</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1.采购人和采购代理机构名称、地址、联系方式；采购项目名称、编号，合同编号；供应商名称；合同内容；</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2.政府采购合同中涉及国家秘密、商业秘密的部分可以不公告，但其他内容应当公告；</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3.合同标的名称、规格型号、单价及合同金额等内容不得作为商业秘密；</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合同中涉及个人隐私的姓名、联系方式等内容，除征得权利人同意外，不得对外公告；</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4.批量集中采购项目应当公告框架协议。</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财政部关于做好政府采购信息公开工作的通知》（财库〔2015〕135号）、《政府采购信息发布管理办法》（财政部令第101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合同签订之日起2个工作日内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trHeight w:val="30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21</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终止公告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1.采购人和采购代理机构名称、地址、联系方式；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2.采购项目名称、采购编号，采购方式；采购项目终止原因；</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3.公告期限；</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4.采购项目联系人和电话。</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采购人或其委托的采购代理机构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《国务院办公厅关于推进公共资源配置领域政府信息公开的意见》（国办发〔2017〕97号）、《财政部关于做好政府采购信息公开工作的通知》（财库〔2015〕135号）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■公共资源交易平台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trHeight w:val="254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22</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公共服务项目采购需求</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采购对象需实现的功能或者目标，满足项目需要的所有技术、服务、安全等要求，采购对象的数量、交付或实施的时间和地点，采购对象的验收标准等。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《财政部关于做好政府采购信息公开工作的通知》（财库〔2015〕135号）、《关于进一步加强政府采购需求和履约验收管理的指导意见》（财库〔2016〕205号）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■公共资源交易平台</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trHeight w:val="240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2</w:t>
            </w:r>
            <w:r>
              <w:rPr>
                <w:rFonts w:hint="eastAsia" w:ascii="宋体" w:hAnsi="宋体" w:cs="宋体"/>
                <w:color w:val="000000"/>
                <w:kern w:val="2"/>
                <w:sz w:val="20"/>
                <w:szCs w:val="20"/>
                <w:lang w:val="en-US" w:eastAsia="zh-CN" w:bidi="ar"/>
              </w:rPr>
              <w:t>3</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公共服务项目验收结果</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1.采购人和采购代理机构名称、地址、联系方式；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2.采购项目名称、编号，合同编号；</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3.履约供应商名称；验收单位；</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4.验收结果；验收人员。</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采购人</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《财政部关于做好政府采购信息公开工作的通知》（财库〔2015〕135号）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验收结束之日起2个工作日内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■公共资源交易平台</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widowControl/>
              <w:suppressLineNumbers w:val="0"/>
              <w:spacing w:before="0" w:beforeAutospacing="0" w:after="0" w:afterAutospacing="0"/>
              <w:ind w:left="0" w:right="0"/>
              <w:jc w:val="center"/>
              <w:rPr>
                <w:color w:val="000000"/>
                <w:kern w:val="2"/>
                <w:sz w:val="22"/>
                <w:szCs w:val="22"/>
                <w:lang w:val="en-US"/>
              </w:rPr>
            </w:pPr>
          </w:p>
        </w:tc>
      </w:tr>
      <w:tr>
        <w:tblPrEx>
          <w:tblCellMar>
            <w:top w:w="0" w:type="dxa"/>
            <w:left w:w="0" w:type="dxa"/>
            <w:bottom w:w="0" w:type="dxa"/>
            <w:right w:w="0" w:type="dxa"/>
          </w:tblCellMar>
        </w:tblPrEx>
        <w:trPr>
          <w:trHeight w:val="264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24</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投诉、监督检查等处理决定公告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相关当事人名称及地址、投诉涉及采购项目名称及采购日期、投诉事项或监督检查主要事项、处理依据、处理结果、执法机关名称、公告日期等。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cs="宋体"/>
                <w:color w:val="000000"/>
                <w:kern w:val="2"/>
                <w:sz w:val="20"/>
                <w:szCs w:val="20"/>
                <w:lang w:val="en-US" w:eastAsia="zh-CN" w:bidi="ar"/>
              </w:rPr>
              <w:t>县</w:t>
            </w:r>
            <w:r>
              <w:rPr>
                <w:rFonts w:hint="eastAsia" w:ascii="宋体" w:hAnsi="宋体" w:eastAsia="宋体" w:cs="宋体"/>
                <w:color w:val="000000"/>
                <w:kern w:val="2"/>
                <w:sz w:val="20"/>
                <w:szCs w:val="20"/>
                <w:lang w:val="en-US" w:eastAsia="zh-CN" w:bidi="ar"/>
              </w:rPr>
              <w:t>财政</w:t>
            </w:r>
            <w:r>
              <w:rPr>
                <w:rFonts w:hint="eastAsia" w:ascii="宋体" w:hAnsi="宋体" w:cs="宋体"/>
                <w:color w:val="000000"/>
                <w:kern w:val="2"/>
                <w:sz w:val="20"/>
                <w:szCs w:val="20"/>
                <w:lang w:val="en-US" w:eastAsia="zh-CN" w:bidi="ar"/>
              </w:rPr>
              <w:t>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财政部关于做好政府采购信息公开工作的通知》（财库〔2015〕135号）、《政府采购信息发布管理办法》（财政部令第101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完成并履行有关报审程序后5个工作日内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■中国政府采购网及其地方分网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■广西政府采购网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■信用中国</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108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0"/>
                <w:szCs w:val="20"/>
                <w:lang w:val="en-US" w:eastAsia="zh-CN" w:bidi="ar"/>
              </w:rPr>
              <w:t>2</w:t>
            </w:r>
            <w:r>
              <w:rPr>
                <w:rFonts w:hint="eastAsia" w:ascii="宋体" w:hAnsi="宋体" w:cs="宋体"/>
                <w:color w:val="000000"/>
                <w:kern w:val="2"/>
                <w:sz w:val="20"/>
                <w:szCs w:val="20"/>
                <w:lang w:val="en-US" w:eastAsia="zh-CN" w:bidi="ar"/>
              </w:rPr>
              <w:t>5</w:t>
            </w:r>
          </w:p>
        </w:tc>
        <w:tc>
          <w:tcPr>
            <w:tcW w:w="173" w:type="pct"/>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违法失信行为记录</w:t>
            </w:r>
          </w:p>
        </w:tc>
        <w:tc>
          <w:tcPr>
            <w:tcW w:w="1194"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当事人名称、违法失信行为的具体情形、处理依据、处理结果、处理日期、执法机关名称等。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cs="宋体"/>
                <w:color w:val="000000"/>
                <w:kern w:val="2"/>
                <w:sz w:val="20"/>
                <w:szCs w:val="20"/>
                <w:lang w:val="en-US" w:eastAsia="zh-CN" w:bidi="ar"/>
              </w:rPr>
              <w:t>县</w:t>
            </w:r>
            <w:r>
              <w:rPr>
                <w:rFonts w:hint="eastAsia" w:ascii="宋体" w:hAnsi="宋体" w:eastAsia="宋体" w:cs="宋体"/>
                <w:color w:val="000000"/>
                <w:kern w:val="2"/>
                <w:sz w:val="20"/>
                <w:szCs w:val="20"/>
                <w:lang w:val="en-US" w:eastAsia="zh-CN" w:bidi="ar"/>
              </w:rPr>
              <w:t>财政</w:t>
            </w:r>
            <w:r>
              <w:rPr>
                <w:rFonts w:hint="eastAsia" w:ascii="宋体" w:hAnsi="宋体" w:cs="宋体"/>
                <w:color w:val="000000"/>
                <w:kern w:val="2"/>
                <w:sz w:val="20"/>
                <w:szCs w:val="20"/>
                <w:lang w:val="en-US" w:eastAsia="zh-CN" w:bidi="ar"/>
              </w:rPr>
              <w:t>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《政府采购质疑和投诉办法》（中华人民共和国财政部令第94号）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月度记录应当不晚于次月10日前公告</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■广西政府采购网■鹿寨县政府门户网站法定公开内容栏目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200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26</w:t>
            </w:r>
          </w:p>
        </w:tc>
        <w:tc>
          <w:tcPr>
            <w:tcW w:w="173"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国有土地使用权出让信息</w:t>
            </w: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土地出让计划</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1.明确国有建设用地供应指导思想和原则；</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2.提出国有建设用地供应政策导向；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3.确定国有建设用地供应总量、结构、布局、时序和方式；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4.落实计划供应的宗地；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5.实施计划的保障措施；</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6.年度土地供应总量、不同用途土地供应面积、地段以及供地时间。</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招标拍卖挂牌出让国有建设用地使用权规定》（国土资源部令第39号）、《公共资源交易领域基层政务公开标准指引》（发改办法规〔2019〕752号）、《协议出让国有土地使用权规定》（国土资源部令第21号）、《国有建设用地供应计划编制规范》(试行)（国土资发〔2010〕117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每年3月31日前，公布年度国有建设用地供应计划</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■政府网站部门集约栏目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242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27</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招标拍卖挂牌出让公告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1.出让人的名称和地址；</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2.出让宗地的面积、界址、空间范围、现状、使用年期、用途、规划指标要求；</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3.投标人、竞买人的资格要求以及申请取得投标、竞买资格的办法；</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4.索取招标拍卖挂牌出让文件的时间、地点和方式；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5.招标拍卖挂牌时间、地点、投标挂牌期限、投标和竞价方式等；</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6.确定中标人、竞得人的标准和方法；</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7.投标、竞买保证金；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8.其他需要公告的事项。</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24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公共资源交易领域基层政务公开标准指引》（发改办法规〔2019〕752号）、《招标拍卖挂牌出让国有建设用地使用权规定》（国土资源部令第39号）</w:t>
            </w:r>
            <w:r>
              <w:rPr>
                <w:rFonts w:hint="eastAsia" w:ascii="宋体" w:hAnsi="宋体" w:eastAsia="宋体" w:cs="宋体"/>
                <w:color w:val="000000"/>
                <w:kern w:val="2"/>
                <w:sz w:val="20"/>
                <w:szCs w:val="20"/>
                <w:lang w:val="en-US" w:eastAsia="zh-CN" w:bidi="ar"/>
              </w:rPr>
              <w:br w:type="textWrapping"/>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至少在投标、拍卖或者挂牌开始日前20日。挂牌时间不得少于10日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■中国土地市场网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■政府网站部门集约栏目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258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28</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公告调整</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国有建设用地使用权出让公告、项目概况、澄清或者修改事项、联系方式。</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《招标拍卖挂牌出让国有土地使用权规范》（国土资发〔2006〕114号）、《公共资源交易领域基层政务公开标准指引》（发改办法规〔2019〕752号）、《协议出让国有土地使用权规定》（国土资源部令第21号）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按原公告发布渠道及时发布补充公告，涉及土地使用条件变更等影响土地价格的重大变动，补充公告发布时间距招拍挂活动开始时间少于20日的，招拍挂活动相应顺延</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■中国土地市场网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■政府网站法定公开内容栏目中国有土地使用权出让</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224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29</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招标拍卖挂牌出让结果（成交公示）</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土地位置、面积、用途、开发程度、土地级别、容积率、出让年限、供地方式、受让人、成交价格和成交时间等。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公共资源交易领域基层政务公开标准指引》（发改办法规〔2019〕752号）、《招标拍卖挂牌出让国有建设用地使用权规定》（国土资源部令第39号）、《招标拍卖挂牌出让国有土地使用权规范》（国土资发〔2006〕114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招标拍卖挂牌活动结束后的10个工作日内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■中国土地市场网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■政府网站法定公开内容栏目中国有土地使用权出让</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23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30</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协议出让结果</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土地位置、面积、用途、开发程度、土地级别、容积率、出让年限、供地方式、受让人、成交价格和成交时间等。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《国务院办公厅关于推进公共资源配置领域政府信息公开的意见》（国办发〔2017〕97号）、《协议出让国有土地使用权规定》（国土资源部令第21号）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《国有土地使用权出让合同》签订后7日内，公布时间不得少于15日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■中国土地市场网</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■政府网站法定公开内容栏目中国有土地使用权出让</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154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31</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供应结果</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国有建设用地使用权年度供应结果。</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《国务院办公厅关于推进公共资源配置领域政府信息公开的意见》（国办发〔2017〕97号）、《公共资源交易领域基层政务公开标准指引》（发改办法规〔2019〕752号）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■政府网站法定公开内容栏目中国有土地使用权出让</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312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32</w:t>
            </w:r>
          </w:p>
        </w:tc>
        <w:tc>
          <w:tcPr>
            <w:tcW w:w="173"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矿业权出让信息</w:t>
            </w: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招标拍卖挂牌出让公告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1.出让人和矿业权交易平台的名称、场所；</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出让矿业权的简要情况，包括项目名称、矿种、地理位置、拐点范围坐标、面积、资源储量（勘查工作程度）、开采标高、资源开发利用情况、拟出让年限等，以及勘查投入、矿山地质环境保护及土地复垦要求等；</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3.投标人或竞买人的资质条件；</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4.出让方式及交易时间、地点；</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5.获取招拍挂文件的途径和申请登记的起止时间及方式；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6.确定中标人、竞得人的标准和方法；</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7.风险提示；</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8.对交易矿业权异议的处理方式；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9.公共资源交易领域失信联合惩戒相关提示；</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10.需要公告的其他内容。</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公共资源交易领域基层政务公开标准指引》（发改办法规〔2019〕752号）、《国土资源部关于印发矿业权交易规则的通知》（国土资规（2017) 7号）、《自然资源部关于调整&lt;矿业权交易规则&gt;有关规定的通知》（自然资发（2018) 175号）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在投标截止日、公开拍卖日或者挂牌起始日20个工作日前发布。挂牌时间不得少于10个工作日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■政府网站部门集约栏目</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■矿业权交易平台交易大厅</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258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33</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招标拍卖挂牌成交结果公示</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1.中标人或者竞得人的名称、场所；</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2.成交时间、地点；</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3.中标或者竞得的勘查区块、面积、开采范围的简要情况；</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4.矿业权成交价格及缴纳时间、方式；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5.申请办理矿业权登记的时限；</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6.对公示内容提出异议的方式及途径；</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7.应当公示的其他内容。</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公共资源交易领域基层政务公开标准指引》（发改办法规〔2019〕752号）、《国土资源部关于印发矿业权交易规则的通知》（国土资规（2017) 7号）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发出中标通知书或者签订成交确认书后5个工作日内进行信息公示。公示期不少于10个工作日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■政府网站部门集约栏目</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■矿业权交易平台交易大厅</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268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34</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以协议方式出让矿业权的成交结果公示</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1.受让人名称；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2.项目名称或者矿山名称；</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3.中标或者竞得的勘查区块、面积、开采范围的简要情况；</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4.矿业权成交价格及缴纳时间、方式；</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5.申请办理矿业权登记的时限；</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6.对公示内容提出异议的方式及途径；</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7.应当公示的其他内容。</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《国务院办公厅关于推进公共资源配置领域政府信息公开的意见》（国办发〔2017〕97号）、《国土资源部关于印发矿业权交易规则的通知》（国土资规（2017) 7号）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在确定协议出让矿业权受让人和出让范围后、申请登记前</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■政府网站部门集约栏目</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■矿业权交易平台交易大厅</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158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35</w:t>
            </w:r>
          </w:p>
        </w:tc>
        <w:tc>
          <w:tcPr>
            <w:tcW w:w="173" w:type="pct"/>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审批结果信息</w:t>
            </w:r>
          </w:p>
        </w:tc>
        <w:tc>
          <w:tcPr>
            <w:tcW w:w="119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每个项目的审批结果信息（交易完成后由各级自然资源管理部门审批）</w:t>
            </w:r>
          </w:p>
        </w:tc>
        <w:tc>
          <w:tcPr>
            <w:tcW w:w="2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p>
        </w:tc>
        <w:tc>
          <w:tcPr>
            <w:tcW w:w="1291"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《中华人民共和国政府信息公开条例》、《国务院办公厅关于推进公共资源配置领域政府信息公开的意见》（国办发〔2017〕97号）、《公共资源交易领域基层政务公开标准指引》（发改办法规〔2019〕752号）</w:t>
            </w:r>
          </w:p>
        </w:tc>
        <w:tc>
          <w:tcPr>
            <w:tcW w:w="65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自信息形成或者变更之日起20个工作日内（属于行政许可信息的，公开时限为7个工作日）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■政府网站部门集约栏目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168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36</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项目信息</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公告有效期内矿业权基本信息包括矿业权名称、许可证号、矿业权人、矿种、有效期限。</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县自然资源</w:t>
            </w:r>
            <w:r>
              <w:rPr>
                <w:rFonts w:hint="eastAsia" w:ascii="宋体" w:hAnsi="宋体" w:cs="宋体"/>
                <w:color w:val="000000"/>
                <w:kern w:val="2"/>
                <w:sz w:val="20"/>
                <w:szCs w:val="20"/>
                <w:lang w:val="en-US" w:eastAsia="zh-CN" w:bidi="ar"/>
              </w:rPr>
              <w:t>和规划局</w:t>
            </w:r>
            <w:bookmarkStart w:id="0" w:name="_GoBack"/>
            <w:bookmarkEnd w:id="0"/>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《中华人民共和国政府信息公开条例》、《国务院办公厅关于推进公共资源配置领域政府信息公开的意见》（国办发〔2017〕97号）、《公共资源交易领域基层政务公开标准指引》（发改办法规〔2019〕752号）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每年一季度集中公告</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■政府网站部门集约栏目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10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37</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矿业权交易规则</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公开交易服务指南、交易程序、交易流程、格式文书等，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矿业权交易平台</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《国土资源部关于印发矿业权交易规则的通知》（国土资规（2017) 7号）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■矿业权交易平台交易大厅</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148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38</w:t>
            </w:r>
          </w:p>
        </w:tc>
        <w:tc>
          <w:tcPr>
            <w:tcW w:w="173" w:type="pct"/>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国有产权交易信息</w:t>
            </w: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决策及批准信息</w:t>
            </w:r>
          </w:p>
        </w:tc>
        <w:tc>
          <w:tcPr>
            <w:tcW w:w="119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公开交易决策及标准文件、审计结果信息。</w:t>
            </w:r>
          </w:p>
        </w:tc>
        <w:tc>
          <w:tcPr>
            <w:tcW w:w="2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eastAsia="宋体"/>
                <w:color w:val="000000"/>
                <w:kern w:val="2"/>
                <w:sz w:val="20"/>
                <w:szCs w:val="20"/>
                <w:lang w:val="en-US" w:eastAsia="zh-CN"/>
              </w:rPr>
            </w:pPr>
            <w:r>
              <w:rPr>
                <w:rFonts w:hint="eastAsia" w:ascii="宋体" w:hAnsi="宋体" w:eastAsia="宋体" w:cs="宋体"/>
                <w:i w:val="0"/>
                <w:color w:val="000000"/>
                <w:kern w:val="0"/>
                <w:sz w:val="18"/>
                <w:szCs w:val="18"/>
                <w:u w:val="none"/>
                <w:lang w:val="en-US" w:eastAsia="zh-CN" w:bidi="ar-SA"/>
              </w:rPr>
              <w:t>产权转让事项的批准部门或机构</w:t>
            </w:r>
          </w:p>
        </w:tc>
        <w:tc>
          <w:tcPr>
            <w:tcW w:w="1291"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《国务院办公厅关于推进公共资源配置领域政府信息公开的意见》（国办发〔2017〕97号）、《企业国有资产交易监督管理办法》（国资委 财政部令第32号）</w:t>
            </w:r>
          </w:p>
        </w:tc>
        <w:tc>
          <w:tcPr>
            <w:tcW w:w="65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自信息形成或者变更之日起20个工作日（但涉及商业秘密的，可依申请公开或不公开）</w:t>
            </w:r>
          </w:p>
        </w:tc>
        <w:tc>
          <w:tcPr>
            <w:tcW w:w="30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■政府网站部门集约栏目</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■产权交易机构网站</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240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39</w:t>
            </w:r>
          </w:p>
        </w:tc>
        <w:tc>
          <w:tcPr>
            <w:tcW w:w="173" w:type="pct"/>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国有企业产权转让信息预披露</w:t>
            </w:r>
          </w:p>
        </w:tc>
        <w:tc>
          <w:tcPr>
            <w:tcW w:w="119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1.转让标的基本情况；</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2.转让标的企业的股东结构；</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3.产权转让行为的决策及批准情况；</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转让标的企业最近一个年度审计报告和最近一期财务报表中的主要财务指标数据，包括但不限于资产总额、负债总额、所有者权益、营业收入、净利润等（转让参股权的，披露最近一个年度审计报告中的相应数据）；</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5.受让方资格条件（适用于对受让方有特殊要求的情形）；</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6.其他需要披露的事项。</w:t>
            </w:r>
          </w:p>
        </w:tc>
        <w:tc>
          <w:tcPr>
            <w:tcW w:w="24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转让方或产权交易机构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《企业国有资产交易监督管理办法》（国资委 财政部令第32号）、《国务院办公厅关于推进公共资源配置领域政府信息公开的意见》（国办发〔2017〕97号）、《公共资源交易领域基层政务公开标准指引》（发改办法规〔2019〕752号）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因产权转让导致转让标的企业的实际控制权发生转移的，在转让行为获批后10个工作日内进行信息预披露，时间不得少于20个工作日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■产权交易机构网站</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■政府网站部门集约栏目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288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40</w:t>
            </w:r>
          </w:p>
        </w:tc>
        <w:tc>
          <w:tcPr>
            <w:tcW w:w="173" w:type="pct"/>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国有企业产权转让信息披露</w:t>
            </w:r>
          </w:p>
        </w:tc>
        <w:tc>
          <w:tcPr>
            <w:tcW w:w="119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1.转让标的基本情况；</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2.转让标的企业的股东结构；</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3.产权转让行为的决策及批准情况；</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4.转让标的企业最近一个年度审计报告和最近一期财务报表中的主要财务指标数据，包括但不限于资产总额、负债总额、所有者权益、营业收入、净利润等（转让参股权的，披露最近一个年度审计报告中的相应数据）；</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5.受让方资格条件（适用于对受让方有特殊要求的情形）；</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6.交易条件、转让底价；</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7.企业管理层是否参与受让，有限责任公司原股东是否放弃优先受让权；</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8.竞价方式，受让方选择的相关评判标准；</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9.其他需要披露的事项。</w:t>
            </w:r>
          </w:p>
        </w:tc>
        <w:tc>
          <w:tcPr>
            <w:tcW w:w="24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转让方或产权交易机构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《企业国有资产交易监督管理办法》（国资委 财政部令第32号）、《国务院办公厅关于推进公共资源配置领域政府信息公开的意见》（国办发〔2017〕97号）、《公共资源交易领域基层政务公开标准指引》（发改办法规〔2019〕752号）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及时公开，正式披露信息时间不得少于20个工作日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■产权交易机构网站</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■政府网站部门集约栏目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r>
      <w:tr>
        <w:tblPrEx>
          <w:tblCellMar>
            <w:top w:w="0" w:type="dxa"/>
            <w:left w:w="0" w:type="dxa"/>
            <w:bottom w:w="0" w:type="dxa"/>
            <w:right w:w="0" w:type="dxa"/>
          </w:tblCellMar>
        </w:tblPrEx>
        <w:trPr>
          <w:trHeight w:val="12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41</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国有企业产权转让成交公告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交易标的名称、转让标的评估结果、转让底价、交易价格。</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产权交易机构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《企业国有资产交易监督管理办法》（国资委 财政部令第32号）、《国务院办公厅关于推进公共资源配置领域政府信息公开的意见》（国办发〔2017〕97号）、《公共资源交易领域基层政务公开标准指引》（发改办法规〔2019〕752号）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产权交易合同生效后，公告期不少于5个工作日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■产权交易机构网站</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■政府网站部门集约栏目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256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42</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国有企业资产转让信息披露</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标的基本情况、交易条件、转让底价、竞价方式、受让方选择的相关评判标准等。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转让方</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《企业国有资产交易监督管理办法》（国资委 财政部令第32号）、《国务院办公厅关于推进公共资源配置领域政府信息公开的意见》（国办发〔2017〕97号）、《公共资源交易领域基层政务公开标准指引》（发改办法规〔2019〕752号）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转让底价高于100万元、低于1000万元的资产转让项目，信息公告期应不少于10个工作日；转让底价高于1000万元的资产转让项目，信息公告期应不少于20个工作日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■产权交易机构网站</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■政府网站部门集约栏目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1240" w:hRule="atLeast"/>
          <w:jc w:val="center"/>
        </w:trPr>
        <w:tc>
          <w:tcPr>
            <w:tcW w:w="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43</w:t>
            </w:r>
          </w:p>
        </w:tc>
        <w:tc>
          <w:tcPr>
            <w:tcW w:w="173"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国有企业资产转让成交公告</w:t>
            </w:r>
          </w:p>
        </w:tc>
        <w:tc>
          <w:tcPr>
            <w:tcW w:w="119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交易标的名称、评估价格、转让底价、交易价格等。</w:t>
            </w:r>
          </w:p>
        </w:tc>
        <w:tc>
          <w:tcPr>
            <w:tcW w:w="24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产权交易机构</w:t>
            </w:r>
          </w:p>
        </w:tc>
        <w:tc>
          <w:tcPr>
            <w:tcW w:w="129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《企业国有资产交易监督管理办法》（国资委 财政部令第32号）、《国务院办公厅关于推进公共资源配置领域政府信息公开的意见》（国办发〔2017〕97号）、《公共资源交易领域基层政务公开标准指引》（发改办法规〔2019〕752号）</w:t>
            </w:r>
          </w:p>
        </w:tc>
        <w:tc>
          <w:tcPr>
            <w:tcW w:w="6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不少于5个工作日</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color w:val="000000"/>
                <w:kern w:val="2"/>
                <w:sz w:val="20"/>
                <w:szCs w:val="20"/>
                <w:lang w:val="en-US"/>
              </w:rPr>
            </w:pPr>
            <w:r>
              <w:rPr>
                <w:rFonts w:hint="eastAsia" w:ascii="宋体" w:hAnsi="宋体" w:eastAsia="宋体" w:cs="宋体"/>
                <w:color w:val="000000"/>
                <w:kern w:val="2"/>
                <w:sz w:val="20"/>
                <w:szCs w:val="20"/>
                <w:lang w:val="en-US" w:eastAsia="zh-CN" w:bidi="ar"/>
              </w:rPr>
              <w:t>■产权交易机构网站</w:t>
            </w:r>
            <w:r>
              <w:rPr>
                <w:rFonts w:hint="eastAsia" w:ascii="宋体" w:hAnsi="宋体" w:eastAsia="宋体" w:cs="宋体"/>
                <w:color w:val="000000"/>
                <w:kern w:val="2"/>
                <w:sz w:val="20"/>
                <w:szCs w:val="20"/>
                <w:lang w:val="en-US" w:eastAsia="zh-CN" w:bidi="ar"/>
              </w:rPr>
              <w:br w:type="textWrapping"/>
            </w:r>
            <w:r>
              <w:rPr>
                <w:rFonts w:hint="eastAsia" w:ascii="宋体" w:hAnsi="宋体" w:eastAsia="宋体" w:cs="宋体"/>
                <w:color w:val="000000"/>
                <w:kern w:val="2"/>
                <w:sz w:val="20"/>
                <w:szCs w:val="20"/>
                <w:lang w:val="en-US" w:eastAsia="zh-CN" w:bidi="ar"/>
              </w:rPr>
              <w:t>■政府网站部门集约栏目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144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44</w:t>
            </w:r>
          </w:p>
        </w:tc>
        <w:tc>
          <w:tcPr>
            <w:tcW w:w="173" w:type="pct"/>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公共资源交易服务办事指南</w:t>
            </w: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交易项目预约登记及信息发布办理指南</w:t>
            </w:r>
          </w:p>
        </w:tc>
        <w:tc>
          <w:tcPr>
            <w:tcW w:w="119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事项名称、设定依据、申请条件、办理材料、办理机构、收费标准、办理流程、办理地点、办理时间、联系电话、办理时限、系统操作手册。</w:t>
            </w:r>
          </w:p>
        </w:tc>
        <w:tc>
          <w:tcPr>
            <w:tcW w:w="2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鹿寨县公共资源交易中心</w:t>
            </w:r>
          </w:p>
        </w:tc>
        <w:tc>
          <w:tcPr>
            <w:tcW w:w="1291"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国务院办公厅关于印发整合建立统一的公共资源交易平台工作方案的通知》（国办发〔2015〕63号）、《公共资源交易平台管理暂行办法》（国家发改委等十四部委2016年第39号令）、《电子招标投标办法》（国家发改委2013年第20号令）、《公共资源交易平台服务标准（试行）》（发改办法规〔2019〕509号）</w:t>
            </w:r>
          </w:p>
        </w:tc>
        <w:tc>
          <w:tcPr>
            <w:tcW w:w="65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自信息形成或者变更之日起20个工作日内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■政府网站公共资源配置栏目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116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45</w:t>
            </w:r>
          </w:p>
        </w:tc>
        <w:tc>
          <w:tcPr>
            <w:tcW w:w="173" w:type="pct"/>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网上获取文件办理指南</w:t>
            </w:r>
          </w:p>
        </w:tc>
        <w:tc>
          <w:tcPr>
            <w:tcW w:w="119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事项名称、设定依据、申请条件、办理材料、办理机构、收费标准、办理流程、办理地点、办理时间、联系电话、办理时限、系统操作手册。</w:t>
            </w:r>
          </w:p>
        </w:tc>
        <w:tc>
          <w:tcPr>
            <w:tcW w:w="2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鹿寨县公共资源交易中心</w:t>
            </w:r>
          </w:p>
        </w:tc>
        <w:tc>
          <w:tcPr>
            <w:tcW w:w="1291"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《公共资源交易平台服务标准（试行）》（发改办法规〔2019〕509号）</w:t>
            </w:r>
          </w:p>
        </w:tc>
        <w:tc>
          <w:tcPr>
            <w:tcW w:w="65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自信息形成或者变更之日起20个工作日内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■政府网站公共资源配置栏目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128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46</w:t>
            </w:r>
          </w:p>
        </w:tc>
        <w:tc>
          <w:tcPr>
            <w:tcW w:w="173" w:type="pct"/>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专家抽取办理指南</w:t>
            </w:r>
          </w:p>
        </w:tc>
        <w:tc>
          <w:tcPr>
            <w:tcW w:w="119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事项名称、设定依据、申请条件、办理材料、办理机构、收费标准、办理流程、办理地点、办理时间、联系电话、办理时限、系统操作手册。</w:t>
            </w:r>
          </w:p>
        </w:tc>
        <w:tc>
          <w:tcPr>
            <w:tcW w:w="2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鹿寨县公共资源交易中心</w:t>
            </w:r>
          </w:p>
        </w:tc>
        <w:tc>
          <w:tcPr>
            <w:tcW w:w="1291"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《公共资源交易平台服务标准（试行）》（发改办法规〔2019〕509号）、《广西壮族自治区政务服务监督管理办公室关于印发公共资源交易评标专家抽取规则（试行）的通知》（桂政管办发〔2017〕21号）</w:t>
            </w:r>
          </w:p>
        </w:tc>
        <w:tc>
          <w:tcPr>
            <w:tcW w:w="65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自信息形成或者变更之日起20个工作日内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■政府网站公共资源配置栏目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126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47</w:t>
            </w:r>
          </w:p>
        </w:tc>
        <w:tc>
          <w:tcPr>
            <w:tcW w:w="173" w:type="pct"/>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政府采购项目样品收退办理指南</w:t>
            </w:r>
          </w:p>
        </w:tc>
        <w:tc>
          <w:tcPr>
            <w:tcW w:w="119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事项名称、设定依据、申请条件、办理材料、办理机构、收费标准、办理流程、办理地点、办理时间、联系电话、办理时限。</w:t>
            </w:r>
          </w:p>
        </w:tc>
        <w:tc>
          <w:tcPr>
            <w:tcW w:w="2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鹿寨县公共资源交易中心</w:t>
            </w:r>
          </w:p>
        </w:tc>
        <w:tc>
          <w:tcPr>
            <w:tcW w:w="1291"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《政府采购货物和服务招标投标管理办法》（财政部令第87号）</w:t>
            </w:r>
          </w:p>
        </w:tc>
        <w:tc>
          <w:tcPr>
            <w:tcW w:w="65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自信息形成或者变更之日起20个工作日内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■政府网站公共资源配置栏目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r>
              <w:rPr>
                <w:rFonts w:hint="eastAsia" w:ascii="宋体" w:hAnsi="宋体" w:eastAsia="宋体" w:cs="宋体"/>
                <w:color w:val="000000"/>
                <w:kern w:val="2"/>
                <w:sz w:val="22"/>
                <w:szCs w:val="22"/>
                <w:lang w:val="en-US" w:eastAsia="zh-CN" w:bidi="ar"/>
              </w:rPr>
              <w:t>√</w:t>
            </w:r>
          </w:p>
        </w:tc>
      </w:tr>
      <w:tr>
        <w:tblPrEx>
          <w:tblCellMar>
            <w:top w:w="0" w:type="dxa"/>
            <w:left w:w="0" w:type="dxa"/>
            <w:bottom w:w="0" w:type="dxa"/>
            <w:right w:w="0" w:type="dxa"/>
          </w:tblCellMar>
        </w:tblPrEx>
        <w:trPr>
          <w:trHeight w:val="1300" w:hRule="atLeast"/>
          <w:jc w:val="center"/>
        </w:trPr>
        <w:tc>
          <w:tcPr>
            <w:tcW w:w="8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color w:val="000000"/>
                <w:kern w:val="2"/>
                <w:sz w:val="20"/>
                <w:szCs w:val="20"/>
                <w:lang w:val="en-US"/>
              </w:rPr>
            </w:pPr>
            <w:r>
              <w:rPr>
                <w:rFonts w:hint="eastAsia" w:ascii="宋体" w:hAnsi="宋体" w:eastAsia="宋体" w:cs="宋体"/>
                <w:color w:val="000000"/>
                <w:kern w:val="2"/>
                <w:sz w:val="20"/>
                <w:szCs w:val="20"/>
                <w:lang w:val="en-US" w:eastAsia="zh-CN" w:bidi="ar"/>
              </w:rPr>
              <w:t>48</w:t>
            </w:r>
          </w:p>
        </w:tc>
        <w:tc>
          <w:tcPr>
            <w:tcW w:w="173" w:type="pct"/>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27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投标保证金收退须知</w:t>
            </w:r>
          </w:p>
        </w:tc>
        <w:tc>
          <w:tcPr>
            <w:tcW w:w="119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事项名称、设定依据、申请条件、办理材料、办理机构、办理流程、办理地点、办理时间、联系电话、办理时限。</w:t>
            </w:r>
          </w:p>
        </w:tc>
        <w:tc>
          <w:tcPr>
            <w:tcW w:w="2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18"/>
                <w:szCs w:val="18"/>
                <w:lang w:val="en-US"/>
              </w:rPr>
            </w:pPr>
            <w:r>
              <w:rPr>
                <w:rFonts w:hint="eastAsia" w:ascii="宋体" w:hAnsi="宋体" w:eastAsia="宋体" w:cs="宋体"/>
                <w:color w:val="000000"/>
                <w:kern w:val="2"/>
                <w:sz w:val="18"/>
                <w:szCs w:val="18"/>
                <w:lang w:val="en-US" w:eastAsia="zh-CN" w:bidi="ar"/>
              </w:rPr>
              <w:t>鹿寨县公共资源交易中心</w:t>
            </w:r>
          </w:p>
        </w:tc>
        <w:tc>
          <w:tcPr>
            <w:tcW w:w="1291"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《公共资源交易平台服务标准（试行）》（发改办法规〔2019〕509号）、《广西壮族自治区政务服务监督管理办公室关于印发&lt;公共资源交易保证金管理暂行办法&gt;的通知》（桂政管办发〔2016〕9号）</w:t>
            </w:r>
          </w:p>
        </w:tc>
        <w:tc>
          <w:tcPr>
            <w:tcW w:w="65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0"/>
                <w:szCs w:val="20"/>
                <w:lang w:val="en-US"/>
              </w:rPr>
            </w:pPr>
            <w:r>
              <w:rPr>
                <w:rFonts w:hint="eastAsia" w:ascii="宋体" w:hAnsi="宋体" w:eastAsia="宋体" w:cs="宋体"/>
                <w:color w:val="000000"/>
                <w:kern w:val="2"/>
                <w:sz w:val="20"/>
                <w:szCs w:val="20"/>
                <w:lang w:val="en-US" w:eastAsia="zh-CN" w:bidi="ar"/>
              </w:rPr>
              <w:t>自信息形成或者变更之日起20个工作日内</w:t>
            </w:r>
          </w:p>
        </w:tc>
        <w:tc>
          <w:tcPr>
            <w:tcW w:w="3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color w:val="000000"/>
                <w:kern w:val="2"/>
                <w:sz w:val="18"/>
                <w:szCs w:val="18"/>
                <w:lang w:val="en-US"/>
              </w:rPr>
            </w:pPr>
            <w:r>
              <w:rPr>
                <w:rFonts w:hint="eastAsia" w:ascii="宋体" w:hAnsi="宋体" w:eastAsia="宋体" w:cs="宋体"/>
                <w:color w:val="000000"/>
                <w:kern w:val="2"/>
                <w:sz w:val="18"/>
                <w:szCs w:val="18"/>
                <w:lang w:val="en-US" w:eastAsia="zh-CN" w:bidi="ar"/>
              </w:rPr>
              <w:t>■政府网站公共资源配置栏目</w:t>
            </w:r>
          </w:p>
        </w:tc>
        <w:tc>
          <w:tcPr>
            <w:tcW w:w="10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1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color w:val="000000"/>
                <w:kern w:val="2"/>
                <w:sz w:val="22"/>
                <w:szCs w:val="22"/>
                <w:lang w:val="en-US"/>
              </w:rPr>
            </w:pPr>
            <w:r>
              <w:rPr>
                <w:rFonts w:hint="eastAsia" w:ascii="宋体" w:hAnsi="宋体" w:eastAsia="宋体" w:cs="宋体"/>
                <w:color w:val="000000"/>
                <w:kern w:val="2"/>
                <w:sz w:val="22"/>
                <w:szCs w:val="22"/>
                <w:lang w:val="en-US" w:eastAsia="zh-CN" w:bidi="ar"/>
              </w:rPr>
              <w:t>√</w:t>
            </w:r>
          </w:p>
        </w:tc>
        <w:tc>
          <w:tcPr>
            <w:tcW w:w="205"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Times New Roman"/>
                <w:color w:val="000000"/>
                <w:kern w:val="2"/>
                <w:sz w:val="21"/>
                <w:szCs w:val="22"/>
              </w:rPr>
            </w:pPr>
            <w:r>
              <w:rPr>
                <w:rFonts w:hint="eastAsia" w:ascii="宋体" w:hAnsi="宋体" w:eastAsia="宋体" w:cs="宋体"/>
                <w:color w:val="000000"/>
                <w:kern w:val="2"/>
                <w:sz w:val="22"/>
                <w:szCs w:val="22"/>
                <w:lang w:val="en-US" w:eastAsia="zh-CN" w:bidi="ar"/>
              </w:rPr>
              <w:t>√</w:t>
            </w:r>
          </w:p>
        </w:tc>
      </w:tr>
    </w:tbl>
    <w:p>
      <w:pPr>
        <w:spacing w:line="400" w:lineRule="exact"/>
        <w:jc w:val="both"/>
        <w:rPr>
          <w:rFonts w:hint="eastAsia" w:ascii="仿宋_GB2312" w:hAnsi="仿宋_GB2312" w:eastAsia="仿宋_GB2312" w:cs="仿宋_GB2312"/>
          <w:sz w:val="32"/>
          <w:szCs w:val="32"/>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86FC2"/>
    <w:rsid w:val="1D44035E"/>
    <w:rsid w:val="2F6E5E64"/>
    <w:rsid w:val="3CC90960"/>
    <w:rsid w:val="5CC763CC"/>
    <w:rsid w:val="664B15FA"/>
    <w:rsid w:val="73086FC2"/>
    <w:rsid w:val="78F5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ascii="宋体" w:hAnsi="宋体"/>
      <w:b/>
      <w:kern w:val="0"/>
      <w:sz w:val="27"/>
      <w:szCs w:val="27"/>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2020-11-27T02:36:00Z</dcterms:created>
  <dc:creator>我是一只猪</dc:creator>
  <cp:lastModifiedBy>我是一只猪</cp:lastModifiedBy>
  <dcterms:modified xsi:type="dcterms:W3CDTF">2020-12-04T08:52:07Z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