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宋体" w:hAnsi="宋体" w:eastAsia="宋体" w:cs="Times New Roman"/>
          <w:b/>
          <w:color w:val="FF0000"/>
          <w:sz w:val="52"/>
        </w:rPr>
      </w:pPr>
      <w:r>
        <w:rPr>
          <w:rFonts w:hint="eastAsia" w:ascii="宋体" w:hAnsi="宋体" w:eastAsia="宋体" w:cs="Times New Roman"/>
          <w:b/>
          <w:color w:val="FF0000"/>
          <w:sz w:val="52"/>
        </w:rPr>
        <mc:AlternateContent>
          <mc:Choice Requires="wps">
            <w:drawing>
              <wp:anchor distT="0" distB="0" distL="114300" distR="114300" simplePos="0" relativeHeight="251660288" behindDoc="0" locked="0" layoutInCell="1" allowOverlap="1">
                <wp:simplePos x="0" y="0"/>
                <wp:positionH relativeFrom="column">
                  <wp:posOffset>-294005</wp:posOffset>
                </wp:positionH>
                <wp:positionV relativeFrom="paragraph">
                  <wp:posOffset>27305</wp:posOffset>
                </wp:positionV>
                <wp:extent cx="6560820" cy="781685"/>
                <wp:effectExtent l="0" t="0" r="0" b="0"/>
                <wp:wrapNone/>
                <wp:docPr id="2" name="矩形 2"/>
                <wp:cNvGraphicFramePr/>
                <a:graphic xmlns:a="http://schemas.openxmlformats.org/drawingml/2006/main">
                  <a:graphicData uri="http://schemas.microsoft.com/office/word/2010/wordprocessingShape">
                    <wps:wsp>
                      <wps:cNvSpPr/>
                      <wps:spPr>
                        <a:xfrm>
                          <a:off x="0" y="0"/>
                          <a:ext cx="6560820" cy="781685"/>
                        </a:xfrm>
                        <a:prstGeom prst="rect">
                          <a:avLst/>
                        </a:prstGeom>
                        <a:noFill/>
                        <a:ln>
                          <a:noFill/>
                        </a:ln>
                      </wps:spPr>
                      <wps:txbx>
                        <w:txbxContent>
                          <w:p>
                            <w:pPr>
                              <w:jc w:val="distribute"/>
                              <w:rPr>
                                <w:rFonts w:hint="eastAsia" w:ascii="宋体" w:hAnsi="宋体"/>
                                <w:b/>
                                <w:color w:val="FF0000"/>
                                <w:spacing w:val="0"/>
                                <w:sz w:val="32"/>
                              </w:rPr>
                            </w:pPr>
                            <w:r>
                              <w:rPr>
                                <w:rFonts w:hint="eastAsia" w:ascii="Times New Roman" w:hAnsi="Times New Roman" w:eastAsia="方正小标宋简体" w:cs="Times New Roman"/>
                                <w:color w:val="FF0000"/>
                                <w:spacing w:val="0"/>
                                <w:sz w:val="48"/>
                                <w:szCs w:val="48"/>
                                <w:lang w:val="en-US" w:eastAsia="zh-CN"/>
                              </w:rPr>
                              <w:t>鹿寨县迎接国家卫生县城复审工作领导小组</w:t>
                            </w:r>
                          </w:p>
                        </w:txbxContent>
                      </wps:txbx>
                      <wps:bodyPr upright="1"/>
                    </wps:wsp>
                  </a:graphicData>
                </a:graphic>
              </wp:anchor>
            </w:drawing>
          </mc:Choice>
          <mc:Fallback>
            <w:pict>
              <v:rect id="_x0000_s1026" o:spid="_x0000_s1026" o:spt="1" style="position:absolute;left:0pt;margin-left:-23.15pt;margin-top:2.15pt;height:61.55pt;width:516.6pt;z-index:251660288;mso-width-relative:page;mso-height-relative:page;" filled="f" stroked="f" coordsize="21600,21600" o:gfxdata="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bRko2gAAAAkBAAAPAAAA&#10;AAAAAAEAIAAAACIAAABkcnMvZG93bnJldi54bWxQSwECFAAUAAAACACHTuJAMMI9P6EBAABBAwAA&#10;DgAAAAAAAAABACAAAAApAQAAZHJzL2Uyb0RvYy54bWxQSwUGAAAAAAYABgBZAQAAPAUAAAAA&#10;">
                <v:fill on="f" focussize="0,0"/>
                <v:stroke on="f"/>
                <v:imagedata o:title=""/>
                <o:lock v:ext="edit" aspectratio="f"/>
                <v:textbox>
                  <w:txbxContent>
                    <w:p>
                      <w:pPr>
                        <w:jc w:val="distribute"/>
                        <w:rPr>
                          <w:rFonts w:hint="eastAsia" w:ascii="宋体" w:hAnsi="宋体"/>
                          <w:b/>
                          <w:color w:val="FF0000"/>
                          <w:spacing w:val="0"/>
                          <w:sz w:val="32"/>
                        </w:rPr>
                      </w:pPr>
                      <w:r>
                        <w:rPr>
                          <w:rFonts w:hint="eastAsia" w:ascii="Times New Roman" w:hAnsi="Times New Roman" w:eastAsia="方正小标宋简体" w:cs="Times New Roman"/>
                          <w:color w:val="FF0000"/>
                          <w:spacing w:val="0"/>
                          <w:sz w:val="48"/>
                          <w:szCs w:val="48"/>
                          <w:lang w:val="en-US" w:eastAsia="zh-CN"/>
                        </w:rPr>
                        <w:t>鹿寨县迎接国家卫生县城复审工作领导小组</w:t>
                      </w:r>
                    </w:p>
                  </w:txbxContent>
                </v:textbox>
              </v:rect>
            </w:pict>
          </mc:Fallback>
        </mc:AlternateContent>
      </w:r>
    </w:p>
    <w:p>
      <w:pPr>
        <w:jc w:val="distribute"/>
        <w:rPr>
          <w:rFonts w:hint="eastAsia"/>
          <w:color w:val="FF0000"/>
          <w:sz w:val="44"/>
        </w:rPr>
      </w:pPr>
    </w:p>
    <w:p>
      <w:pPr>
        <w:jc w:val="center"/>
        <w:rPr>
          <w:rFonts w:hint="eastAsia" w:ascii="宋体" w:hAnsi="宋体"/>
          <w:b/>
          <w:color w:val="FF0000"/>
          <w:sz w:val="96"/>
        </w:rPr>
      </w:pPr>
      <w:r>
        <w:rPr>
          <w:rFonts w:ascii="宋体" w:hAnsi="宋体"/>
          <w:b/>
          <w:color w:val="FF0000"/>
          <w:spacing w:val="170"/>
          <w:sz w:val="96"/>
          <w:szCs w:val="22"/>
        </w:rPr>
        <w:t>办公室</w:t>
      </w:r>
      <w:r>
        <w:rPr>
          <w:rFonts w:ascii="宋体" w:hAnsi="宋体"/>
          <w:b/>
          <w:color w:val="FF0000"/>
          <w:spacing w:val="170"/>
          <w:sz w:val="96"/>
        </w:rPr>
        <w:t>文件</w:t>
      </w:r>
    </w:p>
    <w:p>
      <w:pPr>
        <w:spacing w:line="420" w:lineRule="auto"/>
        <w:jc w:val="center"/>
        <w:outlineLvl w:val="0"/>
        <w:rPr>
          <w:rFonts w:hint="default" w:ascii="Times New Roman" w:hAnsi="Times New Roman" w:eastAsia="方正小标宋简体" w:cs="Times New Roman"/>
          <w:bCs/>
          <w:color w:val="FF3300"/>
          <w:spacing w:val="12"/>
          <w:sz w:val="21"/>
          <w:szCs w:val="21"/>
        </w:rPr>
      </w:pPr>
    </w:p>
    <w:p>
      <w:pPr>
        <w:spacing w:line="420" w:lineRule="auto"/>
        <w:jc w:val="center"/>
        <w:outlineLvl w:val="0"/>
        <w:rPr>
          <w:rFonts w:hint="eastAsia" w:ascii="仿宋_GB2312" w:hAnsi="仿宋_GB2312" w:eastAsia="仿宋_GB2312" w:cs="仿宋_GB2312"/>
          <w:bCs/>
          <w:color w:val="auto"/>
          <w:spacing w:val="12"/>
          <w:sz w:val="32"/>
          <w:szCs w:val="32"/>
        </w:rPr>
      </w:pPr>
      <w:r>
        <w:rPr>
          <w:rFonts w:hint="eastAsia" w:ascii="仿宋_GB2312" w:hAnsi="仿宋_GB2312" w:eastAsia="仿宋_GB2312" w:cs="仿宋_GB2312"/>
          <w:bCs/>
          <w:color w:val="auto"/>
          <w:spacing w:val="12"/>
          <w:sz w:val="32"/>
          <w:szCs w:val="32"/>
        </w:rPr>
        <w:t>鹿</w:t>
      </w:r>
      <w:r>
        <w:rPr>
          <w:rFonts w:hint="eastAsia" w:ascii="仿宋_GB2312" w:hAnsi="仿宋_GB2312" w:eastAsia="仿宋_GB2312" w:cs="仿宋_GB2312"/>
          <w:bCs/>
          <w:color w:val="auto"/>
          <w:spacing w:val="12"/>
          <w:sz w:val="32"/>
          <w:szCs w:val="32"/>
          <w:lang w:eastAsia="zh-CN"/>
        </w:rPr>
        <w:t>复审办</w:t>
      </w:r>
      <w:r>
        <w:rPr>
          <w:rFonts w:hint="eastAsia" w:ascii="仿宋_GB2312" w:hAnsi="仿宋_GB2312" w:eastAsia="仿宋_GB2312" w:cs="仿宋_GB2312"/>
          <w:bCs/>
          <w:color w:val="auto"/>
          <w:spacing w:val="12"/>
          <w:sz w:val="32"/>
          <w:szCs w:val="32"/>
        </w:rPr>
        <w:t>〔202</w:t>
      </w:r>
      <w:r>
        <w:rPr>
          <w:rFonts w:hint="eastAsia" w:ascii="仿宋_GB2312" w:hAnsi="仿宋_GB2312" w:eastAsia="仿宋_GB2312" w:cs="仿宋_GB2312"/>
          <w:bCs/>
          <w:color w:val="auto"/>
          <w:spacing w:val="12"/>
          <w:sz w:val="32"/>
          <w:szCs w:val="32"/>
          <w:lang w:val="en-US" w:eastAsia="zh-CN"/>
        </w:rPr>
        <w:t>3</w:t>
      </w:r>
      <w:r>
        <w:rPr>
          <w:rFonts w:hint="eastAsia" w:ascii="仿宋_GB2312" w:hAnsi="仿宋_GB2312" w:eastAsia="仿宋_GB2312" w:cs="仿宋_GB2312"/>
          <w:bCs/>
          <w:color w:val="auto"/>
          <w:spacing w:val="12"/>
          <w:sz w:val="32"/>
          <w:szCs w:val="32"/>
        </w:rPr>
        <w:t>〕</w:t>
      </w:r>
      <w:r>
        <w:rPr>
          <w:rFonts w:hint="eastAsia" w:ascii="仿宋_GB2312" w:hAnsi="仿宋_GB2312" w:eastAsia="仿宋_GB2312" w:cs="仿宋_GB2312"/>
          <w:bCs/>
          <w:color w:val="auto"/>
          <w:spacing w:val="12"/>
          <w:sz w:val="32"/>
          <w:szCs w:val="32"/>
          <w:lang w:val="en-US" w:eastAsia="zh-CN"/>
        </w:rPr>
        <w:t>9</w:t>
      </w:r>
      <w:r>
        <w:rPr>
          <w:rFonts w:hint="eastAsia" w:ascii="仿宋_GB2312" w:hAnsi="仿宋_GB2312" w:eastAsia="仿宋_GB2312" w:cs="仿宋_GB2312"/>
          <w:bCs/>
          <w:color w:val="auto"/>
          <w:spacing w:val="12"/>
          <w:sz w:val="32"/>
          <w:szCs w:val="3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sz w:val="13"/>
          <w:szCs w:val="13"/>
        </w:rPr>
      </w:pPr>
    </w:p>
    <w:p>
      <w:pPr>
        <w:autoSpaceDE w:val="0"/>
        <w:autoSpaceDN w:val="0"/>
        <w:adjustRightInd w:val="0"/>
        <w:jc w:val="both"/>
        <w:rPr>
          <w:rFonts w:hint="eastAsia"/>
          <w:color w:val="FF0000"/>
          <w:sz w:val="84"/>
          <w:szCs w:val="32"/>
          <w:u w:val="thick"/>
          <w:vertAlign w:val="superscript"/>
          <w:lang w:val="en-US" w:eastAsia="zh-CN"/>
        </w:rPr>
      </w:pPr>
      <w:r>
        <w:rPr>
          <w:rFonts w:hint="eastAsia"/>
          <w:color w:val="FF0000"/>
          <w:sz w:val="96"/>
          <w:szCs w:val="36"/>
          <w:u w:val="thick"/>
          <w:vertAlign w:val="superscript"/>
          <w:lang w:val="en-US" w:eastAsia="zh-CN"/>
        </w:rPr>
        <w:t xml:space="preserve"> </w:t>
      </w:r>
      <w:r>
        <w:rPr>
          <w:rFonts w:hint="eastAsia"/>
          <w:color w:val="FF0000"/>
          <w:sz w:val="72"/>
          <w:szCs w:val="32"/>
          <w:u w:val="thick"/>
          <w:vertAlign w:val="superscript"/>
          <w:lang w:val="en-US" w:eastAsia="zh-CN"/>
        </w:rPr>
        <w:t xml:space="preserve"> </w:t>
      </w:r>
      <w:r>
        <w:rPr>
          <w:rFonts w:hint="eastAsia"/>
          <w:color w:val="FF0000"/>
          <w:sz w:val="96"/>
          <w:szCs w:val="36"/>
          <w:u w:val="thick"/>
          <w:vertAlign w:val="superscript"/>
          <w:lang w:val="en-US" w:eastAsia="zh-CN"/>
        </w:rPr>
        <w:t xml:space="preserve">  </w:t>
      </w:r>
      <w:r>
        <w:rPr>
          <w:rFonts w:hint="eastAsia"/>
          <w:color w:val="FF0000"/>
          <w:sz w:val="84"/>
          <w:szCs w:val="32"/>
          <w:u w:val="thick"/>
          <w:vertAlign w:val="superscript"/>
          <w:lang w:val="en-US" w:eastAsia="zh-CN"/>
        </w:rPr>
        <w:t xml:space="preserve">     </w:t>
      </w:r>
      <w:r>
        <w:rPr>
          <w:rFonts w:hint="eastAsia"/>
          <w:color w:val="FF0000"/>
          <w:sz w:val="84"/>
          <w:szCs w:val="84"/>
          <w:u w:val="thick"/>
          <w:vertAlign w:val="superscript"/>
          <w:lang w:val="en-US" w:eastAsia="zh-CN"/>
        </w:rPr>
        <w:t xml:space="preserve"> </w:t>
      </w:r>
      <w:r>
        <w:rPr>
          <w:rFonts w:hint="eastAsia"/>
          <w:color w:val="FF0000"/>
          <w:sz w:val="84"/>
          <w:szCs w:val="32"/>
          <w:u w:val="thick"/>
          <w:vertAlign w:val="superscript"/>
          <w:lang w:val="en-US" w:eastAsia="zh-CN"/>
        </w:rPr>
        <w:t xml:space="preserve">     </w:t>
      </w:r>
      <w:r>
        <w:rPr>
          <w:rFonts w:hint="default" w:ascii="Times New Roman" w:hAnsi="Times New Roman" w:cs="Times New Roman"/>
          <w:color w:val="FF3300"/>
          <w:sz w:val="56"/>
        </w:rPr>
        <w:t>★</w:t>
      </w:r>
      <w:r>
        <w:rPr>
          <w:rFonts w:hint="eastAsia"/>
          <w:color w:val="FF0000"/>
          <w:sz w:val="84"/>
          <w:szCs w:val="32"/>
          <w:u w:val="thick"/>
          <w:vertAlign w:val="superscript"/>
          <w:lang w:val="en-US" w:eastAsia="zh-CN"/>
        </w:rPr>
        <w:t xml:space="preserve">                </w:t>
      </w:r>
    </w:p>
    <w:p>
      <w:pPr>
        <w:jc w:val="center"/>
        <w:rPr>
          <w:b/>
          <w:color w:val="FF0000"/>
          <w:szCs w:val="21"/>
        </w:rPr>
      </w:pPr>
      <w:r>
        <w:rPr>
          <w:rFonts w:eastAsia="仿宋_GB2312"/>
          <w:color w:val="FF0000"/>
          <w:sz w:val="48"/>
          <w:szCs w:val="4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29300" cy="0"/>
                <wp:effectExtent l="0" t="0" r="0" b="0"/>
                <wp:wrapNone/>
                <wp:docPr id="3" name="直线 2"/>
                <wp:cNvGraphicFramePr/>
                <a:graphic xmlns:a="http://schemas.openxmlformats.org/drawingml/2006/main">
                  <a:graphicData uri="http://schemas.microsoft.com/office/word/2010/wordprocessingShape">
                    <wps:wsp>
                      <wps:cNvCnPr/>
                      <wps:spPr>
                        <a:xfrm>
                          <a:off x="0" y="0"/>
                          <a:ext cx="5829300" cy="0"/>
                        </a:xfrm>
                        <a:prstGeom prst="line">
                          <a:avLst/>
                        </a:prstGeom>
                        <a:ln w="38100">
                          <a:noFill/>
                        </a:ln>
                        <a:effectLst/>
                      </wps:spPr>
                      <wps:bodyPr upright="1"/>
                    </wps:wsp>
                  </a:graphicData>
                </a:graphic>
              </wp:anchor>
            </w:drawing>
          </mc:Choice>
          <mc:Fallback>
            <w:pict>
              <v:line id="直线 2" o:spid="_x0000_s1026" o:spt="20" style="position:absolute;left:0pt;margin-left:0pt;margin-top:0pt;height:0pt;width:459pt;z-index:251659264;mso-width-relative:page;mso-height-relative:page;" filled="f" stroked="f" coordsize="21600,21600" o:gfxdata="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JvGNDRAAAAAgEAAA8AAAAAAAAAAQAgAAAA&#10;IgAAAGRycy9kb3ducmV2LnhtbFBLAQIUABQAAAAIAIdO4kDle6wsoAEAAD4DAAAOAAAAAAAAAAEA&#10;IAAAACABAABkcnMvZTJvRG9jLnhtbFBLBQYAAAAABgAGAFkBAAAyBQAAAAA=&#10;">
                <v:fill on="f" focussize="0,0"/>
                <v:stroke on="f" weight="3pt"/>
                <v:imagedata o:title=""/>
                <o:lock v:ext="edit" aspectratio="f"/>
              </v:line>
            </w:pict>
          </mc:Fallback>
        </mc:AlternateContent>
      </w:r>
    </w:p>
    <w:p>
      <w:pPr>
        <w:keepNext w:val="0"/>
        <w:keepLines w:val="0"/>
        <w:pageBreakBefore w:val="0"/>
        <w:widowControl/>
        <w:kinsoku/>
        <w:wordWrap/>
        <w:overflowPunct/>
        <w:topLinePunct w:val="0"/>
        <w:bidi w:val="0"/>
        <w:spacing w:line="560" w:lineRule="exact"/>
        <w:jc w:val="center"/>
        <w:textAlignment w:val="auto"/>
        <w:rPr>
          <w:rFonts w:ascii="宋体" w:hAnsi="宋体" w:cs="宋体"/>
          <w:b/>
          <w:kern w:val="0"/>
          <w:sz w:val="44"/>
          <w:szCs w:val="44"/>
        </w:rPr>
      </w:pPr>
      <w:r>
        <w:rPr>
          <w:rFonts w:hint="eastAsia" w:ascii="宋体" w:hAnsi="宋体" w:cs="宋体"/>
          <w:b/>
          <w:kern w:val="0"/>
          <w:sz w:val="44"/>
          <w:szCs w:val="44"/>
        </w:rPr>
        <w:t>关于印发《</w:t>
      </w:r>
      <w:r>
        <w:rPr>
          <w:rFonts w:hint="eastAsia" w:ascii="宋体" w:hAnsi="宋体" w:cs="宋体"/>
          <w:b/>
          <w:kern w:val="0"/>
          <w:sz w:val="44"/>
          <w:szCs w:val="44"/>
          <w:lang w:val="en-US" w:eastAsia="zh-CN"/>
        </w:rPr>
        <w:t>2022-2024年</w:t>
      </w:r>
      <w:r>
        <w:rPr>
          <w:rFonts w:hint="eastAsia" w:ascii="宋体" w:hAnsi="宋体" w:cs="宋体"/>
          <w:b/>
          <w:kern w:val="0"/>
          <w:sz w:val="44"/>
          <w:szCs w:val="44"/>
          <w:lang w:eastAsia="zh-CN"/>
        </w:rPr>
        <w:t>鹿寨县</w:t>
      </w:r>
      <w:r>
        <w:rPr>
          <w:rFonts w:hint="eastAsia" w:ascii="宋体" w:hAnsi="宋体" w:cs="宋体"/>
          <w:b/>
          <w:kern w:val="0"/>
          <w:sz w:val="44"/>
          <w:szCs w:val="44"/>
          <w:lang w:val="en-US" w:eastAsia="zh-CN"/>
        </w:rPr>
        <w:t>巩固</w:t>
      </w:r>
      <w:r>
        <w:rPr>
          <w:rFonts w:hint="eastAsia" w:ascii="宋体" w:hAnsi="宋体" w:cs="宋体"/>
          <w:b/>
          <w:kern w:val="0"/>
          <w:sz w:val="44"/>
          <w:szCs w:val="44"/>
          <w:lang w:eastAsia="zh-CN"/>
        </w:rPr>
        <w:t>国家卫生县</w:t>
      </w:r>
      <w:r>
        <w:rPr>
          <w:rFonts w:hint="eastAsia" w:ascii="宋体" w:hAnsi="宋体" w:cs="宋体"/>
          <w:b/>
          <w:kern w:val="0"/>
          <w:sz w:val="44"/>
          <w:szCs w:val="44"/>
          <w:lang w:val="en-US" w:eastAsia="zh-CN"/>
        </w:rPr>
        <w:t>工作</w:t>
      </w:r>
      <w:r>
        <w:rPr>
          <w:rFonts w:hint="eastAsia" w:ascii="宋体" w:hAnsi="宋体" w:cs="宋体"/>
          <w:b/>
          <w:kern w:val="0"/>
          <w:sz w:val="44"/>
          <w:szCs w:val="44"/>
          <w:lang w:eastAsia="zh-CN"/>
        </w:rPr>
        <w:t>实施方案</w:t>
      </w:r>
      <w:r>
        <w:rPr>
          <w:rFonts w:hint="eastAsia" w:ascii="宋体" w:hAnsi="宋体" w:cs="宋体"/>
          <w:b/>
          <w:kern w:val="0"/>
          <w:sz w:val="44"/>
          <w:szCs w:val="44"/>
        </w:rPr>
        <w:t>》的通知</w:t>
      </w:r>
    </w:p>
    <w:p>
      <w:pPr>
        <w:keepNext w:val="0"/>
        <w:keepLines w:val="0"/>
        <w:pageBreakBefore w:val="0"/>
        <w:widowControl/>
        <w:kinsoku/>
        <w:wordWrap/>
        <w:overflowPunct/>
        <w:topLinePunct w:val="0"/>
        <w:bidi w:val="0"/>
        <w:spacing w:line="560" w:lineRule="exact"/>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bidi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鹿寨县迎接国家卫生县复审工作领导小组成员单位、各有关单位</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bidi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仿宋_GB2312" w:eastAsia="仿宋_GB2312"/>
          <w:color w:val="auto"/>
          <w:sz w:val="32"/>
          <w:szCs w:val="32"/>
          <w:lang w:val="en-US" w:eastAsia="zh-CN"/>
        </w:rPr>
        <w:t>为适应国家卫生县新标准及新评审管理办法，</w:t>
      </w:r>
      <w:r>
        <w:rPr>
          <w:rFonts w:hint="eastAsia" w:ascii="仿宋_GB2312" w:hAnsi="仿宋_GB2312" w:eastAsia="仿宋_GB2312"/>
          <w:color w:val="auto"/>
          <w:sz w:val="32"/>
          <w:szCs w:val="32"/>
        </w:rPr>
        <w:t>特制定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2022-2024年</w:t>
      </w:r>
      <w:r>
        <w:rPr>
          <w:rFonts w:hint="eastAsia" w:ascii="仿宋_GB2312" w:hAnsi="仿宋_GB2312" w:eastAsia="仿宋_GB2312" w:cs="仿宋_GB2312"/>
          <w:sz w:val="32"/>
          <w:szCs w:val="32"/>
          <w:lang w:eastAsia="zh-CN"/>
        </w:rPr>
        <w:t>鹿寨县</w:t>
      </w:r>
      <w:r>
        <w:rPr>
          <w:rFonts w:hint="eastAsia" w:ascii="仿宋_GB2312" w:hAnsi="仿宋_GB2312" w:eastAsia="仿宋_GB2312" w:cs="仿宋_GB2312"/>
          <w:sz w:val="32"/>
          <w:szCs w:val="32"/>
          <w:lang w:val="en-US" w:eastAsia="zh-CN"/>
        </w:rPr>
        <w:t>巩固</w:t>
      </w:r>
      <w:r>
        <w:rPr>
          <w:rFonts w:hint="eastAsia" w:ascii="仿宋_GB2312" w:hAnsi="仿宋_GB2312" w:eastAsia="仿宋_GB2312" w:cs="仿宋_GB2312"/>
          <w:sz w:val="32"/>
          <w:szCs w:val="32"/>
          <w:lang w:eastAsia="zh-CN"/>
        </w:rPr>
        <w:t>国家卫生县</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实施方案</w:t>
      </w:r>
      <w:r>
        <w:rPr>
          <w:rFonts w:hint="eastAsia" w:ascii="仿宋" w:hAnsi="仿宋" w:eastAsia="仿宋" w:cs="仿宋"/>
          <w:sz w:val="32"/>
          <w:szCs w:val="32"/>
          <w:lang w:eastAsia="zh-CN"/>
        </w:rPr>
        <w:t>》，</w:t>
      </w:r>
      <w:r>
        <w:rPr>
          <w:rFonts w:hint="eastAsia" w:ascii="仿宋_GB2312" w:hAnsi="宋体" w:eastAsia="仿宋_GB2312" w:cs="宋体"/>
          <w:kern w:val="0"/>
          <w:sz w:val="32"/>
          <w:szCs w:val="32"/>
        </w:rPr>
        <w:t>现将方案印发给你们，请遵照执行。</w:t>
      </w:r>
    </w:p>
    <w:p>
      <w:pPr>
        <w:keepNext w:val="0"/>
        <w:keepLines w:val="0"/>
        <w:pageBreakBefore w:val="0"/>
        <w:widowControl/>
        <w:kinsoku/>
        <w:wordWrap/>
        <w:overflowPunct/>
        <w:topLinePunct w:val="0"/>
        <w:bidi w:val="0"/>
        <w:spacing w:line="560" w:lineRule="exact"/>
        <w:textAlignment w:val="auto"/>
        <w:rPr>
          <w:rFonts w:ascii="仿宋_GB2312" w:hAnsi="宋体" w:eastAsia="仿宋_GB2312" w:cs="宋体"/>
          <w:kern w:val="0"/>
          <w:sz w:val="32"/>
          <w:szCs w:val="32"/>
        </w:rPr>
      </w:pPr>
    </w:p>
    <w:p>
      <w:pPr>
        <w:pStyle w:val="2"/>
        <w:keepNext w:val="0"/>
        <w:keepLines w:val="0"/>
        <w:pageBreakBefore w:val="0"/>
        <w:kinsoku/>
        <w:wordWrap/>
        <w:overflowPunct/>
        <w:topLinePunct w:val="0"/>
        <w:bidi w:val="0"/>
        <w:spacing w:line="560" w:lineRule="exact"/>
        <w:textAlignment w:val="auto"/>
      </w:pPr>
    </w:p>
    <w:p>
      <w:pPr>
        <w:keepNext w:val="0"/>
        <w:keepLines w:val="0"/>
        <w:pageBreakBefore w:val="0"/>
        <w:widowControl/>
        <w:kinsoku/>
        <w:wordWrap/>
        <w:overflowPunct/>
        <w:topLinePunct w:val="0"/>
        <w:bidi w:val="0"/>
        <w:spacing w:line="560" w:lineRule="exact"/>
        <w:jc w:val="both"/>
        <w:textAlignment w:val="auto"/>
        <w:rPr>
          <w:rFonts w:ascii="仿宋_GB2312" w:hAnsi="宋体" w:eastAsia="仿宋_GB2312"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eastAsia" w:ascii="Times New Roman" w:hAnsi="Times New Roman" w:eastAsia="仿宋_GB2312" w:cs="Times New Roman"/>
          <w:spacing w:val="28"/>
          <w:kern w:val="2"/>
          <w:sz w:val="32"/>
          <w:szCs w:val="22"/>
          <w:lang w:val="en-US" w:eastAsia="zh-CN" w:bidi="ar-SA"/>
        </w:rPr>
      </w:pPr>
      <w:r>
        <w:rPr>
          <w:rFonts w:hint="eastAsia" w:ascii="Times New Roman" w:hAnsi="Times New Roman" w:cs="Times New Roman"/>
          <w:sz w:val="32"/>
          <w:szCs w:val="22"/>
          <w:lang w:val="en-US" w:eastAsia="zh-CN"/>
        </w:rPr>
        <w:t xml:space="preserve"> </w:t>
      </w:r>
      <w:r>
        <w:rPr>
          <w:rFonts w:hint="eastAsia" w:ascii="Times New Roman" w:hAnsi="Times New Roman" w:eastAsia="仿宋_GB2312" w:cs="Times New Roman"/>
          <w:spacing w:val="-11"/>
          <w:sz w:val="32"/>
          <w:szCs w:val="22"/>
          <w:lang w:val="en-US" w:eastAsia="zh-CN"/>
        </w:rPr>
        <w:t>鹿寨县迎接国家卫生县城复审工作领导小组办公室</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3674" w:firstLineChars="1193"/>
        <w:textAlignment w:val="auto"/>
        <w:rPr>
          <w:rFonts w:hint="eastAsia" w:ascii="Times New Roman" w:hAnsi="Times New Roman" w:eastAsia="仿宋_GB2312" w:cs="Times New Roman"/>
          <w:sz w:val="32"/>
          <w:szCs w:val="22"/>
          <w:lang w:val="en-US" w:eastAsia="zh-CN"/>
        </w:rPr>
      </w:pPr>
      <w:r>
        <w:rPr>
          <w:rFonts w:hint="eastAsia" w:ascii="Times New Roman" w:hAnsi="Times New Roman" w:eastAsia="仿宋_GB2312" w:cs="Times New Roman"/>
          <w:sz w:val="32"/>
          <w:szCs w:val="22"/>
          <w:lang w:val="en-US" w:eastAsia="zh-CN"/>
        </w:rPr>
        <w:t>202</w:t>
      </w:r>
      <w:r>
        <w:rPr>
          <w:rFonts w:hint="eastAsia" w:cs="Times New Roman"/>
          <w:sz w:val="32"/>
          <w:szCs w:val="22"/>
          <w:lang w:val="en-US" w:eastAsia="zh-CN"/>
        </w:rPr>
        <w:t>3</w:t>
      </w:r>
      <w:r>
        <w:rPr>
          <w:rFonts w:hint="eastAsia" w:ascii="Times New Roman" w:hAnsi="Times New Roman" w:eastAsia="仿宋_GB2312" w:cs="Times New Roman"/>
          <w:sz w:val="32"/>
          <w:szCs w:val="22"/>
          <w:lang w:val="en-US" w:eastAsia="zh-CN"/>
        </w:rPr>
        <w:t>年</w:t>
      </w:r>
      <w:r>
        <w:rPr>
          <w:rFonts w:hint="eastAsia" w:cs="Times New Roman"/>
          <w:sz w:val="32"/>
          <w:szCs w:val="22"/>
          <w:lang w:val="en-US" w:eastAsia="zh-CN"/>
        </w:rPr>
        <w:t>6</w:t>
      </w:r>
      <w:r>
        <w:rPr>
          <w:rFonts w:hint="eastAsia" w:ascii="Times New Roman" w:hAnsi="Times New Roman" w:eastAsia="仿宋_GB2312" w:cs="Times New Roman"/>
          <w:sz w:val="32"/>
          <w:szCs w:val="22"/>
          <w:lang w:val="en-US" w:eastAsia="zh-CN"/>
        </w:rPr>
        <w:t>月</w:t>
      </w:r>
      <w:r>
        <w:rPr>
          <w:rFonts w:hint="eastAsia" w:cs="Times New Roman"/>
          <w:sz w:val="32"/>
          <w:szCs w:val="22"/>
          <w:lang w:val="en-US" w:eastAsia="zh-CN"/>
        </w:rPr>
        <w:t>2</w:t>
      </w:r>
      <w:bookmarkStart w:id="0" w:name="_GoBack"/>
      <w:r>
        <w:rPr>
          <w:rFonts w:hint="eastAsia" w:cs="Times New Roman"/>
          <w:sz w:val="32"/>
          <w:szCs w:val="22"/>
          <w:lang w:val="en-US" w:eastAsia="zh-CN"/>
        </w:rPr>
        <w:t>0</w:t>
      </w:r>
      <w:bookmarkEnd w:id="0"/>
      <w:r>
        <w:rPr>
          <w:rFonts w:hint="eastAsia" w:ascii="Times New Roman" w:hAnsi="Times New Roman" w:eastAsia="仿宋_GB2312" w:cs="Times New Roman"/>
          <w:sz w:val="32"/>
          <w:szCs w:val="22"/>
          <w:lang w:val="en-US" w:eastAsia="zh-CN"/>
        </w:rPr>
        <w:t>日</w:t>
      </w:r>
    </w:p>
    <w:p>
      <w:pPr>
        <w:pStyle w:val="2"/>
        <w:ind w:left="0" w:leftChars="0" w:firstLine="0" w:firstLineChars="0"/>
      </w:pPr>
    </w:p>
    <w:p>
      <w:pPr>
        <w:pStyle w:val="2"/>
        <w:ind w:left="0" w:leftChars="0" w:firstLine="0" w:firstLineChars="0"/>
      </w:pPr>
    </w:p>
    <w:p>
      <w:pPr>
        <w:pStyle w:val="2"/>
        <w:keepNext w:val="0"/>
        <w:keepLines w:val="0"/>
        <w:pageBreakBefore w:val="0"/>
        <w:kinsoku/>
        <w:wordWrap/>
        <w:overflowPunct/>
        <w:topLinePunct w:val="0"/>
        <w:bidi w:val="0"/>
        <w:spacing w:line="560" w:lineRule="exact"/>
        <w:ind w:firstLine="1289" w:firstLineChars="300"/>
        <w:jc w:val="both"/>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2022-2024年鹿寨县巩固国家卫生县</w:t>
      </w:r>
    </w:p>
    <w:p>
      <w:pPr>
        <w:pStyle w:val="2"/>
        <w:keepNext w:val="0"/>
        <w:keepLines w:val="0"/>
        <w:pageBreakBefore w:val="0"/>
        <w:kinsoku/>
        <w:wordWrap/>
        <w:overflowPunct/>
        <w:topLinePunct w:val="0"/>
        <w:bidi w:val="0"/>
        <w:spacing w:line="560" w:lineRule="exact"/>
        <w:ind w:firstLine="3008" w:firstLineChars="700"/>
        <w:jc w:val="both"/>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工作实施方案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olor w:val="auto"/>
          <w:sz w:val="32"/>
          <w:szCs w:val="32"/>
          <w:lang w:val="en-US" w:eastAsia="zh-CN"/>
        </w:rPr>
      </w:pPr>
    </w:p>
    <w:p>
      <w:pPr>
        <w:pStyle w:val="6"/>
        <w:keepNext w:val="0"/>
        <w:keepLines w:val="0"/>
        <w:pageBreakBefore w:val="0"/>
        <w:widowControl/>
        <w:suppressLineNumbers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根据《全国爱卫会关于印发&lt;国家卫生城镇评审管理办法&gt;和&lt;国家卫生城市和国家卫生县标准&gt;&lt;国家卫生乡镇标准&gt;的通知》（全爱卫发〔2021〕6号），我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已进入202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-2024年的复审周期，复审迎检时间具有不确定性，为扎实做好巩固国家卫生</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工作，结合我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实际，制定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-2024年鹿寨县巩固国家卫生县工作实施方案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pStyle w:val="6"/>
        <w:keepNext w:val="0"/>
        <w:keepLines w:val="0"/>
        <w:pageBreakBefore w:val="0"/>
        <w:widowControl/>
        <w:suppressLineNumbers w:val="0"/>
        <w:kinsoku/>
        <w:wordWrap/>
        <w:overflowPunct/>
        <w:topLinePunct w:val="0"/>
        <w:bidi w:val="0"/>
        <w:spacing w:line="560" w:lineRule="exact"/>
        <w:ind w:left="0" w:firstLine="620" w:firstLineChars="200"/>
        <w:textAlignment w:val="auto"/>
      </w:pPr>
      <w:r>
        <w:rPr>
          <w:rFonts w:ascii="黑体" w:hAnsi="宋体" w:eastAsia="黑体" w:cs="黑体"/>
          <w:color w:val="000000"/>
          <w:sz w:val="31"/>
          <w:szCs w:val="31"/>
        </w:rPr>
        <w:t>一、总体要求</w:t>
      </w:r>
    </w:p>
    <w:p>
      <w:pPr>
        <w:pStyle w:val="6"/>
        <w:keepNext w:val="0"/>
        <w:keepLines w:val="0"/>
        <w:pageBreakBefore w:val="0"/>
        <w:widowControl/>
        <w:suppressLineNumbers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以习近平新时代中国特色社会主义思想为指导，深入贯彻落实党的二十大精神，坚持“以人民健康为中心，实行政府主导、部门协作、社会动员、预防为主、群防群控、科学治理、社会监督”的爱国卫生工作方针，以迎接全国爱卫会对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进行国家卫生</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复审为契机，丰富工作内涵，创新方式方法，突出问题和结果导向，完善城市基础设施建设，着力改善人居环境，提高市民文明素质和健康水平，逐步健全完善城市综合管理长效机制，促进经济社会高质量发展，着力打造健康、宜居、美丽、幸福家园，巩固国家卫生</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创建成果，持续推进健康</w:t>
      </w:r>
      <w:r>
        <w:rPr>
          <w:rFonts w:hint="eastAsia" w:ascii="仿宋_GB2312" w:hAnsi="仿宋_GB2312" w:eastAsia="仿宋_GB2312" w:cs="仿宋_GB2312"/>
          <w:color w:val="000000"/>
          <w:sz w:val="32"/>
          <w:szCs w:val="32"/>
          <w:lang w:val="en-US" w:eastAsia="zh-CN"/>
        </w:rPr>
        <w:t>鹿寨</w:t>
      </w:r>
      <w:r>
        <w:rPr>
          <w:rFonts w:hint="eastAsia" w:ascii="仿宋_GB2312" w:hAnsi="仿宋_GB2312" w:eastAsia="仿宋_GB2312" w:cs="仿宋_GB2312"/>
          <w:color w:val="000000"/>
          <w:sz w:val="32"/>
          <w:szCs w:val="32"/>
        </w:rPr>
        <w:t>建设。</w:t>
      </w:r>
    </w:p>
    <w:p>
      <w:pPr>
        <w:pStyle w:val="6"/>
        <w:keepNext w:val="0"/>
        <w:keepLines w:val="0"/>
        <w:pageBreakBefore w:val="0"/>
        <w:widowControl/>
        <w:suppressLineNumbers w:val="0"/>
        <w:kinsoku/>
        <w:wordWrap/>
        <w:overflowPunct/>
        <w:topLinePunct w:val="0"/>
        <w:bidi w:val="0"/>
        <w:spacing w:line="560" w:lineRule="exact"/>
        <w:ind w:left="0" w:firstLine="620" w:firstLineChars="200"/>
        <w:textAlignment w:val="auto"/>
      </w:pPr>
      <w:r>
        <w:rPr>
          <w:rFonts w:ascii="黑体" w:hAnsi="宋体" w:eastAsia="黑体" w:cs="黑体"/>
          <w:color w:val="000000"/>
          <w:sz w:val="31"/>
          <w:szCs w:val="31"/>
        </w:rPr>
        <w:t>二、工作目标</w:t>
      </w:r>
    </w:p>
    <w:p>
      <w:pPr>
        <w:pStyle w:val="6"/>
        <w:keepNext w:val="0"/>
        <w:keepLines w:val="0"/>
        <w:pageBreakBefore w:val="0"/>
        <w:widowControl/>
        <w:suppressLineNumbers w:val="0"/>
        <w:kinsoku/>
        <w:wordWrap/>
        <w:overflowPunct/>
        <w:topLinePunct w:val="0"/>
        <w:bidi w:val="0"/>
        <w:spacing w:line="560" w:lineRule="exact"/>
        <w:ind w:left="0" w:firstLine="640" w:firstLineChars="200"/>
        <w:textAlignment w:val="auto"/>
        <w:rPr>
          <w:sz w:val="32"/>
          <w:szCs w:val="32"/>
        </w:rPr>
      </w:pPr>
      <w:r>
        <w:rPr>
          <w:rFonts w:ascii="仿宋_GB2312" w:eastAsia="仿宋_GB2312" w:cs="仿宋_GB2312"/>
          <w:color w:val="000000"/>
          <w:sz w:val="32"/>
          <w:szCs w:val="32"/>
        </w:rPr>
        <w:t>巩固国家卫生</w:t>
      </w:r>
      <w:r>
        <w:rPr>
          <w:rFonts w:hint="eastAsia" w:ascii="仿宋_GB2312" w:eastAsia="仿宋_GB2312" w:cs="仿宋_GB2312"/>
          <w:color w:val="000000"/>
          <w:sz w:val="32"/>
          <w:szCs w:val="32"/>
          <w:lang w:val="en-US" w:eastAsia="zh-CN"/>
        </w:rPr>
        <w:t>县</w:t>
      </w:r>
      <w:r>
        <w:rPr>
          <w:rFonts w:ascii="仿宋_GB2312" w:eastAsia="仿宋_GB2312" w:cs="仿宋_GB2312"/>
          <w:color w:val="000000"/>
          <w:sz w:val="32"/>
          <w:szCs w:val="32"/>
        </w:rPr>
        <w:t>创建成果，持续推进健康</w:t>
      </w:r>
      <w:r>
        <w:rPr>
          <w:rFonts w:hint="eastAsia" w:ascii="仿宋_GB2312" w:eastAsia="仿宋_GB2312" w:cs="仿宋_GB2312"/>
          <w:color w:val="000000"/>
          <w:sz w:val="32"/>
          <w:szCs w:val="32"/>
          <w:lang w:val="en-US" w:eastAsia="zh-CN"/>
        </w:rPr>
        <w:t>鹿寨</w:t>
      </w:r>
      <w:r>
        <w:rPr>
          <w:rFonts w:ascii="仿宋_GB2312" w:eastAsia="仿宋_GB2312" w:cs="仿宋_GB2312"/>
          <w:color w:val="000000"/>
          <w:sz w:val="32"/>
          <w:szCs w:val="32"/>
        </w:rPr>
        <w:t>建设，顺</w:t>
      </w:r>
      <w:r>
        <w:rPr>
          <w:rFonts w:hint="default" w:ascii="仿宋_GB2312" w:eastAsia="仿宋_GB2312" w:cs="仿宋_GB2312"/>
          <w:color w:val="000000"/>
          <w:sz w:val="32"/>
          <w:szCs w:val="32"/>
        </w:rPr>
        <w:t>利通过国家卫生城市复审。公共卫生设施进一步完善；城乡环境面貌进一步改善；国家卫生</w:t>
      </w:r>
      <w:r>
        <w:rPr>
          <w:rFonts w:hint="eastAsia" w:ascii="仿宋_GB2312" w:eastAsia="仿宋_GB2312" w:cs="仿宋_GB2312"/>
          <w:color w:val="000000"/>
          <w:sz w:val="32"/>
          <w:szCs w:val="32"/>
          <w:lang w:val="en-US" w:eastAsia="zh-CN"/>
        </w:rPr>
        <w:t>县</w:t>
      </w:r>
      <w:r>
        <w:rPr>
          <w:rFonts w:hint="default" w:ascii="仿宋_GB2312" w:eastAsia="仿宋_GB2312" w:cs="仿宋_GB2312"/>
          <w:color w:val="000000"/>
          <w:sz w:val="32"/>
          <w:szCs w:val="32"/>
        </w:rPr>
        <w:t>长效管理机制进一步完善；市民群众卫生意识和对环境卫生状况的满意度进一步提高；城市宜居环境进一步优化；社会健康综合治理能力全面提高。</w:t>
      </w:r>
    </w:p>
    <w:p>
      <w:pPr>
        <w:pStyle w:val="6"/>
        <w:keepNext w:val="0"/>
        <w:keepLines w:val="0"/>
        <w:pageBreakBefore w:val="0"/>
        <w:widowControl/>
        <w:suppressLineNumbers w:val="0"/>
        <w:kinsoku/>
        <w:wordWrap/>
        <w:overflowPunct/>
        <w:topLinePunct w:val="0"/>
        <w:bidi w:val="0"/>
        <w:spacing w:line="560" w:lineRule="exact"/>
        <w:ind w:left="0" w:firstLine="620" w:firstLineChars="200"/>
        <w:textAlignment w:val="auto"/>
      </w:pPr>
      <w:r>
        <w:rPr>
          <w:rFonts w:ascii="黑体" w:hAnsi="宋体" w:eastAsia="黑体" w:cs="黑体"/>
          <w:color w:val="000000"/>
          <w:sz w:val="31"/>
          <w:szCs w:val="31"/>
        </w:rPr>
        <w:t>三、组织机构</w:t>
      </w:r>
    </w:p>
    <w:p>
      <w:pPr>
        <w:pStyle w:val="6"/>
        <w:keepNext w:val="0"/>
        <w:keepLines w:val="0"/>
        <w:pageBreakBefore w:val="0"/>
        <w:widowControl/>
        <w:suppressLineNumbers w:val="0"/>
        <w:kinsoku/>
        <w:wordWrap/>
        <w:overflowPunct/>
        <w:topLinePunct w:val="0"/>
        <w:bidi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为做好迎接我</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—2024年国家卫生城市复审工作，</w:t>
      </w:r>
      <w:r>
        <w:rPr>
          <w:rFonts w:hint="eastAsia" w:ascii="仿宋_GB2312" w:hAnsi="仿宋_GB2312" w:eastAsia="仿宋_GB2312" w:cs="仿宋_GB2312"/>
          <w:color w:val="000000"/>
          <w:sz w:val="32"/>
          <w:szCs w:val="32"/>
          <w:lang w:val="en-US" w:eastAsia="zh-CN"/>
        </w:rPr>
        <w:t>根据人员变动，调整鹿寨县</w:t>
      </w:r>
      <w:r>
        <w:rPr>
          <w:rFonts w:hint="eastAsia" w:ascii="仿宋_GB2312" w:hAnsi="仿宋_GB2312" w:eastAsia="仿宋_GB2312" w:cs="仿宋_GB2312"/>
          <w:color w:val="000000"/>
          <w:sz w:val="32"/>
          <w:szCs w:val="32"/>
        </w:rPr>
        <w:t>迎接国家卫生</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复审工作领导小组：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组  长：</w:t>
      </w:r>
      <w:r>
        <w:rPr>
          <w:rFonts w:hint="eastAsia" w:ascii="仿宋_GB2312" w:hAnsi="仿宋_GB2312" w:eastAsia="仿宋_GB2312" w:cs="仿宋_GB2312"/>
          <w:color w:val="auto"/>
          <w:sz w:val="32"/>
          <w:szCs w:val="32"/>
          <w:lang w:eastAsia="zh-CN"/>
        </w:rPr>
        <w:t>王</w:t>
      </w:r>
      <w:r>
        <w:rPr>
          <w:rFonts w:hint="eastAsia" w:ascii="仿宋_GB2312" w:hAnsi="仿宋_GB2312" w:eastAsia="仿宋_GB2312" w:cs="仿宋_GB2312"/>
          <w:color w:val="auto"/>
          <w:sz w:val="32"/>
          <w:szCs w:val="32"/>
          <w:lang w:val="en-US" w:eastAsia="zh-CN"/>
        </w:rPr>
        <w:t xml:space="preserve">  轶</w:t>
      </w:r>
      <w:r>
        <w:rPr>
          <w:rFonts w:hint="eastAsia" w:ascii="仿宋_GB2312" w:hAnsi="仿宋_GB2312" w:eastAsia="仿宋_GB2312" w:cs="仿宋_GB2312"/>
          <w:color w:val="auto"/>
          <w:sz w:val="32"/>
          <w:szCs w:val="32"/>
        </w:rPr>
        <w:t xml:space="preserve">  县委书记</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杨</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毅</w:t>
      </w:r>
      <w:r>
        <w:rPr>
          <w:rFonts w:hint="eastAsia" w:ascii="仿宋_GB2312" w:hAnsi="仿宋_GB2312" w:eastAsia="仿宋_GB2312" w:cs="仿宋_GB2312"/>
          <w:color w:val="auto"/>
          <w:sz w:val="32"/>
          <w:szCs w:val="32"/>
        </w:rPr>
        <w:t xml:space="preserve">  县委副书记、县长</w:t>
      </w:r>
    </w:p>
    <w:p>
      <w:pPr>
        <w:keepNext w:val="0"/>
        <w:keepLines w:val="0"/>
        <w:pageBreakBefore w:val="0"/>
        <w:kinsoku/>
        <w:wordWrap/>
        <w:overflowPunct/>
        <w:topLinePunct w:val="0"/>
        <w:bidi w:val="0"/>
        <w:spacing w:line="560" w:lineRule="exact"/>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副组长：</w:t>
      </w:r>
      <w:r>
        <w:rPr>
          <w:rFonts w:hint="eastAsia" w:ascii="仿宋_GB2312" w:hAnsi="仿宋_GB2312" w:eastAsia="仿宋_GB2312" w:cs="仿宋_GB2312"/>
          <w:color w:val="auto"/>
          <w:sz w:val="32"/>
          <w:szCs w:val="32"/>
          <w:lang w:val="en-US" w:eastAsia="zh-CN"/>
        </w:rPr>
        <w:t>周有海  县委常委、宣传部部长</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bidi w:val="0"/>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覃清培</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县人大常委会副主任</w:t>
      </w:r>
    </w:p>
    <w:p>
      <w:pPr>
        <w:keepNext w:val="0"/>
        <w:keepLines w:val="0"/>
        <w:pageBreakBefore w:val="0"/>
        <w:kinsoku/>
        <w:wordWrap/>
        <w:overflowPunct/>
        <w:topLinePunct w:val="0"/>
        <w:autoSpaceDE w:val="0"/>
        <w:autoSpaceDN w:val="0"/>
        <w:bidi w:val="0"/>
        <w:adjustRightInd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雷  翔</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县人民政府副县长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蒙广远</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县政协副主席</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成  员：许</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鹏</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县政府办主任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2560" w:firstLineChars="800"/>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韦宇鸿</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县委办副主任、县委机要局局长、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3840" w:firstLineChars="1200"/>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县国家密码管理局局长（兼）</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谭雁予</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县政府办副主任</w:t>
      </w:r>
    </w:p>
    <w:p>
      <w:pPr>
        <w:keepNext w:val="0"/>
        <w:keepLines w:val="0"/>
        <w:pageBreakBefore w:val="0"/>
        <w:kinsoku/>
        <w:wordWrap/>
        <w:overflowPunct/>
        <w:topLinePunct w:val="0"/>
        <w:autoSpaceDE w:val="0"/>
        <w:autoSpaceDN w:val="0"/>
        <w:bidi w:val="0"/>
        <w:adjustRightInd w:val="0"/>
        <w:snapToGrid/>
        <w:spacing w:line="560" w:lineRule="exact"/>
        <w:ind w:left="3834" w:leftChars="1216" w:hanging="1280" w:hangingChars="4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吴素林  县委宣传部分管日常工作的副部长、县互联网信息办公室主任(兼)</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徐文忠  </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卫健局</w:t>
      </w:r>
      <w:r>
        <w:rPr>
          <w:rFonts w:hint="eastAsia" w:ascii="仿宋_GB2312" w:hAnsi="仿宋_GB2312" w:eastAsia="仿宋_GB2312" w:cs="仿宋_GB2312"/>
          <w:color w:val="auto"/>
          <w:sz w:val="32"/>
          <w:szCs w:val="32"/>
        </w:rPr>
        <w:t>党组书记、局长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杨  波</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党组书记、局长</w:t>
      </w:r>
    </w:p>
    <w:p>
      <w:pPr>
        <w:keepNext w:val="0"/>
        <w:keepLines w:val="0"/>
        <w:pageBreakBefore w:val="0"/>
        <w:kinsoku/>
        <w:wordWrap/>
        <w:overflowPunct/>
        <w:topLinePunct w:val="0"/>
        <w:autoSpaceDE w:val="0"/>
        <w:autoSpaceDN w:val="0"/>
        <w:bidi w:val="0"/>
        <w:adjustRightInd w:val="0"/>
        <w:snapToGrid/>
        <w:spacing w:line="560" w:lineRule="exact"/>
        <w:ind w:left="3834" w:leftChars="1216" w:hanging="1280" w:hanging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黄雪勇</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县文体广旅局党组书记、 局长，</w:t>
      </w:r>
    </w:p>
    <w:p>
      <w:pPr>
        <w:keepNext w:val="0"/>
        <w:keepLines w:val="0"/>
        <w:pageBreakBefore w:val="0"/>
        <w:kinsoku/>
        <w:wordWrap/>
        <w:overflowPunct/>
        <w:topLinePunct w:val="0"/>
        <w:autoSpaceDE w:val="0"/>
        <w:autoSpaceDN w:val="0"/>
        <w:bidi w:val="0"/>
        <w:adjustRightInd w:val="0"/>
        <w:snapToGrid/>
        <w:spacing w:line="560" w:lineRule="exact"/>
        <w:ind w:left="3830" w:leftChars="1824"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县文物局局长（兼）</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640" w:firstLineChars="200"/>
        <w:textAlignment w:val="auto"/>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z w:val="32"/>
          <w:szCs w:val="32"/>
          <w:lang w:val="en-US" w:eastAsia="zh-CN"/>
        </w:rPr>
        <w:t>罗  冰</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pacing w:val="-20"/>
          <w:sz w:val="32"/>
          <w:szCs w:val="32"/>
        </w:rPr>
        <w:t>县人社局党组书记、局长、</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196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20"/>
          <w:sz w:val="32"/>
          <w:szCs w:val="32"/>
        </w:rPr>
        <w:t>县委组织部副部长（兼）</w:t>
      </w:r>
    </w:p>
    <w:p>
      <w:pPr>
        <w:keepNext w:val="0"/>
        <w:keepLines w:val="0"/>
        <w:pageBreakBefore w:val="0"/>
        <w:widowControl w:val="0"/>
        <w:kinsoku/>
        <w:wordWrap/>
        <w:overflowPunct/>
        <w:topLinePunct w:val="0"/>
        <w:autoSpaceDE/>
        <w:autoSpaceDN/>
        <w:bidi w:val="0"/>
        <w:adjustRightInd/>
        <w:snapToGrid/>
        <w:spacing w:line="560" w:lineRule="exact"/>
        <w:ind w:left="1915" w:leftChars="912"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张维维  柳州市鹿寨生态环境局局长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周采要  县城市管理行政执法局党组书记、</w:t>
      </w:r>
    </w:p>
    <w:p>
      <w:pPr>
        <w:keepNext w:val="0"/>
        <w:keepLines w:val="0"/>
        <w:pageBreakBefore w:val="0"/>
        <w:widowControl w:val="0"/>
        <w:kinsoku/>
        <w:wordWrap/>
        <w:overflowPunct/>
        <w:topLinePunct w:val="0"/>
        <w:bidi w:val="0"/>
        <w:snapToGrid/>
        <w:spacing w:line="560" w:lineRule="exact"/>
        <w:ind w:firstLine="3840" w:firstLineChars="1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局长 </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张俭文</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交通局</w:t>
      </w:r>
      <w:r>
        <w:rPr>
          <w:rFonts w:hint="eastAsia" w:ascii="仿宋_GB2312" w:hAnsi="仿宋_GB2312" w:eastAsia="仿宋_GB2312" w:cs="仿宋_GB2312"/>
          <w:color w:val="auto"/>
          <w:sz w:val="32"/>
          <w:szCs w:val="32"/>
        </w:rPr>
        <w:t>党组书记、局长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林延辉  县市场监管局党组书记、局长 </w:t>
      </w:r>
    </w:p>
    <w:p>
      <w:pPr>
        <w:keepNext w:val="0"/>
        <w:keepLines w:val="0"/>
        <w:pageBreakBefore w:val="0"/>
        <w:kinsoku/>
        <w:wordWrap/>
        <w:overflowPunct/>
        <w:topLinePunct w:val="0"/>
        <w:bidi w:val="0"/>
        <w:spacing w:line="560" w:lineRule="exact"/>
        <w:ind w:left="4158" w:leftChars="304" w:hanging="3520" w:hangingChars="1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0000FF"/>
          <w:sz w:val="32"/>
          <w:szCs w:val="32"/>
        </w:rPr>
        <w:t xml:space="preserve"> </w:t>
      </w:r>
      <w:r>
        <w:rPr>
          <w:rFonts w:hint="eastAsia" w:ascii="仿宋_GB2312" w:hAnsi="仿宋_GB2312" w:eastAsia="仿宋_GB2312" w:cs="仿宋_GB2312"/>
          <w:color w:val="auto"/>
          <w:sz w:val="32"/>
          <w:szCs w:val="32"/>
          <w:lang w:val="en-US" w:eastAsia="zh-CN"/>
        </w:rPr>
        <w:t>黄  坚  县委教育工委书记、</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教育局</w:t>
      </w:r>
      <w:r>
        <w:rPr>
          <w:rFonts w:hint="eastAsia" w:ascii="仿宋_GB2312" w:hAnsi="仿宋_GB2312" w:eastAsia="仿宋_GB2312" w:cs="仿宋_GB2312"/>
          <w:color w:val="auto"/>
          <w:sz w:val="32"/>
          <w:szCs w:val="32"/>
        </w:rPr>
        <w:t>党</w:t>
      </w:r>
      <w:r>
        <w:rPr>
          <w:rFonts w:hint="eastAsia" w:ascii="仿宋_GB2312" w:hAnsi="仿宋_GB2312" w:eastAsia="仿宋_GB2312" w:cs="仿宋_GB2312"/>
          <w:color w:val="auto"/>
          <w:sz w:val="32"/>
          <w:szCs w:val="32"/>
          <w:lang w:val="en-US" w:eastAsia="zh-CN"/>
        </w:rPr>
        <w:t>组</w:t>
      </w:r>
    </w:p>
    <w:p>
      <w:pPr>
        <w:keepNext w:val="0"/>
        <w:keepLines w:val="0"/>
        <w:pageBreakBefore w:val="0"/>
        <w:kinsoku/>
        <w:wordWrap/>
        <w:overflowPunct/>
        <w:topLinePunct w:val="0"/>
        <w:bidi w:val="0"/>
        <w:spacing w:line="560" w:lineRule="exact"/>
        <w:ind w:left="4150" w:leftChars="1824" w:hanging="320" w:hangingChars="1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书记、局长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郭军文  县水利局党组书记、局长</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陈可春</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eastAsia="zh-CN"/>
        </w:rPr>
        <w:t>县农业农村局</w:t>
      </w:r>
      <w:r>
        <w:rPr>
          <w:rFonts w:hint="eastAsia" w:ascii="仿宋_GB2312" w:hAnsi="仿宋_GB2312" w:eastAsia="仿宋_GB2312" w:cs="仿宋_GB2312"/>
          <w:color w:val="auto"/>
          <w:sz w:val="32"/>
          <w:szCs w:val="32"/>
        </w:rPr>
        <w:t>党组书记</w:t>
      </w:r>
      <w:r>
        <w:rPr>
          <w:rFonts w:hint="eastAsia" w:ascii="仿宋_GB2312" w:hAnsi="仿宋_GB2312" w:eastAsia="仿宋_GB2312" w:cs="仿宋_GB2312"/>
          <w:color w:val="auto"/>
          <w:sz w:val="32"/>
          <w:szCs w:val="32"/>
          <w:lang w:eastAsia="zh-CN"/>
        </w:rPr>
        <w:t>、局长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肖刘元</w:t>
      </w:r>
      <w:r>
        <w:rPr>
          <w:rFonts w:hint="eastAsia" w:ascii="仿宋_GB2312" w:hAnsi="仿宋_GB2312" w:eastAsia="仿宋_GB2312" w:cs="仿宋_GB2312"/>
          <w:color w:val="0000FF"/>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县乡村振兴局党组书记、局长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邱建华</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县机关</w:t>
      </w:r>
      <w:r>
        <w:rPr>
          <w:rFonts w:hint="eastAsia" w:ascii="仿宋_GB2312" w:hAnsi="仿宋_GB2312" w:eastAsia="仿宋_GB2312" w:cs="仿宋_GB2312"/>
          <w:color w:val="auto"/>
          <w:sz w:val="32"/>
          <w:szCs w:val="32"/>
          <w:lang w:eastAsia="zh-CN"/>
        </w:rPr>
        <w:t>后勤服务中心党组书记、主任</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刘玉霞</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县</w:t>
      </w:r>
      <w:r>
        <w:rPr>
          <w:rFonts w:hint="eastAsia" w:ascii="仿宋_GB2312" w:hAnsi="仿宋_GB2312" w:eastAsia="仿宋_GB2312" w:cs="仿宋_GB2312"/>
          <w:color w:val="auto"/>
          <w:sz w:val="32"/>
          <w:szCs w:val="32"/>
          <w:highlight w:val="none"/>
          <w:lang w:eastAsia="zh-CN"/>
        </w:rPr>
        <w:t>行政审批局局长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廖  偲</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县医疗保障局局长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李梓瑜</w:t>
      </w:r>
      <w:r>
        <w:rPr>
          <w:rFonts w:hint="eastAsia" w:ascii="仿宋_GB2312" w:hAnsi="仿宋_GB2312" w:eastAsia="仿宋_GB2312" w:cs="仿宋_GB2312"/>
          <w:color w:val="0000FF"/>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县公安局副局长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吴宏开  县财政局党组书记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唐  庆</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县烟草专卖局局长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李有军</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县总工会党组书记、副主席</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李泳驰</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团县委书记</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韦金枝  </w:t>
      </w:r>
      <w:r>
        <w:rPr>
          <w:rFonts w:hint="eastAsia" w:ascii="仿宋_GB2312" w:hAnsi="仿宋_GB2312" w:eastAsia="仿宋_GB2312" w:cs="仿宋_GB2312"/>
          <w:color w:val="auto"/>
          <w:sz w:val="32"/>
          <w:szCs w:val="32"/>
          <w:highlight w:val="none"/>
        </w:rPr>
        <w:t>县妇联党组书记、主席</w:t>
      </w:r>
      <w:r>
        <w:rPr>
          <w:rFonts w:hint="eastAsia" w:ascii="仿宋_GB2312" w:hAnsi="仿宋_GB2312" w:eastAsia="仿宋_GB2312" w:cs="仿宋_GB2312"/>
          <w:color w:val="0000FF"/>
          <w:sz w:val="32"/>
          <w:szCs w:val="32"/>
          <w:lang w:val="en-US" w:eastAsia="zh-CN"/>
        </w:rPr>
        <w:t xml:space="preserve"> </w:t>
      </w:r>
    </w:p>
    <w:p>
      <w:pPr>
        <w:pStyle w:val="3"/>
        <w:keepNext w:val="0"/>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阳丰元  县红十字会常务副会长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陈自智  </w:t>
      </w:r>
      <w:r>
        <w:rPr>
          <w:rFonts w:hint="eastAsia" w:ascii="仿宋_GB2312" w:hAnsi="仿宋_GB2312" w:eastAsia="仿宋_GB2312" w:cs="仿宋_GB2312"/>
          <w:color w:val="auto"/>
          <w:sz w:val="32"/>
          <w:szCs w:val="32"/>
        </w:rPr>
        <w:t>县科协主席</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廖献红  </w:t>
      </w:r>
      <w:r>
        <w:rPr>
          <w:rFonts w:hint="eastAsia" w:ascii="仿宋_GB2312" w:hAnsi="仿宋_GB2312" w:eastAsia="仿宋_GB2312" w:cs="仿宋_GB2312"/>
          <w:color w:val="auto"/>
          <w:sz w:val="32"/>
          <w:szCs w:val="32"/>
        </w:rPr>
        <w:t>县文联主席</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蒙  琛  </w:t>
      </w:r>
      <w:r>
        <w:rPr>
          <w:rFonts w:hint="eastAsia" w:ascii="仿宋_GB2312" w:hAnsi="仿宋_GB2312" w:eastAsia="仿宋_GB2312" w:cs="仿宋_GB2312"/>
          <w:color w:val="auto"/>
          <w:sz w:val="32"/>
          <w:szCs w:val="32"/>
        </w:rPr>
        <w:t>县侨联主席</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潘丽枚</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rPr>
        <w:t>县残联理事长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罗  妮  县工商联副主席</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  嵩  县税务局党委书记、局长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蒙  程  县气象局副局长</w:t>
      </w:r>
    </w:p>
    <w:p>
      <w:pPr>
        <w:keepNext w:val="0"/>
        <w:keepLines w:val="0"/>
        <w:pageBreakBefore w:val="0"/>
        <w:widowControl w:val="0"/>
        <w:kinsoku/>
        <w:wordWrap/>
        <w:overflowPunct/>
        <w:topLinePunct w:val="0"/>
        <w:bidi w:val="0"/>
        <w:snapToGrid/>
        <w:spacing w:line="560" w:lineRule="exact"/>
        <w:ind w:left="1915" w:leftChars="912"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黎荣勋</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柳州鹿寨供电局</w:t>
      </w:r>
      <w:r>
        <w:rPr>
          <w:rFonts w:hint="eastAsia" w:ascii="仿宋_GB2312" w:hAnsi="仿宋_GB2312" w:eastAsia="仿宋_GB2312" w:cs="仿宋_GB2312"/>
          <w:color w:val="auto"/>
          <w:sz w:val="32"/>
          <w:szCs w:val="32"/>
          <w:highlight w:val="none"/>
          <w:lang w:eastAsia="zh-CN"/>
        </w:rPr>
        <w:t>党委书记</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刘振华  </w:t>
      </w:r>
      <w:r>
        <w:rPr>
          <w:rFonts w:hint="eastAsia" w:ascii="仿宋_GB2312" w:hAnsi="仿宋_GB2312" w:eastAsia="仿宋_GB2312" w:cs="仿宋_GB2312"/>
          <w:color w:val="auto"/>
          <w:sz w:val="32"/>
          <w:szCs w:val="32"/>
          <w:lang w:eastAsia="zh-CN"/>
        </w:rPr>
        <w:t>南宁铁路局桂林车务段鹿寨站站长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pacing w:val="-20"/>
          <w:sz w:val="32"/>
          <w:szCs w:val="32"/>
          <w:highlight w:val="none"/>
          <w:lang w:val="en-US" w:eastAsia="zh-CN"/>
        </w:rPr>
      </w:pPr>
      <w:r>
        <w:rPr>
          <w:rFonts w:hint="eastAsia" w:ascii="仿宋_GB2312" w:hAnsi="仿宋_GB2312" w:eastAsia="仿宋_GB2312" w:cs="仿宋_GB2312"/>
          <w:color w:val="auto"/>
          <w:sz w:val="32"/>
          <w:szCs w:val="32"/>
          <w:lang w:val="en-US" w:eastAsia="zh-CN"/>
        </w:rPr>
        <w:t>陈  昊</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pacing w:val="-20"/>
          <w:sz w:val="32"/>
          <w:szCs w:val="32"/>
          <w:highlight w:val="none"/>
          <w:lang w:val="en-US" w:eastAsia="zh-CN"/>
        </w:rPr>
        <w:t>鹿寨汽车总站站长</w:t>
      </w:r>
    </w:p>
    <w:p>
      <w:pPr>
        <w:pStyle w:val="3"/>
        <w:keepNext w:val="0"/>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郭丽梅  县卫健局副局长</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20"/>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韦家东</w:t>
      </w:r>
      <w:r>
        <w:rPr>
          <w:rFonts w:hint="eastAsia" w:ascii="仿宋_GB2312" w:hAnsi="仿宋_GB2312" w:eastAsia="仿宋_GB2312" w:cs="仿宋_GB2312"/>
          <w:color w:val="0000FF"/>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鹿寨镇党委书记</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lang w:val="en-US" w:eastAsia="zh-CN"/>
        </w:rPr>
        <w:t xml:space="preserve">廖 翔   </w:t>
      </w:r>
      <w:r>
        <w:rPr>
          <w:rFonts w:hint="eastAsia" w:ascii="仿宋_GB2312" w:hAnsi="仿宋_GB2312" w:eastAsia="仿宋_GB2312" w:cs="仿宋_GB2312"/>
          <w:color w:val="auto"/>
          <w:sz w:val="32"/>
          <w:szCs w:val="32"/>
          <w:highlight w:val="none"/>
        </w:rPr>
        <w:t>鹿寨镇</w:t>
      </w:r>
      <w:r>
        <w:rPr>
          <w:rFonts w:hint="eastAsia" w:ascii="仿宋_GB2312" w:hAnsi="仿宋_GB2312" w:eastAsia="仿宋_GB2312" w:cs="仿宋_GB2312"/>
          <w:color w:val="auto"/>
          <w:sz w:val="32"/>
          <w:szCs w:val="32"/>
          <w:highlight w:val="none"/>
          <w:lang w:eastAsia="zh-CN"/>
        </w:rPr>
        <w:t>政府镇长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陈梦军</w:t>
      </w:r>
      <w:r>
        <w:rPr>
          <w:rFonts w:hint="eastAsia" w:ascii="仿宋_GB2312" w:hAnsi="仿宋_GB2312" w:eastAsia="仿宋_GB2312" w:cs="仿宋_GB2312"/>
          <w:color w:val="0000FF"/>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黄冕镇党委书记</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张军乙  </w:t>
      </w:r>
      <w:r>
        <w:rPr>
          <w:rFonts w:hint="eastAsia" w:ascii="仿宋_GB2312" w:hAnsi="仿宋_GB2312" w:eastAsia="仿宋_GB2312" w:cs="仿宋_GB2312"/>
          <w:color w:val="auto"/>
          <w:sz w:val="32"/>
          <w:szCs w:val="32"/>
          <w:highlight w:val="none"/>
          <w:lang w:eastAsia="zh-CN"/>
        </w:rPr>
        <w:t>黄冕镇政府镇</w:t>
      </w:r>
      <w:r>
        <w:rPr>
          <w:rFonts w:hint="eastAsia" w:ascii="仿宋_GB2312" w:hAnsi="仿宋_GB2312" w:eastAsia="仿宋_GB2312" w:cs="仿宋_GB2312"/>
          <w:color w:val="auto"/>
          <w:sz w:val="32"/>
          <w:szCs w:val="32"/>
          <w:lang w:eastAsia="zh-CN"/>
        </w:rPr>
        <w:t>长</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廖  剑 </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平山镇党委书记</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刘  杰</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eastAsia="zh-CN"/>
        </w:rPr>
        <w:t>平山镇政府镇长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周汉锋</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eastAsia="zh-CN"/>
        </w:rPr>
        <w:t>中渡镇党委书记</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张忠信  </w:t>
      </w:r>
      <w:r>
        <w:rPr>
          <w:rFonts w:hint="eastAsia" w:ascii="仿宋_GB2312" w:hAnsi="仿宋_GB2312" w:eastAsia="仿宋_GB2312" w:cs="仿宋_GB2312"/>
          <w:color w:val="auto"/>
          <w:sz w:val="32"/>
          <w:szCs w:val="32"/>
          <w:lang w:eastAsia="zh-CN"/>
        </w:rPr>
        <w:t>中渡镇政府镇长</w:t>
      </w:r>
      <w:r>
        <w:rPr>
          <w:rFonts w:hint="eastAsia" w:ascii="仿宋_GB2312" w:hAnsi="仿宋_GB2312" w:eastAsia="仿宋_GB2312" w:cs="仿宋_GB2312"/>
          <w:color w:val="0000FF"/>
          <w:sz w:val="32"/>
          <w:szCs w:val="32"/>
          <w:lang w:val="en-US" w:eastAsia="zh-CN"/>
        </w:rPr>
        <w:t xml:space="preserve"> </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韦柳春  </w:t>
      </w:r>
      <w:r>
        <w:rPr>
          <w:rFonts w:hint="eastAsia" w:ascii="仿宋_GB2312" w:hAnsi="仿宋_GB2312" w:eastAsia="仿宋_GB2312" w:cs="仿宋_GB2312"/>
          <w:color w:val="auto"/>
          <w:sz w:val="32"/>
          <w:szCs w:val="32"/>
          <w:lang w:eastAsia="zh-CN"/>
        </w:rPr>
        <w:t>四排镇党委书记</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张文锋  </w:t>
      </w:r>
      <w:r>
        <w:rPr>
          <w:rFonts w:hint="eastAsia" w:ascii="仿宋_GB2312" w:hAnsi="仿宋_GB2312" w:eastAsia="仿宋_GB2312" w:cs="仿宋_GB2312"/>
          <w:color w:val="auto"/>
          <w:sz w:val="32"/>
          <w:szCs w:val="32"/>
          <w:lang w:eastAsia="zh-CN"/>
        </w:rPr>
        <w:t>四排镇政府镇长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梁定峰  </w:t>
      </w:r>
      <w:r>
        <w:rPr>
          <w:rFonts w:hint="eastAsia" w:ascii="仿宋_GB2312" w:hAnsi="仿宋_GB2312" w:eastAsia="仿宋_GB2312" w:cs="仿宋_GB2312"/>
          <w:color w:val="auto"/>
          <w:sz w:val="32"/>
          <w:szCs w:val="32"/>
          <w:lang w:eastAsia="zh-CN"/>
        </w:rPr>
        <w:t>寨沙镇党委书记</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韦兰燕</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eastAsia="zh-CN"/>
        </w:rPr>
        <w:t>寨沙镇政府镇长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秦春发</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拉沟乡党委书记</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周雪芳  拉沟乡政府乡长</w:t>
      </w:r>
    </w:p>
    <w:p>
      <w:pPr>
        <w:keepNext w:val="0"/>
        <w:keepLines w:val="0"/>
        <w:pageBreakBefore w:val="0"/>
        <w:widowControl w:val="0"/>
        <w:kinsoku/>
        <w:wordWrap/>
        <w:overflowPunct/>
        <w:topLinePunct w:val="0"/>
        <w:bidi w:val="0"/>
        <w:snapToGrid/>
        <w:spacing w:line="560" w:lineRule="exact"/>
        <w:ind w:firstLine="2560" w:firstLineChars="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刘春霞  江口乡党委书记</w:t>
      </w:r>
    </w:p>
    <w:p>
      <w:pPr>
        <w:keepNext w:val="0"/>
        <w:keepLines w:val="0"/>
        <w:pageBreakBefore w:val="0"/>
        <w:widowControl w:val="0"/>
        <w:kinsoku/>
        <w:wordWrap/>
        <w:overflowPunct/>
        <w:topLinePunct w:val="0"/>
        <w:bidi w:val="0"/>
        <w:snapToGrid/>
        <w:spacing w:line="560" w:lineRule="exact"/>
        <w:ind w:left="1915" w:leftChars="912"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胡焕心</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江口乡政府乡长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吴志伟  </w:t>
      </w:r>
      <w:r>
        <w:rPr>
          <w:rFonts w:hint="eastAsia" w:ascii="仿宋_GB2312" w:hAnsi="仿宋_GB2312" w:eastAsia="仿宋_GB2312" w:cs="仿宋_GB2312"/>
          <w:color w:val="auto"/>
          <w:sz w:val="32"/>
          <w:szCs w:val="32"/>
          <w:lang w:eastAsia="zh-CN"/>
        </w:rPr>
        <w:t>导江乡党委书记</w:t>
      </w:r>
    </w:p>
    <w:p>
      <w:pPr>
        <w:pStyle w:val="3"/>
        <w:keepNext w:val="0"/>
        <w:keepLines w:val="0"/>
        <w:pageBreakBefore w:val="0"/>
        <w:kinsoku/>
        <w:wordWrap/>
        <w:overflowPunct/>
        <w:topLinePunct w:val="0"/>
        <w:bidi w:val="0"/>
        <w:spacing w:line="56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韦云庭</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pacing w:val="-20"/>
          <w:sz w:val="32"/>
          <w:szCs w:val="32"/>
          <w:highlight w:val="none"/>
          <w:lang w:val="en-US" w:eastAsia="zh-CN"/>
        </w:rPr>
        <w:t>导江乡政府乡长</w:t>
      </w:r>
      <w:r>
        <w:rPr>
          <w:rFonts w:hint="eastAsia" w:ascii="仿宋_GB2312" w:hAnsi="仿宋_GB2312" w:eastAsia="仿宋_GB2312" w:cs="仿宋_GB2312"/>
          <w:color w:val="auto"/>
          <w:sz w:val="32"/>
          <w:szCs w:val="32"/>
          <w:highlight w:val="none"/>
          <w:lang w:val="en-US" w:eastAsia="zh-CN"/>
        </w:rPr>
        <w:t xml:space="preserve">             </w:t>
      </w:r>
    </w:p>
    <w:p>
      <w:pPr>
        <w:pStyle w:val="6"/>
        <w:keepNext w:val="0"/>
        <w:keepLines w:val="0"/>
        <w:pageBreakBefore w:val="0"/>
        <w:widowControl/>
        <w:suppressLineNumbers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领导小组</w:t>
      </w:r>
      <w:r>
        <w:rPr>
          <w:rFonts w:hint="eastAsia" w:ascii="仿宋_GB2312" w:hAnsi="仿宋_GB2312" w:eastAsia="仿宋_GB2312" w:cs="仿宋_GB2312"/>
          <w:color w:val="auto"/>
          <w:sz w:val="32"/>
          <w:szCs w:val="32"/>
          <w:lang w:eastAsia="zh-CN"/>
        </w:rPr>
        <w:t>下设办公室（</w:t>
      </w:r>
      <w:r>
        <w:rPr>
          <w:rFonts w:hint="eastAsia" w:ascii="仿宋_GB2312" w:hAnsi="仿宋_GB2312" w:eastAsia="仿宋_GB2312" w:cs="仿宋_GB2312"/>
          <w:color w:val="auto"/>
          <w:sz w:val="32"/>
          <w:szCs w:val="32"/>
          <w:lang w:val="en-US" w:eastAsia="zh-CN"/>
        </w:rPr>
        <w:t>简称“复审办”</w:t>
      </w:r>
      <w:r>
        <w:rPr>
          <w:rFonts w:hint="eastAsia" w:ascii="仿宋_GB2312" w:hAnsi="仿宋_GB2312" w:eastAsia="仿宋_GB2312" w:cs="仿宋_GB2312"/>
          <w:color w:val="auto"/>
          <w:sz w:val="32"/>
          <w:szCs w:val="32"/>
          <w:lang w:eastAsia="zh-CN"/>
        </w:rPr>
        <w:t>），办公室设在</w:t>
      </w:r>
      <w:r>
        <w:rPr>
          <w:rFonts w:hint="eastAsia" w:ascii="仿宋_GB2312" w:hAnsi="仿宋_GB2312" w:eastAsia="仿宋_GB2312" w:cs="仿宋_GB2312"/>
          <w:color w:val="auto"/>
          <w:sz w:val="32"/>
          <w:szCs w:val="32"/>
          <w:lang w:val="en-US" w:eastAsia="zh-CN"/>
        </w:rPr>
        <w:t>县行政中心三楼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kern w:val="0"/>
          <w:sz w:val="32"/>
          <w:szCs w:val="32"/>
          <w:lang w:val="en-US" w:eastAsia="zh-CN" w:bidi="ar"/>
        </w:rPr>
        <w:t>具体负责组织全县开展国家卫生县复审各项工作。</w:t>
      </w:r>
      <w:r>
        <w:rPr>
          <w:rFonts w:hint="eastAsia" w:ascii="仿宋_GB2312" w:hAnsi="仿宋_GB2312" w:eastAsia="仿宋_GB2312" w:cs="仿宋_GB2312"/>
          <w:color w:val="auto"/>
          <w:sz w:val="32"/>
          <w:szCs w:val="32"/>
          <w:lang w:eastAsia="zh-CN"/>
        </w:rPr>
        <w:t>办公室主任由徐文忠同志担任，办公室副主任由郭丽梅同志担任，办公室工作人员</w:t>
      </w:r>
      <w:r>
        <w:rPr>
          <w:rFonts w:hint="eastAsia" w:ascii="仿宋_GB2312" w:hAnsi="仿宋_GB2312" w:eastAsia="仿宋_GB2312" w:cs="仿宋_GB2312"/>
          <w:color w:val="auto"/>
          <w:sz w:val="32"/>
          <w:szCs w:val="32"/>
          <w:lang w:val="en-US" w:eastAsia="zh-CN"/>
        </w:rPr>
        <w:t>从</w:t>
      </w:r>
      <w:r>
        <w:rPr>
          <w:rFonts w:hint="eastAsia" w:ascii="仿宋_GB2312" w:hAnsi="仿宋_GB2312" w:eastAsia="仿宋_GB2312" w:cs="仿宋_GB2312"/>
          <w:color w:val="auto"/>
          <w:sz w:val="32"/>
          <w:szCs w:val="32"/>
          <w:lang w:eastAsia="zh-CN"/>
        </w:rPr>
        <w:t>县爱卫办、有关单位人员</w:t>
      </w:r>
      <w:r>
        <w:rPr>
          <w:rFonts w:hint="eastAsia" w:ascii="仿宋_GB2312" w:hAnsi="仿宋_GB2312" w:eastAsia="仿宋_GB2312" w:cs="仿宋_GB2312"/>
          <w:color w:val="auto"/>
          <w:sz w:val="32"/>
          <w:szCs w:val="32"/>
          <w:lang w:val="en-US" w:eastAsia="zh-CN"/>
        </w:rPr>
        <w:t>抽调</w:t>
      </w:r>
      <w:r>
        <w:rPr>
          <w:rFonts w:hint="eastAsia" w:ascii="仿宋_GB2312" w:hAnsi="仿宋_GB2312" w:eastAsia="仿宋_GB2312" w:cs="仿宋_GB2312"/>
          <w:color w:val="auto"/>
          <w:sz w:val="32"/>
          <w:szCs w:val="32"/>
          <w:lang w:eastAsia="zh-CN"/>
        </w:rPr>
        <w:t>。办公室电话：</w:t>
      </w:r>
      <w:r>
        <w:rPr>
          <w:rFonts w:hint="eastAsia" w:ascii="仿宋_GB2312" w:hAnsi="仿宋_GB2312" w:eastAsia="仿宋_GB2312" w:cs="仿宋_GB2312"/>
          <w:color w:val="auto"/>
          <w:sz w:val="32"/>
          <w:szCs w:val="32"/>
          <w:lang w:val="en-US" w:eastAsia="zh-CN"/>
        </w:rPr>
        <w:t>0772-</w:t>
      </w:r>
      <w:r>
        <w:rPr>
          <w:rFonts w:hint="eastAsia" w:ascii="仿宋_GB2312" w:hAnsi="仿宋_GB2312" w:eastAsia="仿宋_GB2312" w:cs="仿宋_GB2312"/>
          <w:color w:val="auto"/>
          <w:sz w:val="32"/>
          <w:szCs w:val="32"/>
          <w:lang w:eastAsia="zh-CN"/>
        </w:rPr>
        <w:t>68</w:t>
      </w:r>
      <w:r>
        <w:rPr>
          <w:rFonts w:hint="eastAsia" w:ascii="仿宋_GB2312" w:hAnsi="仿宋_GB2312" w:eastAsia="仿宋_GB2312" w:cs="仿宋_GB2312"/>
          <w:color w:val="auto"/>
          <w:sz w:val="32"/>
          <w:szCs w:val="32"/>
          <w:lang w:val="en-US" w:eastAsia="zh-CN"/>
        </w:rPr>
        <w:t>11245</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uppressLineNumbers w:val="0"/>
        <w:kinsoku/>
        <w:wordWrap/>
        <w:overflowPunct/>
        <w:topLinePunct w:val="0"/>
        <w:bidi w:val="0"/>
        <w:spacing w:line="560" w:lineRule="exact"/>
        <w:ind w:left="0" w:firstLine="620" w:firstLineChars="200"/>
        <w:textAlignment w:val="auto"/>
      </w:pPr>
      <w:r>
        <w:rPr>
          <w:rFonts w:ascii="黑体" w:hAnsi="宋体" w:eastAsia="黑体" w:cs="黑体"/>
          <w:color w:val="000000"/>
          <w:sz w:val="31"/>
          <w:szCs w:val="31"/>
        </w:rPr>
        <w:t>四、工作任务</w:t>
      </w:r>
    </w:p>
    <w:p>
      <w:pPr>
        <w:pStyle w:val="6"/>
        <w:keepNext w:val="0"/>
        <w:keepLines w:val="0"/>
        <w:pageBreakBefore w:val="0"/>
        <w:widowControl/>
        <w:suppressLineNumbers w:val="0"/>
        <w:kinsoku/>
        <w:wordWrap/>
        <w:overflowPunct/>
        <w:topLinePunct w:val="0"/>
        <w:bidi w:val="0"/>
        <w:spacing w:line="560" w:lineRule="exact"/>
        <w:ind w:left="0" w:firstLine="643" w:firstLineChars="200"/>
        <w:textAlignment w:val="auto"/>
        <w:rPr>
          <w:sz w:val="32"/>
          <w:szCs w:val="32"/>
        </w:rPr>
      </w:pPr>
      <w:r>
        <w:rPr>
          <w:rFonts w:ascii="楷体_GB2312" w:eastAsia="楷体_GB2312" w:cs="楷体_GB2312"/>
          <w:b/>
          <w:bCs/>
          <w:color w:val="000000"/>
          <w:sz w:val="32"/>
          <w:szCs w:val="32"/>
        </w:rPr>
        <w:t>（一）加强爱国卫生组织管理。</w:t>
      </w:r>
      <w:r>
        <w:rPr>
          <w:rFonts w:ascii="仿宋_GB2312" w:eastAsia="仿宋_GB2312" w:cs="仿宋_GB2312"/>
          <w:color w:val="000000"/>
          <w:sz w:val="32"/>
          <w:szCs w:val="32"/>
        </w:rPr>
        <w:t>将爱国卫生工作纳入各级党</w:t>
      </w:r>
      <w:r>
        <w:rPr>
          <w:rFonts w:hint="default" w:ascii="仿宋_GB2312" w:eastAsia="仿宋_GB2312" w:cs="仿宋_GB2312"/>
          <w:color w:val="000000"/>
          <w:sz w:val="32"/>
          <w:szCs w:val="32"/>
        </w:rPr>
        <w:t>委和政府议事日程，列入经济社会发展规划。各级爱卫会组织健全、职责明确，人员、经费等有保障。爱卫会各成员单位积极开展巩固国家卫生</w:t>
      </w:r>
      <w:r>
        <w:rPr>
          <w:rFonts w:hint="eastAsia" w:ascii="仿宋_GB2312" w:eastAsia="仿宋_GB2312" w:cs="仿宋_GB2312"/>
          <w:color w:val="000000"/>
          <w:sz w:val="32"/>
          <w:szCs w:val="32"/>
          <w:lang w:val="en-US" w:eastAsia="zh-CN"/>
        </w:rPr>
        <w:t>县</w:t>
      </w:r>
      <w:r>
        <w:rPr>
          <w:rFonts w:hint="default" w:ascii="仿宋_GB2312" w:eastAsia="仿宋_GB2312" w:cs="仿宋_GB2312"/>
          <w:color w:val="000000"/>
          <w:sz w:val="32"/>
          <w:szCs w:val="32"/>
        </w:rPr>
        <w:t>、健康</w:t>
      </w:r>
      <w:r>
        <w:rPr>
          <w:rFonts w:hint="eastAsia" w:ascii="仿宋_GB2312" w:eastAsia="仿宋_GB2312" w:cs="仿宋_GB2312"/>
          <w:color w:val="000000"/>
          <w:sz w:val="32"/>
          <w:szCs w:val="32"/>
          <w:lang w:val="en-US" w:eastAsia="zh-CN"/>
        </w:rPr>
        <w:t>县城</w:t>
      </w:r>
      <w:r>
        <w:rPr>
          <w:rFonts w:hint="default" w:ascii="仿宋_GB2312" w:eastAsia="仿宋_GB2312" w:cs="仿宋_GB2312"/>
          <w:color w:val="000000"/>
          <w:sz w:val="32"/>
          <w:szCs w:val="32"/>
        </w:rPr>
        <w:t>建设、卫生单位创建、无烟单位创建、病媒生物防制等爱国卫生工作，广泛组织开展群众性爱国卫生活动。探索建立健康影响评估制度，逐步开展健康影响评估，畅通爱国卫生建议与投诉渠道，提高群众对国家卫生城市满意率。</w:t>
      </w:r>
    </w:p>
    <w:p>
      <w:pPr>
        <w:pStyle w:val="6"/>
        <w:keepNext w:val="0"/>
        <w:keepLines w:val="0"/>
        <w:pageBreakBefore w:val="0"/>
        <w:widowControl/>
        <w:suppressLineNumbers w:val="0"/>
        <w:kinsoku/>
        <w:wordWrap/>
        <w:overflowPunct/>
        <w:topLinePunct w:val="0"/>
        <w:bidi w:val="0"/>
        <w:spacing w:line="560" w:lineRule="exact"/>
        <w:ind w:left="0" w:firstLine="643" w:firstLineChars="200"/>
        <w:textAlignment w:val="auto"/>
        <w:rPr>
          <w:sz w:val="32"/>
          <w:szCs w:val="32"/>
        </w:rPr>
      </w:pPr>
      <w:r>
        <w:rPr>
          <w:rFonts w:hint="default" w:ascii="楷体_GB2312" w:eastAsia="楷体_GB2312" w:cs="楷体_GB2312"/>
          <w:b/>
          <w:bCs/>
          <w:color w:val="000000"/>
          <w:sz w:val="32"/>
          <w:szCs w:val="32"/>
        </w:rPr>
        <w:t>（二）加强健康教育和健康促进工作。</w:t>
      </w:r>
      <w:r>
        <w:rPr>
          <w:rFonts w:hint="default" w:ascii="仿宋_GB2312" w:eastAsia="仿宋_GB2312" w:cs="仿宋_GB2312"/>
          <w:color w:val="000000"/>
          <w:sz w:val="32"/>
          <w:szCs w:val="32"/>
        </w:rPr>
        <w:t>健全完善健康教育网络，开展内容丰富、形式多样健康教育和健康促进活动，提升居民健康素养，大力倡导文明健康、绿色环保生活方式。各主要媒体设有健康教育栏目，公共场所设立的电子屏幕和公益广告等应当具有健康教育内容。</w:t>
      </w:r>
      <w:r>
        <w:rPr>
          <w:rFonts w:hint="default" w:ascii="仿宋_GB2312" w:eastAsia="仿宋_GB2312" w:cs="仿宋_GB2312"/>
          <w:color w:val="auto"/>
          <w:sz w:val="32"/>
          <w:szCs w:val="32"/>
        </w:rPr>
        <w:t>积极开展健康县区、健康乡镇、健康细胞建设等健康细胞工程建设，加</w:t>
      </w:r>
      <w:r>
        <w:rPr>
          <w:rFonts w:hint="default" w:ascii="仿宋_GB2312" w:eastAsia="仿宋_GB2312" w:cs="仿宋_GB2312"/>
          <w:color w:val="000000"/>
          <w:sz w:val="32"/>
          <w:szCs w:val="32"/>
        </w:rPr>
        <w:t>强中医养生保健知识和方法普及宣传，推广慢性病防控措施。倡导全民健身，打造15分钟健身圈，多举措开展群众性健身活动。深入开展控烟宣传活动，全面推进公共场所控烟工作。</w:t>
      </w:r>
    </w:p>
    <w:p>
      <w:pPr>
        <w:pStyle w:val="6"/>
        <w:keepNext w:val="0"/>
        <w:keepLines w:val="0"/>
        <w:pageBreakBefore w:val="0"/>
        <w:widowControl/>
        <w:suppressLineNumbers w:val="0"/>
        <w:kinsoku/>
        <w:wordWrap/>
        <w:overflowPunct/>
        <w:topLinePunct w:val="0"/>
        <w:bidi w:val="0"/>
        <w:spacing w:line="560" w:lineRule="exact"/>
        <w:ind w:left="0" w:firstLine="643" w:firstLineChars="200"/>
        <w:textAlignment w:val="auto"/>
        <w:rPr>
          <w:rFonts w:hint="eastAsia" w:ascii="仿宋_GB2312" w:hAnsi="仿宋_GB2312" w:eastAsia="仿宋_GB2312" w:cs="仿宋_GB2312"/>
          <w:sz w:val="32"/>
          <w:szCs w:val="32"/>
        </w:rPr>
      </w:pPr>
      <w:r>
        <w:rPr>
          <w:rFonts w:hint="default" w:ascii="楷体_GB2312" w:eastAsia="楷体_GB2312" w:cs="楷体_GB2312"/>
          <w:b/>
          <w:bCs/>
          <w:color w:val="000000"/>
          <w:sz w:val="32"/>
          <w:szCs w:val="32"/>
        </w:rPr>
        <w:t>（三）加强市容环境卫生管理。</w:t>
      </w:r>
      <w:r>
        <w:rPr>
          <w:rFonts w:hint="eastAsia" w:ascii="仿宋_GB2312" w:hAnsi="仿宋_GB2312" w:eastAsia="仿宋_GB2312" w:cs="仿宋_GB2312"/>
          <w:color w:val="000000"/>
          <w:sz w:val="32"/>
          <w:szCs w:val="32"/>
        </w:rPr>
        <w:t>城市道路（含背街、商业街）功能完善、整洁有序，主次干道和街巷路面平整，无乱搭乱建、乱堆乱摆、乱停乱放、乱贴乱画、乱扔乱倒等“十乱”现象，“门前三包”制度落实到位。城市绿地养护良好，环境整洁有序。河道、湖泊等水体及岸坡整洁，无污水直排现象。建筑工地管理到位、卫生整洁、围挡规范，建筑垃圾规范运输处理。生活垃圾转运站等环卫设施、再生资源回收基础设施符合相关标准要求，推</w:t>
      </w:r>
      <w:r>
        <w:rPr>
          <w:rFonts w:hint="eastAsia" w:ascii="仿宋_GB2312" w:hAnsi="仿宋_GB2312" w:eastAsia="仿宋_GB2312" w:cs="仿宋_GB2312"/>
          <w:color w:val="000000"/>
          <w:kern w:val="0"/>
          <w:sz w:val="32"/>
          <w:szCs w:val="32"/>
          <w:lang w:val="en-US" w:eastAsia="zh-CN" w:bidi="ar"/>
        </w:rPr>
        <w:t>行生活垃圾分类，实现垃圾减量化、资源化。建成区和城乡结合</w:t>
      </w:r>
      <w:r>
        <w:rPr>
          <w:rFonts w:hint="eastAsia" w:ascii="仿宋_GB2312" w:hAnsi="仿宋_GB2312" w:eastAsia="仿宋_GB2312" w:cs="仿宋_GB2312"/>
          <w:color w:val="000000"/>
          <w:sz w:val="32"/>
          <w:szCs w:val="32"/>
        </w:rPr>
        <w:t>部农产品市场布局合理，科学设置经营区域，配备卫生管理和保洁人员，环卫设施齐全，设置功能分区图，公示农残检测、健康教育宣传及保洁制度。社区和单位、城中村及城乡结合部建立卫生管理组织和相关制度，卫生状况良好，全面消除旱厕。</w:t>
      </w:r>
    </w:p>
    <w:p>
      <w:pPr>
        <w:pStyle w:val="6"/>
        <w:keepNext w:val="0"/>
        <w:keepLines w:val="0"/>
        <w:pageBreakBefore w:val="0"/>
        <w:widowControl/>
        <w:suppressLineNumbers w:val="0"/>
        <w:kinsoku/>
        <w:wordWrap/>
        <w:overflowPunct/>
        <w:topLinePunct w:val="0"/>
        <w:bidi w:val="0"/>
        <w:spacing w:line="560" w:lineRule="exact"/>
        <w:ind w:left="0" w:firstLine="643" w:firstLineChars="200"/>
        <w:textAlignment w:val="auto"/>
        <w:rPr>
          <w:sz w:val="32"/>
          <w:szCs w:val="32"/>
        </w:rPr>
      </w:pPr>
      <w:r>
        <w:rPr>
          <w:rFonts w:hint="default" w:ascii="楷体_GB2312" w:eastAsia="楷体_GB2312" w:cs="楷体_GB2312"/>
          <w:b/>
          <w:bCs/>
          <w:color w:val="000000"/>
          <w:sz w:val="32"/>
          <w:szCs w:val="32"/>
        </w:rPr>
        <w:t>（四）加强生态环境保护工作。</w:t>
      </w:r>
      <w:r>
        <w:rPr>
          <w:rFonts w:hint="default" w:ascii="仿宋_GB2312" w:eastAsia="仿宋_GB2312" w:cs="仿宋_GB2312"/>
          <w:color w:val="000000"/>
          <w:sz w:val="32"/>
          <w:szCs w:val="32"/>
        </w:rPr>
        <w:t>贯彻落实《中华人民共和国大气污染防治法》《中华人民共和国水污染防治法》《中华人民共和国水法》等法律法规。加强大气污染治理，环境空气质量良好或持续改善。声功能区夜间环境质量、各级水环境功能区、集中式饮用水水源地水质均达标，医疗废弃处置符合规范并满足需求，医源性污水处理排放达标。落实定期巡查、河道保洁责任，实现和巩固黑臭水体长治久清目标。</w:t>
      </w:r>
    </w:p>
    <w:p>
      <w:pPr>
        <w:pStyle w:val="6"/>
        <w:keepNext w:val="0"/>
        <w:keepLines w:val="0"/>
        <w:pageBreakBefore w:val="0"/>
        <w:widowControl/>
        <w:suppressLineNumbers w:val="0"/>
        <w:kinsoku/>
        <w:wordWrap/>
        <w:overflowPunct/>
        <w:topLinePunct w:val="0"/>
        <w:bidi w:val="0"/>
        <w:spacing w:line="560" w:lineRule="exact"/>
        <w:ind w:left="0" w:firstLine="643" w:firstLineChars="200"/>
        <w:textAlignment w:val="auto"/>
      </w:pPr>
      <w:r>
        <w:rPr>
          <w:rFonts w:hint="default" w:ascii="楷体_GB2312" w:eastAsia="楷体_GB2312" w:cs="楷体_GB2312"/>
          <w:b/>
          <w:bCs/>
          <w:color w:val="000000"/>
          <w:sz w:val="32"/>
          <w:szCs w:val="32"/>
        </w:rPr>
        <w:t>（五）加强重点场所卫生管理。</w:t>
      </w:r>
      <w:r>
        <w:rPr>
          <w:rFonts w:hint="default" w:ascii="仿宋_GB2312" w:eastAsia="仿宋_GB2312" w:cs="仿宋_GB2312"/>
          <w:color w:val="000000"/>
          <w:sz w:val="32"/>
          <w:szCs w:val="32"/>
        </w:rPr>
        <w:t>贯彻落实《中华人民共和国职业病防治法》《公共场所卫生管理条例》《学校卫生工作条例》。实行公共场所卫生监督量化分级管理，规范开展卫生许可和卫生管理工作，卫生许可证件齐全有效，服务人员取得有效健康合格证明。小浴室、小美容美发店、小歌舞厅、小旅店等经营资格合法，室内外环境整洁，卫生管理、硬件设施符合相应国家标准要求，杜绝无证经营现象。学校教学、生活等环境符合要求，传染病、常见病（包括近视、肥胖等）防控措施落实到位。按照规定设立卫生室，配备专职卫生保健人员和专兼职心理健康教师，配备比率符合要求。</w:t>
      </w:r>
    </w:p>
    <w:p>
      <w:pPr>
        <w:pStyle w:val="6"/>
        <w:keepNext w:val="0"/>
        <w:keepLines w:val="0"/>
        <w:pageBreakBefore w:val="0"/>
        <w:widowControl/>
        <w:suppressLineNumbers w:val="0"/>
        <w:kinsoku/>
        <w:wordWrap/>
        <w:overflowPunct/>
        <w:topLinePunct w:val="0"/>
        <w:bidi w:val="0"/>
        <w:spacing w:line="560" w:lineRule="exact"/>
        <w:ind w:left="0" w:firstLine="643" w:firstLineChars="200"/>
        <w:textAlignment w:val="auto"/>
        <w:rPr>
          <w:sz w:val="32"/>
          <w:szCs w:val="32"/>
        </w:rPr>
      </w:pPr>
      <w:r>
        <w:rPr>
          <w:rFonts w:hint="default" w:ascii="楷体_GB2312" w:eastAsia="楷体_GB2312" w:cs="楷体_GB2312"/>
          <w:b/>
          <w:bCs/>
          <w:color w:val="000000"/>
          <w:sz w:val="32"/>
          <w:szCs w:val="32"/>
        </w:rPr>
        <w:t>（六）加强食品和生活饮用水安全管理。</w:t>
      </w:r>
      <w:r>
        <w:rPr>
          <w:rFonts w:hint="default" w:ascii="仿宋_GB2312" w:eastAsia="仿宋_GB2312" w:cs="仿宋_GB2312"/>
          <w:color w:val="000000"/>
          <w:sz w:val="32"/>
          <w:szCs w:val="32"/>
        </w:rPr>
        <w:t>贯彻落实《中华人民共和国食品安全法》《生活饮用水卫生监督管理办法》《二次</w:t>
      </w:r>
      <w:r>
        <w:rPr>
          <w:rFonts w:hint="default" w:ascii="仿宋_GB2312" w:hAnsi="宋体" w:eastAsia="仿宋_GB2312" w:cs="仿宋_GB2312"/>
          <w:color w:val="000000"/>
          <w:kern w:val="0"/>
          <w:sz w:val="32"/>
          <w:szCs w:val="32"/>
          <w:lang w:val="en-US" w:eastAsia="zh-CN" w:bidi="ar"/>
        </w:rPr>
        <w:t>供水设施卫生规范》。加强食品安全管理，完善食品安全突发事</w:t>
      </w:r>
      <w:r>
        <w:rPr>
          <w:rFonts w:hint="default" w:ascii="仿宋_GB2312" w:eastAsia="仿宋_GB2312" w:cs="仿宋_GB2312"/>
          <w:color w:val="000000"/>
          <w:sz w:val="32"/>
          <w:szCs w:val="32"/>
        </w:rPr>
        <w:t>件应急体系，制定预案并进行演练。加强小餐饮店、小食品店、小作坊管理，做到管理规范、亮证经营。无固定经营场所的食品摊贩实行统一管理，规定区域、限定品种经营。持续推行推行明厨亮灶、倡导公筷公勺、制止餐饮浪费和开展无贩卖、制售、食用野生动物的宣传及活动。市政供水、居民小区供水管理规范，供水单位有卫生许可证。二次供水符合国家相关标准要求。</w:t>
      </w:r>
    </w:p>
    <w:p>
      <w:pPr>
        <w:pStyle w:val="6"/>
        <w:keepNext w:val="0"/>
        <w:keepLines w:val="0"/>
        <w:pageBreakBefore w:val="0"/>
        <w:widowControl/>
        <w:suppressLineNumbers w:val="0"/>
        <w:kinsoku/>
        <w:wordWrap/>
        <w:overflowPunct/>
        <w:topLinePunct w:val="0"/>
        <w:bidi w:val="0"/>
        <w:spacing w:line="560" w:lineRule="exact"/>
        <w:ind w:left="0" w:firstLine="643" w:firstLineChars="200"/>
        <w:textAlignment w:val="auto"/>
        <w:rPr>
          <w:rFonts w:hint="eastAsia" w:ascii="仿宋_GB2312" w:hAnsi="仿宋_GB2312" w:eastAsia="仿宋_GB2312" w:cs="仿宋_GB2312"/>
          <w:sz w:val="32"/>
          <w:szCs w:val="32"/>
        </w:rPr>
      </w:pPr>
      <w:r>
        <w:rPr>
          <w:rFonts w:hint="default" w:ascii="楷体_GB2312" w:eastAsia="楷体_GB2312" w:cs="楷体_GB2312"/>
          <w:b/>
          <w:bCs/>
          <w:color w:val="000000"/>
          <w:sz w:val="32"/>
          <w:szCs w:val="32"/>
        </w:rPr>
        <w:t>（七）加强疾病防控与医疗卫生服务工作。</w:t>
      </w:r>
      <w:r>
        <w:rPr>
          <w:rFonts w:hint="eastAsia" w:ascii="仿宋_GB2312" w:hAnsi="仿宋_GB2312" w:eastAsia="仿宋_GB2312" w:cs="仿宋_GB2312"/>
          <w:color w:val="000000"/>
          <w:sz w:val="32"/>
          <w:szCs w:val="32"/>
        </w:rPr>
        <w:t>贯彻落实《中华人民共和国传染病防治法》《中华人民共和国精神卫生法》《疾病预防控制中心建设标准》。建立重大突发新发传染病联防联控机制，落实传染病防控“四早”和“四有”要求。加强医疗机构有传染病管理，发热门诊、肠道门诊、预检分诊设置规范。医疗卫生机构免疫接种规范，落实母婴安全五项制度，妇幼业务开展到位。做好重大事件心理应急预案。严重精神障碍患者管理规范。医疗卫生服务体系健全，医疗机构建设符合要求、管理规范，逐步形成15分钟基本医疗卫生服务圈。定期开展急救知识与技能培训。科学开展病媒生物监测与评估，掌握病媒生物孳生地基本情况、密度变化和侵害状况。根据季节特点，以专业防治与群众参与相结合的模式，组织部门、群众开展除“四害”消杀活动，将“四害”控制在国家卫生</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标准范围之内。</w:t>
      </w:r>
    </w:p>
    <w:p>
      <w:pPr>
        <w:pStyle w:val="6"/>
        <w:keepNext w:val="0"/>
        <w:keepLines w:val="0"/>
        <w:pageBreakBefore w:val="0"/>
        <w:widowControl/>
        <w:suppressLineNumbers w:val="0"/>
        <w:kinsoku/>
        <w:wordWrap/>
        <w:overflowPunct/>
        <w:topLinePunct w:val="0"/>
        <w:bidi w:val="0"/>
        <w:spacing w:line="560" w:lineRule="exact"/>
        <w:ind w:firstLine="620" w:firstLineChars="200"/>
        <w:textAlignment w:val="auto"/>
      </w:pPr>
      <w:r>
        <w:rPr>
          <w:rFonts w:ascii="黑体" w:hAnsi="宋体" w:eastAsia="黑体" w:cs="黑体"/>
          <w:color w:val="000000"/>
          <w:sz w:val="31"/>
          <w:szCs w:val="31"/>
        </w:rPr>
        <w:t>五、工作措施</w:t>
      </w:r>
    </w:p>
    <w:p>
      <w:pPr>
        <w:pStyle w:val="6"/>
        <w:keepNext w:val="0"/>
        <w:keepLines w:val="0"/>
        <w:pageBreakBefore w:val="0"/>
        <w:widowControl/>
        <w:suppressLineNumbers w:val="0"/>
        <w:kinsoku/>
        <w:wordWrap/>
        <w:overflowPunct/>
        <w:topLinePunct w:val="0"/>
        <w:bidi w:val="0"/>
        <w:spacing w:line="560" w:lineRule="exact"/>
        <w:ind w:firstLine="622" w:firstLineChars="200"/>
        <w:textAlignment w:val="auto"/>
      </w:pPr>
      <w:r>
        <w:rPr>
          <w:rFonts w:ascii="楷体_GB2312" w:eastAsia="楷体_GB2312" w:cs="楷体_GB2312"/>
          <w:b/>
          <w:bCs/>
          <w:color w:val="000000"/>
          <w:sz w:val="31"/>
          <w:szCs w:val="31"/>
        </w:rPr>
        <w:t>（一）加强</w:t>
      </w:r>
      <w:r>
        <w:rPr>
          <w:rFonts w:hint="eastAsia" w:ascii="楷体_GB2312" w:eastAsia="楷体_GB2312" w:cs="楷体_GB2312"/>
          <w:b/>
          <w:bCs/>
          <w:color w:val="000000"/>
          <w:sz w:val="31"/>
          <w:szCs w:val="31"/>
          <w:lang w:val="en-US" w:eastAsia="zh-CN"/>
        </w:rPr>
        <w:t>业务</w:t>
      </w:r>
      <w:r>
        <w:rPr>
          <w:rFonts w:ascii="楷体_GB2312" w:eastAsia="楷体_GB2312" w:cs="楷体_GB2312"/>
          <w:b/>
          <w:bCs/>
          <w:color w:val="000000"/>
          <w:sz w:val="31"/>
          <w:szCs w:val="31"/>
        </w:rPr>
        <w:t>培训和指导。</w:t>
      </w:r>
      <w:r>
        <w:rPr>
          <w:rFonts w:hint="eastAsia" w:ascii="仿宋_GB2312" w:eastAsia="仿宋_GB2312" w:cs="仿宋_GB2312"/>
          <w:color w:val="000000"/>
          <w:sz w:val="32"/>
          <w:szCs w:val="32"/>
          <w:lang w:val="en-US" w:eastAsia="zh-CN"/>
        </w:rPr>
        <w:t>组织各乡镇、各牵头单位、各责任单位</w:t>
      </w:r>
      <w:r>
        <w:rPr>
          <w:rFonts w:hint="default" w:ascii="仿宋_GB2312" w:hAnsi="宋体" w:eastAsia="仿宋_GB2312" w:cs="仿宋_GB2312"/>
          <w:color w:val="000000"/>
          <w:kern w:val="0"/>
          <w:sz w:val="32"/>
          <w:szCs w:val="32"/>
          <w:lang w:val="en-US" w:eastAsia="zh-CN" w:bidi="ar"/>
        </w:rPr>
        <w:t>持续学习国家卫生城市新标准、新要求，</w:t>
      </w:r>
      <w:r>
        <w:rPr>
          <w:rFonts w:hint="eastAsia" w:ascii="仿宋_GB2312" w:hAnsi="宋体" w:eastAsia="仿宋_GB2312" w:cs="仿宋_GB2312"/>
          <w:color w:val="000000"/>
          <w:kern w:val="0"/>
          <w:sz w:val="32"/>
          <w:szCs w:val="32"/>
          <w:lang w:val="en-US" w:eastAsia="zh-CN" w:bidi="ar"/>
        </w:rPr>
        <w:t>进一步加</w:t>
      </w:r>
      <w:r>
        <w:rPr>
          <w:rFonts w:hint="default" w:ascii="仿宋_GB2312" w:eastAsia="仿宋_GB2312" w:cs="仿宋_GB2312"/>
          <w:color w:val="000000"/>
          <w:sz w:val="32"/>
          <w:szCs w:val="32"/>
        </w:rPr>
        <w:t>强</w:t>
      </w:r>
      <w:r>
        <w:rPr>
          <w:rFonts w:hint="eastAsia" w:ascii="仿宋_GB2312" w:eastAsia="仿宋_GB2312" w:cs="仿宋_GB2312"/>
          <w:color w:val="000000"/>
          <w:sz w:val="32"/>
          <w:szCs w:val="32"/>
          <w:lang w:val="en-US" w:eastAsia="zh-CN"/>
        </w:rPr>
        <w:t>相关</w:t>
      </w:r>
      <w:r>
        <w:rPr>
          <w:rFonts w:hint="default" w:ascii="仿宋_GB2312" w:eastAsia="仿宋_GB2312" w:cs="仿宋_GB2312"/>
          <w:color w:val="000000"/>
          <w:sz w:val="32"/>
          <w:szCs w:val="32"/>
        </w:rPr>
        <w:t>人员的</w:t>
      </w:r>
      <w:r>
        <w:rPr>
          <w:rFonts w:hint="eastAsia" w:ascii="仿宋_GB2312" w:eastAsia="仿宋_GB2312" w:cs="仿宋_GB2312"/>
          <w:color w:val="000000"/>
          <w:sz w:val="32"/>
          <w:szCs w:val="32"/>
          <w:lang w:val="en-US" w:eastAsia="zh-CN"/>
        </w:rPr>
        <w:t>业务</w:t>
      </w:r>
      <w:r>
        <w:rPr>
          <w:rFonts w:hint="default" w:ascii="仿宋_GB2312" w:eastAsia="仿宋_GB2312" w:cs="仿宋_GB2312"/>
          <w:color w:val="000000"/>
          <w:sz w:val="32"/>
          <w:szCs w:val="32"/>
        </w:rPr>
        <w:t>培训和指导，</w:t>
      </w:r>
      <w:r>
        <w:rPr>
          <w:rFonts w:hint="eastAsia" w:ascii="仿宋_GB2312" w:eastAsia="仿宋_GB2312" w:cs="仿宋_GB2312"/>
          <w:color w:val="000000"/>
          <w:sz w:val="32"/>
          <w:szCs w:val="32"/>
          <w:lang w:val="en-US" w:eastAsia="zh-CN"/>
        </w:rPr>
        <w:t>做到识大局、明思路、有措施。</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rPr>
          <w:rFonts w:hint="eastAsia" w:ascii="仿宋_GB2312" w:hAnsi="仿宋_GB2312" w:eastAsia="仿宋_GB2312" w:cs="仿宋_GB2312"/>
          <w:sz w:val="32"/>
          <w:szCs w:val="32"/>
        </w:rPr>
      </w:pPr>
      <w:r>
        <w:rPr>
          <w:rFonts w:hint="default" w:ascii="楷体_GB2312" w:eastAsia="楷体_GB2312" w:cs="楷体_GB2312"/>
          <w:b/>
          <w:bCs/>
          <w:color w:val="000000"/>
          <w:sz w:val="31"/>
          <w:szCs w:val="31"/>
        </w:rPr>
        <w:t>（二）加强广泛宣传发动。</w:t>
      </w:r>
      <w:r>
        <w:rPr>
          <w:rFonts w:hint="eastAsia" w:ascii="仿宋_GB2312" w:hAnsi="仿宋_GB2312" w:eastAsia="仿宋_GB2312" w:cs="仿宋_GB2312"/>
          <w:color w:val="000000"/>
          <w:sz w:val="32"/>
          <w:szCs w:val="32"/>
        </w:rPr>
        <w:t>广泛开展群众性爱国卫生活动，倡导“文明健康，绿色环保”生活方式，充分运用各类媒体平台，各种宣传载体，多种方式深入宣传爱国卫生和巩固国家卫生城市工作的重要意义和内容，加强舆论引导、政策解读和健康知识科普宣传，营造人人知晓、人人参与爱卫创卫的良好社会氛围。</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rPr>
          <w:rFonts w:hint="eastAsia" w:ascii="仿宋_GB2312" w:hAnsi="仿宋_GB2312" w:eastAsia="仿宋_GB2312" w:cs="仿宋_GB2312"/>
          <w:sz w:val="32"/>
          <w:szCs w:val="32"/>
        </w:rPr>
      </w:pPr>
      <w:r>
        <w:rPr>
          <w:rFonts w:hint="default" w:ascii="楷体_GB2312" w:hAnsi="宋体" w:eastAsia="楷体_GB2312" w:cs="楷体_GB2312"/>
          <w:b/>
          <w:bCs/>
          <w:color w:val="000000"/>
          <w:kern w:val="0"/>
          <w:sz w:val="31"/>
          <w:szCs w:val="31"/>
          <w:lang w:val="en-US" w:eastAsia="zh-CN" w:bidi="ar"/>
        </w:rPr>
        <w:t>（三）</w:t>
      </w:r>
      <w:r>
        <w:rPr>
          <w:rFonts w:hint="eastAsia" w:ascii="楷体_GB2312" w:eastAsia="楷体_GB2312" w:cs="楷体_GB2312"/>
          <w:b/>
          <w:bCs/>
          <w:color w:val="000000"/>
          <w:kern w:val="0"/>
          <w:sz w:val="31"/>
          <w:szCs w:val="31"/>
          <w:lang w:val="en-US" w:eastAsia="zh-CN" w:bidi="ar"/>
        </w:rPr>
        <w:t>加强</w:t>
      </w:r>
      <w:r>
        <w:rPr>
          <w:rFonts w:hint="default" w:ascii="楷体_GB2312" w:hAnsi="宋体" w:eastAsia="楷体_GB2312" w:cs="楷体_GB2312"/>
          <w:b/>
          <w:bCs/>
          <w:color w:val="000000"/>
          <w:kern w:val="0"/>
          <w:sz w:val="31"/>
          <w:szCs w:val="31"/>
          <w:lang w:val="en-US" w:eastAsia="zh-CN" w:bidi="ar"/>
        </w:rPr>
        <w:t>督查整改工作。</w:t>
      </w:r>
      <w:r>
        <w:rPr>
          <w:rFonts w:hint="eastAsia" w:ascii="仿宋_GB2312" w:hAnsi="仿宋_GB2312" w:eastAsia="仿宋_GB2312" w:cs="仿宋_GB2312"/>
          <w:color w:val="000000"/>
          <w:sz w:val="32"/>
          <w:szCs w:val="32"/>
        </w:rPr>
        <w:t>开展“日查、周督、月评、季暗访”常态化督查工作，对各</w:t>
      </w:r>
      <w:r>
        <w:rPr>
          <w:rFonts w:hint="eastAsia" w:ascii="仿宋_GB2312" w:hAnsi="仿宋_GB2312" w:eastAsia="仿宋_GB2312" w:cs="仿宋_GB2312"/>
          <w:color w:val="000000"/>
          <w:sz w:val="32"/>
          <w:szCs w:val="32"/>
          <w:lang w:val="en-US" w:eastAsia="zh-CN"/>
        </w:rPr>
        <w:t>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各单位</w:t>
      </w:r>
      <w:r>
        <w:rPr>
          <w:rFonts w:hint="eastAsia" w:ascii="仿宋_GB2312" w:hAnsi="仿宋_GB2312" w:eastAsia="仿宋_GB2312" w:cs="仿宋_GB2312"/>
          <w:color w:val="000000"/>
          <w:sz w:val="32"/>
          <w:szCs w:val="32"/>
        </w:rPr>
        <w:t>巩固国家卫生</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工作落实情况进行检查指导、考核及通报。建立完善巩固国家卫生城市网格化管理工作机制，</w:t>
      </w:r>
      <w:r>
        <w:rPr>
          <w:rFonts w:hint="eastAsia" w:ascii="仿宋_GB2312" w:hAnsi="仿宋_GB2312" w:eastAsia="仿宋_GB2312" w:cs="仿宋_GB2312"/>
          <w:color w:val="000000"/>
          <w:sz w:val="32"/>
          <w:szCs w:val="32"/>
          <w:lang w:val="en-US" w:eastAsia="zh-CN"/>
        </w:rPr>
        <w:t>强化</w:t>
      </w:r>
      <w:r>
        <w:rPr>
          <w:rFonts w:hint="eastAsia" w:ascii="仿宋_GB2312" w:hAnsi="仿宋_GB2312" w:eastAsia="仿宋_GB2312" w:cs="仿宋_GB2312"/>
          <w:color w:val="000000"/>
          <w:sz w:val="32"/>
          <w:szCs w:val="32"/>
        </w:rPr>
        <w:t>日常巡查和专项督查，及时通报存在问题，督促落实整改。</w:t>
      </w:r>
    </w:p>
    <w:p>
      <w:pPr>
        <w:keepNext w:val="0"/>
        <w:keepLines w:val="0"/>
        <w:pageBreakBefore w:val="0"/>
        <w:widowControl/>
        <w:suppressLineNumbers w:val="0"/>
        <w:kinsoku/>
        <w:wordWrap/>
        <w:overflowPunct/>
        <w:topLinePunct w:val="0"/>
        <w:bidi w:val="0"/>
        <w:spacing w:line="560" w:lineRule="exact"/>
        <w:ind w:left="0" w:firstLine="622" w:firstLineChars="200"/>
        <w:jc w:val="left"/>
        <w:textAlignment w:val="auto"/>
      </w:pPr>
      <w:r>
        <w:rPr>
          <w:rFonts w:hint="default" w:ascii="楷体_GB2312" w:hAnsi="宋体" w:eastAsia="楷体_GB2312" w:cs="楷体_GB2312"/>
          <w:b/>
          <w:bCs/>
          <w:color w:val="000000"/>
          <w:kern w:val="0"/>
          <w:sz w:val="31"/>
          <w:szCs w:val="31"/>
          <w:lang w:val="en-US" w:eastAsia="zh-CN" w:bidi="ar"/>
        </w:rPr>
        <w:t>（四）</w:t>
      </w:r>
      <w:r>
        <w:rPr>
          <w:rFonts w:hint="eastAsia" w:ascii="楷体_GB2312" w:hAnsi="宋体" w:eastAsia="楷体_GB2312" w:cs="楷体_GB2312"/>
          <w:b/>
          <w:bCs/>
          <w:color w:val="000000"/>
          <w:kern w:val="0"/>
          <w:sz w:val="31"/>
          <w:szCs w:val="31"/>
          <w:lang w:val="en-US" w:eastAsia="zh-CN" w:bidi="ar"/>
        </w:rPr>
        <w:t>加强</w:t>
      </w:r>
      <w:r>
        <w:rPr>
          <w:rFonts w:hint="default" w:ascii="楷体_GB2312" w:hAnsi="宋体" w:eastAsia="楷体_GB2312" w:cs="楷体_GB2312"/>
          <w:b/>
          <w:bCs/>
          <w:color w:val="000000"/>
          <w:kern w:val="0"/>
          <w:sz w:val="31"/>
          <w:szCs w:val="31"/>
          <w:lang w:val="en-US" w:eastAsia="zh-CN" w:bidi="ar"/>
        </w:rPr>
        <w:t>专项整治行动。</w:t>
      </w:r>
      <w:r>
        <w:rPr>
          <w:rFonts w:hint="default" w:ascii="仿宋_GB2312" w:eastAsia="仿宋_GB2312" w:cs="仿宋_GB2312"/>
          <w:color w:val="000000"/>
          <w:sz w:val="32"/>
          <w:szCs w:val="32"/>
        </w:rPr>
        <w:t>根据在巩固国家卫生</w:t>
      </w:r>
      <w:r>
        <w:rPr>
          <w:rFonts w:hint="eastAsia" w:ascii="仿宋_GB2312" w:eastAsia="仿宋_GB2312" w:cs="仿宋_GB2312"/>
          <w:color w:val="000000"/>
          <w:sz w:val="32"/>
          <w:szCs w:val="32"/>
          <w:lang w:val="en-US" w:eastAsia="zh-CN"/>
        </w:rPr>
        <w:t>县</w:t>
      </w:r>
      <w:r>
        <w:rPr>
          <w:rFonts w:hint="default" w:ascii="仿宋_GB2312" w:eastAsia="仿宋_GB2312" w:cs="仿宋_GB2312"/>
          <w:color w:val="000000"/>
          <w:sz w:val="32"/>
          <w:szCs w:val="32"/>
        </w:rPr>
        <w:t>工作中存在的问题，</w:t>
      </w:r>
      <w:r>
        <w:rPr>
          <w:rFonts w:hint="eastAsia" w:ascii="仿宋_GB2312" w:eastAsia="仿宋_GB2312" w:cs="仿宋_GB2312"/>
          <w:color w:val="000000"/>
          <w:sz w:val="32"/>
          <w:szCs w:val="32"/>
          <w:lang w:val="en-US" w:eastAsia="zh-CN"/>
        </w:rPr>
        <w:t>从解决问题入手，</w:t>
      </w:r>
      <w:r>
        <w:rPr>
          <w:rFonts w:hint="default" w:ascii="仿宋_GB2312" w:eastAsia="仿宋_GB2312" w:cs="仿宋_GB2312"/>
          <w:color w:val="000000"/>
          <w:sz w:val="32"/>
          <w:szCs w:val="32"/>
        </w:rPr>
        <w:t>有针对性开展专项整治行动，重点解决城市卫生管理中重点难点问题，攻坚薄弱环节。</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rPr>
          <w:sz w:val="32"/>
          <w:szCs w:val="32"/>
        </w:rPr>
      </w:pPr>
      <w:r>
        <w:rPr>
          <w:rFonts w:hint="default" w:ascii="楷体_GB2312" w:eastAsia="楷体_GB2312" w:cs="楷体_GB2312"/>
          <w:b/>
          <w:bCs/>
          <w:color w:val="000000"/>
          <w:sz w:val="31"/>
          <w:szCs w:val="31"/>
        </w:rPr>
        <w:t>（五）</w:t>
      </w:r>
      <w:r>
        <w:rPr>
          <w:rFonts w:hint="eastAsia" w:ascii="楷体_GB2312" w:eastAsia="楷体_GB2312" w:cs="楷体_GB2312"/>
          <w:b/>
          <w:bCs/>
          <w:color w:val="000000"/>
          <w:sz w:val="31"/>
          <w:szCs w:val="31"/>
          <w:lang w:val="en-US" w:eastAsia="zh-CN"/>
        </w:rPr>
        <w:t>建立</w:t>
      </w:r>
      <w:r>
        <w:rPr>
          <w:rFonts w:hint="default" w:ascii="楷体_GB2312" w:eastAsia="楷体_GB2312" w:cs="楷体_GB2312"/>
          <w:b/>
          <w:bCs/>
          <w:color w:val="000000"/>
          <w:sz w:val="31"/>
          <w:szCs w:val="31"/>
        </w:rPr>
        <w:t>爱国卫生工作示范点。</w:t>
      </w:r>
      <w:r>
        <w:rPr>
          <w:rFonts w:hint="eastAsia" w:ascii="仿宋_GB2312" w:eastAsia="仿宋_GB2312" w:cs="仿宋_GB2312"/>
          <w:b w:val="0"/>
          <w:bCs w:val="0"/>
          <w:color w:val="000000"/>
          <w:sz w:val="32"/>
          <w:szCs w:val="32"/>
          <w:lang w:val="en-US" w:eastAsia="zh-CN"/>
        </w:rPr>
        <w:t>推进黄冕镇、寨沙镇创建国家卫生乡镇工作，推进鹿寨县国家卫生县和中渡镇国家卫生乡镇复审工作，推进导江乡自治区卫生乡镇复审工作，推进一批自治区卫生村和卫生先进单位创建和复审工作</w:t>
      </w:r>
      <w:r>
        <w:rPr>
          <w:rFonts w:hint="default" w:ascii="仿宋_GB2312" w:eastAsia="仿宋_GB2312" w:cs="仿宋_GB2312"/>
          <w:b w:val="0"/>
          <w:bCs w:val="0"/>
          <w:color w:val="000000"/>
          <w:sz w:val="32"/>
          <w:szCs w:val="32"/>
        </w:rPr>
        <w:t>。</w:t>
      </w:r>
      <w:r>
        <w:rPr>
          <w:rFonts w:hint="default" w:ascii="仿宋_GB2312" w:eastAsia="仿宋_GB2312" w:cs="仿宋_GB2312"/>
          <w:color w:val="000000"/>
          <w:sz w:val="32"/>
          <w:szCs w:val="32"/>
        </w:rPr>
        <w:t>精心打造一批农贸市场、建筑工地、居民小区、城乡结合部、公园等示范点，以点带面扩大国家卫生</w:t>
      </w:r>
      <w:r>
        <w:rPr>
          <w:rFonts w:hint="eastAsia" w:ascii="仿宋_GB2312" w:eastAsia="仿宋_GB2312" w:cs="仿宋_GB2312"/>
          <w:color w:val="000000"/>
          <w:sz w:val="32"/>
          <w:szCs w:val="32"/>
          <w:lang w:val="en-US" w:eastAsia="zh-CN"/>
        </w:rPr>
        <w:t>县</w:t>
      </w:r>
      <w:r>
        <w:rPr>
          <w:rFonts w:hint="default" w:ascii="仿宋_GB2312" w:eastAsia="仿宋_GB2312" w:cs="仿宋_GB2312"/>
          <w:color w:val="000000"/>
          <w:sz w:val="32"/>
          <w:szCs w:val="32"/>
        </w:rPr>
        <w:t>创建成果。</w:t>
      </w:r>
    </w:p>
    <w:p>
      <w:pPr>
        <w:keepNext w:val="0"/>
        <w:keepLines w:val="0"/>
        <w:pageBreakBefore w:val="0"/>
        <w:widowControl/>
        <w:suppressLineNumbers w:val="0"/>
        <w:kinsoku/>
        <w:wordWrap/>
        <w:overflowPunct/>
        <w:topLinePunct w:val="0"/>
        <w:bidi w:val="0"/>
        <w:spacing w:line="560" w:lineRule="exact"/>
        <w:ind w:firstLine="622" w:firstLineChars="200"/>
        <w:jc w:val="left"/>
        <w:textAlignment w:val="auto"/>
        <w:rPr>
          <w:rFonts w:hint="eastAsia" w:ascii="仿宋_GB2312" w:hAnsi="仿宋_GB2312" w:eastAsia="仿宋_GB2312" w:cs="仿宋_GB2312"/>
          <w:color w:val="auto"/>
          <w:sz w:val="32"/>
          <w:szCs w:val="32"/>
          <w:lang w:eastAsia="zh-CN"/>
        </w:rPr>
      </w:pPr>
      <w:r>
        <w:rPr>
          <w:rFonts w:hint="default" w:ascii="楷体_GB2312" w:eastAsia="楷体_GB2312" w:cs="楷体_GB2312"/>
          <w:b/>
          <w:bCs/>
          <w:color w:val="000000"/>
          <w:sz w:val="31"/>
          <w:szCs w:val="31"/>
        </w:rPr>
        <w:t>（六）完成资料的收集整理工作。</w:t>
      </w:r>
      <w:r>
        <w:rPr>
          <w:rFonts w:hint="eastAsia" w:ascii="仿宋_GB2312" w:hAnsi="仿宋_GB2312" w:eastAsia="仿宋_GB2312" w:cs="仿宋_GB2312"/>
          <w:color w:val="000000"/>
          <w:sz w:val="32"/>
          <w:szCs w:val="32"/>
        </w:rPr>
        <w:t>根据《国家卫生城市和国家卫生县标准（2021版）》中各自的职能和分工，</w:t>
      </w:r>
      <w:r>
        <w:rPr>
          <w:rFonts w:hint="eastAsia" w:ascii="仿宋_GB2312" w:hAnsi="仿宋_GB2312" w:eastAsia="仿宋_GB2312" w:cs="仿宋_GB2312"/>
          <w:color w:val="000000"/>
          <w:sz w:val="32"/>
          <w:szCs w:val="32"/>
          <w:lang w:val="en-US" w:eastAsia="zh-CN"/>
        </w:rPr>
        <w:t>在今年9月份前，</w:t>
      </w:r>
      <w:r>
        <w:rPr>
          <w:rFonts w:hint="eastAsia" w:ascii="仿宋_GB2312" w:hAnsi="仿宋_GB2312" w:eastAsia="仿宋_GB2312" w:cs="仿宋_GB2312"/>
          <w:color w:val="000000"/>
          <w:sz w:val="32"/>
          <w:szCs w:val="32"/>
        </w:rPr>
        <w:t>整理完善本</w:t>
      </w:r>
      <w:r>
        <w:rPr>
          <w:rFonts w:hint="eastAsia" w:ascii="仿宋_GB2312" w:hAnsi="仿宋_GB2312" w:eastAsia="仿宋_GB2312" w:cs="仿宋_GB2312"/>
          <w:color w:val="000000"/>
          <w:sz w:val="32"/>
          <w:szCs w:val="32"/>
          <w:lang w:val="en-US" w:eastAsia="zh-CN"/>
        </w:rPr>
        <w:t>乡镇</w:t>
      </w:r>
      <w:r>
        <w:rPr>
          <w:rFonts w:hint="eastAsia" w:ascii="仿宋_GB2312" w:hAnsi="仿宋_GB2312" w:eastAsia="仿宋_GB2312" w:cs="仿宋_GB2312"/>
          <w:color w:val="000000"/>
          <w:sz w:val="32"/>
          <w:szCs w:val="32"/>
        </w:rPr>
        <w:t>、本单位2022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年巩固国家卫生城市</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工作资料。</w:t>
      </w:r>
    </w:p>
    <w:p>
      <w:pPr>
        <w:pStyle w:val="6"/>
        <w:keepNext w:val="0"/>
        <w:keepLines w:val="0"/>
        <w:pageBreakBefore w:val="0"/>
        <w:widowControl/>
        <w:suppressLineNumbers w:val="0"/>
        <w:kinsoku/>
        <w:wordWrap/>
        <w:overflowPunct/>
        <w:topLinePunct w:val="0"/>
        <w:bidi w:val="0"/>
        <w:spacing w:line="560" w:lineRule="exact"/>
        <w:ind w:left="0" w:firstLine="620" w:firstLineChars="200"/>
        <w:textAlignment w:val="auto"/>
      </w:pPr>
      <w:r>
        <w:rPr>
          <w:rFonts w:ascii="黑体" w:hAnsi="宋体" w:eastAsia="黑体" w:cs="黑体"/>
          <w:color w:val="000000"/>
          <w:sz w:val="31"/>
          <w:szCs w:val="31"/>
        </w:rPr>
        <w:t>六、工作要求</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rPr>
          <w:rFonts w:hint="eastAsia" w:ascii="仿宋_GB2312" w:hAnsi="仿宋_GB2312" w:eastAsia="仿宋_GB2312" w:cs="仿宋_GB2312"/>
          <w:sz w:val="32"/>
          <w:szCs w:val="32"/>
        </w:rPr>
      </w:pPr>
      <w:r>
        <w:rPr>
          <w:rFonts w:ascii="楷体_GB2312" w:eastAsia="楷体_GB2312" w:cs="楷体_GB2312"/>
          <w:b/>
          <w:bCs/>
          <w:color w:val="000000"/>
          <w:sz w:val="31"/>
          <w:szCs w:val="31"/>
        </w:rPr>
        <w:t>（一）强化组织领导。</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val="en-US" w:eastAsia="zh-CN"/>
        </w:rPr>
        <w:t>乡镇各单位各部门</w:t>
      </w:r>
      <w:r>
        <w:rPr>
          <w:rFonts w:hint="eastAsia" w:ascii="仿宋_GB2312" w:hAnsi="仿宋_GB2312" w:eastAsia="仿宋_GB2312" w:cs="仿宋_GB2312"/>
          <w:color w:val="000000"/>
          <w:sz w:val="32"/>
          <w:szCs w:val="32"/>
        </w:rPr>
        <w:t>要按照</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政府的统一部署，高度重视巩固国家卫生</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工作，实行“一把手”负责制，形成统一领导、责任明确、措施有力、监督到位的巩固国家卫生城市创建成果长效管理工作机制。</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pPr>
      <w:r>
        <w:rPr>
          <w:rFonts w:hint="default" w:ascii="楷体_GB2312" w:eastAsia="楷体_GB2312" w:cs="楷体_GB2312"/>
          <w:b/>
          <w:bCs/>
          <w:color w:val="000000"/>
          <w:sz w:val="31"/>
          <w:szCs w:val="31"/>
        </w:rPr>
        <w:t>（二）强化协调联动。</w:t>
      </w:r>
      <w:r>
        <w:rPr>
          <w:rFonts w:ascii="仿宋_GB2312" w:eastAsia="仿宋_GB2312" w:cs="仿宋_GB2312"/>
          <w:color w:val="000000"/>
          <w:sz w:val="32"/>
          <w:szCs w:val="32"/>
        </w:rPr>
        <w:t>各</w:t>
      </w:r>
      <w:r>
        <w:rPr>
          <w:rFonts w:hint="eastAsia" w:ascii="仿宋_GB2312" w:eastAsia="仿宋_GB2312" w:cs="仿宋_GB2312"/>
          <w:color w:val="000000"/>
          <w:sz w:val="32"/>
          <w:szCs w:val="32"/>
          <w:lang w:val="en-US" w:eastAsia="zh-CN"/>
        </w:rPr>
        <w:t>乡镇各单位各部门</w:t>
      </w:r>
      <w:r>
        <w:rPr>
          <w:rFonts w:hint="default" w:ascii="仿宋_GB2312" w:eastAsia="仿宋_GB2312" w:cs="仿宋_GB2312"/>
          <w:color w:val="000000"/>
          <w:sz w:val="32"/>
          <w:szCs w:val="32"/>
        </w:rPr>
        <w:t>要完善信息互通渠道，加强与复审办、其他业务部门之间的信息沟通及业务合作，提高问题处理能力和效率，形成有效的联动机制，协同推进巩固国家卫生</w:t>
      </w:r>
      <w:r>
        <w:rPr>
          <w:rFonts w:hint="eastAsia" w:ascii="仿宋_GB2312" w:eastAsia="仿宋_GB2312" w:cs="仿宋_GB2312"/>
          <w:color w:val="000000"/>
          <w:sz w:val="32"/>
          <w:szCs w:val="32"/>
          <w:lang w:val="en-US" w:eastAsia="zh-CN"/>
        </w:rPr>
        <w:t>县</w:t>
      </w:r>
      <w:r>
        <w:rPr>
          <w:rFonts w:hint="default" w:ascii="仿宋_GB2312" w:eastAsia="仿宋_GB2312" w:cs="仿宋_GB2312"/>
          <w:color w:val="000000"/>
          <w:sz w:val="32"/>
          <w:szCs w:val="32"/>
        </w:rPr>
        <w:t>各项工作事项落实，实现整体联动。</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pPr>
      <w:r>
        <w:rPr>
          <w:rFonts w:hint="default" w:ascii="楷体_GB2312" w:eastAsia="楷体_GB2312" w:cs="楷体_GB2312"/>
          <w:b/>
          <w:bCs/>
          <w:color w:val="000000"/>
          <w:sz w:val="31"/>
          <w:szCs w:val="31"/>
        </w:rPr>
        <w:t>（三）强化人财保障。</w:t>
      </w:r>
      <w:r>
        <w:rPr>
          <w:rFonts w:hint="eastAsia" w:ascii="仿宋_GB2312" w:eastAsia="仿宋_GB2312" w:cs="仿宋_GB2312"/>
          <w:color w:val="000000"/>
          <w:sz w:val="32"/>
          <w:szCs w:val="32"/>
          <w:lang w:val="en-US" w:eastAsia="zh-CN"/>
        </w:rPr>
        <w:t>要</w:t>
      </w:r>
      <w:r>
        <w:rPr>
          <w:rFonts w:hint="default" w:ascii="仿宋_GB2312" w:eastAsia="仿宋_GB2312" w:cs="仿宋_GB2312"/>
          <w:color w:val="000000"/>
          <w:sz w:val="32"/>
          <w:szCs w:val="32"/>
        </w:rPr>
        <w:t>进一步加强爱国卫生常</w:t>
      </w:r>
      <w:r>
        <w:rPr>
          <w:rFonts w:hint="default" w:ascii="仿宋_GB2312" w:hAnsi="宋体" w:eastAsia="仿宋_GB2312" w:cs="仿宋_GB2312"/>
          <w:color w:val="000000"/>
          <w:kern w:val="0"/>
          <w:sz w:val="32"/>
          <w:szCs w:val="32"/>
          <w:lang w:val="en-US" w:eastAsia="zh-CN" w:bidi="ar"/>
        </w:rPr>
        <w:t>态化工作体系建设，在部门设置、经费投入等方面予以保障。</w:t>
      </w:r>
      <w:r>
        <w:rPr>
          <w:rFonts w:hint="default" w:ascii="仿宋_GB2312" w:eastAsia="仿宋_GB2312" w:cs="仿宋_GB2312"/>
          <w:color w:val="000000"/>
          <w:sz w:val="32"/>
          <w:szCs w:val="32"/>
        </w:rPr>
        <w:t>要明确专兼职爱国卫生工作人员，确保爱国卫生、国卫复审等各项工作常态化开展。</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pPr>
      <w:r>
        <w:rPr>
          <w:rFonts w:hint="default" w:ascii="楷体_GB2312" w:eastAsia="楷体_GB2312" w:cs="楷体_GB2312"/>
          <w:b/>
          <w:bCs/>
          <w:color w:val="000000"/>
          <w:sz w:val="31"/>
          <w:szCs w:val="31"/>
        </w:rPr>
        <w:t>（四）强化督导检查。</w:t>
      </w:r>
      <w:r>
        <w:rPr>
          <w:rFonts w:hint="default" w:ascii="仿宋_GB2312" w:eastAsia="仿宋_GB2312" w:cs="仿宋_GB2312"/>
          <w:color w:val="000000"/>
          <w:sz w:val="32"/>
          <w:szCs w:val="32"/>
        </w:rPr>
        <w:t>牵头单位要认真对照责任目标和要求，加大工作力度，切实履行职能，落实定期和不定期督查、考核、通报制度。充分发挥新闻媒体的舆论导向和社会监督作用，广泛听取市民群众意见，建立健全群众投诉和参与监督工作机制。</w:t>
      </w:r>
    </w:p>
    <w:p>
      <w:pPr>
        <w:pStyle w:val="6"/>
        <w:keepNext w:val="0"/>
        <w:keepLines w:val="0"/>
        <w:pageBreakBefore w:val="0"/>
        <w:widowControl/>
        <w:suppressLineNumbers w:val="0"/>
        <w:kinsoku/>
        <w:wordWrap/>
        <w:overflowPunct/>
        <w:topLinePunct w:val="0"/>
        <w:bidi w:val="0"/>
        <w:spacing w:line="560" w:lineRule="exact"/>
        <w:ind w:left="0" w:firstLine="622" w:firstLineChars="200"/>
        <w:textAlignment w:val="auto"/>
        <w:rPr>
          <w:rFonts w:hint="default" w:ascii="仿宋_GB2312" w:eastAsia="仿宋_GB2312" w:cs="仿宋_GB2312"/>
          <w:color w:val="000000"/>
          <w:sz w:val="32"/>
          <w:szCs w:val="32"/>
        </w:rPr>
      </w:pPr>
      <w:r>
        <w:rPr>
          <w:rFonts w:hint="default" w:ascii="楷体_GB2312" w:eastAsia="楷体_GB2312" w:cs="楷体_GB2312"/>
          <w:b/>
          <w:bCs/>
          <w:color w:val="000000"/>
          <w:sz w:val="31"/>
          <w:szCs w:val="31"/>
        </w:rPr>
        <w:t>（五）强化整改提升。</w:t>
      </w:r>
      <w:r>
        <w:rPr>
          <w:rFonts w:hint="default" w:ascii="仿宋_GB2312" w:eastAsia="仿宋_GB2312" w:cs="仿宋_GB2312"/>
          <w:color w:val="000000"/>
          <w:sz w:val="32"/>
          <w:szCs w:val="32"/>
        </w:rPr>
        <w:t>认真建立</w:t>
      </w:r>
      <w:r>
        <w:rPr>
          <w:rFonts w:hint="eastAsia" w:ascii="仿宋_GB2312" w:eastAsia="仿宋_GB2312" w:cs="仿宋_GB2312"/>
          <w:color w:val="000000"/>
          <w:sz w:val="32"/>
          <w:szCs w:val="32"/>
          <w:lang w:val="en-US" w:eastAsia="zh-CN"/>
        </w:rPr>
        <w:t>行业</w:t>
      </w:r>
      <w:r>
        <w:rPr>
          <w:rFonts w:hint="default" w:ascii="仿宋_GB2312" w:eastAsia="仿宋_GB2312" w:cs="仿宋_GB2312"/>
          <w:color w:val="000000"/>
          <w:sz w:val="32"/>
          <w:szCs w:val="32"/>
        </w:rPr>
        <w:t>领域基础数据库，详细制定问题清单，有计划地开展自查整改及督查整改工作，同时深刻总结工作经验，创新工作模式，提高工作效率，逐步完善长效管理工作机制。</w:t>
      </w:r>
    </w:p>
    <w:p>
      <w:pPr>
        <w:pStyle w:val="6"/>
        <w:keepNext w:val="0"/>
        <w:keepLines w:val="0"/>
        <w:pageBreakBefore w:val="0"/>
        <w:widowControl/>
        <w:suppressLineNumbers w:val="0"/>
        <w:kinsoku/>
        <w:wordWrap/>
        <w:overflowPunct/>
        <w:topLinePunct w:val="0"/>
        <w:bidi w:val="0"/>
        <w:spacing w:line="560" w:lineRule="exact"/>
        <w:ind w:left="0" w:firstLine="640" w:firstLineChars="200"/>
        <w:textAlignment w:val="auto"/>
        <w:rPr>
          <w:rFonts w:hint="default" w:ascii="仿宋_GB2312" w:eastAsia="仿宋_GB2312" w:cs="仿宋_GB2312"/>
          <w:color w:val="000000"/>
          <w:sz w:val="32"/>
          <w:szCs w:val="32"/>
        </w:rPr>
      </w:pPr>
    </w:p>
    <w:p>
      <w:pPr>
        <w:pStyle w:val="6"/>
        <w:keepNext w:val="0"/>
        <w:keepLines w:val="0"/>
        <w:pageBreakBefore w:val="0"/>
        <w:widowControl/>
        <w:suppressLineNumbers w:val="0"/>
        <w:kinsoku/>
        <w:wordWrap/>
        <w:overflowPunct/>
        <w:topLinePunct w:val="0"/>
        <w:bidi w:val="0"/>
        <w:spacing w:line="560" w:lineRule="exact"/>
        <w:ind w:left="0" w:firstLine="640" w:firstLineChars="200"/>
        <w:textAlignment w:val="auto"/>
        <w:rPr>
          <w:rFonts w:hint="default"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20" w:firstLineChars="200"/>
        <w:textAlignment w:val="auto"/>
        <w:outlineLvl w:val="9"/>
        <w:rPr>
          <w:rFonts w:hint="eastAsia" w:ascii="仿宋_GB2312" w:hAnsi="仿宋_GB2312" w:eastAsia="仿宋_GB2312"/>
          <w:color w:val="auto"/>
          <w:sz w:val="32"/>
          <w:szCs w:val="32"/>
        </w:rPr>
      </w:pPr>
      <w:r>
        <w:rPr>
          <w:rFonts w:ascii="仿宋_GB2312" w:eastAsia="仿宋_GB2312" w:cs="仿宋_GB2312"/>
          <w:color w:val="000000"/>
          <w:sz w:val="31"/>
          <w:szCs w:val="31"/>
        </w:rPr>
        <w:t>附件：</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鹿寨县国家卫生县</w:t>
      </w:r>
      <w:r>
        <w:rPr>
          <w:rFonts w:hint="eastAsia" w:ascii="仿宋_GB2312" w:hAnsi="仿宋_GB2312" w:eastAsia="仿宋_GB2312"/>
          <w:color w:val="auto"/>
          <w:sz w:val="32"/>
          <w:szCs w:val="32"/>
          <w:lang w:val="en-US" w:eastAsia="zh-CN"/>
        </w:rPr>
        <w:t>复审工作</w:t>
      </w:r>
      <w:r>
        <w:rPr>
          <w:rFonts w:hint="eastAsia" w:ascii="仿宋_GB2312" w:hAnsi="仿宋_GB2312" w:eastAsia="仿宋_GB2312"/>
          <w:color w:val="auto"/>
          <w:sz w:val="32"/>
          <w:szCs w:val="32"/>
        </w:rPr>
        <w:t>任务分解表</w:t>
      </w:r>
    </w:p>
    <w:p>
      <w:pPr>
        <w:keepNext w:val="0"/>
        <w:keepLines w:val="0"/>
        <w:pageBreakBefore w:val="0"/>
        <w:widowControl w:val="0"/>
        <w:kinsoku/>
        <w:wordWrap/>
        <w:overflowPunct/>
        <w:topLinePunct w:val="0"/>
        <w:autoSpaceDE/>
        <w:autoSpaceDN/>
        <w:bidi w:val="0"/>
        <w:spacing w:line="560" w:lineRule="exact"/>
        <w:ind w:firstLine="1600" w:firstLineChars="500"/>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2.鹿寨县国家卫生县数据评价指标任务分解表</w:t>
      </w:r>
    </w:p>
    <w:p>
      <w:pPr>
        <w:pStyle w:val="2"/>
        <w:widowControl w:val="0"/>
        <w:numPr>
          <w:ilvl w:val="0"/>
          <w:numId w:val="0"/>
        </w:numPr>
        <w:snapToGrid w:val="0"/>
        <w:spacing w:line="500" w:lineRule="exact"/>
        <w:jc w:val="both"/>
        <w:rPr>
          <w:rFonts w:hint="default"/>
          <w:lang w:val="en-US" w:eastAsia="zh-CN"/>
        </w:rPr>
        <w:sectPr>
          <w:footerReference r:id="rId3" w:type="default"/>
          <w:pgSz w:w="11906" w:h="16838"/>
          <w:pgMar w:top="2098" w:right="1276" w:bottom="397" w:left="1587" w:header="851" w:footer="992" w:gutter="0"/>
          <w:cols w:space="0" w:num="1"/>
          <w:rtlGutter w:val="0"/>
          <w:docGrid w:type="lines" w:linePitch="318" w:charSpace="0"/>
        </w:sectPr>
      </w:pPr>
      <w:r>
        <w:rPr>
          <w:rFonts w:hint="eastAsia"/>
          <w:lang w:val="en-US" w:eastAsia="zh-CN"/>
        </w:rPr>
        <w:t xml:space="preserve"> </w:t>
      </w:r>
    </w:p>
    <w:p>
      <w:pPr>
        <w:pStyle w:val="2"/>
        <w:jc w:val="left"/>
        <w:rPr>
          <w:rFonts w:hint="default" w:ascii="仿宋_GB2312" w:hAnsi="仿宋_GB2312" w:eastAsia="仿宋_GB2312"/>
          <w:color w:val="auto"/>
          <w:sz w:val="32"/>
          <w:szCs w:val="32"/>
          <w:lang w:val="en-US" w:eastAsia="zh-CN"/>
        </w:rPr>
      </w:pPr>
      <w:r>
        <w:rPr>
          <w:rFonts w:hint="eastAsia" w:ascii="仿宋_GB2312" w:hAnsi="仿宋_GB2312"/>
          <w:color w:val="auto"/>
          <w:sz w:val="32"/>
          <w:szCs w:val="32"/>
          <w:lang w:val="en-US" w:eastAsia="zh-CN"/>
        </w:rPr>
        <w:t>附件1</w:t>
      </w:r>
    </w:p>
    <w:p>
      <w:pPr>
        <w:pStyle w:val="2"/>
        <w:jc w:val="center"/>
        <w:rPr>
          <w:rFonts w:hint="eastAsia" w:ascii="方正小标宋简体" w:hAnsi="微软雅黑" w:eastAsia="方正小标宋简体" w:cs="宋体"/>
          <w:bCs/>
          <w:color w:val="484848"/>
          <w:spacing w:val="0"/>
          <w:kern w:val="0"/>
          <w:sz w:val="44"/>
          <w:szCs w:val="44"/>
          <w:lang w:val="en-US" w:eastAsia="zh-CN"/>
        </w:rPr>
      </w:pPr>
      <w:r>
        <w:rPr>
          <w:rFonts w:hint="eastAsia" w:ascii="方正小标宋简体" w:hAnsi="微软雅黑" w:eastAsia="方正小标宋简体" w:cs="宋体"/>
          <w:bCs/>
          <w:color w:val="484848"/>
          <w:spacing w:val="0"/>
          <w:kern w:val="0"/>
          <w:sz w:val="44"/>
          <w:szCs w:val="44"/>
          <w:lang w:val="en-US" w:eastAsia="zh-CN"/>
        </w:rPr>
        <w:t>鹿寨县国家卫生县复审工作任务分解表</w:t>
      </w:r>
    </w:p>
    <w:tbl>
      <w:tblPr>
        <w:tblStyle w:val="8"/>
        <w:tblW w:w="15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805"/>
        <w:gridCol w:w="959"/>
        <w:gridCol w:w="945"/>
        <w:gridCol w:w="4350"/>
        <w:gridCol w:w="135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trPr>
        <w:tc>
          <w:tcPr>
            <w:tcW w:w="1090" w:type="dxa"/>
            <w:shd w:val="clear" w:color="auto" w:fill="99CCFF"/>
            <w:noWrap/>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w:t>
            </w:r>
            <w:r>
              <w:rPr>
                <w:rFonts w:hint="eastAsia" w:ascii="微软雅黑" w:hAnsi="微软雅黑" w:eastAsia="微软雅黑" w:cs="宋体"/>
                <w:color w:val="000000"/>
                <w:kern w:val="0"/>
                <w:sz w:val="20"/>
                <w:szCs w:val="20"/>
                <w:lang w:val="en-US" w:eastAsia="zh-CN"/>
              </w:rPr>
              <w:t xml:space="preserve"> </w:t>
            </w:r>
            <w:r>
              <w:rPr>
                <w:rFonts w:hint="eastAsia" w:ascii="微软雅黑" w:hAnsi="微软雅黑" w:eastAsia="微软雅黑" w:cs="宋体"/>
                <w:color w:val="000000"/>
                <w:kern w:val="0"/>
                <w:sz w:val="20"/>
                <w:szCs w:val="20"/>
              </w:rPr>
              <w:t>目</w:t>
            </w:r>
          </w:p>
        </w:tc>
        <w:tc>
          <w:tcPr>
            <w:tcW w:w="3805" w:type="dxa"/>
            <w:shd w:val="clear" w:color="auto" w:fill="99CCFF"/>
            <w:noWrap w:val="0"/>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内</w:t>
            </w:r>
            <w:r>
              <w:rPr>
                <w:rFonts w:hint="eastAsia" w:ascii="微软雅黑" w:hAnsi="微软雅黑" w:eastAsia="微软雅黑" w:cs="宋体"/>
                <w:color w:val="000000"/>
                <w:kern w:val="0"/>
                <w:sz w:val="20"/>
                <w:szCs w:val="20"/>
                <w:lang w:val="en-US" w:eastAsia="zh-CN"/>
              </w:rPr>
              <w:t xml:space="preserve">  </w:t>
            </w:r>
            <w:r>
              <w:rPr>
                <w:rFonts w:hint="eastAsia" w:ascii="微软雅黑" w:hAnsi="微软雅黑" w:eastAsia="微软雅黑" w:cs="宋体"/>
                <w:color w:val="000000"/>
                <w:kern w:val="0"/>
                <w:sz w:val="20"/>
                <w:szCs w:val="20"/>
              </w:rPr>
              <w:t>容</w:t>
            </w:r>
          </w:p>
        </w:tc>
        <w:tc>
          <w:tcPr>
            <w:tcW w:w="959" w:type="dxa"/>
            <w:shd w:val="clear" w:color="auto" w:fill="99CCFF"/>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明查分值</w:t>
            </w:r>
          </w:p>
        </w:tc>
        <w:tc>
          <w:tcPr>
            <w:tcW w:w="945" w:type="dxa"/>
            <w:shd w:val="clear" w:color="auto" w:fill="99CCFF"/>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暗访分值</w:t>
            </w:r>
          </w:p>
        </w:tc>
        <w:tc>
          <w:tcPr>
            <w:tcW w:w="4350" w:type="dxa"/>
            <w:shd w:val="clear" w:color="auto" w:fill="99CCFF"/>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en-US" w:eastAsia="zh-CN"/>
              </w:rPr>
              <w:t>检查要求</w:t>
            </w:r>
          </w:p>
        </w:tc>
        <w:tc>
          <w:tcPr>
            <w:tcW w:w="1350" w:type="dxa"/>
            <w:shd w:val="clear" w:color="auto" w:fill="99CCFF"/>
            <w:noWrap/>
            <w:vAlign w:val="center"/>
          </w:tcPr>
          <w:p>
            <w:pPr>
              <w:widowControl/>
              <w:jc w:val="center"/>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en-US" w:eastAsia="zh-CN"/>
              </w:rPr>
              <w:t>抽查方式或地点</w:t>
            </w:r>
          </w:p>
        </w:tc>
        <w:tc>
          <w:tcPr>
            <w:tcW w:w="1440" w:type="dxa"/>
            <w:shd w:val="clear" w:color="auto" w:fill="99CC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牵头单位</w:t>
            </w:r>
          </w:p>
        </w:tc>
        <w:tc>
          <w:tcPr>
            <w:tcW w:w="1440" w:type="dxa"/>
            <w:shd w:val="clear" w:color="auto" w:fill="99CC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4895" w:type="dxa"/>
            <w:gridSpan w:val="2"/>
            <w:shd w:val="clear" w:color="auto" w:fill="FFFFFF"/>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得  分</w:t>
            </w:r>
          </w:p>
        </w:tc>
        <w:tc>
          <w:tcPr>
            <w:tcW w:w="959" w:type="dxa"/>
            <w:shd w:val="clear" w:color="auto" w:fill="FFFFFF"/>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 xml:space="preserve">250 </w:t>
            </w:r>
          </w:p>
        </w:tc>
        <w:tc>
          <w:tcPr>
            <w:tcW w:w="945" w:type="dxa"/>
            <w:shd w:val="clear" w:color="auto" w:fill="FFFFFF"/>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 xml:space="preserve">350 </w:t>
            </w:r>
          </w:p>
        </w:tc>
        <w:tc>
          <w:tcPr>
            <w:tcW w:w="4350" w:type="dxa"/>
            <w:shd w:val="clear" w:color="auto" w:fill="FFFFFF"/>
            <w:noWrap/>
            <w:vAlign w:val="center"/>
          </w:tcPr>
          <w:p>
            <w:pPr>
              <w:widowControl/>
              <w:rPr>
                <w:rFonts w:hint="eastAsia" w:ascii="微软雅黑" w:hAnsi="微软雅黑" w:eastAsia="微软雅黑" w:cs="宋体"/>
                <w:color w:val="FF0000"/>
                <w:kern w:val="0"/>
                <w:sz w:val="18"/>
                <w:szCs w:val="18"/>
              </w:rPr>
            </w:pPr>
          </w:p>
        </w:tc>
        <w:tc>
          <w:tcPr>
            <w:tcW w:w="1350" w:type="dxa"/>
            <w:shd w:val="clear" w:color="auto" w:fill="FFFFFF"/>
            <w:noWrap/>
            <w:vAlign w:val="center"/>
          </w:tcPr>
          <w:p>
            <w:pPr>
              <w:widowControl/>
              <w:rPr>
                <w:rFonts w:hint="eastAsia" w:ascii="微软雅黑" w:hAnsi="微软雅黑" w:eastAsia="微软雅黑" w:cs="宋体"/>
                <w:color w:val="FF0000"/>
                <w:kern w:val="0"/>
                <w:sz w:val="18"/>
                <w:szCs w:val="18"/>
              </w:rPr>
            </w:pP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0000"/>
                <w:kern w:val="0"/>
                <w:sz w:val="20"/>
                <w:szCs w:val="20"/>
              </w:rPr>
            </w:pP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895" w:type="dxa"/>
            <w:gridSpan w:val="2"/>
            <w:shd w:val="clear" w:color="auto" w:fill="4F81BD"/>
            <w:noWrap/>
            <w:vAlign w:val="center"/>
          </w:tcPr>
          <w:p>
            <w:pPr>
              <w:widowControl/>
              <w:jc w:val="left"/>
              <w:rPr>
                <w:rFonts w:ascii="微软雅黑" w:hAnsi="微软雅黑" w:eastAsia="微软雅黑" w:cs="宋体"/>
                <w:b/>
                <w:bCs/>
                <w:color w:val="CCC0D9"/>
                <w:kern w:val="0"/>
                <w:sz w:val="18"/>
                <w:szCs w:val="18"/>
              </w:rPr>
            </w:pPr>
            <w:r>
              <w:rPr>
                <w:rFonts w:hint="eastAsia" w:ascii="微软雅黑" w:hAnsi="微软雅黑" w:eastAsia="微软雅黑" w:cs="宋体"/>
                <w:b/>
                <w:bCs/>
                <w:color w:val="FFFFFF"/>
                <w:kern w:val="0"/>
                <w:sz w:val="18"/>
                <w:szCs w:val="18"/>
              </w:rPr>
              <w:t>一、爱国卫生组织管理</w:t>
            </w:r>
          </w:p>
        </w:tc>
        <w:tc>
          <w:tcPr>
            <w:tcW w:w="959" w:type="dxa"/>
            <w:shd w:val="clear" w:color="auto" w:fill="4F81BD"/>
            <w:noWrap/>
            <w:vAlign w:val="center"/>
          </w:tcPr>
          <w:p>
            <w:pPr>
              <w:widowControl/>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40.0 </w:t>
            </w:r>
          </w:p>
        </w:tc>
        <w:tc>
          <w:tcPr>
            <w:tcW w:w="945" w:type="dxa"/>
            <w:shd w:val="clear" w:color="auto" w:fill="4F81BD"/>
            <w:noWrap/>
            <w:vAlign w:val="center"/>
          </w:tcPr>
          <w:p>
            <w:pPr>
              <w:widowControl/>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10.0 </w:t>
            </w:r>
          </w:p>
        </w:tc>
        <w:tc>
          <w:tcPr>
            <w:tcW w:w="4350" w:type="dxa"/>
            <w:shd w:val="clear" w:color="auto" w:fill="4F81BD"/>
            <w:noWrap/>
            <w:vAlign w:val="center"/>
          </w:tcPr>
          <w:p>
            <w:pPr>
              <w:widowControl/>
              <w:jc w:val="center"/>
              <w:rPr>
                <w:rFonts w:ascii="微软雅黑" w:hAnsi="微软雅黑" w:eastAsia="微软雅黑" w:cs="宋体"/>
                <w:color w:val="FFFFFF"/>
                <w:kern w:val="0"/>
                <w:sz w:val="18"/>
                <w:szCs w:val="18"/>
              </w:rPr>
            </w:pPr>
          </w:p>
        </w:tc>
        <w:tc>
          <w:tcPr>
            <w:tcW w:w="1350" w:type="dxa"/>
            <w:shd w:val="clear" w:color="auto" w:fill="4F81BD"/>
            <w:noWrap/>
            <w:vAlign w:val="center"/>
          </w:tcPr>
          <w:p>
            <w:pPr>
              <w:widowControl/>
              <w:jc w:val="center"/>
              <w:rPr>
                <w:rFonts w:ascii="微软雅黑" w:hAnsi="微软雅黑" w:eastAsia="微软雅黑" w:cs="宋体"/>
                <w:color w:val="FFFFFF"/>
                <w:kern w:val="0"/>
                <w:sz w:val="18"/>
                <w:szCs w:val="18"/>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FFFF"/>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90" w:type="dxa"/>
            <w:vMerge w:val="restart"/>
            <w:shd w:val="clear" w:color="auto" w:fill="DAEEF3"/>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党政重视</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（10分）</w:t>
            </w: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近三年</w:t>
            </w:r>
            <w:r>
              <w:rPr>
                <w:rFonts w:hint="eastAsia" w:ascii="仿宋_GB2312" w:hAnsi="宋体" w:eastAsia="仿宋_GB2312" w:cs="宋体"/>
                <w:color w:val="000000"/>
                <w:kern w:val="0"/>
                <w:sz w:val="20"/>
                <w:szCs w:val="20"/>
                <w:lang w:val="en-US" w:eastAsia="zh-CN"/>
              </w:rPr>
              <w:t>党委、</w:t>
            </w:r>
            <w:r>
              <w:rPr>
                <w:rFonts w:hint="eastAsia" w:ascii="仿宋_GB2312" w:hAnsi="宋体" w:eastAsia="仿宋_GB2312" w:cs="宋体"/>
                <w:color w:val="000000"/>
                <w:kern w:val="0"/>
                <w:sz w:val="20"/>
                <w:szCs w:val="20"/>
              </w:rPr>
              <w:t>政府工作报告中有爱国卫生或卫生创建内容</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default" w:ascii="宋体" w:hAnsi="宋体" w:eastAsia="宋体" w:cs="宋体"/>
                <w:color w:val="000000"/>
                <w:kern w:val="0"/>
                <w:sz w:val="20"/>
                <w:szCs w:val="20"/>
                <w:lang w:val="en-US" w:eastAsia="zh-CN"/>
              </w:rPr>
            </w:pPr>
            <w:r>
              <w:rPr>
                <w:rFonts w:hint="eastAsia" w:ascii="仿宋" w:hAnsi="仿宋" w:eastAsia="仿宋" w:cs="仿宋"/>
                <w:color w:val="000000"/>
                <w:kern w:val="0"/>
                <w:sz w:val="20"/>
                <w:szCs w:val="20"/>
                <w:lang w:val="en-US" w:eastAsia="zh-CN"/>
              </w:rPr>
              <w:t>检查县委工作报告和政府工作报告，有创建内容，而且内容完整、层次清晰、任务明确。</w:t>
            </w:r>
          </w:p>
        </w:tc>
        <w:tc>
          <w:tcPr>
            <w:tcW w:w="1350" w:type="dxa"/>
            <w:vMerge w:val="restart"/>
            <w:shd w:val="clear" w:color="auto" w:fill="DAEEF3"/>
            <w:noWrap/>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查看资料和现场检查，抽查乡镇、社区、机关、企事业单位</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县委办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县政府办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县爱卫办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印发贯彻《</w:t>
            </w:r>
            <w:r>
              <w:rPr>
                <w:rFonts w:hint="eastAsia" w:ascii="仿宋_GB2312" w:hAnsi="宋体" w:eastAsia="仿宋_GB2312" w:cs="宋体"/>
                <w:color w:val="000000"/>
                <w:kern w:val="0"/>
                <w:sz w:val="20"/>
                <w:szCs w:val="20"/>
                <w:lang w:val="en-US" w:eastAsia="zh-CN"/>
              </w:rPr>
              <w:t>国务院关于深入开展爱国卫生运动的</w:t>
            </w:r>
            <w:r>
              <w:rPr>
                <w:rFonts w:hint="eastAsia" w:ascii="仿宋_GB2312" w:hAnsi="宋体" w:eastAsia="仿宋_GB2312" w:cs="宋体"/>
                <w:color w:val="000000"/>
                <w:kern w:val="0"/>
                <w:sz w:val="20"/>
                <w:szCs w:val="20"/>
              </w:rPr>
              <w:t>意见》《</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lang w:val="en-US" w:eastAsia="zh-CN"/>
              </w:rPr>
              <w:t>健康中国2030”规划纲要</w:t>
            </w:r>
            <w:r>
              <w:rPr>
                <w:rFonts w:hint="eastAsia" w:ascii="仿宋_GB2312" w:hAnsi="宋体" w:eastAsia="仿宋_GB2312" w:cs="宋体"/>
                <w:color w:val="000000"/>
                <w:kern w:val="0"/>
                <w:sz w:val="20"/>
                <w:szCs w:val="20"/>
              </w:rPr>
              <w:t>》文件，落实相关工作</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DAEEF3"/>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1.县委、县政府下发有贯彻落实</w:t>
            </w:r>
            <w:r>
              <w:rPr>
                <w:rFonts w:hint="eastAsia" w:ascii="仿宋" w:hAnsi="仿宋" w:eastAsia="仿宋" w:cs="仿宋"/>
                <w:sz w:val="20"/>
                <w:szCs w:val="20"/>
              </w:rPr>
              <w:t>《意见》《规划纲要》</w:t>
            </w:r>
            <w:r>
              <w:rPr>
                <w:rFonts w:hint="eastAsia" w:ascii="仿宋" w:hAnsi="仿宋" w:eastAsia="仿宋" w:cs="仿宋"/>
                <w:sz w:val="20"/>
                <w:szCs w:val="20"/>
                <w:lang w:val="en-US" w:eastAsia="zh-CN"/>
              </w:rPr>
              <w:t>的</w:t>
            </w:r>
            <w:r>
              <w:rPr>
                <w:rFonts w:hint="eastAsia" w:ascii="仿宋" w:hAnsi="仿宋" w:eastAsia="仿宋" w:cs="仿宋"/>
                <w:sz w:val="20"/>
                <w:szCs w:val="20"/>
              </w:rPr>
              <w:t>文件</w:t>
            </w:r>
            <w:r>
              <w:rPr>
                <w:rFonts w:hint="eastAsia" w:ascii="仿宋" w:hAnsi="仿宋" w:eastAsia="仿宋" w:cs="仿宋"/>
                <w:sz w:val="20"/>
                <w:szCs w:val="20"/>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ind w:firstLine="376" w:firstLineChars="200"/>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2.县委、县政府定期召开专题会议，研究部署“健康中国”及爱国卫生工作。制定有创建和巩固卫生县的工作方案，明确目标和责任分工，建立了完善的组织领导、宣传发动、考核检查与奖惩制度。</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ind w:firstLine="376" w:firstLineChars="200"/>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3.县委或县政府主要领导担任国家卫生县组织协调机构负责人，深入一线统筹解决创卫或巩卫的重大问题。</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ind w:firstLine="376" w:firstLineChars="200"/>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4.各乡镇、各村屯、各单位各部门落实上级部署，按时完成各项爱国卫生工作。</w:t>
            </w:r>
          </w:p>
        </w:tc>
        <w:tc>
          <w:tcPr>
            <w:tcW w:w="1350" w:type="dxa"/>
            <w:vMerge w:val="continue"/>
            <w:shd w:val="clear" w:color="auto" w:fill="DAEEF3"/>
            <w:noWrap/>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ind w:firstLine="376" w:firstLineChars="200"/>
              <w:jc w:val="left"/>
              <w:textAlignment w:val="auto"/>
              <w:rPr>
                <w:rFonts w:hint="default" w:ascii="仿宋" w:hAnsi="仿宋" w:eastAsia="仿宋" w:cs="仿宋"/>
                <w:sz w:val="20"/>
                <w:szCs w:val="20"/>
                <w:lang w:val="en-US" w:eastAsia="zh-CN"/>
              </w:rPr>
            </w:pP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县委办</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县政府办</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县爱卫办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各乡镇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爱国卫生法规或规章体系健全完善</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   无立法权的地方制定了爱国卫生政府规章或规范性文件，执行效果好，对地方经济社会发展和群众生产生活起积极向好的作用</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000000"/>
                <w:kern w:val="0"/>
                <w:sz w:val="20"/>
                <w:szCs w:val="20"/>
                <w:lang w:val="en-US" w:eastAsia="zh-CN"/>
              </w:rPr>
            </w:pP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县政府办</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center"/>
              <w:textAlignment w:val="auto"/>
              <w:rPr>
                <w:rFonts w:hint="default"/>
                <w:lang w:val="en-US" w:eastAsia="zh-CN"/>
              </w:rPr>
            </w:pPr>
            <w:r>
              <w:rPr>
                <w:rFonts w:hint="eastAsia" w:ascii="仿宋" w:hAnsi="仿宋" w:eastAsia="仿宋" w:cs="仿宋"/>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县爱卫办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将爱国卫生相关内容列入经济社会发展规划</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_</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    十四五规划，应有爱国卫生工作方面的内容，而且内容完整、层次清晰、任务明确。</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lang w:val="en-US" w:eastAsia="zh-CN"/>
              </w:rPr>
            </w:pP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县政府办</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center"/>
              <w:textAlignment w:val="auto"/>
              <w:rPr>
                <w:rFonts w:hint="eastAsia"/>
                <w:lang w:val="en-US" w:eastAsia="zh-CN"/>
              </w:rPr>
            </w:pPr>
            <w:r>
              <w:rPr>
                <w:rFonts w:hint="eastAsia" w:ascii="仿宋" w:hAnsi="仿宋" w:eastAsia="仿宋" w:cs="仿宋"/>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县爱卫办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爱国卫生工作列入政府年度绩效考核</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县政府将爱国卫生纳入绩效考核工作，有考核方案、指标内容具体、操作流程规范，通过考核对相应工作有很好推进作用。</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仿宋" w:hAnsi="仿宋" w:eastAsia="仿宋" w:cs="仿宋"/>
                <w:color w:val="000000"/>
                <w:kern w:val="0"/>
                <w:sz w:val="20"/>
                <w:szCs w:val="20"/>
                <w:lang w:val="en-US" w:eastAsia="zh-CN"/>
              </w:rPr>
            </w:pP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县委督查绩效办公室</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p>
        </w:tc>
        <w:tc>
          <w:tcPr>
            <w:tcW w:w="1440" w:type="dxa"/>
            <w:shd w:val="clear" w:color="auto" w:fill="DAEEF3"/>
            <w:noWrap/>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县爱卫办</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090" w:type="dxa"/>
            <w:vMerge w:val="restart"/>
            <w:shd w:val="clear" w:color="auto" w:fill="FFFFFF"/>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工作网络</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（12分）</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各级爱卫会组织健全，机构、职能、人员等配备能适应工作需要，经费纳入财政预算</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1.查看县、乡政府文件，县、乡设有爱国卫生运动委员会，政府主要领导或分管领导担任爱卫会主任。</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2.查看县、乡政府预算报表，将爱国卫生工作经费纳入本级财政财政预算，能满足辖区内爱国卫生工作需要。</w:t>
            </w:r>
          </w:p>
        </w:tc>
        <w:tc>
          <w:tcPr>
            <w:tcW w:w="1350" w:type="dxa"/>
            <w:vMerge w:val="restart"/>
            <w:shd w:val="clear" w:color="auto" w:fill="FFFFFF"/>
            <w:noWrap/>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查看资料和现场检查，抽查乡镇、社区、机关、企事业单位</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县政府办</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各乡镇</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仿宋" w:hAnsi="仿宋" w:eastAsia="仿宋" w:cs="仿宋"/>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爱卫会成员单位职责分工明确、责任落实</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sz w:val="20"/>
                <w:szCs w:val="20"/>
                <w:lang w:val="en-US" w:eastAsia="zh-CN"/>
              </w:rPr>
              <w:t>辖区内爱卫会成员单位职责分工明确、责任落实，有工作规则，定期召开爱卫会议、联络员会议，解决爱卫工作问题。</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仿宋" w:hAnsi="仿宋" w:eastAsia="仿宋" w:cs="仿宋"/>
                <w:sz w:val="20"/>
                <w:szCs w:val="20"/>
                <w:lang w:val="en-US" w:eastAsia="zh-CN"/>
              </w:rPr>
            </w:pP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县复审办</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机关、企事业单位有专兼职爱国卫生工作人员</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机关、企事业单位明确专兼职人员负责爱国卫生工作，爱国卫生工作在机关、企事业单位得到很好落实。</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仿宋" w:hAnsi="仿宋" w:eastAsia="仿宋" w:cs="仿宋"/>
                <w:color w:val="000000"/>
                <w:kern w:val="0"/>
                <w:sz w:val="20"/>
                <w:szCs w:val="20"/>
              </w:rPr>
            </w:pP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县复审办</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社区（村）设置公共卫生委员会</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村(居)民委员会公共卫生委员会(或爱国卫生领导小组)达到动态全覆盖，工作机制健全，明确专人负责爱卫工作，辖区爱国卫生工作落实很好。</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FFFFFF"/>
            <w:noWrap/>
            <w:vAlign w:val="center"/>
          </w:tcPr>
          <w:p>
            <w:pPr>
              <w:keepNext w:val="0"/>
              <w:keepLines w:val="0"/>
              <w:pageBreakBefore w:val="0"/>
              <w:widowControl/>
              <w:tabs>
                <w:tab w:val="left" w:pos="522"/>
              </w:tabs>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090" w:type="dxa"/>
            <w:vMerge w:val="restart"/>
            <w:shd w:val="clear" w:color="auto" w:fill="DAEEF3"/>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工作情况</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（8分）</w:t>
            </w: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年度有计划、有部署、有检查、有总结 </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1.各级政府将爱国卫生和创建卫生城市工作纳入目标管理，定期督办进展，各项工作落实到位。</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2.各级爱卫会有爱国卫生中长期规划和年度工作计划，工作有部署、有检查、有总结。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3.计划与总结包括预期目标、工作内容、具体措施、成效评估等，内容详实、数据清晰。</w:t>
            </w:r>
          </w:p>
        </w:tc>
        <w:tc>
          <w:tcPr>
            <w:tcW w:w="135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sz w:val="20"/>
                <w:szCs w:val="20"/>
                <w:lang w:val="en-US" w:eastAsia="zh-CN"/>
              </w:rPr>
              <w:t>查看资料和现场检查，抽查乡镇、社区、机关企事业单位</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国家卫生县（乡镇）及其他基层卫生创建活动</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1.县爱卫办根据上级文件下</w:t>
            </w:r>
            <w:r>
              <w:rPr>
                <w:rFonts w:hint="eastAsia" w:ascii="仿宋" w:hAnsi="仿宋" w:eastAsia="仿宋" w:cs="仿宋"/>
                <w:color w:val="000000"/>
                <w:kern w:val="0"/>
                <w:sz w:val="20"/>
                <w:szCs w:val="20"/>
              </w:rPr>
              <w:t>发</w:t>
            </w:r>
            <w:r>
              <w:rPr>
                <w:rFonts w:hint="eastAsia" w:ascii="仿宋" w:hAnsi="仿宋" w:eastAsia="仿宋" w:cs="仿宋"/>
                <w:color w:val="000000"/>
                <w:kern w:val="0"/>
                <w:sz w:val="20"/>
                <w:szCs w:val="20"/>
                <w:lang w:val="en-US" w:eastAsia="zh-CN"/>
              </w:rPr>
              <w:t>本县的</w:t>
            </w:r>
            <w:r>
              <w:rPr>
                <w:rFonts w:hint="eastAsia" w:ascii="仿宋" w:hAnsi="仿宋" w:eastAsia="仿宋" w:cs="仿宋"/>
                <w:color w:val="000000"/>
                <w:kern w:val="0"/>
                <w:sz w:val="20"/>
                <w:szCs w:val="20"/>
              </w:rPr>
              <w:t>卫生乡镇、卫生社区(村)和卫生单位等卫生创建《管理办法》和《标准》。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2.各级爱卫会积极组织开展卫生街道、卫生乡镇、卫生社区(村)和卫生单位等创建活动，各项创建活动规范、有序、有效。</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组织开展各类群众性爱国卫生活动</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1.辖区内大多数乡镇政府、村(居)民委员会等基层组织和机关企事业单位充分发挥工会、共青团、妇联等群团组织作用，经常性广泛组织开展爱国卫生月、周末大扫除、卫生清洁日等多种群众性爱国卫生活动。</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2.大多数村(居)制定居民公约、村规民约，推动爱国卫生习惯融入群众日常生活。</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3.社会组织、专业社会工作者和志愿者定期参与爱国卫生运动，形式多样，成效显著。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90" w:type="dxa"/>
            <w:vMerge w:val="restart"/>
            <w:shd w:val="clear" w:color="auto" w:fill="FFFFFF"/>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健康融入万策</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（10分）</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开展健康影响评估</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根据</w:t>
            </w:r>
            <w:r>
              <w:rPr>
                <w:rFonts w:hint="eastAsia" w:ascii="仿宋" w:hAnsi="仿宋" w:eastAsia="仿宋" w:cs="仿宋"/>
                <w:color w:val="000000"/>
                <w:kern w:val="0"/>
                <w:sz w:val="20"/>
                <w:szCs w:val="20"/>
              </w:rPr>
              <w:t>市政府</w:t>
            </w:r>
            <w:r>
              <w:rPr>
                <w:rFonts w:hint="eastAsia" w:ascii="仿宋" w:hAnsi="仿宋" w:eastAsia="仿宋" w:cs="仿宋"/>
                <w:color w:val="000000"/>
                <w:kern w:val="0"/>
                <w:sz w:val="20"/>
                <w:szCs w:val="20"/>
                <w:lang w:val="en-US" w:eastAsia="zh-CN"/>
              </w:rPr>
              <w:t>相关</w:t>
            </w:r>
            <w:r>
              <w:rPr>
                <w:rFonts w:hint="eastAsia" w:ascii="仿宋" w:hAnsi="仿宋" w:eastAsia="仿宋" w:cs="仿宋"/>
                <w:color w:val="000000"/>
                <w:kern w:val="0"/>
                <w:sz w:val="20"/>
                <w:szCs w:val="20"/>
              </w:rPr>
              <w:t>文件，</w:t>
            </w:r>
            <w:r>
              <w:rPr>
                <w:rFonts w:hint="eastAsia" w:ascii="仿宋" w:hAnsi="仿宋" w:eastAsia="仿宋" w:cs="仿宋"/>
                <w:color w:val="000000"/>
                <w:kern w:val="0"/>
                <w:sz w:val="20"/>
                <w:szCs w:val="20"/>
                <w:lang w:val="en-US" w:eastAsia="zh-CN"/>
              </w:rPr>
              <w:t>制定当地健康影响评价制度，明确政府及所属部门职责，明确评估范围和机制等。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2.请求市级和县本级组织的专家系统评估各项经济社会发展规划和政策、重大工程项目对健康的影响，并纳入政府目标责任考核。</w:t>
            </w:r>
          </w:p>
        </w:tc>
        <w:tc>
          <w:tcPr>
            <w:tcW w:w="135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检查县卫健局收集的相关材料，抽查县体育场馆</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国土空间规划和城市建设规划中有应对突发公共卫生事件内容，并有相关预案</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1.国土空间规划和城市建设规划中设置专门防疫或卫生应急专项规划，预防控制、医疗救治、运行保障和指挥应急处置能力等内容全面系统。近期建设规划得到有效实施。</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2.县</w:t>
            </w:r>
            <w:r>
              <w:rPr>
                <w:rFonts w:hint="eastAsia" w:ascii="仿宋" w:hAnsi="仿宋" w:eastAsia="仿宋" w:cs="仿宋"/>
                <w:color w:val="000000"/>
                <w:kern w:val="0"/>
                <w:sz w:val="20"/>
                <w:szCs w:val="20"/>
                <w:lang w:val="en-US" w:eastAsia="zh-CN"/>
              </w:rPr>
              <w:t>级</w:t>
            </w:r>
            <w:r>
              <w:rPr>
                <w:rFonts w:hint="eastAsia" w:ascii="仿宋" w:hAnsi="仿宋" w:eastAsia="仿宋" w:cs="仿宋"/>
                <w:color w:val="000000"/>
                <w:kern w:val="0"/>
                <w:sz w:val="20"/>
                <w:szCs w:val="20"/>
              </w:rPr>
              <w:t>有突发公共卫生事件应急预案，定期开展应急演练，预案内容结合实际及时更新。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3.有大型公共建筑应急设施转换预案，定期开展应急演练，在突发公共卫生事件发生时，公共建筑可立即转化为集中医学隔离观察点、方舱医院等场所。</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4.新建的体育场馆、剧院等大型公共建筑，能兼顾应急救治和隔离转换等需求。</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县自然资源和规划局、县文体广旅局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0" w:type="dxa"/>
            <w:vMerge w:val="restart"/>
            <w:shd w:val="clear" w:color="auto" w:fill="DAEEF3"/>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群众监督</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（10分）</w:t>
            </w:r>
          </w:p>
        </w:tc>
        <w:tc>
          <w:tcPr>
            <w:tcW w:w="3805" w:type="dxa"/>
            <w:shd w:val="clear" w:color="auto" w:fill="DAEEF3"/>
            <w:noWrap w:val="0"/>
            <w:vAlign w:val="center"/>
          </w:tcPr>
          <w:p>
            <w:pPr>
              <w:widowControl/>
              <w:ind w:firstLine="18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18"/>
                <w:szCs w:val="18"/>
              </w:rPr>
              <w:t>爱国卫生投诉流程规范，受理、反馈及时</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充分利用来电、来信、12345热线和网络新媒体等，畅通群众参与爱国卫生运动的渠道，积极采纳群众合理意见和建议。对每一起受理的建议和投诉，严格执行办理时限和反馈时限，做到事事有落实，件件有回音。</w:t>
            </w:r>
          </w:p>
        </w:tc>
        <w:tc>
          <w:tcPr>
            <w:tcW w:w="135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查看资料和现场检查。抽查</w:t>
            </w:r>
            <w:r>
              <w:rPr>
                <w:rFonts w:hint="eastAsia" w:ascii="仿宋" w:hAnsi="仿宋" w:eastAsia="仿宋" w:cs="仿宋"/>
                <w:color w:val="000000"/>
                <w:kern w:val="0"/>
                <w:sz w:val="20"/>
                <w:szCs w:val="20"/>
              </w:rPr>
              <w:t>12345热线和网络新媒体</w:t>
            </w: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rPr>
              <w:t>车站、机场、港口、码头、医院、商场等窗口单位，以及街巷、公园、居民小区</w:t>
            </w:r>
            <w:r>
              <w:rPr>
                <w:rFonts w:hint="eastAsia" w:ascii="仿宋" w:hAnsi="仿宋" w:eastAsia="仿宋" w:cs="仿宋"/>
                <w:color w:val="000000"/>
                <w:kern w:val="0"/>
                <w:sz w:val="20"/>
                <w:szCs w:val="20"/>
                <w:lang w:val="en-US" w:eastAsia="zh-CN"/>
              </w:rPr>
              <w:t>等</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县政府办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群众满意度调查</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在车站、机场、港口、码头、医院、商场等窗口单位，以及街巷、公园、居民小区对过往旅客和当地居民进行卫生状况满意度调查，满意率≥90%。</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pStyle w:val="2"/>
              <w:ind w:left="0" w:leftChars="0" w:firstLine="0" w:firstLineChars="0"/>
              <w:jc w:val="center"/>
              <w:rPr>
                <w:rFonts w:hint="default"/>
                <w:lang w:val="en-US" w:eastAsia="zh-CN"/>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爱国卫生宣传氛围浓厚，醒目位置设置国家卫生城市（县）标识</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hint="eastAsia" w:ascii="华文楷体" w:hAnsi="华文楷体" w:eastAsia="华文楷体" w:cs="华文楷体"/>
                <w:color w:val="000000"/>
                <w:kern w:val="0"/>
                <w:sz w:val="20"/>
                <w:szCs w:val="20"/>
              </w:rPr>
            </w:pPr>
            <w:r>
              <w:rPr>
                <w:rFonts w:hint="eastAsia" w:ascii="华文楷体" w:hAnsi="华文楷体" w:eastAsia="华文楷体" w:cs="华文楷体"/>
                <w:color w:val="000000"/>
                <w:kern w:val="0"/>
                <w:sz w:val="20"/>
                <w:szCs w:val="20"/>
              </w:rPr>
              <w:t xml:space="preserve">4.0 </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sz w:val="20"/>
                <w:szCs w:val="20"/>
              </w:rPr>
            </w:pPr>
            <w:r>
              <w:rPr>
                <w:rFonts w:hint="eastAsia" w:ascii="仿宋" w:hAnsi="仿宋" w:eastAsia="仿宋" w:cs="仿宋"/>
                <w:sz w:val="20"/>
                <w:szCs w:val="20"/>
              </w:rPr>
              <w:t>1.营造立体的多层次浓厚的创建或巩固卫生城市宣传氛围，</w:t>
            </w:r>
            <w:r>
              <w:rPr>
                <w:rFonts w:hint="eastAsia" w:ascii="仿宋" w:hAnsi="仿宋" w:eastAsia="仿宋" w:cs="仿宋"/>
                <w:sz w:val="20"/>
                <w:szCs w:val="20"/>
                <w:lang w:val="en-US" w:eastAsia="zh-CN"/>
              </w:rPr>
              <w:t>在主要道路、社区、农贸市场、车站等窗口单位随处可见相关宣传，</w:t>
            </w:r>
            <w:r>
              <w:rPr>
                <w:rFonts w:hint="eastAsia" w:ascii="仿宋" w:hAnsi="仿宋" w:eastAsia="仿宋" w:cs="仿宋"/>
                <w:sz w:val="20"/>
                <w:szCs w:val="20"/>
              </w:rPr>
              <w:t>群众知晓度高，主动参与。</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仿宋" w:hAnsi="仿宋" w:eastAsia="仿宋" w:cs="仿宋"/>
                <w:sz w:val="20"/>
                <w:szCs w:val="20"/>
              </w:rPr>
              <w:t>2.城市(县)醒目位置设置国家卫生城市(县)标识。</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sz w:val="20"/>
                <w:szCs w:val="20"/>
              </w:rPr>
            </w:pP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县复审办</w:t>
            </w:r>
          </w:p>
        </w:tc>
        <w:tc>
          <w:tcPr>
            <w:tcW w:w="144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95" w:type="dxa"/>
            <w:gridSpan w:val="2"/>
            <w:shd w:val="clear" w:color="auto" w:fill="4F81BD"/>
            <w:noWrap/>
            <w:vAlign w:val="center"/>
          </w:tcPr>
          <w:p>
            <w:pPr>
              <w:widowControl/>
              <w:jc w:val="left"/>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rPr>
              <w:t>二、健康教育和健康促进</w:t>
            </w:r>
          </w:p>
        </w:tc>
        <w:tc>
          <w:tcPr>
            <w:tcW w:w="959" w:type="dxa"/>
            <w:shd w:val="clear" w:color="auto" w:fill="4F81BD"/>
            <w:noWrap/>
            <w:vAlign w:val="center"/>
          </w:tcPr>
          <w:p>
            <w:pPr>
              <w:widowControl/>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30.0 </w:t>
            </w:r>
          </w:p>
        </w:tc>
        <w:tc>
          <w:tcPr>
            <w:tcW w:w="945" w:type="dxa"/>
            <w:shd w:val="clear" w:color="auto" w:fill="4F81BD"/>
            <w:noWrap/>
            <w:vAlign w:val="center"/>
          </w:tcPr>
          <w:p>
            <w:pPr>
              <w:widowControl/>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40.0 </w:t>
            </w:r>
          </w:p>
        </w:tc>
        <w:tc>
          <w:tcPr>
            <w:tcW w:w="4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FFFFFF"/>
                <w:kern w:val="0"/>
                <w:sz w:val="20"/>
                <w:szCs w:val="20"/>
              </w:rPr>
            </w:pPr>
          </w:p>
        </w:tc>
        <w:tc>
          <w:tcPr>
            <w:tcW w:w="1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FFFF"/>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trPr>
        <w:tc>
          <w:tcPr>
            <w:tcW w:w="1090" w:type="dxa"/>
            <w:vMerge w:val="restart"/>
            <w:shd w:val="clear" w:color="auto" w:fill="FFFFFF"/>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健康素养</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（38分）</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政府及行业部门、单位健康教育组织网络健全，组织开展健康科普活动</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1.考核县、乡健康教育网络建设及管理情况，</w:t>
            </w:r>
            <w:r>
              <w:rPr>
                <w:rFonts w:hint="eastAsia" w:ascii="仿宋" w:hAnsi="仿宋" w:eastAsia="仿宋" w:cs="仿宋"/>
                <w:color w:val="000000"/>
                <w:kern w:val="0"/>
                <w:sz w:val="20"/>
                <w:szCs w:val="20"/>
              </w:rPr>
              <w:t>辖区健康教育网络健全，网络涵盖</w:t>
            </w:r>
            <w:r>
              <w:rPr>
                <w:rFonts w:hint="eastAsia" w:ascii="仿宋" w:hAnsi="仿宋" w:eastAsia="仿宋" w:cs="仿宋"/>
                <w:color w:val="000000"/>
                <w:kern w:val="0"/>
                <w:sz w:val="20"/>
                <w:szCs w:val="20"/>
                <w:lang w:val="en-US" w:eastAsia="zh-CN"/>
              </w:rPr>
              <w:t>机关、医院、学校、社区、企事业单位、新闻媒体、健康教育专业机构等</w:t>
            </w:r>
            <w:r>
              <w:rPr>
                <w:rFonts w:hint="eastAsia" w:ascii="仿宋" w:hAnsi="仿宋" w:eastAsia="仿宋" w:cs="仿宋"/>
                <w:color w:val="000000"/>
                <w:kern w:val="0"/>
                <w:sz w:val="20"/>
                <w:szCs w:val="20"/>
              </w:rPr>
              <w:t>7类以上行业单位；</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2.</w:t>
            </w:r>
            <w:r>
              <w:rPr>
                <w:rFonts w:hint="eastAsia" w:ascii="仿宋" w:hAnsi="仿宋" w:eastAsia="仿宋" w:cs="仿宋"/>
                <w:color w:val="000000"/>
                <w:kern w:val="0"/>
                <w:sz w:val="20"/>
                <w:szCs w:val="20"/>
              </w:rPr>
              <w:t>对各类网络单位工作有指导、有管理。</w:t>
            </w:r>
          </w:p>
        </w:tc>
        <w:tc>
          <w:tcPr>
            <w:tcW w:w="1350" w:type="dxa"/>
            <w:shd w:val="clear" w:color="auto" w:fill="FFFFFF"/>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00" w:firstLineChars="200"/>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抽查县疾控中心和健康教育网络单位</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定期开展健康素养监测</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1.健康素养监测定期开展，监测方案及现场调查科学性强。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2.监测结果在辖区政府官方媒体上公布。</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县疾控中心</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媒体健康教育宣传</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县建立全媒体</w:t>
            </w:r>
            <w:r>
              <w:rPr>
                <w:rFonts w:hint="eastAsia" w:ascii="仿宋" w:hAnsi="仿宋" w:eastAsia="仿宋" w:cs="仿宋"/>
                <w:sz w:val="20"/>
                <w:szCs w:val="20"/>
              </w:rPr>
              <w:t>健康科普</w:t>
            </w:r>
            <w:r>
              <w:rPr>
                <w:rFonts w:hint="eastAsia" w:ascii="仿宋" w:hAnsi="仿宋" w:eastAsia="仿宋" w:cs="仿宋"/>
                <w:sz w:val="20"/>
                <w:szCs w:val="20"/>
                <w:lang w:val="en-US" w:eastAsia="zh-CN"/>
              </w:rPr>
              <w:t>知识发布和</w:t>
            </w:r>
            <w:r>
              <w:rPr>
                <w:rFonts w:hint="eastAsia" w:ascii="仿宋" w:hAnsi="仿宋" w:eastAsia="仿宋" w:cs="仿宋"/>
                <w:sz w:val="20"/>
                <w:szCs w:val="20"/>
              </w:rPr>
              <w:t>传播机制文件</w:t>
            </w:r>
            <w:r>
              <w:rPr>
                <w:rFonts w:hint="eastAsia" w:ascii="仿宋" w:hAnsi="仿宋" w:eastAsia="仿宋" w:cs="仿宋"/>
                <w:sz w:val="20"/>
                <w:szCs w:val="20"/>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jc w:val="left"/>
              <w:textAlignment w:val="auto"/>
              <w:rPr>
                <w:rFonts w:hint="eastAsia" w:ascii="仿宋" w:hAnsi="仿宋" w:eastAsia="仿宋" w:cs="仿宋"/>
                <w:sz w:val="20"/>
                <w:szCs w:val="20"/>
              </w:rPr>
            </w:pPr>
            <w:r>
              <w:rPr>
                <w:rFonts w:hint="eastAsia" w:ascii="仿宋" w:hAnsi="仿宋" w:eastAsia="仿宋" w:cs="仿宋"/>
                <w:sz w:val="20"/>
                <w:szCs w:val="20"/>
                <w:lang w:val="en-US" w:eastAsia="zh-CN"/>
              </w:rPr>
              <w:t>融媒体、政府网站建立有</w:t>
            </w:r>
            <w:r>
              <w:rPr>
                <w:rFonts w:hint="eastAsia" w:ascii="仿宋" w:hAnsi="仿宋" w:eastAsia="仿宋" w:cs="仿宋"/>
                <w:sz w:val="20"/>
                <w:szCs w:val="20"/>
              </w:rPr>
              <w:t>固定的健康科普栏目</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每周至少播放1次</w:t>
            </w:r>
            <w:r>
              <w:rPr>
                <w:rFonts w:hint="eastAsia" w:ascii="仿宋" w:hAnsi="仿宋" w:eastAsia="仿宋" w:cs="仿宋"/>
                <w:sz w:val="20"/>
                <w:szCs w:val="20"/>
              </w:rPr>
              <w:t>。</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default" w:eastAsia="仿宋"/>
                <w:lang w:val="en-US" w:eastAsia="zh-CN"/>
              </w:rPr>
            </w:pPr>
            <w:r>
              <w:rPr>
                <w:rFonts w:hint="eastAsia" w:ascii="仿宋" w:hAnsi="仿宋" w:eastAsia="仿宋" w:cs="仿宋"/>
                <w:color w:val="000000"/>
                <w:kern w:val="0"/>
                <w:sz w:val="20"/>
                <w:szCs w:val="20"/>
                <w:lang w:val="en-US" w:eastAsia="zh-CN"/>
              </w:rPr>
              <w:t>3.结合创卫、健康素养提升、疫情防控、热点健康问题，制作、播放相关的健康公益节目和广告。</w:t>
            </w:r>
          </w:p>
        </w:tc>
        <w:tc>
          <w:tcPr>
            <w:tcW w:w="1350" w:type="dxa"/>
            <w:shd w:val="clear" w:color="auto" w:fill="FFFFFF"/>
            <w:noWrap/>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抽查县融媒体中心、县信息化建设中心</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县委宣传部</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县发改局</w:t>
            </w:r>
          </w:p>
        </w:tc>
        <w:tc>
          <w:tcPr>
            <w:tcW w:w="1440" w:type="dxa"/>
            <w:shd w:val="clear" w:color="auto" w:fill="FFFFFF"/>
            <w:noWrap/>
            <w:vAlign w:val="center"/>
          </w:tcPr>
          <w:p>
            <w:pPr>
              <w:pStyle w:val="2"/>
              <w:keepNext w:val="0"/>
              <w:keepLines w:val="0"/>
              <w:pageBreakBefore w:val="0"/>
              <w:kinsoku/>
              <w:wordWrap/>
              <w:overflowPunct/>
              <w:topLinePunct w:val="0"/>
              <w:autoSpaceDE/>
              <w:autoSpaceDN/>
              <w:bidi w:val="0"/>
              <w:adjustRightInd/>
              <w:spacing w:line="240" w:lineRule="exact"/>
              <w:ind w:left="0" w:leftChars="0" w:firstLine="0" w:firstLineChars="0"/>
              <w:textAlignment w:val="auto"/>
              <w:rPr>
                <w:rFonts w:hint="default" w:ascii="仿宋" w:hAnsi="仿宋" w:eastAsia="仿宋" w:cs="仿宋"/>
                <w:sz w:val="20"/>
                <w:szCs w:val="20"/>
                <w:lang w:val="en-US" w:eastAsia="zh-CN"/>
              </w:rPr>
            </w:pPr>
            <w:r>
              <w:rPr>
                <w:rFonts w:hint="eastAsia" w:ascii="仿宋" w:hAnsi="仿宋" w:eastAsia="仿宋" w:cs="仿宋"/>
                <w:color w:val="000000"/>
                <w:kern w:val="0"/>
                <w:sz w:val="20"/>
                <w:szCs w:val="20"/>
                <w:lang w:val="en-US" w:eastAsia="zh-CN"/>
              </w:rPr>
              <w:t>县卫健局、县融媒体中心、县信息化建设中心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卫生健康、教育、体育等部门和行业健康教育</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辖区行业部门和行业健康教育和健康促进活动内容丰富，形式多样，且具有针对性。</w:t>
            </w:r>
            <w:r>
              <w:rPr>
                <w:rFonts w:hint="eastAsia" w:ascii="仿宋" w:hAnsi="仿宋" w:eastAsia="仿宋" w:cs="仿宋"/>
                <w:color w:val="000000"/>
                <w:kern w:val="0"/>
                <w:sz w:val="20"/>
                <w:szCs w:val="20"/>
                <w:lang w:val="en-US" w:eastAsia="zh-CN"/>
              </w:rPr>
              <w:t>包括健康知识传播、健康环境干预、健康促进活动等。</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抽查医院、学校、体育场馆、企业</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w:t>
            </w:r>
            <w:r>
              <w:rPr>
                <w:rFonts w:hint="eastAsia" w:ascii="仿宋" w:hAnsi="仿宋" w:eastAsia="仿宋" w:cs="仿宋"/>
                <w:color w:val="000000"/>
                <w:kern w:val="0"/>
                <w:sz w:val="20"/>
                <w:szCs w:val="20"/>
              </w:rPr>
              <w:t>教育局、</w:t>
            </w:r>
            <w:r>
              <w:rPr>
                <w:rFonts w:hint="eastAsia" w:ascii="仿宋" w:hAnsi="仿宋" w:eastAsia="仿宋" w:cs="仿宋"/>
                <w:color w:val="000000"/>
                <w:kern w:val="0"/>
                <w:sz w:val="20"/>
                <w:szCs w:val="20"/>
                <w:lang w:val="en-US" w:eastAsia="zh-CN"/>
              </w:rPr>
              <w:t>县文体广旅</w:t>
            </w:r>
            <w:r>
              <w:rPr>
                <w:rFonts w:hint="eastAsia" w:ascii="仿宋" w:hAnsi="仿宋" w:eastAsia="仿宋" w:cs="仿宋"/>
                <w:color w:val="000000"/>
                <w:kern w:val="0"/>
                <w:sz w:val="20"/>
                <w:szCs w:val="20"/>
              </w:rPr>
              <w:t>局、</w:t>
            </w:r>
            <w:r>
              <w:rPr>
                <w:rFonts w:hint="eastAsia" w:ascii="仿宋" w:hAnsi="仿宋" w:eastAsia="仿宋" w:cs="仿宋"/>
                <w:color w:val="000000"/>
                <w:kern w:val="0"/>
                <w:sz w:val="20"/>
                <w:szCs w:val="20"/>
                <w:lang w:val="en-US" w:eastAsia="zh-CN"/>
              </w:rPr>
              <w:t>县科工贸</w:t>
            </w:r>
            <w:r>
              <w:rPr>
                <w:rFonts w:hint="eastAsia" w:ascii="仿宋" w:hAnsi="仿宋" w:eastAsia="仿宋" w:cs="仿宋"/>
                <w:color w:val="000000"/>
                <w:kern w:val="0"/>
                <w:sz w:val="20"/>
                <w:szCs w:val="20"/>
              </w:rPr>
              <w:t>局</w:t>
            </w: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街道社区、城乡结合部等基层健康教育</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所评估街道社区和城乡结合部</w:t>
            </w:r>
            <w:r>
              <w:rPr>
                <w:rFonts w:hint="eastAsia" w:ascii="仿宋" w:hAnsi="仿宋" w:eastAsia="仿宋" w:cs="仿宋"/>
                <w:color w:val="000000"/>
                <w:kern w:val="0"/>
                <w:sz w:val="20"/>
                <w:szCs w:val="20"/>
                <w:lang w:val="en-US" w:eastAsia="zh-CN"/>
              </w:rPr>
              <w:t>要有</w:t>
            </w:r>
            <w:r>
              <w:rPr>
                <w:rFonts w:hint="eastAsia" w:ascii="仿宋" w:hAnsi="仿宋" w:eastAsia="仿宋" w:cs="仿宋"/>
                <w:color w:val="000000"/>
                <w:kern w:val="0"/>
                <w:sz w:val="20"/>
                <w:szCs w:val="20"/>
              </w:rPr>
              <w:t>3种以上健康教育形式、科学性和时效性强、版面清晰、干净。</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暗访街道、社区（村）、城乡结合部</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鹿寨镇</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创城各责任区单位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医疗卫生机构健康教育</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仿宋" w:hAnsi="仿宋" w:eastAsia="仿宋" w:cs="仿宋"/>
                <w:sz w:val="20"/>
                <w:szCs w:val="20"/>
              </w:rPr>
            </w:pPr>
            <w:r>
              <w:rPr>
                <w:rFonts w:hint="eastAsia" w:ascii="仿宋" w:hAnsi="仿宋" w:eastAsia="仿宋" w:cs="仿宋"/>
                <w:sz w:val="20"/>
                <w:szCs w:val="20"/>
                <w:lang w:val="en-US" w:eastAsia="zh-CN"/>
              </w:rPr>
              <w:t>1.</w:t>
            </w:r>
            <w:r>
              <w:rPr>
                <w:rFonts w:hint="eastAsia" w:ascii="仿宋" w:hAnsi="仿宋" w:eastAsia="仿宋" w:cs="仿宋"/>
                <w:sz w:val="20"/>
                <w:szCs w:val="20"/>
              </w:rPr>
              <w:t>辖区医疗卫生机构门诊、候诊大厅、导医台等室内外公共区域可见多种形式的健康教育。</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default" w:eastAsia="仿宋"/>
                <w:lang w:val="en-US" w:eastAsia="zh-CN"/>
              </w:rPr>
            </w:pPr>
            <w:r>
              <w:rPr>
                <w:rFonts w:hint="eastAsia" w:ascii="仿宋" w:hAnsi="仿宋" w:eastAsia="仿宋" w:cs="仿宋"/>
                <w:sz w:val="20"/>
                <w:szCs w:val="20"/>
                <w:lang w:val="en-US" w:eastAsia="zh-CN"/>
              </w:rPr>
              <w:t>2.医生有相关健康科普知识，在疹疗过程中，能够提供健</w:t>
            </w:r>
            <w:r>
              <w:rPr>
                <w:rFonts w:hint="eastAsia" w:ascii="仿宋" w:hAnsi="仿宋" w:eastAsia="仿宋" w:cs="仿宋"/>
                <w:sz w:val="20"/>
                <w:szCs w:val="20"/>
              </w:rPr>
              <w:t>康教育</w:t>
            </w:r>
            <w:r>
              <w:rPr>
                <w:rFonts w:hint="eastAsia" w:ascii="仿宋" w:hAnsi="仿宋" w:eastAsia="仿宋" w:cs="仿宋"/>
                <w:sz w:val="20"/>
                <w:szCs w:val="20"/>
                <w:lang w:val="en-US" w:eastAsia="zh-CN"/>
              </w:rPr>
              <w:t>指导，患者都表示接爱了个体化健康教育指导。</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w:t>
            </w:r>
            <w:r>
              <w:rPr>
                <w:rFonts w:hint="eastAsia" w:ascii="仿宋" w:hAnsi="仿宋" w:eastAsia="仿宋" w:cs="仿宋"/>
                <w:color w:val="000000"/>
                <w:kern w:val="0"/>
                <w:sz w:val="20"/>
                <w:szCs w:val="20"/>
                <w:lang w:val="en-US" w:eastAsia="zh-CN"/>
              </w:rPr>
              <w:t>各</w:t>
            </w:r>
            <w:r>
              <w:rPr>
                <w:rFonts w:hint="eastAsia" w:ascii="仿宋" w:hAnsi="仿宋" w:eastAsia="仿宋" w:cs="仿宋"/>
                <w:color w:val="000000"/>
                <w:kern w:val="0"/>
                <w:sz w:val="20"/>
                <w:szCs w:val="20"/>
              </w:rPr>
              <w:t>医院</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机场、车站、广场</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lang w:val="en-US" w:eastAsia="zh-CN"/>
              </w:rPr>
              <w:t>审批大厅</w:t>
            </w:r>
            <w:r>
              <w:rPr>
                <w:rFonts w:hint="eastAsia" w:ascii="仿宋_GB2312" w:hAnsi="宋体" w:eastAsia="仿宋_GB2312" w:cs="宋体"/>
                <w:color w:val="000000"/>
                <w:kern w:val="0"/>
                <w:sz w:val="20"/>
                <w:szCs w:val="20"/>
              </w:rPr>
              <w:t>等窗口单位多种形式的健康宣传</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所检查窗口单位可见3种以上的健康教育形式，且宣传材料及版面整洁、完好。</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暗访机场、车站、广场、政务服务</w:t>
            </w:r>
            <w:r>
              <w:rPr>
                <w:rFonts w:hint="eastAsia" w:ascii="仿宋" w:hAnsi="仿宋" w:eastAsia="仿宋" w:cs="仿宋"/>
                <w:color w:val="000000"/>
                <w:kern w:val="0"/>
                <w:sz w:val="20"/>
                <w:szCs w:val="20"/>
                <w:lang w:val="en-US" w:eastAsia="zh-CN"/>
              </w:rPr>
              <w:t>大厅</w:t>
            </w:r>
            <w:r>
              <w:rPr>
                <w:rFonts w:hint="eastAsia" w:ascii="仿宋" w:hAnsi="仿宋" w:eastAsia="仿宋" w:cs="仿宋"/>
                <w:color w:val="000000"/>
                <w:kern w:val="0"/>
                <w:sz w:val="20"/>
                <w:szCs w:val="20"/>
              </w:rPr>
              <w:t>等窗口单位</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县爱卫办</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汽车总站、平山北站、县城管执法局、县行政审批局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开展中医养生保健知识和方法普及活动</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辖区有开展中医养生保健知识和技术的计划，并落实良好。</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90" w:type="dxa"/>
            <w:vMerge w:val="continue"/>
            <w:shd w:val="clear" w:color="auto" w:fill="auto"/>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县</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健康县区、健康乡镇、健康细胞建设</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10.0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1.检查县爱卫办推进</w:t>
            </w:r>
            <w:r>
              <w:rPr>
                <w:rFonts w:hint="eastAsia" w:ascii="仿宋" w:hAnsi="仿宋" w:eastAsia="仿宋" w:cs="仿宋"/>
                <w:color w:val="000000"/>
                <w:kern w:val="0"/>
                <w:sz w:val="20"/>
                <w:szCs w:val="20"/>
              </w:rPr>
              <w:t>健康县区建设</w:t>
            </w:r>
            <w:r>
              <w:rPr>
                <w:rFonts w:hint="eastAsia" w:ascii="仿宋" w:hAnsi="仿宋" w:eastAsia="仿宋" w:cs="仿宋"/>
                <w:color w:val="000000"/>
                <w:kern w:val="0"/>
                <w:sz w:val="20"/>
                <w:szCs w:val="20"/>
                <w:lang w:val="en-US" w:eastAsia="zh-CN"/>
              </w:rPr>
              <w:t>情况，做好动员部署、组织实施、效果评价和总结推广等工作。2.检查乡镇推进健康乡镇建设情况。</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查</w:t>
            </w:r>
            <w:r>
              <w:rPr>
                <w:rFonts w:hint="eastAsia" w:ascii="仿宋" w:hAnsi="仿宋" w:eastAsia="仿宋" w:cs="仿宋"/>
                <w:color w:val="000000"/>
                <w:kern w:val="0"/>
                <w:sz w:val="20"/>
                <w:szCs w:val="20"/>
                <w:lang w:val="en-US" w:eastAsia="zh-CN"/>
              </w:rPr>
              <w:t>县</w:t>
            </w:r>
            <w:r>
              <w:rPr>
                <w:rFonts w:hint="eastAsia" w:ascii="仿宋" w:hAnsi="仿宋" w:eastAsia="仿宋" w:cs="仿宋"/>
                <w:color w:val="000000"/>
                <w:kern w:val="0"/>
                <w:sz w:val="20"/>
                <w:szCs w:val="20"/>
              </w:rPr>
              <w:t>爱卫办、</w:t>
            </w:r>
            <w:r>
              <w:rPr>
                <w:rFonts w:hint="eastAsia" w:ascii="仿宋" w:hAnsi="仿宋" w:eastAsia="仿宋" w:cs="仿宋"/>
                <w:color w:val="000000"/>
                <w:kern w:val="0"/>
                <w:sz w:val="20"/>
                <w:szCs w:val="20"/>
                <w:lang w:val="en-US" w:eastAsia="zh-CN"/>
              </w:rPr>
              <w:t>各</w:t>
            </w:r>
            <w:r>
              <w:rPr>
                <w:rFonts w:hint="eastAsia" w:ascii="仿宋" w:hAnsi="仿宋" w:eastAsia="仿宋" w:cs="仿宋"/>
                <w:color w:val="000000"/>
                <w:kern w:val="0"/>
                <w:sz w:val="20"/>
                <w:szCs w:val="20"/>
              </w:rPr>
              <w:t>乡镇政府</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keepNext w:val="0"/>
              <w:keepLines w:val="0"/>
              <w:pageBreakBefore w:val="0"/>
              <w:kinsoku/>
              <w:wordWrap/>
              <w:overflowPunct/>
              <w:topLinePunct w:val="0"/>
              <w:autoSpaceDE/>
              <w:autoSpaceDN/>
              <w:bidi w:val="0"/>
              <w:adjustRightInd/>
              <w:spacing w:line="240" w:lineRule="exact"/>
              <w:ind w:left="0" w:leftChars="0" w:firstLine="188" w:firstLineChars="100"/>
              <w:textAlignment w:val="auto"/>
              <w:rPr>
                <w:rFonts w:hint="default"/>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健康步道、健康主题公园等建设</w:t>
            </w:r>
            <w:r>
              <w:rPr>
                <w:rFonts w:hint="eastAsia" w:ascii="仿宋_GB2312" w:hAnsi="宋体" w:eastAsia="仿宋_GB2312" w:cs="宋体"/>
                <w:color w:val="000000"/>
                <w:kern w:val="0"/>
                <w:sz w:val="20"/>
                <w:szCs w:val="20"/>
                <w:lang w:eastAsia="zh-CN"/>
              </w:rPr>
              <w:t>。</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辖区健康步道、健康主题公园建设符合建设要求。</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暗访公园</w:t>
            </w: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lang w:val="en-US" w:eastAsia="zh-CN"/>
              </w:rPr>
              <w:t>步道</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90" w:type="dxa"/>
            <w:vMerge w:val="restart"/>
            <w:shd w:val="clear" w:color="auto" w:fill="DAEEF3"/>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全民健身</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（10分）</w:t>
            </w: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15分钟健身圈</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街道社区、城乡结合部全部设置全民健身场地设施。建有设施社区比100%、人均体育场地面积＞2.2M² 、千人体育指导员数＞2.16名</w:t>
            </w:r>
          </w:p>
        </w:tc>
        <w:tc>
          <w:tcPr>
            <w:tcW w:w="135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暗访街道社区、城乡结合部</w:t>
            </w:r>
          </w:p>
        </w:tc>
        <w:tc>
          <w:tcPr>
            <w:tcW w:w="144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县文</w:t>
            </w:r>
            <w:r>
              <w:rPr>
                <w:rFonts w:hint="eastAsia" w:ascii="仿宋" w:hAnsi="仿宋" w:eastAsia="仿宋" w:cs="仿宋"/>
                <w:color w:val="000000"/>
                <w:kern w:val="0"/>
                <w:sz w:val="20"/>
                <w:szCs w:val="20"/>
              </w:rPr>
              <w:t>体</w:t>
            </w:r>
            <w:r>
              <w:rPr>
                <w:rFonts w:hint="eastAsia" w:ascii="仿宋" w:hAnsi="仿宋" w:eastAsia="仿宋" w:cs="仿宋"/>
                <w:color w:val="000000"/>
                <w:kern w:val="0"/>
                <w:sz w:val="20"/>
                <w:szCs w:val="20"/>
                <w:lang w:val="en-US" w:eastAsia="zh-CN"/>
              </w:rPr>
              <w:t>广旅</w:t>
            </w:r>
            <w:r>
              <w:rPr>
                <w:rFonts w:hint="eastAsia" w:ascii="仿宋" w:hAnsi="仿宋" w:eastAsia="仿宋" w:cs="仿宋"/>
                <w:color w:val="000000"/>
                <w:kern w:val="0"/>
                <w:sz w:val="20"/>
                <w:szCs w:val="20"/>
              </w:rPr>
              <w:t>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center"/>
              <w:textAlignment w:val="auto"/>
              <w:rPr>
                <w:rFonts w:hint="eastAsia" w:ascii="仿宋" w:hAnsi="仿宋" w:eastAsia="仿宋" w:cs="仿宋"/>
                <w:color w:val="800080"/>
                <w:kern w:val="0"/>
                <w:sz w:val="20"/>
                <w:szCs w:val="20"/>
                <w:lang w:val="en-US" w:eastAsia="zh-CN"/>
              </w:rPr>
            </w:pPr>
            <w:r>
              <w:rPr>
                <w:rFonts w:hint="eastAsia" w:ascii="仿宋" w:hAnsi="仿宋" w:eastAsia="仿宋" w:cs="仿宋"/>
                <w:color w:val="800080"/>
                <w:kern w:val="0"/>
                <w:sz w:val="20"/>
                <w:szCs w:val="20"/>
                <w:lang w:val="en-US" w:eastAsia="zh-CN"/>
              </w:rPr>
              <w:t>各有关单位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80008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公共体育设施免费或低收费开放</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所见体育设施全部免费或低收费开放。</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80008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开展群众性健身活动  </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积极开展全民健身活动，每年开展3类以上全县性健身活动。经常参加锻炼人数比＞38.5%</w:t>
            </w:r>
          </w:p>
        </w:tc>
        <w:tc>
          <w:tcPr>
            <w:tcW w:w="1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暗访公园（健康主题公园）、体育馆等、街道社区</w:t>
            </w:r>
          </w:p>
        </w:tc>
        <w:tc>
          <w:tcPr>
            <w:tcW w:w="144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090" w:type="dxa"/>
            <w:vMerge w:val="restart"/>
            <w:shd w:val="clear" w:color="auto" w:fill="FFFFFF"/>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烟草控制</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（22分）</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媒体及社会各单位控烟宣传</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1.辖区传统媒体和新媒体开展控烟宣传广泛。</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2.所查点位80%以上有控烟宣传。</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抽查机关企事业单位、政务服务中心、融媒体中心、</w:t>
            </w:r>
            <w:r>
              <w:rPr>
                <w:rFonts w:hint="eastAsia" w:ascii="仿宋" w:hAnsi="仿宋" w:eastAsia="仿宋" w:cs="仿宋"/>
                <w:color w:val="000000"/>
                <w:kern w:val="0"/>
                <w:sz w:val="20"/>
                <w:szCs w:val="20"/>
                <w:lang w:val="en-US" w:eastAsia="zh-CN"/>
              </w:rPr>
              <w:t>县信息化建设中心、</w:t>
            </w:r>
            <w:r>
              <w:rPr>
                <w:rFonts w:hint="eastAsia" w:ascii="仿宋" w:hAnsi="仿宋" w:eastAsia="仿宋" w:cs="仿宋"/>
                <w:color w:val="000000"/>
                <w:kern w:val="0"/>
                <w:sz w:val="20"/>
                <w:szCs w:val="20"/>
              </w:rPr>
              <w:t>医院、学校、体育场馆、公园、居民小区、城乡结合部</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县爱卫办</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800080"/>
                <w:kern w:val="0"/>
                <w:sz w:val="20"/>
                <w:szCs w:val="20"/>
                <w:lang w:val="en-US" w:eastAsia="zh-CN"/>
              </w:rPr>
            </w:pPr>
            <w:r>
              <w:rPr>
                <w:rFonts w:hint="eastAsia" w:ascii="仿宋" w:hAnsi="仿宋" w:eastAsia="仿宋" w:cs="仿宋"/>
                <w:color w:val="000000" w:themeColor="text1"/>
                <w:kern w:val="0"/>
                <w:sz w:val="20"/>
                <w:szCs w:val="20"/>
                <w:lang w:val="en-US" w:eastAsia="zh-CN"/>
                <w14:textFill>
                  <w14:solidFill>
                    <w14:schemeClr w14:val="tx1"/>
                  </w14:solidFill>
                </w14:textFill>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无烟草广告</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城市层面所到场所未发现任何形式的烟草广告。</w:t>
            </w:r>
          </w:p>
        </w:tc>
        <w:tc>
          <w:tcPr>
            <w:tcW w:w="135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县域范围</w:t>
            </w:r>
          </w:p>
        </w:tc>
        <w:tc>
          <w:tcPr>
            <w:tcW w:w="144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县市场监管局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p>
        </w:tc>
        <w:tc>
          <w:tcPr>
            <w:tcW w:w="1440" w:type="dxa"/>
            <w:vMerge w:val="restart"/>
            <w:shd w:val="clear" w:color="auto" w:fill="FFFFFF"/>
            <w:noWrap/>
            <w:vAlign w:val="center"/>
          </w:tcPr>
          <w:p>
            <w:pPr>
              <w:pStyle w:val="2"/>
              <w:ind w:left="0" w:lef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烟草专卖局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公共场所、工作场所及公共交通工具有醒目禁烟标识</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辖区检查所有点位90%以上张贴醒目、规范的禁烟标识。</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禁烟场所无吸烟现象</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所查禁烟场所90%以上无吸烟现象。</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定期开展烟草流行监测</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w:t>
            </w:r>
            <w:r>
              <w:rPr>
                <w:rFonts w:hint="eastAsia" w:ascii="仿宋" w:hAnsi="仿宋" w:eastAsia="仿宋" w:cs="仿宋"/>
                <w:color w:val="000000"/>
                <w:kern w:val="0"/>
                <w:sz w:val="20"/>
                <w:szCs w:val="20"/>
              </w:rPr>
              <w:t>.烟草流行调查定期开展，监测方案及现场调查科学性强。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2.监测结果在政府官方媒体上公布。</w:t>
            </w:r>
          </w:p>
        </w:tc>
        <w:tc>
          <w:tcPr>
            <w:tcW w:w="135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承担控烟公卫项目的单位</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县疾控中心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895" w:type="dxa"/>
            <w:gridSpan w:val="2"/>
            <w:shd w:val="clear" w:color="auto" w:fill="4F81BD"/>
            <w:noWrap w:val="0"/>
            <w:vAlign w:val="center"/>
          </w:tcPr>
          <w:p>
            <w:pPr>
              <w:widowControl/>
              <w:jc w:val="left"/>
              <w:rPr>
                <w:rFonts w:ascii="微软雅黑" w:hAnsi="微软雅黑" w:eastAsia="微软雅黑" w:cs="宋体"/>
                <w:b/>
                <w:bCs/>
                <w:color w:val="FFFFCC"/>
                <w:kern w:val="0"/>
                <w:sz w:val="18"/>
                <w:szCs w:val="18"/>
              </w:rPr>
            </w:pPr>
            <w:r>
              <w:rPr>
                <w:rFonts w:hint="eastAsia" w:ascii="微软雅黑" w:hAnsi="微软雅黑" w:eastAsia="微软雅黑" w:cs="宋体"/>
                <w:b/>
                <w:bCs/>
                <w:color w:val="FFFFCC"/>
                <w:kern w:val="0"/>
                <w:sz w:val="18"/>
                <w:szCs w:val="18"/>
              </w:rPr>
              <w:t>三、市容环境卫生</w:t>
            </w:r>
          </w:p>
        </w:tc>
        <w:tc>
          <w:tcPr>
            <w:tcW w:w="959" w:type="dxa"/>
            <w:shd w:val="clear" w:color="auto" w:fill="4F81BD"/>
            <w:noWrap/>
            <w:vAlign w:val="center"/>
          </w:tcPr>
          <w:p>
            <w:pPr>
              <w:widowControl/>
              <w:jc w:val="center"/>
              <w:rPr>
                <w:rFonts w:ascii="微软雅黑" w:hAnsi="微软雅黑" w:eastAsia="微软雅黑" w:cs="宋体"/>
                <w:color w:val="FFFFCC"/>
                <w:kern w:val="0"/>
                <w:sz w:val="18"/>
                <w:szCs w:val="18"/>
              </w:rPr>
            </w:pPr>
            <w:r>
              <w:rPr>
                <w:rFonts w:hint="eastAsia" w:ascii="微软雅黑" w:hAnsi="微软雅黑" w:eastAsia="微软雅黑" w:cs="宋体"/>
                <w:color w:val="FFFFCC"/>
                <w:kern w:val="0"/>
                <w:sz w:val="18"/>
                <w:szCs w:val="18"/>
              </w:rPr>
              <w:t xml:space="preserve">36.0 </w:t>
            </w:r>
          </w:p>
        </w:tc>
        <w:tc>
          <w:tcPr>
            <w:tcW w:w="945" w:type="dxa"/>
            <w:shd w:val="clear" w:color="auto" w:fill="4F81BD"/>
            <w:noWrap/>
            <w:vAlign w:val="center"/>
          </w:tcPr>
          <w:p>
            <w:pPr>
              <w:widowControl/>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144.0 </w:t>
            </w:r>
          </w:p>
        </w:tc>
        <w:tc>
          <w:tcPr>
            <w:tcW w:w="4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FFFFCC"/>
                <w:kern w:val="0"/>
                <w:sz w:val="20"/>
                <w:szCs w:val="20"/>
              </w:rPr>
            </w:pPr>
          </w:p>
        </w:tc>
        <w:tc>
          <w:tcPr>
            <w:tcW w:w="1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FFFFCC"/>
                <w:kern w:val="0"/>
                <w:sz w:val="20"/>
                <w:szCs w:val="20"/>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FFCC"/>
                <w:kern w:val="0"/>
                <w:sz w:val="20"/>
                <w:szCs w:val="20"/>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FFCC"/>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90" w:type="dxa"/>
            <w:vMerge w:val="restart"/>
            <w:shd w:val="clear" w:color="auto" w:fill="DAEEF3"/>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城市容貌</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（42分）</w:t>
            </w: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城市道路（含背街、商业街）功能完善、整洁有序</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4350" w:type="dxa"/>
            <w:shd w:val="clear" w:color="auto" w:fill="DAEEF3"/>
            <w:noWrap/>
            <w:vAlign w:val="center"/>
          </w:tcPr>
          <w:p>
            <w:pPr>
              <w:keepNext w:val="0"/>
              <w:keepLines w:val="0"/>
              <w:widowControl/>
              <w:suppressLineNumbers w:val="0"/>
              <w:jc w:val="left"/>
              <w:textAlignment w:val="center"/>
              <w:rPr>
                <w:rFonts w:hint="default" w:ascii="仿宋" w:hAnsi="仿宋" w:eastAsia="仿宋" w:cs="仿宋"/>
                <w:color w:val="000000"/>
                <w:kern w:val="0"/>
                <w:sz w:val="20"/>
                <w:szCs w:val="20"/>
                <w:lang w:val="en-US"/>
              </w:rPr>
            </w:pPr>
            <w:r>
              <w:rPr>
                <w:rFonts w:hint="default" w:ascii="仿宋_GB2312" w:hAnsi="宋体" w:eastAsia="仿宋_GB2312" w:cs="仿宋_GB2312"/>
                <w:i w:val="0"/>
                <w:iCs w:val="0"/>
                <w:color w:val="000000"/>
                <w:kern w:val="0"/>
                <w:sz w:val="20"/>
                <w:szCs w:val="20"/>
                <w:u w:val="none"/>
                <w:lang w:val="en-US" w:eastAsia="zh-CN" w:bidi="ar"/>
              </w:rPr>
              <w:t>道路及附属设施定期养护、容貌整洁。</w:t>
            </w:r>
            <w:r>
              <w:rPr>
                <w:rFonts w:hint="eastAsia" w:ascii="仿宋_GB2312" w:hAnsi="宋体" w:eastAsia="仿宋_GB2312" w:cs="仿宋_GB2312"/>
                <w:i w:val="0"/>
                <w:iCs w:val="0"/>
                <w:color w:val="000000"/>
                <w:kern w:val="0"/>
                <w:sz w:val="20"/>
                <w:szCs w:val="20"/>
                <w:u w:val="none"/>
                <w:lang w:val="en-US" w:eastAsia="zh-CN" w:bidi="ar"/>
              </w:rPr>
              <w:t>道路装灯率100%，</w:t>
            </w:r>
          </w:p>
        </w:tc>
        <w:tc>
          <w:tcPr>
            <w:tcW w:w="135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暗访主次干道、背街小巷</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lang w:val="en-US" w:eastAsia="zh-CN"/>
              </w:rPr>
            </w:pPr>
            <w:r>
              <w:rPr>
                <w:rFonts w:hint="eastAsia" w:ascii="仿宋" w:hAnsi="仿宋" w:eastAsia="仿宋" w:cs="仿宋"/>
                <w:lang w:val="en-US" w:eastAsia="zh-CN"/>
              </w:rPr>
              <w:t>县住建局</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left"/>
              <w:rPr>
                <w:rFonts w:hint="default"/>
                <w:lang w:val="en-US"/>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户外广告、建筑立面干净整洁</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户外广告、建筑立面整洁完好，无反射光污染。</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窨井盖完好，基本消除易涝积水点</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道路井盖、排水箅稳固、归位、完好，基本消除易涝积水点</w:t>
            </w:r>
            <w:r>
              <w:rPr>
                <w:rFonts w:hint="eastAsia" w:ascii="仿宋_GB2312" w:hAnsi="宋体" w:eastAsia="仿宋_GB2312" w:cs="仿宋_GB2312"/>
                <w:i w:val="0"/>
                <w:iCs w:val="0"/>
                <w:color w:val="000000"/>
                <w:kern w:val="0"/>
                <w:sz w:val="20"/>
                <w:szCs w:val="20"/>
                <w:u w:val="none"/>
                <w:lang w:val="en-US" w:eastAsia="zh-CN" w:bidi="ar"/>
              </w:rPr>
              <w:t>，窨井盖完好率</w:t>
            </w:r>
            <w:r>
              <w:rPr>
                <w:rFonts w:hint="default" w:ascii="Arial" w:hAnsi="Arial" w:eastAsia="仿宋_GB2312" w:cs="Arial"/>
                <w:i w:val="0"/>
                <w:iCs w:val="0"/>
                <w:color w:val="000000"/>
                <w:kern w:val="0"/>
                <w:sz w:val="20"/>
                <w:szCs w:val="20"/>
                <w:u w:val="none"/>
                <w:lang w:val="en-US" w:eastAsia="zh-CN" w:bidi="ar"/>
              </w:rPr>
              <w:t>≥</w:t>
            </w:r>
            <w:r>
              <w:rPr>
                <w:rFonts w:hint="eastAsia" w:ascii="仿宋_GB2312" w:hAnsi="宋体" w:eastAsia="仿宋_GB2312" w:cs="仿宋_GB2312"/>
                <w:i w:val="0"/>
                <w:iCs w:val="0"/>
                <w:color w:val="000000"/>
                <w:kern w:val="0"/>
                <w:sz w:val="20"/>
                <w:szCs w:val="20"/>
                <w:u w:val="none"/>
                <w:lang w:val="en-US" w:eastAsia="zh-CN" w:bidi="ar"/>
              </w:rPr>
              <w:t>98%。</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县住建局、县科工贸局、供电局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照明设施、果皮箱及其他道路附属设施设置规范</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功能照明整洁完好、景观照明经济合理、废物箱整洁规范。</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县住建局</w:t>
            </w: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“十乱”整治达标</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“十乱" 现象有效控制，车辆停放有序，"僵尸”车及时清理。</w:t>
            </w:r>
          </w:p>
        </w:tc>
        <w:tc>
          <w:tcPr>
            <w:tcW w:w="135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暗访主次干道、背街小巷</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“门前三包”制度落实到位</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结合实际建立“门前三包"制度并贯彻执行。</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清扫保洁责任落实，着装及操作规范，无卫生死角</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清扫保洁制度有效建立、责任落实，城区无卫生死角;环卫工人着装及操作规范。</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拆迁（待建）工地管理规范，文明施工措施齐全，环境整洁</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拆迁工地管理规范、环境整洁。</w:t>
            </w:r>
          </w:p>
        </w:tc>
        <w:tc>
          <w:tcPr>
            <w:tcW w:w="135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w:t>
            </w:r>
            <w:r>
              <w:rPr>
                <w:rFonts w:hint="eastAsia" w:ascii="仿宋" w:hAnsi="仿宋" w:eastAsia="仿宋" w:cs="仿宋"/>
                <w:color w:val="000000"/>
                <w:kern w:val="0"/>
                <w:sz w:val="20"/>
                <w:szCs w:val="20"/>
                <w:lang w:val="en-US" w:eastAsia="zh-CN"/>
              </w:rPr>
              <w:t>相关</w:t>
            </w:r>
            <w:r>
              <w:rPr>
                <w:rFonts w:hint="eastAsia" w:ascii="仿宋" w:hAnsi="仿宋" w:eastAsia="仿宋" w:cs="仿宋"/>
                <w:color w:val="000000"/>
                <w:kern w:val="0"/>
                <w:sz w:val="20"/>
                <w:szCs w:val="20"/>
              </w:rPr>
              <w:t>工地</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县住建局</w:t>
            </w: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县城管 执法局、经开区、土储中心、县土地和房屋征收中心、创城各责任区单位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在建工地管理规范，文明施工措施齐全，环境整洁</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在建工地管理规范、环境整洁。</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县住建局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河道、湖泊等水体及岸坡整洁，无污水直排现象</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水体和岸坡垃圾及时清除、保持整洁，无污水直排水体现象。</w:t>
            </w:r>
          </w:p>
        </w:tc>
        <w:tc>
          <w:tcPr>
            <w:tcW w:w="1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暗访河道、湖泊等公共水域</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县水利局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畜禽和野生动物饲养符合规定</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畜禽和野生动物饲养合法，宠物饲养文明规范，畜禽粪污有效处置。</w:t>
            </w:r>
          </w:p>
        </w:tc>
        <w:tc>
          <w:tcPr>
            <w:tcW w:w="1350"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暗访农贸市场</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县市场监管局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90" w:type="dxa"/>
            <w:vMerge w:val="restart"/>
            <w:shd w:val="clear" w:color="auto" w:fill="FFFFFF"/>
            <w:noWrap w:val="0"/>
            <w:vAlign w:val="center"/>
          </w:tcPr>
          <w:p>
            <w:pPr>
              <w:widowControl/>
              <w:jc w:val="center"/>
              <w:rPr>
                <w:rFonts w:hint="eastAsia" w:ascii="宋体" w:hAnsi="宋体" w:eastAsia="宋体" w:cs="宋体"/>
                <w:color w:val="000000"/>
                <w:kern w:val="0"/>
                <w:sz w:val="20"/>
                <w:lang w:eastAsia="zh-CN"/>
              </w:rPr>
            </w:pPr>
            <w:r>
              <w:rPr>
                <w:rFonts w:ascii="宋体" w:hAnsi="宋体" w:cs="宋体"/>
                <w:color w:val="000000"/>
                <w:kern w:val="0"/>
                <w:sz w:val="20"/>
              </w:rPr>
              <w:t>园林绿化</w:t>
            </w:r>
          </w:p>
          <w:p>
            <w:pPr>
              <w:widowControl/>
              <w:jc w:val="center"/>
              <w:rPr>
                <w:rFonts w:ascii="宋体" w:hAnsi="宋体" w:cs="宋体"/>
                <w:color w:val="000000"/>
                <w:kern w:val="0"/>
                <w:sz w:val="20"/>
                <w:szCs w:val="20"/>
              </w:rPr>
            </w:pPr>
            <w:r>
              <w:rPr>
                <w:rFonts w:ascii="宋体" w:hAnsi="宋体" w:cs="宋体"/>
                <w:color w:val="000000"/>
                <w:kern w:val="0"/>
                <w:sz w:val="20"/>
              </w:rPr>
              <w:t>（18分）</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绿地完成规划、布局合理</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城市绿地系统规划编制完成，与相关规划衔接,城市绿化管制制度完善。</w:t>
            </w:r>
          </w:p>
        </w:tc>
        <w:tc>
          <w:tcPr>
            <w:tcW w:w="135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绿地、绿化带、公园等 </w:t>
            </w:r>
          </w:p>
        </w:tc>
        <w:tc>
          <w:tcPr>
            <w:tcW w:w="1440" w:type="dxa"/>
            <w:vMerge w:val="restart"/>
            <w:shd w:val="clear" w:color="auto" w:fill="FFFFFF"/>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县住建局</w:t>
            </w:r>
          </w:p>
        </w:tc>
        <w:tc>
          <w:tcPr>
            <w:tcW w:w="1440" w:type="dxa"/>
            <w:vMerge w:val="restart"/>
            <w:shd w:val="clear" w:color="auto" w:fill="FFFFFF"/>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公园、道路绿化及其他绿地建设规范</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城市绿地系统规划编制完成，与相关规划衔接，城市绿化管制制度完善。</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绿地养护良好</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绿化定期养护、植物生长良好、叶面洁净美观，树池无泥土裸露。</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绿地环境整洁有序</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_</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环境整洁美观，无垃圾杂物、焚烧枯枝落叶、违章占绿等现象。</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90" w:type="dxa"/>
            <w:vMerge w:val="restart"/>
            <w:shd w:val="clear" w:color="auto" w:fill="DDEEF3"/>
            <w:noWrap w:val="0"/>
            <w:vAlign w:val="center"/>
          </w:tcPr>
          <w:p>
            <w:pPr>
              <w:widowControl/>
              <w:jc w:val="center"/>
              <w:rPr>
                <w:rFonts w:hint="eastAsia" w:ascii="宋体" w:hAnsi="宋体" w:eastAsia="宋体" w:cs="宋体"/>
                <w:color w:val="000000"/>
                <w:kern w:val="0"/>
                <w:sz w:val="20"/>
                <w:lang w:eastAsia="zh-CN"/>
              </w:rPr>
            </w:pPr>
            <w:r>
              <w:rPr>
                <w:rFonts w:ascii="宋体" w:hAnsi="宋体" w:cs="宋体"/>
                <w:color w:val="000000"/>
                <w:kern w:val="0"/>
                <w:sz w:val="20"/>
              </w:rPr>
              <w:t>垃圾与污水</w:t>
            </w:r>
          </w:p>
          <w:p>
            <w:pPr>
              <w:widowControl/>
              <w:jc w:val="center"/>
              <w:rPr>
                <w:rFonts w:ascii="宋体" w:hAnsi="宋体" w:cs="宋体"/>
                <w:color w:val="000000"/>
                <w:kern w:val="0"/>
                <w:sz w:val="20"/>
                <w:szCs w:val="20"/>
              </w:rPr>
            </w:pPr>
            <w:r>
              <w:rPr>
                <w:rFonts w:ascii="宋体" w:hAnsi="宋体" w:cs="宋体"/>
                <w:color w:val="000000"/>
                <w:kern w:val="0"/>
                <w:sz w:val="20"/>
              </w:rPr>
              <w:t>（38分）</w:t>
            </w: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推行垃圾减量化、资源化和无害化</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D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垃圾减量化、资源化和无害化纳入相关专项规划，明确具体工作计划并推进落实。</w:t>
            </w:r>
          </w:p>
        </w:tc>
        <w:tc>
          <w:tcPr>
            <w:tcW w:w="1350" w:type="dxa"/>
            <w:vMerge w:val="restart"/>
            <w:shd w:val="clear" w:color="auto" w:fill="DDEEF3"/>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生活垃圾收集点</w:t>
            </w:r>
          </w:p>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restart"/>
            <w:shd w:val="clear" w:color="auto" w:fill="DDEEF3"/>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县城管执法局</w:t>
            </w:r>
          </w:p>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restart"/>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生活垃圾分类收运、密闭存放、及时清运、整洁规范</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D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生活垃圾分类收运、密闭存放、及时清运、整洁规范。</w:t>
            </w:r>
          </w:p>
        </w:tc>
        <w:tc>
          <w:tcPr>
            <w:tcW w:w="135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生活垃圾处理设施分类配置、运行达标</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4350" w:type="dxa"/>
            <w:shd w:val="clear" w:color="auto" w:fill="DD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厨余垃圾资源化利用和有害垃圾、其他垃圾无害化处理设施建成投用、运行规范、排放达标。</w:t>
            </w:r>
          </w:p>
        </w:tc>
        <w:tc>
          <w:tcPr>
            <w:tcW w:w="135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建筑垃圾密闭运输，推行无害化处置和资源化利用，消纳场管理规范</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4350" w:type="dxa"/>
            <w:shd w:val="clear" w:color="auto" w:fill="DD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实行建筑垃圾密闭运输、无害化处置和资源化利用，处置设施建成投用、运行规范。</w:t>
            </w:r>
          </w:p>
        </w:tc>
        <w:tc>
          <w:tcPr>
            <w:tcW w:w="1350" w:type="dxa"/>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建筑垃圾处理设施</w:t>
            </w:r>
          </w:p>
        </w:tc>
        <w:tc>
          <w:tcPr>
            <w:tcW w:w="1440" w:type="dxa"/>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管网覆盖和污水收集达标</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D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管网覆盖和污水收集达标。</w:t>
            </w:r>
          </w:p>
        </w:tc>
        <w:tc>
          <w:tcPr>
            <w:tcW w:w="1350" w:type="dxa"/>
            <w:vMerge w:val="restart"/>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污水处理厂</w:t>
            </w:r>
          </w:p>
        </w:tc>
        <w:tc>
          <w:tcPr>
            <w:tcW w:w="1440" w:type="dxa"/>
            <w:vMerge w:val="restart"/>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县住建局</w:t>
            </w:r>
          </w:p>
        </w:tc>
        <w:tc>
          <w:tcPr>
            <w:tcW w:w="1440" w:type="dxa"/>
            <w:vMerge w:val="restart"/>
            <w:shd w:val="clear" w:color="auto" w:fill="DDEEF3"/>
            <w:noWrap/>
            <w:vAlign w:val="center"/>
          </w:tcPr>
          <w:p>
            <w:pPr>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污水处理厂运行规范、达标排放</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D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生活污水处理厂建设、运行、维护、安全、污染物排放及污泥处理符合相关标准。</w:t>
            </w:r>
          </w:p>
        </w:tc>
        <w:tc>
          <w:tcPr>
            <w:tcW w:w="135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DEEF3"/>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船舶污染物治理效果良好</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D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船舶污染物管理主体明确、责任清晰、排放合规，“船一港一城”“收集一接收一转运一处置”全过程衔接和协作机制完善。</w:t>
            </w:r>
          </w:p>
        </w:tc>
        <w:tc>
          <w:tcPr>
            <w:tcW w:w="1350" w:type="dxa"/>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暗访公共厕所</w:t>
            </w:r>
          </w:p>
        </w:tc>
        <w:tc>
          <w:tcPr>
            <w:tcW w:w="1440" w:type="dxa"/>
            <w:shd w:val="clear" w:color="auto" w:fill="DD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县交通局</w:t>
            </w:r>
          </w:p>
        </w:tc>
        <w:tc>
          <w:tcPr>
            <w:tcW w:w="1440" w:type="dxa"/>
            <w:shd w:val="clear" w:color="auto" w:fill="DDEEF3"/>
            <w:noWrap/>
            <w:vAlign w:val="center"/>
          </w:tcPr>
          <w:p>
            <w:pPr>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塑料垃圾治理效果良好</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开展塑料垃圾专项治理，落实塑料废弃物回收利用和处置要求，引导服务型行业减少塑料用品使用。</w:t>
            </w:r>
          </w:p>
        </w:tc>
        <w:tc>
          <w:tcPr>
            <w:tcW w:w="135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待定</w:t>
            </w:r>
          </w:p>
        </w:tc>
        <w:tc>
          <w:tcPr>
            <w:tcW w:w="144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县城管执法局</w:t>
            </w:r>
          </w:p>
        </w:tc>
        <w:tc>
          <w:tcPr>
            <w:tcW w:w="144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鹿寨生态环境局</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D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再生资源回收体系完善</w:t>
            </w:r>
          </w:p>
        </w:tc>
        <w:tc>
          <w:tcPr>
            <w:tcW w:w="959"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D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再生资源回收和废旧物资循环利用体系建设完善。</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回收网点与生活垃圾分类网点推行“两网融合"。</w:t>
            </w:r>
          </w:p>
        </w:tc>
        <w:tc>
          <w:tcPr>
            <w:tcW w:w="135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生活垃圾回收、分类点</w:t>
            </w:r>
          </w:p>
        </w:tc>
        <w:tc>
          <w:tcPr>
            <w:tcW w:w="144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both"/>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shd w:val="clear" w:color="auto" w:fill="DD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90" w:type="dxa"/>
            <w:vMerge w:val="restart"/>
            <w:shd w:val="clear" w:color="auto" w:fill="FFFFFF"/>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厕所革命</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（16分）</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公厕配置完善、卫生达标、免费开放</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公厕配置完善、卫生达标、免费开放。</w:t>
            </w:r>
          </w:p>
        </w:tc>
        <w:tc>
          <w:tcPr>
            <w:tcW w:w="135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暗访社区、单位与城乡结合部</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both"/>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240" w:lineRule="exact"/>
              <w:jc w:val="both"/>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县城管执法局</w:t>
            </w:r>
          </w:p>
          <w:p>
            <w:pPr>
              <w:keepNext w:val="0"/>
              <w:keepLines w:val="0"/>
              <w:widowControl/>
              <w:suppressLineNumbers w:val="0"/>
              <w:jc w:val="both"/>
              <w:textAlignment w:val="center"/>
              <w:rPr>
                <w:rFonts w:hint="eastAsia" w:ascii="仿宋" w:hAnsi="仿宋" w:eastAsia="仿宋" w:cs="仿宋"/>
                <w:color w:val="000000"/>
                <w:kern w:val="0"/>
                <w:sz w:val="20"/>
                <w:szCs w:val="20"/>
              </w:rPr>
            </w:pP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各乡镇</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市场监管局</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县文体广旅局</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县交通局</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重点行业、重点单位公厕达到二类</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重要交通设施、主次干道、农贸市场等配套公厕达到二类以上。</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无旱厕</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城区内公厕及户厕无旱厕。</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化粪池等粪便设施安全规范</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粪便规范收运处理，化粪池等粪便设施运行规范、安全。</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90" w:type="dxa"/>
            <w:vMerge w:val="restart"/>
            <w:shd w:val="clear" w:color="auto" w:fill="DAEEF3"/>
            <w:noWrap w:val="0"/>
            <w:vAlign w:val="center"/>
          </w:tcPr>
          <w:p>
            <w:pPr>
              <w:widowControl/>
              <w:jc w:val="center"/>
              <w:rPr>
                <w:rFonts w:hint="eastAsia" w:ascii="宋体" w:hAnsi="宋体" w:eastAsia="宋体" w:cs="宋体"/>
                <w:color w:val="000000"/>
                <w:kern w:val="0"/>
                <w:sz w:val="20"/>
                <w:lang w:eastAsia="zh-CN"/>
              </w:rPr>
            </w:pPr>
            <w:r>
              <w:rPr>
                <w:rFonts w:ascii="宋体" w:hAnsi="宋体" w:cs="宋体"/>
                <w:color w:val="000000"/>
                <w:kern w:val="0"/>
                <w:sz w:val="20"/>
              </w:rPr>
              <w:t>市场卫生</w:t>
            </w:r>
          </w:p>
          <w:p>
            <w:pPr>
              <w:widowControl/>
              <w:jc w:val="center"/>
              <w:rPr>
                <w:rFonts w:ascii="宋体" w:hAnsi="宋体" w:cs="宋体"/>
                <w:color w:val="000000"/>
                <w:kern w:val="0"/>
                <w:sz w:val="20"/>
                <w:szCs w:val="20"/>
              </w:rPr>
            </w:pPr>
            <w:r>
              <w:rPr>
                <w:rFonts w:ascii="宋体" w:hAnsi="宋体" w:cs="宋体"/>
                <w:color w:val="000000"/>
                <w:kern w:val="0"/>
                <w:sz w:val="20"/>
              </w:rPr>
              <w:t>（31分）</w:t>
            </w: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卫生制度、农残检测等公示并及时更新</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卫生制度、农残检测等公示并及时更新。</w:t>
            </w:r>
          </w:p>
        </w:tc>
        <w:tc>
          <w:tcPr>
            <w:tcW w:w="1350" w:type="dxa"/>
            <w:vMerge w:val="restart"/>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暗访农贸市场</w:t>
            </w:r>
          </w:p>
        </w:tc>
        <w:tc>
          <w:tcPr>
            <w:tcW w:w="1440" w:type="dxa"/>
            <w:vMerge w:val="restart"/>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县市场监管局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center"/>
              <w:rPr>
                <w:rFonts w:hint="eastAsia" w:ascii="仿宋" w:hAnsi="仿宋" w:eastAsia="仿宋" w:cs="仿宋"/>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商品摆放整齐，管理有序，干净整洁</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商品摆放整齐、管理有序、干净整洁。</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场地、公厕、排水等设施规范配建</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场地、公厕、排水等设施配建规范。</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流动商贩及早夜市定时定点定品种管理，干净清洁，管理规范</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流动商贩及早夜市定时定点定品种管理，干净清洁，管理规范。</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餐饮、散装食品等摊贩食品安全基本达标，不污染周边环境</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餐饮、散装食品等摊贩食品安全基本达标，不污染周边环境。</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活禽经营区域相对独立、设施完善、隔离宰杀</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全面实施”集中屠宰、冷链运输、冰鲜上市”或活禽经营区域相对独立、设施完善、隔离宰杀。</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废弃物处置及卫生管理规范</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废弃物处置及卫生管理规范。</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活禽市场定期休市和清洗消毒</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活禽市场定期休市和清洗消毒。</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野生动物非法交易和宰杀行为有效管控</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野生动物非法交易和宰杀行为有效管控。</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90" w:type="dxa"/>
            <w:vMerge w:val="restart"/>
            <w:shd w:val="clear" w:color="auto" w:fill="FFFFFF"/>
            <w:noWrap w:val="0"/>
            <w:vAlign w:val="center"/>
          </w:tcPr>
          <w:p>
            <w:pPr>
              <w:widowControl/>
              <w:jc w:val="center"/>
              <w:rPr>
                <w:rFonts w:hint="eastAsia" w:ascii="宋体" w:hAnsi="宋体" w:eastAsia="宋体" w:cs="宋体"/>
                <w:color w:val="000000"/>
                <w:kern w:val="0"/>
                <w:sz w:val="20"/>
                <w:lang w:eastAsia="zh-CN"/>
              </w:rPr>
            </w:pPr>
            <w:r>
              <w:rPr>
                <w:rFonts w:ascii="宋体" w:hAnsi="宋体" w:cs="宋体"/>
                <w:color w:val="000000"/>
                <w:kern w:val="0"/>
                <w:sz w:val="20"/>
              </w:rPr>
              <w:t>社区、单位与城乡结合部卫生</w:t>
            </w:r>
          </w:p>
          <w:p>
            <w:pPr>
              <w:widowControl/>
              <w:jc w:val="center"/>
              <w:rPr>
                <w:rFonts w:ascii="宋体" w:hAnsi="宋体" w:cs="宋体"/>
                <w:color w:val="000000"/>
                <w:kern w:val="0"/>
                <w:sz w:val="20"/>
                <w:szCs w:val="20"/>
              </w:rPr>
            </w:pPr>
            <w:r>
              <w:rPr>
                <w:rFonts w:ascii="宋体" w:hAnsi="宋体" w:cs="宋体"/>
                <w:color w:val="000000"/>
                <w:kern w:val="0"/>
                <w:sz w:val="20"/>
              </w:rPr>
              <w:t>（33分）</w:t>
            </w: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保洁全覆盖</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环境卫生制度健全落实，清扫保洁作业全面覆盖。</w:t>
            </w:r>
          </w:p>
        </w:tc>
        <w:tc>
          <w:tcPr>
            <w:tcW w:w="135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暗访社区、单位与城乡结合部</w:t>
            </w:r>
          </w:p>
        </w:tc>
        <w:tc>
          <w:tcPr>
            <w:tcW w:w="1440" w:type="dxa"/>
            <w:vMerge w:val="restart"/>
            <w:shd w:val="clear" w:color="auto" w:fill="FFFFFF"/>
            <w:noWrap/>
            <w:vAlign w:val="center"/>
          </w:tcPr>
          <w:p>
            <w:pPr>
              <w:keepNext w:val="0"/>
              <w:keepLines w:val="0"/>
              <w:widowControl/>
              <w:suppressLineNumbers w:val="0"/>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ind w:left="0" w:leftChars="0" w:firstLine="0" w:firstLineChars="0"/>
              <w:jc w:val="center"/>
              <w:rPr>
                <w:rFonts w:hint="default"/>
                <w:lang w:val="en-US" w:eastAsia="zh-CN"/>
              </w:rPr>
            </w:pPr>
            <w:r>
              <w:rPr>
                <w:rFonts w:hint="eastAsia" w:ascii="仿宋" w:hAnsi="仿宋" w:eastAsia="仿宋" w:cs="仿宋"/>
                <w:color w:val="000000"/>
                <w:kern w:val="0"/>
                <w:sz w:val="20"/>
                <w:szCs w:val="20"/>
                <w:lang w:val="en-US" w:eastAsia="zh-CN"/>
              </w:rPr>
              <w:t>各单位</w:t>
            </w:r>
          </w:p>
        </w:tc>
        <w:tc>
          <w:tcPr>
            <w:tcW w:w="1440" w:type="dxa"/>
            <w:vMerge w:val="restart"/>
            <w:shd w:val="clear" w:color="auto" w:fill="FFFFFF"/>
            <w:noWrap/>
            <w:vAlign w:val="center"/>
          </w:tcPr>
          <w:p>
            <w:pPr>
              <w:keepNext w:val="0"/>
              <w:keepLines w:val="0"/>
              <w:widowControl/>
              <w:suppressLineNumbers w:val="0"/>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ind w:left="0" w:leftChars="0" w:firstLine="0" w:firstLineChars="0"/>
              <w:jc w:val="center"/>
              <w:rPr>
                <w:rFonts w:hint="default"/>
                <w:lang w:val="en-US" w:eastAsia="zh-CN"/>
              </w:rPr>
            </w:pPr>
            <w:r>
              <w:rPr>
                <w:rFonts w:hint="eastAsia" w:ascii="仿宋" w:hAnsi="仿宋" w:eastAsia="仿宋" w:cs="仿宋"/>
                <w:color w:val="000000"/>
                <w:kern w:val="0"/>
                <w:sz w:val="20"/>
                <w:szCs w:val="20"/>
                <w:lang w:val="en-US" w:eastAsia="zh-CN"/>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垃圾容器分类配置，垃圾分类收运、及时清运</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垃圾容器分类配置，垃圾分类收运、及时清运。</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公厕、垃圾站点等环卫设施配置齐全，运行良好</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公厕、垃圾站点等环卫设施配置齐全、运行良好。</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道路硬化平整，照明设施全覆盖</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道路硬化平整，照明设施全覆盖，公共设施设置规范。</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绿化管护良好，庭院绿化美化</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绿化管护良好，庭院绿化美化。</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再生资源回收站点配置完善、管理规范</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再生资源回收站点配置完善、管理规范。</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环境卫生整治达标，无暴露垃圾、卫生死角和其他“十乱”现象</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环境卫生整治达标，无暴露垃圾、卫生死角和其他“十乱”现象。</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无违规饲养和散养畜禽</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无违规饲养和散养畜禽。</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FFFFFF"/>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铁路沿线环境整治达标，无轻飘物品、垃圾积存和其他“十乱”现象</w:t>
            </w:r>
          </w:p>
        </w:tc>
        <w:tc>
          <w:tcPr>
            <w:tcW w:w="959"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铁路沿线环境整治达标，无轻飘物品、垃圾积存和其他“十乱"现象。</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895" w:type="dxa"/>
            <w:gridSpan w:val="2"/>
            <w:shd w:val="clear" w:color="auto" w:fill="4F81BD"/>
            <w:noWrap/>
            <w:vAlign w:val="center"/>
          </w:tcPr>
          <w:p>
            <w:pPr>
              <w:widowControl/>
              <w:jc w:val="left"/>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rPr>
              <w:t>四、生态环境</w:t>
            </w:r>
          </w:p>
        </w:tc>
        <w:tc>
          <w:tcPr>
            <w:tcW w:w="959" w:type="dxa"/>
            <w:shd w:val="clear" w:color="auto" w:fill="4F81BD"/>
            <w:noWrap/>
            <w:vAlign w:val="center"/>
          </w:tcPr>
          <w:p>
            <w:pPr>
              <w:widowControl/>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25.0 </w:t>
            </w:r>
          </w:p>
        </w:tc>
        <w:tc>
          <w:tcPr>
            <w:tcW w:w="945" w:type="dxa"/>
            <w:shd w:val="clear" w:color="auto" w:fill="4F81BD"/>
            <w:noWrap/>
            <w:vAlign w:val="center"/>
          </w:tcPr>
          <w:p>
            <w:pPr>
              <w:widowControl/>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25.0 </w:t>
            </w:r>
          </w:p>
        </w:tc>
        <w:tc>
          <w:tcPr>
            <w:tcW w:w="4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FFFF"/>
                <w:kern w:val="0"/>
                <w:sz w:val="20"/>
                <w:szCs w:val="20"/>
              </w:rPr>
            </w:pPr>
          </w:p>
        </w:tc>
        <w:tc>
          <w:tcPr>
            <w:tcW w:w="1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FFFF"/>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restart"/>
            <w:shd w:val="clear" w:color="auto" w:fill="DAEEF3"/>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重大事故</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（7分）</w:t>
            </w: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近3年辖区内未发生重大环境污染和生态破坏事故</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无重大环境污染和生态破坏事故。</w:t>
            </w:r>
          </w:p>
        </w:tc>
        <w:tc>
          <w:tcPr>
            <w:tcW w:w="1350" w:type="dxa"/>
            <w:vMerge w:val="restart"/>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鹿寨生态环境局</w:t>
            </w: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鹿寨生态环境局</w:t>
            </w:r>
          </w:p>
        </w:tc>
        <w:tc>
          <w:tcPr>
            <w:tcW w:w="1440" w:type="dxa"/>
            <w:shd w:val="clear" w:color="auto" w:fill="DAEEF3"/>
            <w:noWrap/>
            <w:vAlign w:val="center"/>
          </w:tcPr>
          <w:p>
            <w:pPr>
              <w:keepNext w:val="0"/>
              <w:keepLines w:val="0"/>
              <w:widowControl/>
              <w:suppressLineNumbers w:val="0"/>
              <w:jc w:val="center"/>
              <w:textAlignment w:val="center"/>
              <w:rPr>
                <w:rFonts w:hint="default" w:ascii="仿宋" w:hAnsi="仿宋" w:eastAsia="仿宋" w:cs="仿宋"/>
                <w:color w:val="800080"/>
                <w:kern w:val="0"/>
                <w:sz w:val="20"/>
                <w:szCs w:val="20"/>
                <w:lang w:val="en-US" w:eastAsia="zh-CN"/>
              </w:rPr>
            </w:pPr>
            <w:r>
              <w:rPr>
                <w:rFonts w:hint="eastAsia" w:ascii="仿宋" w:hAnsi="仿宋" w:eastAsia="仿宋" w:cs="仿宋"/>
                <w:color w:val="80008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widowControl/>
              <w:jc w:val="left"/>
              <w:rPr>
                <w:rFonts w:ascii="宋体" w:hAnsi="宋体" w:cs="宋体"/>
                <w:color w:val="000000"/>
                <w:kern w:val="0"/>
                <w:sz w:val="20"/>
                <w:szCs w:val="20"/>
              </w:rPr>
            </w:pPr>
          </w:p>
        </w:tc>
        <w:tc>
          <w:tcPr>
            <w:tcW w:w="3805" w:type="dxa"/>
            <w:shd w:val="clear" w:color="auto" w:fill="DAEEF3"/>
            <w:noWrap w:val="0"/>
            <w:vAlign w:val="center"/>
          </w:tcPr>
          <w:p>
            <w:pPr>
              <w:widowControl/>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突发环境事件应急体系完善，制定预案并进行演练</w:t>
            </w:r>
          </w:p>
        </w:tc>
        <w:tc>
          <w:tcPr>
            <w:tcW w:w="959"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DAEEF3"/>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1.突发环境事件应急机构。</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2.突发环境事件报送系统。</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3.制定环境突发事件应急预案。</w:t>
            </w:r>
          </w:p>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4.有环境突发事件应急演练。</w:t>
            </w:r>
          </w:p>
        </w:tc>
        <w:tc>
          <w:tcPr>
            <w:tcW w:w="1350" w:type="dxa"/>
            <w:vMerge w:val="continue"/>
            <w:shd w:val="clear" w:color="auto" w:fill="DAEEF3"/>
            <w:noWrap/>
            <w:vAlign w:val="center"/>
          </w:tcPr>
          <w:p>
            <w:pPr>
              <w:jc w:val="center"/>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鹿寨生态环境局</w:t>
            </w:r>
          </w:p>
        </w:tc>
        <w:tc>
          <w:tcPr>
            <w:tcW w:w="144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80008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大气、噪声与水环境</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（28分）</w:t>
            </w: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餐饮单位油烟净化符合要求，无油烟直排、油泥污染立面现象</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1.餐饮单位是否安装油烟净化设施，设备是否正常使用。</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2.油烟净化措施在线监测的油烟相关指标是否达标排放。</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3.油污管理到位，无外溢，对附近居民的正常生活环境没有造成污染。</w:t>
            </w:r>
          </w:p>
        </w:tc>
        <w:tc>
          <w:tcPr>
            <w:tcW w:w="1350" w:type="dxa"/>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暗访餐馆</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鹿寨生态环境局</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县市场监管局</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center"/>
              <w:rPr>
                <w:rFonts w:hint="eastAsia" w:ascii="仿宋" w:hAnsi="仿宋" w:eastAsia="仿宋" w:cs="仿宋"/>
                <w:sz w:val="20"/>
                <w:szCs w:val="20"/>
                <w:lang w:val="en-US"/>
              </w:rPr>
            </w:pP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lang w:val="en-US" w:eastAsia="zh-CN"/>
              </w:rPr>
            </w:pPr>
            <w:r>
              <w:rPr>
                <w:rFonts w:hint="eastAsia" w:ascii="仿宋" w:hAnsi="仿宋" w:eastAsia="仿宋" w:cs="仿宋"/>
                <w:color w:val="80008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废气污染控制措施落实到位</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1.具有废气污染控制措施的文件、总结。</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2.各类废气在线或线下达标排放。</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3.禁止使用《高污染燃料名录》规定的高污染燃料。</w:t>
            </w:r>
          </w:p>
        </w:tc>
        <w:tc>
          <w:tcPr>
            <w:tcW w:w="1350" w:type="dxa"/>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鹿寨生态环境局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鹿寨生态环境局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无秸杆、垃圾露天焚烧及烟囱排黑烟现象</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1.秸秆禁烧管控措施到位。</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2.无秸秆、垃圾露天焚烧现象。</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3.无烟囱排黑烟现象。</w:t>
            </w:r>
          </w:p>
        </w:tc>
        <w:tc>
          <w:tcPr>
            <w:tcW w:w="1350" w:type="dxa"/>
            <w:vMerge w:val="restart"/>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县域范围</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县城管执法局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r>
              <w:rPr>
                <w:rFonts w:hint="eastAsia" w:ascii="仿宋" w:hAnsi="仿宋" w:eastAsia="仿宋" w:cs="仿宋"/>
                <w:i w:val="0"/>
                <w:iCs w:val="0"/>
                <w:color w:val="000000"/>
                <w:kern w:val="0"/>
                <w:sz w:val="20"/>
                <w:szCs w:val="20"/>
                <w:u w:val="none"/>
                <w:lang w:val="en-US" w:eastAsia="zh-CN" w:bidi="ar"/>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无噪音扰民</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1.无噪音扰民。</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禁鸣措施落实情况</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1.禁鸣区设置合理；</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2.禁鸣措施落实到位。</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水源地一级保护区水质达标率</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水源地一级保护区水质达标率100%。</w:t>
            </w:r>
          </w:p>
        </w:tc>
        <w:tc>
          <w:tcPr>
            <w:tcW w:w="135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饮用水源地</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（水厂）</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县住建局</w:t>
            </w:r>
          </w:p>
        </w:tc>
        <w:tc>
          <w:tcPr>
            <w:tcW w:w="1440" w:type="dxa"/>
            <w:vMerge w:val="restart"/>
            <w:shd w:val="clear" w:color="auto" w:fill="FFFFFF"/>
            <w:noWrap/>
            <w:vAlign w:val="center"/>
          </w:tcPr>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both"/>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both"/>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各水厂</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both"/>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集中式饮用水水源地管理规范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1.划分饮用水水源地保护区并建立相关制度。</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2.饮用水水源保护区符合标志技术要求。</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3.建立饮用水安全保障体系。</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4.制定水源地污染事故应急预案并定期应急演练。</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5.单一水源供水城市应具有应急水源或备用水源等。</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水环境功能区达到要求</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1.划定水环境功能区。</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2.水质达到相应功能区的要求。</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未划定功能区无黑臭水体</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 w:hAnsi="仿宋" w:eastAsia="仿宋" w:cs="仿宋"/>
                <w:color w:val="000000"/>
                <w:kern w:val="0"/>
                <w:sz w:val="20"/>
                <w:szCs w:val="20"/>
                <w:lang w:val="en-US"/>
              </w:rPr>
            </w:pPr>
            <w:r>
              <w:rPr>
                <w:rFonts w:hint="eastAsia" w:ascii="仿宋_GB2312" w:hAnsi="宋体" w:eastAsia="仿宋_GB2312" w:cs="仿宋_GB2312"/>
                <w:i w:val="0"/>
                <w:iCs w:val="0"/>
                <w:color w:val="000000"/>
                <w:kern w:val="0"/>
                <w:sz w:val="20"/>
                <w:szCs w:val="20"/>
                <w:u w:val="none"/>
                <w:lang w:val="en-US" w:eastAsia="zh-CN" w:bidi="ar"/>
              </w:rPr>
              <w:t>水域</w:t>
            </w:r>
          </w:p>
        </w:tc>
        <w:tc>
          <w:tcPr>
            <w:tcW w:w="1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各水域</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县水利局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lang w:val="en-US"/>
              </w:rPr>
            </w:pPr>
            <w:r>
              <w:rPr>
                <w:rFonts w:hint="eastAsia" w:ascii="仿宋" w:hAnsi="仿宋" w:eastAsia="仿宋" w:cs="仿宋"/>
                <w:i w:val="0"/>
                <w:iCs w:val="0"/>
                <w:color w:val="000000"/>
                <w:kern w:val="0"/>
                <w:sz w:val="20"/>
                <w:szCs w:val="20"/>
                <w:u w:val="none"/>
                <w:lang w:val="en-US" w:eastAsia="zh-CN" w:bidi="ar"/>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0" w:type="dxa"/>
            <w:vMerge w:val="restart"/>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医疗废物与污水处理</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（14分）</w:t>
            </w: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医疗废物无害化处置，分类、收集、转运、处置等过程符合国家要求</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1.医疗废物集中无害化处置。</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2.医疗卫生机构依法有专人或部门负责医疗废物分类收集。</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3.医疗废物统一由有资质的医疗废物集中处置机构进行消杀、转运、处置。</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4.医疗废物处置单位符合国家要求。</w:t>
            </w:r>
          </w:p>
        </w:tc>
        <w:tc>
          <w:tcPr>
            <w:tcW w:w="135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暗访医院、诊所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各医院</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医疗废物处置厂达标排放</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1.建立日常环境监测制度。</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2.主要污染物排放达到国家要求。</w:t>
            </w:r>
          </w:p>
        </w:tc>
        <w:tc>
          <w:tcPr>
            <w:tcW w:w="135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18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18"/>
                <w:szCs w:val="18"/>
              </w:rPr>
              <w:t>医疗废物暂时贮存场所管理规范，标识明显</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1.医疗废物暂时贮存场所具有管理制度。</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2.各医疗废物标识明显。</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3.具有医疗废物转运台账。</w:t>
            </w:r>
          </w:p>
        </w:tc>
        <w:tc>
          <w:tcPr>
            <w:tcW w:w="135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医疗污水收集、处理、消毒和排放符合国家及地方有关要求</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1.医疗污水处理方案。</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2.医疗机构建有污水处理站。</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3.污水经处理后主要污染物达标排放（定期监测）。</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4.使用含氯消毒剂和非含氯消毒剂消毒，应监测总余氯、应根据相关标准和厂家提供的消毒因子检测方法对消毒后污水进行监测。</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895" w:type="dxa"/>
            <w:gridSpan w:val="2"/>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left"/>
              <w:rPr>
                <w:rFonts w:ascii="微软雅黑" w:hAnsi="微软雅黑" w:eastAsia="微软雅黑" w:cs="宋体"/>
                <w:b/>
                <w:bCs/>
                <w:color w:val="FFFFFF"/>
                <w:kern w:val="0"/>
                <w:sz w:val="20"/>
                <w:szCs w:val="20"/>
              </w:rPr>
            </w:pPr>
            <w:r>
              <w:rPr>
                <w:rFonts w:hint="eastAsia" w:ascii="微软雅黑" w:hAnsi="微软雅黑" w:eastAsia="微软雅黑" w:cs="宋体"/>
                <w:b/>
                <w:bCs/>
                <w:color w:val="FFFFFF"/>
                <w:kern w:val="0"/>
                <w:sz w:val="20"/>
                <w:szCs w:val="20"/>
              </w:rPr>
              <w:t>五、重点场所卫生</w:t>
            </w:r>
          </w:p>
        </w:tc>
        <w:tc>
          <w:tcPr>
            <w:tcW w:w="959" w:type="dxa"/>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微软雅黑" w:hAnsi="微软雅黑" w:eastAsia="微软雅黑" w:cs="宋体"/>
                <w:color w:val="FFFFFF"/>
                <w:kern w:val="0"/>
                <w:sz w:val="20"/>
                <w:szCs w:val="20"/>
              </w:rPr>
            </w:pPr>
            <w:r>
              <w:rPr>
                <w:rFonts w:hint="eastAsia" w:ascii="微软雅黑" w:hAnsi="微软雅黑" w:eastAsia="微软雅黑" w:cs="宋体"/>
                <w:color w:val="FFFFFF"/>
                <w:kern w:val="0"/>
                <w:sz w:val="20"/>
                <w:szCs w:val="20"/>
              </w:rPr>
              <w:t xml:space="preserve">30.0 </w:t>
            </w:r>
          </w:p>
        </w:tc>
        <w:tc>
          <w:tcPr>
            <w:tcW w:w="945" w:type="dxa"/>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微软雅黑" w:hAnsi="微软雅黑" w:eastAsia="微软雅黑" w:cs="宋体"/>
                <w:color w:val="FFFFFF"/>
                <w:kern w:val="0"/>
                <w:sz w:val="20"/>
                <w:szCs w:val="20"/>
              </w:rPr>
            </w:pPr>
            <w:r>
              <w:rPr>
                <w:rFonts w:hint="eastAsia" w:ascii="微软雅黑" w:hAnsi="微软雅黑" w:eastAsia="微软雅黑" w:cs="宋体"/>
                <w:color w:val="FFFFFF"/>
                <w:kern w:val="0"/>
                <w:sz w:val="20"/>
                <w:szCs w:val="20"/>
              </w:rPr>
              <w:t xml:space="preserve">30.0 </w:t>
            </w:r>
          </w:p>
        </w:tc>
        <w:tc>
          <w:tcPr>
            <w:tcW w:w="4350" w:type="dxa"/>
            <w:shd w:val="clear" w:color="auto" w:fill="4F81BD"/>
            <w:noWrap/>
            <w:vAlign w:val="center"/>
          </w:tcPr>
          <w:p>
            <w:pPr>
              <w:keepNext w:val="0"/>
              <w:keepLines w:val="0"/>
              <w:pageBreakBefore w:val="0"/>
              <w:kinsoku/>
              <w:wordWrap/>
              <w:overflowPunct/>
              <w:topLinePunct w:val="0"/>
              <w:autoSpaceDE/>
              <w:autoSpaceDN/>
              <w:bidi w:val="0"/>
              <w:adjustRightInd/>
              <w:spacing w:line="240" w:lineRule="exact"/>
              <w:jc w:val="left"/>
              <w:rPr>
                <w:rFonts w:hint="eastAsia" w:ascii="仿宋" w:hAnsi="仿宋" w:eastAsia="仿宋" w:cs="仿宋"/>
                <w:color w:val="FFFFFF"/>
                <w:kern w:val="0"/>
                <w:sz w:val="20"/>
                <w:szCs w:val="20"/>
              </w:rPr>
            </w:pPr>
          </w:p>
        </w:tc>
        <w:tc>
          <w:tcPr>
            <w:tcW w:w="1350" w:type="dxa"/>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b/>
                <w:bCs/>
                <w:color w:val="FFFFFF"/>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9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公共场所</w:t>
            </w:r>
          </w:p>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卫生管理</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（40分）</w:t>
            </w: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实行公共场所卫生监督量化分级管理，规范开展卫生许可和卫生管理工作</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落实公共场所卫生监督量化分级管理制度，规范开展卫生许可和卫生管理工作，资料齐全且符合要求。</w:t>
            </w:r>
          </w:p>
        </w:tc>
        <w:tc>
          <w:tcPr>
            <w:tcW w:w="1350" w:type="dxa"/>
            <w:vMerge w:val="restart"/>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抽查（暗访）住宿业、游泳场馆、车站码头、商场超市、电影院等大中型公共场所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县卫健局</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pStyle w:val="2"/>
              <w:ind w:left="0" w:leftChars="0" w:firstLine="0" w:firstLineChars="0"/>
              <w:jc w:val="center"/>
              <w:rPr>
                <w:rFonts w:hint="eastAsia" w:ascii="仿宋" w:hAnsi="仿宋" w:eastAsia="仿宋" w:cs="仿宋"/>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公共场所落实卫生管理要求</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公共场所落实卫生管理要求，资料齐全且符合要求。</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公共场所达到基本卫生要求</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公共场所达到基本卫生要求，资料齐全且符合要求。</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公共场所从业人员管理规范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公共场所从业人员管理规范，资料齐全且符合要求。</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四小行业卫生许可和从业人员管理规范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四小行业卫生许可和从业人员管理规范，资料齐全且符合要求。</w:t>
            </w:r>
          </w:p>
        </w:tc>
        <w:tc>
          <w:tcPr>
            <w:tcW w:w="135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抽查（暗访）小旅馆、小美发美容店、小歌舞厅、小浴室</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各乡镇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四小行业基本设置、设施设备及操作流程符合要求</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8.0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基本设置、设施设备及操作流程齐全且符合要求。</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四小行业公共用品用具配备充足，规范进行更换、清洗、消毒、保洁</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8.0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公共用品用具配备及更换、清洗、消毒、保洁情况符合要求。</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四小行业卫生相关产品、公共用品用具、室内空气质量、水质符合有关标准规范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卫生相关产品、公共用品用具、室内空气质量、水质有关内容齐全且符合要求。</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美发店有皮肤病人专用工具，浴室有禁止性病、皮肤病患者入浴标识</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美发店有皮肤病人专用工具，浴室禁止性病、皮肤病患者入浴标识齐全且符合要求。</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1090" w:type="dxa"/>
            <w:vMerge w:val="restart"/>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学校卫生</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（12分）</w:t>
            </w: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近3年辖区内无重大学校食物中毒事件</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近3年辖区内无重大学校食物中毒事件。</w:t>
            </w:r>
          </w:p>
        </w:tc>
        <w:tc>
          <w:tcPr>
            <w:tcW w:w="135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抽查中小学校、幼儿园和托育机构</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县教育局</w:t>
            </w:r>
          </w:p>
          <w:p>
            <w:pPr>
              <w:pStyle w:val="2"/>
              <w:ind w:left="0" w:leftChars="0" w:firstLine="0" w:firstLineChars="0"/>
              <w:jc w:val="center"/>
              <w:rPr>
                <w:rFonts w:hint="default"/>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各学校</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default"/>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w:t>
            </w:r>
            <w:r>
              <w:rPr>
                <w:rFonts w:hint="eastAsia" w:ascii="仿宋_GB2312" w:hAnsi="宋体" w:eastAsia="仿宋_GB2312" w:cs="宋体"/>
                <w:color w:val="000000"/>
                <w:kern w:val="0"/>
                <w:sz w:val="20"/>
                <w:szCs w:val="20"/>
                <w:lang w:val="en-US" w:eastAsia="zh-CN"/>
              </w:rPr>
              <w:t xml:space="preserve"> </w:t>
            </w:r>
            <w:r>
              <w:rPr>
                <w:rFonts w:hint="eastAsia" w:ascii="仿宋_GB2312" w:hAnsi="宋体" w:eastAsia="仿宋_GB2312" w:cs="宋体"/>
                <w:color w:val="000000"/>
                <w:kern w:val="0"/>
                <w:sz w:val="20"/>
                <w:szCs w:val="20"/>
              </w:rPr>
              <w:t>学、生活等环境符合要求</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5.0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教学环境、生活环境有关内容符合要求。</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传染病、常见病（包括近视、肥胖等）防控措施落实到位</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5.0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落实传染病、常见病（包括近视、肥胖等）防控措施齐全且符合要求。</w:t>
            </w:r>
          </w:p>
        </w:tc>
        <w:tc>
          <w:tcPr>
            <w:tcW w:w="135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职业病防治</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（8分）</w:t>
            </w: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用人单位依法开展工作场所监测检测，健康体检，报告规范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5.0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组织开展健康体检及相关档案资料齐全且符合要求。</w:t>
            </w:r>
          </w:p>
        </w:tc>
        <w:tc>
          <w:tcPr>
            <w:tcW w:w="135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both"/>
              <w:textAlignment w:val="center"/>
              <w:rPr>
                <w:rFonts w:hint="default" w:ascii="仿宋" w:hAnsi="仿宋" w:eastAsia="仿宋" w:cs="仿宋"/>
                <w:color w:val="000000"/>
                <w:kern w:val="0"/>
                <w:sz w:val="20"/>
                <w:szCs w:val="20"/>
                <w:lang w:val="en-US"/>
              </w:rPr>
            </w:pPr>
            <w:r>
              <w:rPr>
                <w:rFonts w:hint="default" w:ascii="仿宋" w:hAnsi="仿宋" w:eastAsia="仿宋" w:cs="仿宋"/>
                <w:color w:val="000000"/>
                <w:kern w:val="0"/>
                <w:sz w:val="20"/>
                <w:szCs w:val="20"/>
                <w:lang w:val="en-US"/>
              </w:rPr>
              <w:t>抽查</w:t>
            </w:r>
            <w:r>
              <w:rPr>
                <w:rFonts w:hint="eastAsia" w:ascii="仿宋" w:hAnsi="仿宋" w:eastAsia="仿宋" w:cs="仿宋"/>
                <w:color w:val="000000"/>
                <w:kern w:val="0"/>
                <w:sz w:val="20"/>
                <w:szCs w:val="20"/>
                <w:lang w:val="en-US" w:eastAsia="zh-CN"/>
              </w:rPr>
              <w:t>用人</w:t>
            </w:r>
            <w:r>
              <w:rPr>
                <w:rFonts w:hint="default" w:ascii="仿宋" w:hAnsi="仿宋" w:eastAsia="仿宋" w:cs="仿宋"/>
                <w:color w:val="000000"/>
                <w:kern w:val="0"/>
                <w:sz w:val="20"/>
                <w:szCs w:val="20"/>
                <w:lang w:val="en-US"/>
              </w:rPr>
              <w:t>企业</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各企业</w:t>
            </w:r>
          </w:p>
          <w:p>
            <w:pPr>
              <w:pStyle w:val="2"/>
              <w:keepNext w:val="0"/>
              <w:keepLines w:val="0"/>
              <w:pageBreakBefore w:val="0"/>
              <w:kinsoku/>
              <w:wordWrap/>
              <w:overflowPunct/>
              <w:topLinePunct w:val="0"/>
              <w:autoSpaceDE/>
              <w:autoSpaceDN/>
              <w:bidi w:val="0"/>
              <w:adjustRightInd/>
              <w:spacing w:line="240" w:lineRule="exact"/>
              <w:ind w:left="0" w:leftChars="0" w:firstLine="0" w:firstLineChars="0"/>
              <w:jc w:val="center"/>
              <w:rPr>
                <w:rFonts w:hint="default"/>
                <w:lang w:val="en-US" w:eastAsia="zh-CN"/>
              </w:rPr>
            </w:pPr>
            <w:r>
              <w:rPr>
                <w:rFonts w:hint="eastAsia" w:ascii="仿宋" w:hAnsi="仿宋" w:eastAsia="仿宋" w:cs="仿宋"/>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职业病危害事故报告及处理及时规范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近3年辖区内未发生重大职业病危害事故。</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4895" w:type="dxa"/>
            <w:gridSpan w:val="2"/>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left"/>
              <w:rPr>
                <w:rFonts w:ascii="微软雅黑" w:hAnsi="微软雅黑" w:eastAsia="微软雅黑" w:cs="宋体"/>
                <w:b/>
                <w:bCs/>
                <w:color w:val="FFFFFF"/>
                <w:kern w:val="0"/>
                <w:sz w:val="18"/>
                <w:szCs w:val="18"/>
              </w:rPr>
            </w:pPr>
            <w:r>
              <w:rPr>
                <w:rFonts w:hint="eastAsia" w:ascii="微软雅黑" w:hAnsi="微软雅黑" w:eastAsia="微软雅黑" w:cs="宋体"/>
                <w:b/>
                <w:bCs/>
                <w:color w:val="FFFFFF"/>
                <w:kern w:val="0"/>
                <w:sz w:val="18"/>
                <w:szCs w:val="18"/>
              </w:rPr>
              <w:t>六、食品和生活饮用水安全</w:t>
            </w:r>
          </w:p>
        </w:tc>
        <w:tc>
          <w:tcPr>
            <w:tcW w:w="959" w:type="dxa"/>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30.0 </w:t>
            </w:r>
          </w:p>
        </w:tc>
        <w:tc>
          <w:tcPr>
            <w:tcW w:w="945" w:type="dxa"/>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微软雅黑" w:hAnsi="微软雅黑" w:eastAsia="微软雅黑" w:cs="宋体"/>
                <w:color w:val="FFFFFF"/>
                <w:kern w:val="0"/>
                <w:sz w:val="18"/>
                <w:szCs w:val="18"/>
              </w:rPr>
            </w:pPr>
            <w:r>
              <w:rPr>
                <w:rFonts w:hint="eastAsia" w:ascii="微软雅黑" w:hAnsi="微软雅黑" w:eastAsia="微软雅黑" w:cs="宋体"/>
                <w:color w:val="FFFFFF"/>
                <w:kern w:val="0"/>
                <w:sz w:val="18"/>
                <w:szCs w:val="18"/>
              </w:rPr>
              <w:t xml:space="preserve">40.0 </w:t>
            </w:r>
          </w:p>
        </w:tc>
        <w:tc>
          <w:tcPr>
            <w:tcW w:w="4350" w:type="dxa"/>
            <w:shd w:val="clear" w:color="auto" w:fill="4F81BD"/>
            <w:noWrap/>
            <w:vAlign w:val="center"/>
          </w:tcPr>
          <w:p>
            <w:pPr>
              <w:keepNext w:val="0"/>
              <w:keepLines w:val="0"/>
              <w:pageBreakBefore w:val="0"/>
              <w:kinsoku/>
              <w:wordWrap/>
              <w:overflowPunct/>
              <w:topLinePunct w:val="0"/>
              <w:autoSpaceDE/>
              <w:autoSpaceDN/>
              <w:bidi w:val="0"/>
              <w:adjustRightInd/>
              <w:spacing w:line="240" w:lineRule="exact"/>
              <w:jc w:val="left"/>
              <w:rPr>
                <w:rFonts w:hint="eastAsia" w:ascii="仿宋" w:hAnsi="仿宋" w:eastAsia="仿宋" w:cs="仿宋"/>
                <w:color w:val="FFFFFF"/>
                <w:kern w:val="0"/>
                <w:sz w:val="20"/>
                <w:szCs w:val="20"/>
              </w:rPr>
            </w:pPr>
          </w:p>
        </w:tc>
        <w:tc>
          <w:tcPr>
            <w:tcW w:w="1350" w:type="dxa"/>
            <w:shd w:val="clear" w:color="auto" w:fill="4F81BD"/>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FFFFFF"/>
                <w:kern w:val="0"/>
                <w:sz w:val="20"/>
                <w:szCs w:val="20"/>
              </w:rPr>
            </w:pPr>
          </w:p>
        </w:tc>
        <w:tc>
          <w:tcPr>
            <w:tcW w:w="1440" w:type="dxa"/>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color w:val="FFFFFF"/>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90" w:type="dxa"/>
            <w:vMerge w:val="restart"/>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工作机制建设</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（10分）</w:t>
            </w: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近3年辖区内未发生重大食品安全事故</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无重大食品安全事故。</w:t>
            </w:r>
          </w:p>
        </w:tc>
        <w:tc>
          <w:tcPr>
            <w:tcW w:w="1350" w:type="dxa"/>
            <w:vMerge w:val="restart"/>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县市场监管局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县市场监管局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800080"/>
                <w:kern w:val="0"/>
                <w:sz w:val="20"/>
                <w:szCs w:val="20"/>
                <w:lang w:val="en-US" w:eastAsia="zh-CN"/>
              </w:rPr>
            </w:pPr>
            <w:r>
              <w:rPr>
                <w:rFonts w:hint="eastAsia" w:ascii="仿宋" w:hAnsi="仿宋" w:eastAsia="仿宋" w:cs="仿宋"/>
                <w:color w:val="80008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食品安全管理规范</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两级市场监管部门能够按照计划全面的开展各项工作，每项工作总结及佐证资料齐全、前后工作及数据相一致。</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食品安全突发事件应急体系完善，制定预案并进行演练</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市、区两级政府或食安委颁发了食品安全突发事件应急预案，食品安全突发事件应急体系完善、有关部门职责清晰，应急响应及处置流程规范，每3年开展1次以上的应急演练，佐证材料全面。</w:t>
            </w:r>
          </w:p>
        </w:tc>
        <w:tc>
          <w:tcPr>
            <w:tcW w:w="1350" w:type="dxa"/>
            <w:vMerge w:val="continue"/>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trPr>
        <w:tc>
          <w:tcPr>
            <w:tcW w:w="109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lang w:eastAsia="zh-CN"/>
              </w:rPr>
            </w:pPr>
            <w:r>
              <w:rPr>
                <w:rFonts w:ascii="宋体" w:hAnsi="宋体" w:cs="宋体"/>
                <w:color w:val="000000"/>
                <w:kern w:val="0"/>
                <w:sz w:val="20"/>
              </w:rPr>
              <w:t>食品生产经营</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ascii="宋体" w:hAnsi="宋体" w:cs="宋体"/>
                <w:color w:val="000000"/>
                <w:kern w:val="0"/>
                <w:sz w:val="20"/>
              </w:rPr>
              <w:t>（44分）</w:t>
            </w: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依法经营、风险分级管理，管理制度等公示规范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公示位置醒目、公示要件全面有效、公示内容规范。</w:t>
            </w:r>
          </w:p>
        </w:tc>
        <w:tc>
          <w:tcPr>
            <w:tcW w:w="1350"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抽查（暗访）食品生产单位、大中型餐馆、食品超市</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县市场监管局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从业人员管理规范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食品从业人员个人卫生和着装较规范，公示或佩戴本人健康体检合格证。</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18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18"/>
                <w:szCs w:val="18"/>
              </w:rPr>
              <w:t>生产经营场所布局规范，符合卫生管理要求</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生产经营场所布局合理，周边安全范围内无污染源。</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推行明厨亮灶</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采用透明或视频等方式，能清晰看到规定的加工操作过程，加工场所内环境整洁。</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倡导公筷公勺</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就餐场所内有倡导使用“公勺公筷”宣传，设有“公勺、公筷”自取处，“公勺、公筷”清洁密闭存放。</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制止餐饮浪费</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就餐场所有“光盘行动”等制止餐饮浪费的宣传，菜单中50%以上的菜品有半份（或小份）的明码标价。</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无贩卖、制售、食用野生动物现象</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有禁售、禁食野生动物宣传，无野生动物交易。</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食品采购索证索票和登记台账制度落实</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食品及原辅料索证、索票档案保管比较规范，现场随机抽取的食品及原辅料均能够溯源。</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18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18"/>
                <w:szCs w:val="18"/>
              </w:rPr>
              <w:t>设备齐全，食品加工、转运流程等管理规范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食品生产经营设备满足工艺需求、运行良好，无生熟食品交叉污染和食品接触有毒物或不洁物现象。</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消毒设施齐全、操作规范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餐饮具清洗、消毒和保洁规范，无餐饮具暴露存放现象；一次性或集中消毒餐饮贮存及使用规范。</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环境整洁，无卫生死角</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内外环境地面、立面、顶棚清洁；设备、设施及物品清洁，设置规整，无卫生死角。</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三小行业公示、基本设施规范，有独立上下水</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设备设施基本齐，表面清洁；有独立上下水。</w:t>
            </w:r>
          </w:p>
        </w:tc>
        <w:tc>
          <w:tcPr>
            <w:tcW w:w="1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暗访食品三小行业</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县市场监管局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三小行业环境整洁，符合行业标准要求，“三防”设施落实</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内外环境及设施比较清洁规整，防蝇、防鼠、防污染设置较完善，销售的散装及散装直接入口食品时，标识及防护措施符合规定要求。</w:t>
            </w:r>
          </w:p>
        </w:tc>
        <w:tc>
          <w:tcPr>
            <w:tcW w:w="1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暗访食品三小行业</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县市场监管局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食品摊贩管理规范，原辅材料安全卫生可溯源</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食品摊贩规范经营；食品设施基本齐全，内外环境卫生较清洁，原辅材料符合安全卫生要求。</w:t>
            </w:r>
          </w:p>
        </w:tc>
        <w:tc>
          <w:tcPr>
            <w:tcW w:w="135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暗访食品摊贩</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县市场监管局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食品摊贩卫生良好，有防污染设施</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食品摊贩个人卫生良好，按要求着装；设备设施清洁卫生；有较完善食品安全防护措施。</w:t>
            </w:r>
          </w:p>
        </w:tc>
        <w:tc>
          <w:tcPr>
            <w:tcW w:w="135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090" w:type="dxa"/>
            <w:vMerge w:val="restart"/>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生活饮用水卫生</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（16分）</w:t>
            </w: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近3年辖区内无重大饮用水安全事故</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近3年辖区内无重大饮用水安全事故。</w:t>
            </w:r>
          </w:p>
        </w:tc>
        <w:tc>
          <w:tcPr>
            <w:tcW w:w="1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住建部门</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县住建局</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default"/>
                <w:lang w:val="en-US" w:eastAsia="zh-CN"/>
              </w:rPr>
            </w:pPr>
            <w:r>
              <w:rPr>
                <w:rFonts w:hint="eastAsia" w:ascii="仿宋" w:hAnsi="仿宋" w:eastAsia="仿宋" w:cs="仿宋"/>
                <w:color w:val="000000"/>
                <w:kern w:val="0"/>
                <w:sz w:val="20"/>
                <w:szCs w:val="20"/>
                <w:lang w:val="en-US" w:eastAsia="zh-CN"/>
              </w:rPr>
              <w:t>县卫健局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卫生管理规范</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本地区有关部门生活饮用水卫生管理工作规范，资料齐全且符合要求。</w:t>
            </w:r>
          </w:p>
        </w:tc>
        <w:tc>
          <w:tcPr>
            <w:tcW w:w="1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住建部门</w:t>
            </w: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eastAsia="zh-CN"/>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饮用水安全突发事件应急体系完善，制定预案并进行演练</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本地区饮用水安全突发事件应急体系完善，制定预案并进行演练，符合要求。</w:t>
            </w:r>
          </w:p>
        </w:tc>
        <w:tc>
          <w:tcPr>
            <w:tcW w:w="1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各水厂</w:t>
            </w: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集中供水单位管理规范，水厂化验室设置、操作规范</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集中供水单位卫生管理档案资料齐全，卫生管理符合要求。</w:t>
            </w:r>
          </w:p>
        </w:tc>
        <w:tc>
          <w:tcPr>
            <w:tcW w:w="1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各水厂</w:t>
            </w: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二次供水专人管理，安全、清洗消毒措施落实</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二次供水单位卫生管理档案资料齐全，卫生管理符合要求。</w:t>
            </w:r>
          </w:p>
        </w:tc>
        <w:tc>
          <w:tcPr>
            <w:tcW w:w="1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二次供水单位</w:t>
            </w: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80008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小区直饮水设施安全，管理规范，原水和出水水质符合要求</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小区直饮水设施设置、信息公示、卫生管理及水质检测符合要求。</w:t>
            </w:r>
          </w:p>
        </w:tc>
        <w:tc>
          <w:tcPr>
            <w:tcW w:w="1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暗访小区直饮水</w:t>
            </w: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895" w:type="dxa"/>
            <w:gridSpan w:val="2"/>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left"/>
              <w:rPr>
                <w:rFonts w:ascii="微软雅黑" w:hAnsi="微软雅黑" w:eastAsia="微软雅黑" w:cs="宋体"/>
                <w:b/>
                <w:bCs/>
                <w:color w:val="FFFFCC"/>
                <w:kern w:val="0"/>
                <w:sz w:val="18"/>
                <w:szCs w:val="18"/>
              </w:rPr>
            </w:pPr>
            <w:r>
              <w:rPr>
                <w:rFonts w:hint="eastAsia" w:ascii="微软雅黑" w:hAnsi="微软雅黑" w:eastAsia="微软雅黑" w:cs="宋体"/>
                <w:b/>
                <w:bCs/>
                <w:color w:val="FFFFCC"/>
                <w:kern w:val="0"/>
                <w:sz w:val="18"/>
                <w:szCs w:val="18"/>
              </w:rPr>
              <w:t>七、疾病防控与医疗卫生服务</w:t>
            </w:r>
          </w:p>
        </w:tc>
        <w:tc>
          <w:tcPr>
            <w:tcW w:w="959" w:type="dxa"/>
            <w:shd w:val="clear" w:color="auto" w:fill="4F81BD"/>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微软雅黑" w:hAnsi="微软雅黑" w:eastAsia="微软雅黑" w:cs="宋体"/>
                <w:color w:val="FFFFCC"/>
                <w:kern w:val="0"/>
                <w:sz w:val="18"/>
                <w:szCs w:val="18"/>
              </w:rPr>
            </w:pPr>
            <w:r>
              <w:rPr>
                <w:rFonts w:hint="eastAsia" w:ascii="微软雅黑" w:hAnsi="微软雅黑" w:eastAsia="微软雅黑" w:cs="宋体"/>
                <w:color w:val="FFFFCC"/>
                <w:kern w:val="0"/>
                <w:sz w:val="18"/>
                <w:szCs w:val="18"/>
              </w:rPr>
              <w:t xml:space="preserve">59.0 </w:t>
            </w:r>
          </w:p>
        </w:tc>
        <w:tc>
          <w:tcPr>
            <w:tcW w:w="945"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微软雅黑" w:hAnsi="微软雅黑" w:eastAsia="微软雅黑" w:cs="宋体"/>
                <w:color w:val="FFFFCC"/>
                <w:kern w:val="0"/>
                <w:sz w:val="18"/>
                <w:szCs w:val="18"/>
              </w:rPr>
            </w:pPr>
            <w:r>
              <w:rPr>
                <w:rFonts w:hint="eastAsia" w:ascii="微软雅黑" w:hAnsi="微软雅黑" w:eastAsia="微软雅黑" w:cs="宋体"/>
                <w:color w:val="FFFFCC"/>
                <w:kern w:val="0"/>
                <w:sz w:val="18"/>
                <w:szCs w:val="18"/>
              </w:rPr>
              <w:t xml:space="preserve">61.0 </w:t>
            </w:r>
          </w:p>
        </w:tc>
        <w:tc>
          <w:tcPr>
            <w:tcW w:w="4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color w:val="FFFFCC"/>
                <w:kern w:val="0"/>
                <w:sz w:val="20"/>
                <w:szCs w:val="20"/>
              </w:rPr>
            </w:pPr>
          </w:p>
        </w:tc>
        <w:tc>
          <w:tcPr>
            <w:tcW w:w="1350" w:type="dxa"/>
            <w:shd w:val="clear" w:color="auto" w:fill="4F81BD"/>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FFFFCC"/>
                <w:kern w:val="0"/>
                <w:sz w:val="20"/>
                <w:szCs w:val="20"/>
              </w:rPr>
            </w:pPr>
          </w:p>
        </w:tc>
        <w:tc>
          <w:tcPr>
            <w:tcW w:w="1440" w:type="dxa"/>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FFFFCC"/>
                <w:kern w:val="0"/>
                <w:sz w:val="20"/>
                <w:szCs w:val="20"/>
              </w:rPr>
            </w:pPr>
          </w:p>
        </w:tc>
        <w:tc>
          <w:tcPr>
            <w:tcW w:w="1440" w:type="dxa"/>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color w:val="FFFFCC"/>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09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传染病防控</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（21分）</w:t>
            </w: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建立重大突发新发传染病联防联控机制，有防控方案和应急处置预案，培训和演练落实</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1.重大突发新发传染病防联控机制健全、责任明确。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2.有防控方案和应急处置预案。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3.定期开展培训。</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4.过去1年组织开展过演练。</w:t>
            </w:r>
          </w:p>
        </w:tc>
        <w:tc>
          <w:tcPr>
            <w:tcW w:w="1350" w:type="dxa"/>
            <w:vMerge w:val="restart"/>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检查县卫健局、县疾控中心、综合医院</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vMerge w:val="restart"/>
            <w:shd w:val="clear" w:color="auto" w:fill="FFFFFF"/>
            <w:noWrap/>
            <w:vAlign w:val="center"/>
          </w:tcPr>
          <w:p>
            <w:pPr>
              <w:pStyle w:val="2"/>
              <w:ind w:left="0" w:leftChars="0" w:firstLine="0" w:firstLineChars="0"/>
              <w:jc w:val="center"/>
              <w:rPr>
                <w:rFonts w:hint="default"/>
                <w:lang w:val="en-US" w:eastAsia="zh-CN"/>
              </w:rPr>
            </w:pPr>
            <w:r>
              <w:rPr>
                <w:rFonts w:hint="eastAsia"/>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重大传染病应急处置的人员设施设备和物资储备</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1.有应急处置队伍，人员专业结构合理。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2.疾控中心有专职工作人员。</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3.有应急处置设施、设备，功能满足应急处置要求，且运行良好。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4.应急储备物资及功能能满足处置要求，无过期或失效情况。</w:t>
            </w:r>
          </w:p>
        </w:tc>
        <w:tc>
          <w:tcPr>
            <w:tcW w:w="135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落实传染病防控“四早”和“四有”要求</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1.“四早”要求落实到位，局部有传染病疫情时，能采取措施及时控制。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2.“四方责任”清晰明确，防控措施落到实处。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3.机关、企事业单位“五有”绝大多数落实。</w:t>
            </w:r>
          </w:p>
        </w:tc>
        <w:tc>
          <w:tcPr>
            <w:tcW w:w="1350" w:type="dxa"/>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县卫健局、县疾控中心、综合医院，抽查机关、企事业单位</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近3年辖区内未发生重大实验室生物安全事故</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近3年辖区内未发生重大实验室生物安全事故。</w:t>
            </w:r>
          </w:p>
        </w:tc>
        <w:tc>
          <w:tcPr>
            <w:tcW w:w="1350" w:type="dxa"/>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病原微生物实验室依法取得批准或备案</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1.病原微生物实验室依法取得批准或者进行备案。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2.病原微生物实验室符合生物安全国家标准和要求。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3.病原微生物实验室对病原微生物实行分类管理。</w:t>
            </w:r>
          </w:p>
        </w:tc>
        <w:tc>
          <w:tcPr>
            <w:tcW w:w="1350" w:type="dxa"/>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县疾控中心</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医疗机构有传染病管理部门和人员；二级以上综合医院设公共卫生科和感染性疾病科；制度齐全，管理规范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1.二级以上综合医院设公共卫生科或疾病控制科(处)和感染性疾病科，其他医院设立传染病预检分诊点。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2.有健全的院内感染控制制度、疫情登记和报告制度，门诊日志齐全。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3.医疗机构按规定开展传染病诊疗服务，规范开展传染病疫情报告、信息登记等工作。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4.医院感染有关的危险因素监测、安全防护、消毒、隔离和医疗废物处置工作规范开展。</w:t>
            </w:r>
          </w:p>
        </w:tc>
        <w:tc>
          <w:tcPr>
            <w:tcW w:w="1350" w:type="dxa"/>
            <w:vMerge w:val="restart"/>
            <w:shd w:val="clear" w:color="auto" w:fill="FFFFFF"/>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抽查（暗访）综合医院</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县卫健局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各乡镇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发热门诊、肠道门诊、预检分诊设置规范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1.发热门诊、肠道门诊、预检分诊设置规范、标识明显、有医护人员值守。</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2.配置满足诊疗、抢救、检验、消毒、办公等需求的设施设备。</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3.应为独立建筑或独立区域设置，原则上与其他建筑、公共场所保持一定距离；非独立设置应与普通门急诊等区域有实际物理隔离屏障，具有独立出入口。</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4.医院入口、门诊大厅有醒目发热门诊、肠道门诊导引标识，且院区内导引标识明显。</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5.发热门诊、肠道门诊应当满足“三区两通道”设置要求。</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restart"/>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lang w:eastAsia="zh-CN"/>
              </w:rPr>
            </w:pPr>
            <w:r>
              <w:rPr>
                <w:rFonts w:ascii="宋体" w:hAnsi="宋体" w:cs="宋体"/>
                <w:color w:val="000000"/>
                <w:kern w:val="0"/>
                <w:sz w:val="20"/>
              </w:rPr>
              <w:t>健康服务</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ascii="宋体" w:hAnsi="宋体" w:cs="宋体"/>
                <w:color w:val="000000"/>
                <w:kern w:val="0"/>
                <w:sz w:val="20"/>
              </w:rPr>
              <w:t>（23分）</w:t>
            </w: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慢性病防治规划、措施落实，基层慢性病服务建设到位</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6.0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1.老年人、高血压患者、糖尿病患者健康管理等基本公共卫生服务规范。</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2.开展慢性病综合防控示范区创建及全民健康生活方式行动、重点癌症早诊早治、心脑血管疾病筛查干预等综合防治猎施。</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3.定期开展基层医疗机构常见慢性病的工作培训，提升早期发现、规范化诊疗和治疗能力。</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4.依托医联体建设、全民健康信息化建设等，落实分级诊疗服务。</w:t>
            </w:r>
          </w:p>
        </w:tc>
        <w:tc>
          <w:tcPr>
            <w:tcW w:w="135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w:t>
            </w:r>
            <w:r>
              <w:rPr>
                <w:rFonts w:hint="eastAsia" w:ascii="仿宋" w:hAnsi="仿宋" w:eastAsia="仿宋" w:cs="仿宋"/>
                <w:color w:val="000000"/>
                <w:kern w:val="0"/>
                <w:sz w:val="20"/>
                <w:szCs w:val="20"/>
              </w:rPr>
              <w:t>卫</w:t>
            </w:r>
            <w:r>
              <w:rPr>
                <w:rFonts w:hint="eastAsia" w:ascii="仿宋" w:hAnsi="仿宋" w:eastAsia="仿宋" w:cs="仿宋"/>
                <w:color w:val="000000"/>
                <w:kern w:val="0"/>
                <w:sz w:val="20"/>
                <w:szCs w:val="20"/>
                <w:lang w:val="en-US" w:eastAsia="zh-CN"/>
              </w:rPr>
              <w:t>健局</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县</w:t>
            </w:r>
            <w:r>
              <w:rPr>
                <w:rFonts w:hint="eastAsia" w:ascii="仿宋" w:hAnsi="仿宋" w:eastAsia="仿宋" w:cs="仿宋"/>
                <w:color w:val="000000"/>
                <w:kern w:val="0"/>
                <w:sz w:val="20"/>
                <w:szCs w:val="20"/>
              </w:rPr>
              <w:t>疾控中心，抽查（暗访）社区卫生服务中心、医院</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接种门诊制度上墙，程序清晰，设置、流程规范</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1.具有医疗机构执业许可证件，原则上应设在政府举办的各级各类医疗卫生机构内。</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2.接种门诊设置、流程规范，储运冷藏设施、设备及冷藏保管制度规范。</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3.从业医师、护士或者乡村医生需经县级及以上卫生健康主管部门组织的预防接种专业培训并考核合格。</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4.门诊预检登记区、候种区、接种区、留观区、应急处置室，以及冷链区和资料管理区分隔清晰，且导示牌醒目。</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5.接种流程、免疫规划疫苗品种、免疫程序、接种方法，第二类疫苗疫苗价格、预防接种服务价格等公示醒目。</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接种卡、簿、证记录及查漏补种等工作管理规范</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1.儿童出生后一个月内办理预防接种证。</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2.接种信息记录完整，可追溯、可查询。</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3.接种记录保存至疫苗有效期满后不少于五年备查。</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4.预防接种实行居住地管理，接种机构按规定为流动儿童提供疫苗接种服务。</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5.儿童入托、入学时当查验预防接种证，开展查漏补种。</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18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18"/>
                <w:szCs w:val="18"/>
              </w:rPr>
              <w:t>落实母婴安全五项制度，妇幼业务开展到位</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FF0000"/>
                <w:kern w:val="0"/>
                <w:sz w:val="20"/>
                <w:szCs w:val="20"/>
              </w:rPr>
            </w:pPr>
            <w:r>
              <w:rPr>
                <w:rFonts w:hint="eastAsia" w:ascii="宋体" w:hAnsi="宋体" w:cs="宋体"/>
                <w:color w:val="FF0000"/>
                <w:kern w:val="0"/>
                <w:sz w:val="20"/>
                <w:szCs w:val="20"/>
              </w:rPr>
              <w:t xml:space="preserve">3.0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1.母婴安全五项制度落实到位。</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2.开展助产服务的医疗机构设立产科接种室，承担本医院出生新生儿乙肝疫苗24小时内首针及卡介苗的接种工作。</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3.0-6岁儿童健康管理、孕产妇健康管理基本公共卫生服务工作规范。</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开展医养结合服务</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1.提供居家医疗服务，增强社区医养结合服务能力。</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2.医疗卫生机构开展医养结合服务，提升养老机构医养结合服务能力。</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3.发挥信息化作用，优化服务街接，实行医疗养老资源共享。</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4.从价格、保险、土地资源、财税优惠等方面给予政策支持。</w:t>
            </w:r>
          </w:p>
        </w:tc>
        <w:tc>
          <w:tcPr>
            <w:tcW w:w="135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县卫健局，抽查社区卫生服务中心、医养结合服务机构</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严重精神障碍患者管理规范，二级以上综合医院及精神专科医院开设心理门诊</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FF0000"/>
                <w:kern w:val="0"/>
                <w:sz w:val="20"/>
                <w:szCs w:val="20"/>
              </w:rPr>
            </w:pPr>
            <w:r>
              <w:rPr>
                <w:rFonts w:hint="eastAsia" w:ascii="宋体" w:hAnsi="宋体" w:cs="宋体"/>
                <w:color w:val="FF0000"/>
                <w:kern w:val="0"/>
                <w:sz w:val="20"/>
                <w:szCs w:val="20"/>
              </w:rPr>
              <w:t xml:space="preserve">3.0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1.严重精神障碍患者管理规范。</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2.二级以上综合医院及精神专科医院开设心理门诊，配置精神卫生专业执业医师，并定期开诊。</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3.心理门诊应包括候诊区、接诊区、心理测量区、心理治疗区等基本功能区域。</w:t>
            </w:r>
          </w:p>
        </w:tc>
        <w:tc>
          <w:tcPr>
            <w:tcW w:w="135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抽查社区卫生服务中心、综合医院及精神专科医院</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有重大事件心理应急预案，培训、演练、监测预警和救助工作落实</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1.有重大事件心理应急预案。</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2.定期开展心理应急应对培训。</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3.过去一年开展过心理应急应对演练。</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4.建立重大事件心理问题监测预警机制，救助工作落实。</w:t>
            </w:r>
          </w:p>
        </w:tc>
        <w:tc>
          <w:tcPr>
            <w:tcW w:w="1350" w:type="dxa"/>
            <w:shd w:val="clear" w:color="auto" w:fill="DAEEF3"/>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卫健局、精神专科医院</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医疗卫生</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（26分）</w:t>
            </w: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医疗卫生服务体系健全，医疗机构建设符合要求、管理规范</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1.辖区内建成体系完整、分工明确、功能互补、密切协作、运行高效的医疗卫生服务体系。</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2.辖区内医疗卫生服务机构建设符合相关标准规范。</w:t>
            </w:r>
          </w:p>
        </w:tc>
        <w:tc>
          <w:tcPr>
            <w:tcW w:w="1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县卫健局、医疗机构</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15分钟基本医疗卫生服务圈</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1.基本医疗卫生资源按常住人口和服务半径合理布局，初步形成15分钟基本医疗卫生服务圈。</w:t>
            </w:r>
          </w:p>
        </w:tc>
        <w:tc>
          <w:tcPr>
            <w:tcW w:w="1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暗访社区卫生服务中心</w:t>
            </w: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交通枢纽、重点场所配置自动体外心脏除颤仪（AED），标识清楚</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1.综合利用线上线下资源，对城市医疗卫生服务资源情况进行评估。</w:t>
            </w:r>
          </w:p>
        </w:tc>
        <w:tc>
          <w:tcPr>
            <w:tcW w:w="1350" w:type="dxa"/>
            <w:shd w:val="clear" w:color="auto" w:fill="FFFFFF"/>
            <w:noWrap/>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iCs w:val="0"/>
                <w:color w:val="000000"/>
                <w:kern w:val="0"/>
                <w:sz w:val="20"/>
                <w:szCs w:val="20"/>
                <w:u w:val="none"/>
                <w:lang w:val="en-US" w:eastAsia="zh-CN" w:bidi="ar"/>
              </w:rPr>
              <w:t>县卫健局，暗访交通枢纽、重点场所</w:t>
            </w: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定期开展急救知识与技能培训</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1.面向公众开展心肺复苏等急救知识和技术培训。</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2.定期对公安、消防、安保、交通和教育等重点行业人群开展急救知识与技能培训。</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3.通过官方网站、微博、微信和电视广播等媒体平台广泛宣传急救知识和基本技能。</w:t>
            </w:r>
          </w:p>
        </w:tc>
        <w:tc>
          <w:tcPr>
            <w:tcW w:w="1350" w:type="dxa"/>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红十字会</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医疗机构</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红十字会</w:t>
            </w:r>
          </w:p>
          <w:p>
            <w:pPr>
              <w:pStyle w:val="2"/>
              <w:ind w:left="0" w:leftChars="0" w:firstLine="0" w:firstLineChars="0"/>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各医院</w:t>
            </w:r>
          </w:p>
          <w:p>
            <w:pPr>
              <w:pStyle w:val="2"/>
              <w:ind w:left="0" w:leftChars="0" w:firstLine="0" w:firstLineChars="0"/>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医疗机构投诉接待制度落实到位，二级及以上医院设置警务或治安室，标识明显、有人值守</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1.落实医疗机构投诉接待制度，投诉接待处标识醒目、有人值守，电话、网络等投诉途径畅通。</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2.公安机关在三级医院和有条件的二级医院设立警务室，能满足工作需求，且警务室有人全日值守。</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3.尚不具备条件的二级医院周边有治安岗亭(巡逻必到点)。</w:t>
            </w:r>
          </w:p>
        </w:tc>
        <w:tc>
          <w:tcPr>
            <w:tcW w:w="1350" w:type="dxa"/>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暗访医疗机构</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近3年辖区内无重特大刑事伤医案件</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近3年辖区内无重特大刑事伤医案件。</w:t>
            </w:r>
          </w:p>
        </w:tc>
        <w:tc>
          <w:tcPr>
            <w:tcW w:w="1350" w:type="dxa"/>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建立血液库存动态预警机制，临床用血来自于无偿献血</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1.采取多种方式有效保证临床用血100%来自无偿献血。</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2.献血大厅、流动献血车与血库管理到位。</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3.义务献血的登记、检验、储存、调配等工作规范。</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4.重大疫情、重大自然灾害、临床急救等重点情况用血应急机制到位。</w:t>
            </w:r>
          </w:p>
        </w:tc>
        <w:tc>
          <w:tcPr>
            <w:tcW w:w="1350" w:type="dxa"/>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各医疗机构</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县卫健局</w:t>
            </w: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非法行医、非法采供血和非法医疗广告的监管工作落实</w:t>
            </w:r>
          </w:p>
        </w:tc>
        <w:tc>
          <w:tcPr>
            <w:tcW w:w="959" w:type="dxa"/>
            <w:shd w:val="clear" w:color="auto" w:fill="auto"/>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未疗广见非法行医、未见非法采供血、未见非法医告。</w:t>
            </w:r>
          </w:p>
        </w:tc>
        <w:tc>
          <w:tcPr>
            <w:tcW w:w="1350" w:type="dxa"/>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各医疗机构</w:t>
            </w:r>
          </w:p>
        </w:tc>
        <w:tc>
          <w:tcPr>
            <w:tcW w:w="1440" w:type="dxa"/>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90" w:type="dxa"/>
            <w:vMerge w:val="restart"/>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病媒生物</w:t>
            </w:r>
          </w:p>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监测与评估</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（14分）</w:t>
            </w: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开展病媒控制评估，每年统一防制活动不少于两次</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1.开展病媒生物密度控制情况调查。</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2.开展密度控制水平评估。</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3.每年统一防制活动不少于两次。</w:t>
            </w:r>
          </w:p>
        </w:tc>
        <w:tc>
          <w:tcPr>
            <w:tcW w:w="135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县域范围</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rPr>
            </w:pP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vMerge w:val="restart"/>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有居民虫情报告和防制咨询渠道，及时反馈群众意见</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建有畅通的虫情报告和防制咨询渠道，及时反馈群众意见。</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开展蚊蝇孳生地调查，并建立台账</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1.制定调查方案。</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2.开展蚊虫孳生地调查。</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3.开展蝇类孽生地调查。</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4.调查频次（长江以南≥2/年，长江以北≥1次/年）。</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5.建立孳生地台账。</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重点行业及重点场所病媒生物侵害调查</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1.定期（≥1次/年）开展重点场所病媒侵害调查，掌握侵害状况，调查结果及时通报相关单位。</w:t>
            </w:r>
          </w:p>
        </w:tc>
        <w:tc>
          <w:tcPr>
            <w:tcW w:w="135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DAEEF3"/>
            <w:noWrap w:val="0"/>
            <w:vAlign w:val="center"/>
          </w:tcPr>
          <w:p>
            <w:pPr>
              <w:keepNext w:val="0"/>
              <w:keepLines w:val="0"/>
              <w:pageBreakBefore w:val="0"/>
              <w:widowControl/>
              <w:kinsoku/>
              <w:wordWrap/>
              <w:overflowPunct/>
              <w:topLinePunct w:val="0"/>
              <w:autoSpaceDE/>
              <w:autoSpaceDN/>
              <w:bidi w:val="0"/>
              <w:adjustRightInd/>
              <w:spacing w:line="240" w:lineRule="exact"/>
              <w:ind w:firstLine="18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18"/>
                <w:szCs w:val="18"/>
              </w:rPr>
              <w:t>蚊、蝇、鼠、蟑螂等密度监测和抗药性检测</w:t>
            </w:r>
          </w:p>
        </w:tc>
        <w:tc>
          <w:tcPr>
            <w:tcW w:w="959"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3.0 </w:t>
            </w:r>
          </w:p>
        </w:tc>
        <w:tc>
          <w:tcPr>
            <w:tcW w:w="945" w:type="dxa"/>
            <w:shd w:val="clear" w:color="auto" w:fill="DAEEF3"/>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4350" w:type="dxa"/>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1.开展蚊、蝇、鼠、蟑等密度监测（时间和频次应根据当地实际情况确定，原则上不少于6次/年，南方应适当增加监测次数）。</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2.开展抗药性监测。</w:t>
            </w:r>
          </w:p>
        </w:tc>
        <w:tc>
          <w:tcPr>
            <w:tcW w:w="1350" w:type="dxa"/>
            <w:vMerge w:val="continue"/>
            <w:shd w:val="clear" w:color="auto" w:fill="DAEEF3"/>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DAEEF3"/>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trPr>
        <w:tc>
          <w:tcPr>
            <w:tcW w:w="1090"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病媒生物控制</w:t>
            </w:r>
          </w:p>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（36分）</w:t>
            </w: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18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18"/>
                <w:szCs w:val="18"/>
              </w:rPr>
              <w:t>灭鼠毒饵站布放合理，用药规范，方法科学</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1.计划、方案科学，有总结。</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2.绝大多数（&gt;90%）毒饵站有警示标识、布放合理、重点场所有毒饵站绝大多数（&gt;90%)长度符合要求，无鼠药外溢或偶见。</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3.用药规范，未使用国家禁用、无证和私自混配的药剂，未见过度用药。</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4.防制方法科学，不合理现象未见或偶见。</w:t>
            </w:r>
          </w:p>
        </w:tc>
        <w:tc>
          <w:tcPr>
            <w:tcW w:w="135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县域范围</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rPr>
            </w:pP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县爱卫办</w:t>
            </w:r>
          </w:p>
        </w:tc>
        <w:tc>
          <w:tcPr>
            <w:tcW w:w="1440" w:type="dxa"/>
            <w:shd w:val="clear" w:color="auto" w:fill="FFFFFF"/>
            <w:noWrap/>
            <w:vAlign w:val="center"/>
          </w:tcPr>
          <w:p>
            <w:pPr>
              <w:keepNext w:val="0"/>
              <w:keepLines w:val="0"/>
              <w:widowControl/>
              <w:suppressLineNumbers w:val="0"/>
              <w:jc w:val="center"/>
              <w:textAlignment w:val="center"/>
              <w:rPr>
                <w:rFonts w:hint="default" w:ascii="仿宋" w:hAnsi="仿宋" w:eastAsia="仿宋" w:cs="仿宋"/>
                <w:color w:val="000000"/>
                <w:kern w:val="0"/>
                <w:sz w:val="20"/>
                <w:szCs w:val="20"/>
                <w:lang w:val="en-US"/>
              </w:rPr>
            </w:pPr>
            <w:r>
              <w:rPr>
                <w:rFonts w:hint="eastAsia" w:ascii="仿宋" w:hAnsi="仿宋" w:eastAsia="仿宋" w:cs="仿宋"/>
                <w:i w:val="0"/>
                <w:iCs w:val="0"/>
                <w:color w:val="000000"/>
                <w:kern w:val="0"/>
                <w:sz w:val="20"/>
                <w:szCs w:val="20"/>
                <w:u w:val="none"/>
                <w:lang w:val="en-US" w:eastAsia="zh-CN" w:bidi="ar"/>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小型积水、大中型水体等蚊虫孳生地治理</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1.大中型水体和小型积水治理、清理较好，翻瓶倒罐工作到位；检查中发现阳性积水≤4处/天。</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县水利局</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生活垃圾、垃圾容器等苍蝇孳生地治理</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1.垃圾中转站、垃圾桶、厕所等管理到位。</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2.散在生活垃圾、宠物粪便等清理彻底。</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3.绝大多数楼栋垃圾通道封闭。</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4.检查中蝇类孳生物偶见，发现蝇类阳性孳生地≤2处/天。</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县城管执法局</w:t>
            </w: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食品行业和单位防蝇设施  </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1.绝大多数重点场所（&gt;90%）防蝇设施合格。</w:t>
            </w:r>
          </w:p>
        </w:tc>
        <w:tc>
          <w:tcPr>
            <w:tcW w:w="135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县域范围</w:t>
            </w:r>
          </w:p>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县市场监管局</w:t>
            </w: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重点行业和单位防鼠设施</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1.绝大多数（&gt;90%）餐饮店、熟食店、食堂、宾馆饭店后厨、食品加工场所等重点场所防鼠设施合格，鼠类不能进入室内。</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县市场监管局</w:t>
            </w: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鼠类密度控制情况   </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1.平均检查1天，外环境发现鼠迹&lt;5处。</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2.室内鼠迹&lt;3处。</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3.且未见活鼠。</w:t>
            </w:r>
          </w:p>
        </w:tc>
        <w:tc>
          <w:tcPr>
            <w:tcW w:w="1350" w:type="dxa"/>
            <w:vMerge w:val="restart"/>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县域范围</w:t>
            </w:r>
          </w:p>
        </w:tc>
        <w:tc>
          <w:tcPr>
            <w:tcW w:w="1440" w:type="dxa"/>
            <w:vMerge w:val="restar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县卫健局</w:t>
            </w: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蝇类密度控制情况  </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1.冷荤间、食品店、熟食摊点等加工、销售直接入口食品场所，未见蝇类。</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2.绝大多数（&gt;90%）餐饮、食堂、食品销售区等重点场所未见苍蝇。</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3.外环境个别区域有蝇，且数量较少。</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蚊虫密度控制情况     </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1.检查期间检查人员被叮咬次数&lt;2次/天.人，（或蚊虫停落指数平均≤2)。</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2.绝大多数（&gt;90%）当地居民对蚊虫叮咬（密度）情况反映是正面的。</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9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rPr>
                <w:rFonts w:ascii="宋体" w:hAnsi="宋体" w:cs="宋体"/>
                <w:color w:val="000000"/>
                <w:kern w:val="0"/>
                <w:sz w:val="20"/>
                <w:szCs w:val="20"/>
              </w:rPr>
            </w:pPr>
          </w:p>
        </w:tc>
        <w:tc>
          <w:tcPr>
            <w:tcW w:w="3805" w:type="dxa"/>
            <w:shd w:val="clear" w:color="auto" w:fill="FFFFFF"/>
            <w:noWrap w:val="0"/>
            <w:vAlign w:val="center"/>
          </w:tcPr>
          <w:p>
            <w:pPr>
              <w:keepNext w:val="0"/>
              <w:keepLines w:val="0"/>
              <w:pageBreakBefore w:val="0"/>
              <w:widowControl/>
              <w:kinsoku/>
              <w:wordWrap/>
              <w:overflowPunct/>
              <w:topLinePunct w:val="0"/>
              <w:autoSpaceDE/>
              <w:autoSpaceDN/>
              <w:bidi w:val="0"/>
              <w:adjustRightInd/>
              <w:spacing w:line="240" w:lineRule="exact"/>
              <w:ind w:firstLine="200" w:firstLineChars="1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蟑螂密度控制情况 </w:t>
            </w:r>
          </w:p>
        </w:tc>
        <w:tc>
          <w:tcPr>
            <w:tcW w:w="959"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45" w:type="dxa"/>
            <w:shd w:val="clear" w:color="auto" w:fill="FFFFFF"/>
            <w:noWrap/>
            <w:vAlign w:val="center"/>
          </w:tcPr>
          <w:p>
            <w:pPr>
              <w:keepNext w:val="0"/>
              <w:keepLines w:val="0"/>
              <w:pageBreakBefore w:val="0"/>
              <w:widowControl/>
              <w:kinsoku/>
              <w:wordWrap/>
              <w:overflowPunct/>
              <w:topLinePunct w:val="0"/>
              <w:autoSpaceDE/>
              <w:autoSpaceDN/>
              <w:bidi w:val="0"/>
              <w:adjustRightInd/>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4.0 </w:t>
            </w:r>
          </w:p>
        </w:tc>
        <w:tc>
          <w:tcPr>
            <w:tcW w:w="4350"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1重点场所蟑螂控制较好，检查中发现活蟑≤2处/天，发现螅迹&lt;4处/天。</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rPr>
                <w:rFonts w:hint="eastAsia" w:ascii="仿宋" w:hAnsi="仿宋" w:eastAsia="仿宋" w:cs="仿宋"/>
                <w:color w:val="000000"/>
                <w:kern w:val="0"/>
                <w:sz w:val="20"/>
                <w:szCs w:val="20"/>
              </w:rPr>
            </w:pPr>
            <w:r>
              <w:rPr>
                <w:rFonts w:hint="default" w:ascii="仿宋_GB2312" w:hAnsi="宋体" w:eastAsia="仿宋_GB2312" w:cs="仿宋_GB2312"/>
                <w:i w:val="0"/>
                <w:iCs w:val="0"/>
                <w:color w:val="000000"/>
                <w:kern w:val="0"/>
                <w:sz w:val="20"/>
                <w:szCs w:val="20"/>
                <w:u w:val="none"/>
                <w:lang w:val="en-US" w:eastAsia="zh-CN" w:bidi="ar"/>
              </w:rPr>
              <w:t>2.随机询问居民，绝大多数（&gt;90%）反映居家无蟑螂。</w:t>
            </w:r>
          </w:p>
        </w:tc>
        <w:tc>
          <w:tcPr>
            <w:tcW w:w="1350" w:type="dxa"/>
            <w:vMerge w:val="continue"/>
            <w:shd w:val="clear" w:color="auto" w:fill="FFFFFF"/>
            <w:noWrap/>
            <w:vAlign w:val="center"/>
          </w:tcPr>
          <w:p>
            <w:pPr>
              <w:keepNext w:val="0"/>
              <w:keepLines w:val="0"/>
              <w:pageBreakBefore w:val="0"/>
              <w:kinsoku/>
              <w:wordWrap/>
              <w:overflowPunct/>
              <w:topLinePunct w:val="0"/>
              <w:autoSpaceDE/>
              <w:autoSpaceDN/>
              <w:bidi w:val="0"/>
              <w:adjustRightInd/>
              <w:spacing w:line="240" w:lineRule="exact"/>
              <w:jc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c>
          <w:tcPr>
            <w:tcW w:w="1440" w:type="dxa"/>
            <w:vMerge w:val="continue"/>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rPr>
                <w:rFonts w:hint="eastAsia" w:ascii="仿宋" w:hAnsi="仿宋" w:eastAsia="仿宋" w:cs="仿宋"/>
                <w:color w:val="000000"/>
                <w:kern w:val="0"/>
                <w:sz w:val="20"/>
                <w:szCs w:val="20"/>
              </w:rPr>
            </w:pPr>
          </w:p>
        </w:tc>
      </w:tr>
    </w:tbl>
    <w:p>
      <w:pPr>
        <w:keepNext w:val="0"/>
        <w:keepLines w:val="0"/>
        <w:pageBreakBefore w:val="0"/>
        <w:kinsoku/>
        <w:wordWrap/>
        <w:overflowPunct/>
        <w:topLinePunct w:val="0"/>
        <w:autoSpaceDE/>
        <w:autoSpaceDN/>
        <w:bidi w:val="0"/>
        <w:adjustRightInd/>
        <w:spacing w:line="240" w:lineRule="exact"/>
      </w:pPr>
    </w:p>
    <w:p>
      <w:pPr>
        <w:keepNext w:val="0"/>
        <w:keepLines w:val="0"/>
        <w:pageBreakBefore w:val="0"/>
        <w:kinsoku/>
        <w:wordWrap/>
        <w:overflowPunct/>
        <w:topLinePunct w:val="0"/>
        <w:bidi w:val="0"/>
        <w:spacing w:line="560" w:lineRule="exact"/>
        <w:textAlignment w:val="auto"/>
        <w:rPr>
          <w:rFonts w:hint="eastAsia"/>
          <w:color w:val="auto"/>
          <w:sz w:val="32"/>
          <w:szCs w:val="32"/>
        </w:rPr>
      </w:pPr>
    </w:p>
    <w:p>
      <w:pPr>
        <w:keepNext w:val="0"/>
        <w:keepLines w:val="0"/>
        <w:pageBreakBefore w:val="0"/>
        <w:kinsoku/>
        <w:wordWrap/>
        <w:overflowPunct/>
        <w:topLinePunct w:val="0"/>
        <w:bidi w:val="0"/>
        <w:spacing w:line="560" w:lineRule="exact"/>
        <w:textAlignment w:val="auto"/>
        <w:rPr>
          <w:rFonts w:hint="eastAsia"/>
          <w:color w:val="auto"/>
          <w:sz w:val="32"/>
          <w:szCs w:val="32"/>
        </w:rPr>
      </w:pPr>
    </w:p>
    <w:p>
      <w:pPr>
        <w:pStyle w:val="3"/>
        <w:ind w:firstLine="640" w:firstLineChars="200"/>
        <w:jc w:val="both"/>
        <w:rPr>
          <w:rFonts w:hint="eastAsia" w:ascii="仿宋" w:hAnsi="仿宋" w:eastAsia="仿宋" w:cs="仿宋"/>
          <w:color w:val="auto"/>
          <w:sz w:val="32"/>
          <w:szCs w:val="32"/>
          <w:lang w:eastAsia="zh-CN"/>
        </w:rPr>
      </w:pPr>
    </w:p>
    <w:p>
      <w:pPr>
        <w:pStyle w:val="4"/>
        <w:rPr>
          <w:rFonts w:hint="default"/>
          <w:lang w:val="en-US" w:eastAsia="zh-CN"/>
        </w:rPr>
        <w:sectPr>
          <w:pgSz w:w="16838" w:h="11906" w:orient="landscape"/>
          <w:pgMar w:top="1083" w:right="1134" w:bottom="1083" w:left="1134" w:header="851" w:footer="992" w:gutter="0"/>
          <w:cols w:space="0" w:num="1"/>
          <w:rtlGutter w:val="0"/>
          <w:docGrid w:type="lines" w:linePitch="312" w:charSpace="0"/>
        </w:sectPr>
      </w:pPr>
    </w:p>
    <w:p>
      <w:pPr>
        <w:jc w:val="left"/>
        <w:rPr>
          <w:rFonts w:hint="default" w:eastAsia="宋体"/>
          <w:color w:val="auto"/>
          <w:sz w:val="32"/>
          <w:szCs w:val="32"/>
          <w:lang w:val="en-US" w:eastAsia="zh-CN"/>
        </w:rPr>
      </w:pPr>
      <w:r>
        <w:rPr>
          <w:rFonts w:hint="eastAsia"/>
          <w:color w:val="auto"/>
          <w:sz w:val="32"/>
          <w:szCs w:val="32"/>
        </w:rPr>
        <w:t>附件</w:t>
      </w:r>
      <w:r>
        <w:rPr>
          <w:rFonts w:hint="eastAsia"/>
          <w:color w:val="auto"/>
          <w:sz w:val="32"/>
          <w:szCs w:val="32"/>
          <w:lang w:val="en-US" w:eastAsia="zh-CN"/>
        </w:rPr>
        <w:t>2</w:t>
      </w:r>
    </w:p>
    <w:p>
      <w:pPr>
        <w:widowControl/>
        <w:spacing w:line="560" w:lineRule="exact"/>
        <w:jc w:val="center"/>
        <w:rPr>
          <w:rFonts w:hint="eastAsia" w:ascii="方正小标宋简体" w:hAnsi="微软雅黑" w:eastAsia="方正小标宋简体" w:cs="宋体"/>
          <w:bCs/>
          <w:color w:val="484848"/>
          <w:kern w:val="0"/>
          <w:sz w:val="44"/>
          <w:szCs w:val="44"/>
          <w:lang w:eastAsia="zh-CN"/>
        </w:rPr>
      </w:pPr>
      <w:r>
        <w:rPr>
          <w:rFonts w:hint="eastAsia" w:ascii="方正小标宋简体" w:hAnsi="微软雅黑" w:eastAsia="方正小标宋简体" w:cs="宋体"/>
          <w:bCs/>
          <w:color w:val="484848"/>
          <w:kern w:val="0"/>
          <w:sz w:val="44"/>
          <w:szCs w:val="44"/>
          <w:lang w:val="en-US" w:eastAsia="zh-CN"/>
        </w:rPr>
        <w:t>鹿寨县</w:t>
      </w:r>
      <w:r>
        <w:rPr>
          <w:rFonts w:hint="eastAsia" w:ascii="方正小标宋简体" w:hAnsi="微软雅黑" w:eastAsia="方正小标宋简体" w:cs="宋体"/>
          <w:bCs/>
          <w:color w:val="484848"/>
          <w:kern w:val="0"/>
          <w:sz w:val="44"/>
          <w:szCs w:val="44"/>
        </w:rPr>
        <w:t>国家卫生县数据评价指标</w:t>
      </w:r>
      <w:r>
        <w:rPr>
          <w:rFonts w:hint="eastAsia" w:ascii="方正小标宋简体" w:hAnsi="微软雅黑" w:eastAsia="方正小标宋简体" w:cs="宋体"/>
          <w:bCs/>
          <w:color w:val="484848"/>
          <w:kern w:val="0"/>
          <w:sz w:val="44"/>
          <w:szCs w:val="44"/>
          <w:lang w:eastAsia="zh-CN"/>
        </w:rPr>
        <w:t>任务分解表</w:t>
      </w:r>
    </w:p>
    <w:tbl>
      <w:tblPr>
        <w:tblStyle w:val="8"/>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5"/>
        <w:gridCol w:w="3739"/>
        <w:gridCol w:w="2036"/>
        <w:gridCol w:w="1905"/>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815" w:type="dxa"/>
            <w:noWrap w:val="0"/>
            <w:tcMar>
              <w:top w:w="0" w:type="dxa"/>
              <w:left w:w="108" w:type="dxa"/>
              <w:bottom w:w="0" w:type="dxa"/>
              <w:right w:w="108" w:type="dxa"/>
            </w:tcMar>
            <w:vAlign w:val="center"/>
          </w:tcPr>
          <w:p>
            <w:pPr>
              <w:widowControl/>
              <w:spacing w:line="400" w:lineRule="exact"/>
              <w:jc w:val="center"/>
              <w:rPr>
                <w:rFonts w:ascii="黑体" w:hAnsi="黑体" w:eastAsia="黑体" w:cs="Calibri"/>
                <w:color w:val="484848"/>
                <w:kern w:val="0"/>
                <w:sz w:val="24"/>
                <w:szCs w:val="24"/>
              </w:rPr>
            </w:pPr>
            <w:r>
              <w:rPr>
                <w:rFonts w:hint="eastAsia" w:ascii="黑体" w:hAnsi="黑体" w:eastAsia="黑体" w:cs="Calibri"/>
                <w:bCs/>
                <w:color w:val="484848"/>
                <w:kern w:val="0"/>
                <w:sz w:val="24"/>
                <w:szCs w:val="24"/>
              </w:rPr>
              <w:t>序号</w:t>
            </w:r>
          </w:p>
        </w:tc>
        <w:tc>
          <w:tcPr>
            <w:tcW w:w="3739" w:type="dxa"/>
            <w:noWrap w:val="0"/>
            <w:tcMar>
              <w:top w:w="0" w:type="dxa"/>
              <w:left w:w="108" w:type="dxa"/>
              <w:bottom w:w="0" w:type="dxa"/>
              <w:right w:w="108" w:type="dxa"/>
            </w:tcMar>
            <w:vAlign w:val="center"/>
          </w:tcPr>
          <w:p>
            <w:pPr>
              <w:widowControl/>
              <w:spacing w:line="400" w:lineRule="exact"/>
              <w:jc w:val="center"/>
              <w:rPr>
                <w:rFonts w:ascii="黑体" w:hAnsi="黑体" w:eastAsia="黑体" w:cs="Calibri"/>
                <w:color w:val="484848"/>
                <w:kern w:val="0"/>
                <w:sz w:val="24"/>
                <w:szCs w:val="24"/>
              </w:rPr>
            </w:pPr>
            <w:r>
              <w:rPr>
                <w:rFonts w:hint="eastAsia" w:ascii="黑体" w:hAnsi="黑体" w:eastAsia="黑体" w:cs="Calibri"/>
                <w:bCs/>
                <w:color w:val="484848"/>
                <w:kern w:val="0"/>
                <w:sz w:val="24"/>
                <w:szCs w:val="24"/>
              </w:rPr>
              <w:t>评价指标</w:t>
            </w:r>
          </w:p>
        </w:tc>
        <w:tc>
          <w:tcPr>
            <w:tcW w:w="2036" w:type="dxa"/>
            <w:noWrap w:val="0"/>
            <w:tcMar>
              <w:top w:w="0" w:type="dxa"/>
              <w:left w:w="108" w:type="dxa"/>
              <w:bottom w:w="0" w:type="dxa"/>
              <w:right w:w="108" w:type="dxa"/>
            </w:tcMar>
            <w:vAlign w:val="center"/>
          </w:tcPr>
          <w:p>
            <w:pPr>
              <w:widowControl/>
              <w:spacing w:line="400" w:lineRule="exact"/>
              <w:jc w:val="center"/>
              <w:rPr>
                <w:rFonts w:ascii="黑体" w:hAnsi="黑体" w:eastAsia="黑体" w:cs="Calibri"/>
                <w:color w:val="484848"/>
                <w:kern w:val="0"/>
                <w:sz w:val="24"/>
                <w:szCs w:val="24"/>
              </w:rPr>
            </w:pPr>
            <w:r>
              <w:rPr>
                <w:rFonts w:hint="eastAsia" w:ascii="黑体" w:hAnsi="黑体" w:eastAsia="黑体" w:cs="Calibri"/>
                <w:bCs/>
                <w:color w:val="484848"/>
                <w:kern w:val="0"/>
                <w:sz w:val="24"/>
                <w:szCs w:val="24"/>
              </w:rPr>
              <w:t>目标值</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黑体" w:hAnsi="黑体" w:eastAsia="黑体" w:cs="Calibri"/>
                <w:color w:val="484848"/>
                <w:kern w:val="0"/>
                <w:sz w:val="28"/>
                <w:szCs w:val="28"/>
                <w:lang w:val="en-US" w:eastAsia="zh-CN"/>
              </w:rPr>
            </w:pPr>
            <w:r>
              <w:rPr>
                <w:rFonts w:hint="eastAsia" w:ascii="黑体" w:hAnsi="黑体" w:eastAsia="黑体" w:cs="Calibri"/>
                <w:color w:val="484848"/>
                <w:kern w:val="0"/>
                <w:sz w:val="24"/>
                <w:szCs w:val="24"/>
                <w:lang w:val="en-US" w:eastAsia="zh-CN"/>
              </w:rPr>
              <w:t>牵头单位</w:t>
            </w:r>
          </w:p>
        </w:tc>
        <w:tc>
          <w:tcPr>
            <w:tcW w:w="1459" w:type="dxa"/>
            <w:noWrap w:val="0"/>
            <w:tcMar>
              <w:top w:w="0" w:type="dxa"/>
              <w:left w:w="108" w:type="dxa"/>
              <w:bottom w:w="0" w:type="dxa"/>
              <w:right w:w="108" w:type="dxa"/>
            </w:tcMar>
            <w:vAlign w:val="center"/>
          </w:tcPr>
          <w:p>
            <w:pPr>
              <w:widowControl/>
              <w:spacing w:line="400" w:lineRule="exact"/>
              <w:jc w:val="center"/>
              <w:rPr>
                <w:rFonts w:hint="default" w:ascii="黑体" w:hAnsi="黑体" w:eastAsia="黑体" w:cs="Calibri"/>
                <w:color w:val="484848"/>
                <w:kern w:val="0"/>
                <w:sz w:val="24"/>
                <w:szCs w:val="24"/>
                <w:lang w:val="en-US" w:eastAsia="zh-CN"/>
              </w:rPr>
            </w:pPr>
            <w:r>
              <w:rPr>
                <w:rFonts w:hint="eastAsia" w:ascii="黑体" w:hAnsi="黑体" w:eastAsia="黑体" w:cs="Calibri"/>
                <w:color w:val="484848"/>
                <w:kern w:val="0"/>
                <w:sz w:val="24"/>
                <w:szCs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lang w:eastAsia="zh-CN"/>
              </w:rPr>
            </w:pPr>
            <w:r>
              <w:rPr>
                <w:rFonts w:hint="eastAsia" w:ascii="仿宋_GB2312" w:hAnsi="仿宋" w:eastAsia="仿宋_GB2312" w:cs="Calibri"/>
                <w:color w:val="484848"/>
                <w:kern w:val="0"/>
                <w:sz w:val="24"/>
                <w:szCs w:val="24"/>
              </w:rPr>
              <w:t>国家卫生</w:t>
            </w:r>
            <w:r>
              <w:rPr>
                <w:rFonts w:hint="eastAsia" w:ascii="仿宋_GB2312" w:hAnsi="仿宋" w:eastAsia="仿宋_GB2312" w:cs="Calibri"/>
                <w:color w:val="484848"/>
                <w:kern w:val="0"/>
                <w:sz w:val="24"/>
                <w:szCs w:val="24"/>
                <w:lang w:val="en-US" w:eastAsia="zh-CN"/>
              </w:rPr>
              <w:t>乡镇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1</w:t>
            </w:r>
            <w:r>
              <w:rPr>
                <w:rFonts w:hint="eastAsia" w:ascii="仿宋_GB2312" w:hAnsi="仿宋" w:eastAsia="仿宋_GB2312" w:cs="Calibri"/>
                <w:color w:val="484848"/>
                <w:kern w:val="0"/>
                <w:sz w:val="24"/>
                <w:szCs w:val="24"/>
              </w:rPr>
              <w:t>个</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default"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0000FF"/>
                <w:kern w:val="0"/>
                <w:sz w:val="24"/>
                <w:szCs w:val="24"/>
              </w:rPr>
              <w:t>群众对卫生状况满意率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居民健康素养水平</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23%</w:t>
            </w:r>
            <w:r>
              <w:rPr>
                <w:rFonts w:hint="eastAsia" w:ascii="仿宋_GB2312" w:hAnsi="仿宋" w:eastAsia="仿宋_GB2312" w:cs="Calibri"/>
                <w:color w:val="484848"/>
                <w:kern w:val="0"/>
                <w:sz w:val="24"/>
                <w:szCs w:val="24"/>
              </w:rPr>
              <w:t>或持续提升</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建有全民健身场地设施的社区比例</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hAnsi="仿宋" w:eastAsia="仿宋_GB2312" w:cs="Calibri"/>
                <w:color w:val="484848"/>
                <w:kern w:val="0"/>
                <w:sz w:val="24"/>
                <w:szCs w:val="24"/>
                <w:lang w:val="en-US" w:eastAsia="zh-CN"/>
              </w:rPr>
            </w:pPr>
            <w:r>
              <w:rPr>
                <w:rFonts w:hint="eastAsia" w:ascii="仿宋_GB2312" w:hAnsi="仿宋" w:eastAsia="仿宋_GB2312" w:cs="Calibri"/>
                <w:color w:val="484848"/>
                <w:kern w:val="0"/>
                <w:sz w:val="24"/>
                <w:szCs w:val="24"/>
                <w:lang w:val="en-US" w:eastAsia="zh-CN"/>
              </w:rPr>
              <w:t>县文体广旅局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经常参加体育锻炼人数的比例</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&gt;</w:t>
            </w:r>
            <w:r>
              <w:rPr>
                <w:rFonts w:hint="eastAsia" w:ascii="仿宋_GB2312" w:hAnsi="仿宋" w:eastAsia="仿宋_GB2312" w:cs="Calibri"/>
                <w:color w:val="484848"/>
                <w:kern w:val="0"/>
                <w:sz w:val="24"/>
                <w:szCs w:val="24"/>
              </w:rPr>
              <w:t>38.5%</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县文体广旅局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6</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人均体育场地面积</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&gt;</w:t>
            </w:r>
            <w:r>
              <w:rPr>
                <w:rFonts w:hint="eastAsia" w:ascii="仿宋_GB2312" w:hAnsi="仿宋" w:eastAsia="仿宋_GB2312" w:cs="Calibri"/>
                <w:color w:val="484848"/>
                <w:kern w:val="0"/>
                <w:sz w:val="24"/>
                <w:szCs w:val="24"/>
              </w:rPr>
              <w:t>2.2平方米</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县文体广旅局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7</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每千人口社会体育指导员数</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2.16</w:t>
            </w:r>
            <w:r>
              <w:rPr>
                <w:rFonts w:hint="eastAsia" w:ascii="仿宋_GB2312" w:hAnsi="仿宋" w:eastAsia="仿宋_GB2312" w:cs="Calibri"/>
                <w:color w:val="484848"/>
                <w:kern w:val="0"/>
                <w:sz w:val="24"/>
                <w:szCs w:val="24"/>
              </w:rPr>
              <w:t>名</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县文体广旅局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8</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15岁以上人群吸烟率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20%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9</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无烟党政机关、无烟医疗卫生机构、无烟学校建成比例</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10</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lang w:eastAsia="zh-CN"/>
              </w:rPr>
            </w:pPr>
            <w:r>
              <w:rPr>
                <w:rFonts w:hint="eastAsia" w:ascii="仿宋_GB2312" w:hAnsi="仿宋" w:eastAsia="仿宋_GB2312" w:cs="Calibri"/>
                <w:color w:val="484848"/>
                <w:kern w:val="0"/>
                <w:sz w:val="24"/>
                <w:szCs w:val="24"/>
              </w:rPr>
              <w:t>全面控烟法律法规规定</w:t>
            </w:r>
            <w:r>
              <w:rPr>
                <w:rFonts w:hint="eastAsia" w:ascii="仿宋_GB2312" w:hAnsi="仿宋" w:eastAsia="仿宋_GB2312" w:cs="Calibri"/>
                <w:color w:val="484848"/>
                <w:kern w:val="0"/>
                <w:sz w:val="24"/>
                <w:szCs w:val="24"/>
                <w:lang w:eastAsia="zh-CN"/>
              </w:rPr>
              <w:t>（</w:t>
            </w:r>
            <w:r>
              <w:rPr>
                <w:rFonts w:hint="eastAsia" w:ascii="仿宋_GB2312" w:hAnsi="仿宋" w:eastAsia="仿宋_GB2312" w:cs="Calibri"/>
                <w:color w:val="484848"/>
                <w:kern w:val="0"/>
                <w:sz w:val="24"/>
                <w:szCs w:val="24"/>
                <w:lang w:val="en-US" w:eastAsia="zh-CN"/>
              </w:rPr>
              <w:t>市级</w:t>
            </w:r>
            <w:r>
              <w:rPr>
                <w:rFonts w:hint="eastAsia" w:ascii="仿宋_GB2312" w:hAnsi="仿宋" w:eastAsia="仿宋_GB2312" w:cs="Calibri"/>
                <w:color w:val="484848"/>
                <w:kern w:val="0"/>
                <w:sz w:val="24"/>
                <w:szCs w:val="24"/>
                <w:lang w:eastAsia="zh-CN"/>
              </w:rPr>
              <w:t>）</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FF"/>
                <w:kern w:val="0"/>
                <w:sz w:val="24"/>
                <w:szCs w:val="24"/>
              </w:rPr>
              <w:t>有</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11</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道路装灯率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hAnsi="仿宋" w:eastAsia="仿宋_GB2312" w:cs="Calibri"/>
                <w:color w:val="484848"/>
                <w:kern w:val="0"/>
                <w:sz w:val="24"/>
                <w:szCs w:val="24"/>
                <w:lang w:val="en-US" w:eastAsia="zh-CN"/>
              </w:rPr>
            </w:pPr>
            <w:r>
              <w:rPr>
                <w:rFonts w:hint="eastAsia" w:ascii="仿宋_GB2312" w:hAnsi="仿宋" w:eastAsia="仿宋_GB2312" w:cs="Calibri"/>
                <w:color w:val="484848"/>
                <w:kern w:val="0"/>
                <w:sz w:val="24"/>
                <w:szCs w:val="24"/>
                <w:lang w:val="en-US" w:eastAsia="zh-CN"/>
              </w:rPr>
              <w:t>县住建局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12</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主次干道每日保洁时间</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16</w:t>
            </w:r>
            <w:r>
              <w:rPr>
                <w:rFonts w:hint="eastAsia" w:ascii="仿宋_GB2312" w:hAnsi="仿宋" w:eastAsia="仿宋_GB2312" w:cs="Calibri"/>
                <w:color w:val="484848"/>
                <w:kern w:val="0"/>
                <w:sz w:val="24"/>
                <w:szCs w:val="24"/>
              </w:rPr>
              <w:t>小时</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hAnsi="仿宋" w:eastAsia="仿宋_GB2312" w:cs="Calibri"/>
                <w:color w:val="484848"/>
                <w:kern w:val="0"/>
                <w:sz w:val="24"/>
                <w:szCs w:val="24"/>
                <w:lang w:val="en-US" w:eastAsia="zh-CN"/>
              </w:rPr>
            </w:pPr>
            <w:r>
              <w:rPr>
                <w:rFonts w:hint="eastAsia" w:ascii="仿宋_GB2312" w:hAnsi="仿宋" w:eastAsia="仿宋_GB2312" w:cs="Calibri"/>
                <w:color w:val="484848"/>
                <w:kern w:val="0"/>
                <w:sz w:val="24"/>
                <w:szCs w:val="24"/>
                <w:lang w:val="en-US" w:eastAsia="zh-CN"/>
              </w:rPr>
              <w:t>县城管执法局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13</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街巷路面每日保洁时间</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12</w:t>
            </w:r>
            <w:r>
              <w:rPr>
                <w:rFonts w:hint="eastAsia" w:ascii="仿宋_GB2312" w:hAnsi="仿宋" w:eastAsia="仿宋_GB2312" w:cs="Calibri"/>
                <w:color w:val="484848"/>
                <w:kern w:val="0"/>
                <w:sz w:val="24"/>
                <w:szCs w:val="24"/>
              </w:rPr>
              <w:t>小时</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县城管执法局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14</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lang w:eastAsia="zh-CN"/>
              </w:rPr>
            </w:pPr>
            <w:r>
              <w:rPr>
                <w:rFonts w:hint="eastAsia" w:ascii="仿宋_GB2312" w:hAnsi="仿宋" w:eastAsia="仿宋_GB2312" w:cs="Calibri"/>
                <w:color w:val="484848"/>
                <w:kern w:val="0"/>
                <w:sz w:val="24"/>
                <w:szCs w:val="24"/>
              </w:rPr>
              <w:t>道路机械化清扫率</w:t>
            </w:r>
            <w:r>
              <w:rPr>
                <w:rFonts w:hint="eastAsia" w:ascii="仿宋_GB2312" w:hAnsi="仿宋" w:eastAsia="仿宋_GB2312" w:cs="Calibri"/>
                <w:color w:val="484848"/>
                <w:kern w:val="0"/>
                <w:sz w:val="24"/>
                <w:szCs w:val="24"/>
                <w:lang w:eastAsia="zh-CN"/>
              </w:rPr>
              <w:t>（</w:t>
            </w:r>
            <w:r>
              <w:rPr>
                <w:rFonts w:hint="eastAsia" w:ascii="仿宋_GB2312" w:hAnsi="仿宋" w:eastAsia="仿宋_GB2312" w:cs="Calibri"/>
                <w:color w:val="484848"/>
                <w:kern w:val="0"/>
                <w:sz w:val="24"/>
                <w:szCs w:val="24"/>
              </w:rPr>
              <w:t>适用</w:t>
            </w:r>
            <w:r>
              <w:rPr>
                <w:rFonts w:hint="eastAsia" w:ascii="仿宋_GB2312" w:hAnsi="仿宋" w:eastAsia="仿宋_GB2312" w:cs="Calibri"/>
                <w:color w:val="484848"/>
                <w:kern w:val="0"/>
                <w:sz w:val="24"/>
                <w:szCs w:val="24"/>
                <w:lang w:val="en-US" w:eastAsia="zh-CN"/>
              </w:rPr>
              <w:t>县城</w:t>
            </w:r>
            <w:r>
              <w:rPr>
                <w:rFonts w:hint="eastAsia" w:ascii="仿宋_GB2312" w:hAnsi="仿宋" w:eastAsia="仿宋_GB2312" w:cs="Calibri"/>
                <w:color w:val="484848"/>
                <w:kern w:val="0"/>
                <w:sz w:val="24"/>
                <w:szCs w:val="24"/>
                <w:lang w:eastAsia="zh-CN"/>
              </w:rPr>
              <w:t>）</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80%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eastAsia="zh-CN"/>
              </w:rPr>
            </w:pPr>
            <w:r>
              <w:rPr>
                <w:rFonts w:hint="eastAsia" w:ascii="仿宋_GB2312" w:hAnsi="仿宋" w:eastAsia="仿宋_GB2312" w:cs="Calibri"/>
                <w:color w:val="484848"/>
                <w:kern w:val="0"/>
                <w:sz w:val="24"/>
                <w:szCs w:val="24"/>
                <w:lang w:val="en-US" w:eastAsia="zh-CN"/>
              </w:rPr>
              <w:t>县城管执法局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15</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lang w:eastAsia="zh-CN"/>
              </w:rPr>
            </w:pPr>
            <w:r>
              <w:rPr>
                <w:rFonts w:hint="eastAsia" w:ascii="仿宋_GB2312" w:hAnsi="仿宋" w:eastAsia="仿宋_GB2312" w:cs="Calibri"/>
                <w:color w:val="484848"/>
                <w:kern w:val="0"/>
                <w:sz w:val="24"/>
                <w:szCs w:val="24"/>
              </w:rPr>
              <w:t>城市管理信息化覆盖率</w:t>
            </w:r>
            <w:r>
              <w:rPr>
                <w:rFonts w:hint="eastAsia" w:ascii="仿宋_GB2312" w:hAnsi="仿宋" w:eastAsia="仿宋_GB2312" w:cs="Calibri"/>
                <w:color w:val="484848"/>
                <w:kern w:val="0"/>
                <w:sz w:val="24"/>
                <w:szCs w:val="24"/>
                <w:lang w:eastAsia="zh-CN"/>
              </w:rPr>
              <w:t>（</w:t>
            </w:r>
            <w:r>
              <w:rPr>
                <w:rFonts w:hint="eastAsia" w:ascii="仿宋_GB2312" w:hAnsi="仿宋" w:eastAsia="仿宋_GB2312" w:cs="Calibri"/>
                <w:color w:val="484848"/>
                <w:kern w:val="0"/>
                <w:sz w:val="24"/>
                <w:szCs w:val="24"/>
                <w:lang w:val="en-US" w:eastAsia="zh-CN"/>
              </w:rPr>
              <w:t>县城</w:t>
            </w:r>
            <w:r>
              <w:rPr>
                <w:rFonts w:hint="eastAsia" w:ascii="仿宋_GB2312" w:hAnsi="仿宋" w:eastAsia="仿宋_GB2312" w:cs="Calibri"/>
                <w:color w:val="484848"/>
                <w:kern w:val="0"/>
                <w:sz w:val="24"/>
                <w:szCs w:val="24"/>
                <w:lang w:eastAsia="zh-CN"/>
              </w:rPr>
              <w:t>）</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90%</w:t>
            </w:r>
          </w:p>
        </w:tc>
        <w:tc>
          <w:tcPr>
            <w:tcW w:w="1905" w:type="dxa"/>
            <w:noWrap w:val="0"/>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县城管执法局</w:t>
            </w:r>
          </w:p>
        </w:tc>
        <w:tc>
          <w:tcPr>
            <w:tcW w:w="1459" w:type="dxa"/>
            <w:noWrap w:val="0"/>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16</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建成区绿化覆盖率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38</w:t>
            </w:r>
            <w:r>
              <w:rPr>
                <w:rFonts w:hint="eastAsia" w:ascii="仿宋_GB2312" w:hAnsi="仿宋" w:eastAsia="仿宋_GB2312" w:cs="Calibri"/>
                <w:color w:val="484848"/>
                <w:kern w:val="0"/>
                <w:sz w:val="24"/>
                <w:szCs w:val="24"/>
              </w:rPr>
              <w:t>％</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县住建局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17</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人均公园绿地面积</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w:t>
            </w:r>
            <w:r>
              <w:rPr>
                <w:rFonts w:hint="eastAsia" w:ascii="仿宋_GB2312" w:hAnsi="仿宋" w:eastAsia="仿宋_GB2312" w:cs="Calibri"/>
                <w:color w:val="484848"/>
                <w:kern w:val="0"/>
                <w:sz w:val="24"/>
                <w:szCs w:val="24"/>
              </w:rPr>
              <w:t>平方米</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县住建局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18</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城市生活垃圾回收利用率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&gt;35％</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县城管执法局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19</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城市生活垃圾无害化处理率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县城管执法局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20</w:t>
            </w:r>
          </w:p>
        </w:tc>
        <w:tc>
          <w:tcPr>
            <w:tcW w:w="3739" w:type="dxa"/>
            <w:noWrap w:val="0"/>
            <w:tcMar>
              <w:top w:w="0" w:type="dxa"/>
              <w:left w:w="108" w:type="dxa"/>
              <w:bottom w:w="0" w:type="dxa"/>
              <w:right w:w="108" w:type="dxa"/>
            </w:tcMar>
            <w:vAlign w:val="center"/>
          </w:tcPr>
          <w:p>
            <w:pPr>
              <w:widowControl/>
              <w:spacing w:line="400" w:lineRule="exact"/>
              <w:jc w:val="left"/>
              <w:rPr>
                <w:rFonts w:hint="default" w:ascii="仿宋_GB2312" w:eastAsia="仿宋_GB2312" w:cs="Calibri"/>
                <w:color w:val="484848"/>
                <w:kern w:val="0"/>
                <w:sz w:val="24"/>
                <w:szCs w:val="24"/>
                <w:lang w:val="en-US" w:eastAsia="zh-CN"/>
              </w:rPr>
            </w:pPr>
            <w:r>
              <w:rPr>
                <w:rFonts w:hint="eastAsia" w:ascii="仿宋_GB2312" w:hAnsi="仿宋" w:eastAsia="仿宋_GB2312" w:cs="Calibri"/>
                <w:color w:val="484848"/>
                <w:kern w:val="0"/>
                <w:sz w:val="24"/>
                <w:szCs w:val="24"/>
              </w:rPr>
              <w:t>窨井盖完好率</w:t>
            </w:r>
            <w:r>
              <w:rPr>
                <w:rFonts w:hint="eastAsia" w:ascii="仿宋_GB2312" w:hAnsi="仿宋" w:eastAsia="仿宋_GB2312" w:cs="Calibri"/>
                <w:color w:val="484848"/>
                <w:kern w:val="0"/>
                <w:sz w:val="24"/>
                <w:szCs w:val="24"/>
                <w:lang w:val="en-US" w:eastAsia="zh-CN"/>
              </w:rPr>
              <w:t>(</w:t>
            </w:r>
            <w:r>
              <w:rPr>
                <w:rFonts w:hint="eastAsia" w:ascii="仿宋_GB2312" w:hAnsi="仿宋" w:eastAsia="仿宋_GB2312" w:cs="Calibri"/>
                <w:color w:val="484848"/>
                <w:kern w:val="0"/>
                <w:sz w:val="24"/>
                <w:szCs w:val="24"/>
              </w:rPr>
              <w:t>适用</w:t>
            </w:r>
            <w:r>
              <w:rPr>
                <w:rFonts w:hint="eastAsia" w:ascii="仿宋_GB2312" w:hAnsi="仿宋" w:eastAsia="仿宋_GB2312" w:cs="Calibri"/>
                <w:color w:val="484848"/>
                <w:kern w:val="0"/>
                <w:sz w:val="24"/>
                <w:szCs w:val="24"/>
                <w:lang w:val="en-US" w:eastAsia="zh-CN"/>
              </w:rPr>
              <w:t>县城)</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98%</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县住建局、科工贸局、供电局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21</w:t>
            </w:r>
          </w:p>
        </w:tc>
        <w:tc>
          <w:tcPr>
            <w:tcW w:w="3739" w:type="dxa"/>
            <w:noWrap w:val="0"/>
            <w:tcMar>
              <w:top w:w="0" w:type="dxa"/>
              <w:left w:w="108" w:type="dxa"/>
              <w:bottom w:w="0" w:type="dxa"/>
              <w:right w:w="108" w:type="dxa"/>
            </w:tcMar>
            <w:vAlign w:val="center"/>
          </w:tcPr>
          <w:p>
            <w:pPr>
              <w:widowControl/>
              <w:spacing w:line="400" w:lineRule="exact"/>
              <w:jc w:val="left"/>
              <w:rPr>
                <w:rFonts w:hint="default" w:ascii="仿宋_GB2312" w:eastAsia="仿宋_GB2312" w:cs="Calibri"/>
                <w:color w:val="484848"/>
                <w:kern w:val="0"/>
                <w:sz w:val="24"/>
                <w:szCs w:val="24"/>
                <w:lang w:val="en-US" w:eastAsia="zh-CN"/>
              </w:rPr>
            </w:pPr>
            <w:r>
              <w:rPr>
                <w:rFonts w:hint="eastAsia" w:ascii="仿宋_GB2312" w:hAnsi="仿宋" w:eastAsia="仿宋_GB2312" w:cs="Calibri"/>
                <w:color w:val="484848"/>
                <w:kern w:val="0"/>
                <w:sz w:val="24"/>
                <w:szCs w:val="24"/>
              </w:rPr>
              <w:t>主城区回收网点覆盖率</w:t>
            </w:r>
            <w:r>
              <w:rPr>
                <w:rFonts w:hint="eastAsia" w:ascii="仿宋_GB2312" w:hAnsi="仿宋" w:eastAsia="仿宋_GB2312" w:cs="Calibri"/>
                <w:color w:val="484848"/>
                <w:kern w:val="0"/>
                <w:sz w:val="24"/>
                <w:szCs w:val="24"/>
                <w:lang w:val="en-US" w:eastAsia="zh-CN"/>
              </w:rPr>
              <w:t>(县城)</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县住建局</w:t>
            </w:r>
          </w:p>
        </w:tc>
        <w:tc>
          <w:tcPr>
            <w:tcW w:w="1459" w:type="dxa"/>
            <w:noWrap w:val="0"/>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22</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lang w:eastAsia="zh-CN"/>
              </w:rPr>
            </w:pPr>
            <w:r>
              <w:rPr>
                <w:rFonts w:hint="eastAsia" w:ascii="仿宋_GB2312" w:hAnsi="仿宋" w:eastAsia="仿宋_GB2312" w:cs="Calibri"/>
                <w:color w:val="484848"/>
                <w:kern w:val="0"/>
                <w:sz w:val="24"/>
                <w:szCs w:val="24"/>
                <w:lang w:val="en-US" w:eastAsia="zh-CN"/>
              </w:rPr>
              <w:t>（县</w:t>
            </w:r>
            <w:r>
              <w:rPr>
                <w:rFonts w:hint="eastAsia" w:ascii="仿宋_GB2312" w:hAnsi="仿宋" w:eastAsia="仿宋_GB2312" w:cs="Calibri"/>
                <w:color w:val="484848"/>
                <w:kern w:val="0"/>
                <w:sz w:val="24"/>
                <w:szCs w:val="24"/>
              </w:rPr>
              <w:t>城</w:t>
            </w:r>
            <w:r>
              <w:rPr>
                <w:rFonts w:hint="eastAsia" w:ascii="仿宋_GB2312" w:hAnsi="仿宋" w:eastAsia="仿宋_GB2312" w:cs="Calibri"/>
                <w:color w:val="484848"/>
                <w:kern w:val="0"/>
                <w:sz w:val="24"/>
                <w:szCs w:val="24"/>
                <w:lang w:eastAsia="zh-CN"/>
              </w:rPr>
              <w:t>）</w:t>
            </w:r>
            <w:r>
              <w:rPr>
                <w:rFonts w:hint="eastAsia" w:ascii="仿宋_GB2312" w:hAnsi="仿宋" w:eastAsia="仿宋_GB2312" w:cs="Calibri"/>
                <w:color w:val="484848"/>
                <w:kern w:val="0"/>
                <w:sz w:val="24"/>
                <w:szCs w:val="24"/>
              </w:rPr>
              <w:t>生活污水集中收集率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75%</w:t>
            </w:r>
            <w:r>
              <w:rPr>
                <w:rFonts w:hint="eastAsia" w:ascii="仿宋_GB2312" w:hAnsi="仿宋" w:eastAsia="仿宋_GB2312" w:cs="Calibri"/>
                <w:color w:val="484848"/>
                <w:kern w:val="0"/>
                <w:sz w:val="24"/>
                <w:szCs w:val="24"/>
              </w:rPr>
              <w:t>或持续提高</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县住建局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23</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lang w:val="en-US" w:eastAsia="zh-CN"/>
              </w:rPr>
            </w:pPr>
            <w:r>
              <w:rPr>
                <w:rFonts w:hint="eastAsia" w:ascii="仿宋_GB2312" w:hAnsi="仿宋" w:eastAsia="仿宋_GB2312" w:cs="Calibri"/>
                <w:color w:val="484848"/>
                <w:kern w:val="0"/>
                <w:sz w:val="22"/>
                <w:szCs w:val="22"/>
              </w:rPr>
              <w:t>环境空气质量指数不超过</w:t>
            </w:r>
            <w:r>
              <w:rPr>
                <w:rFonts w:hint="eastAsia" w:ascii="仿宋_GB2312" w:hAnsi="微软雅黑" w:eastAsia="仿宋_GB2312" w:cs="Calibri"/>
                <w:color w:val="484848"/>
                <w:kern w:val="0"/>
                <w:sz w:val="22"/>
                <w:szCs w:val="22"/>
              </w:rPr>
              <w:t>100</w:t>
            </w:r>
            <w:r>
              <w:rPr>
                <w:rFonts w:hint="eastAsia" w:ascii="仿宋_GB2312" w:hAnsi="仿宋" w:eastAsia="仿宋_GB2312" w:cs="Calibri"/>
                <w:color w:val="484848"/>
                <w:kern w:val="0"/>
                <w:sz w:val="22"/>
                <w:szCs w:val="22"/>
              </w:rPr>
              <w:t>的天</w:t>
            </w:r>
            <w:r>
              <w:rPr>
                <w:rFonts w:hint="eastAsia" w:ascii="仿宋_GB2312" w:hAnsi="仿宋" w:eastAsia="仿宋_GB2312" w:cs="Calibri"/>
                <w:color w:val="484848"/>
                <w:kern w:val="0"/>
                <w:sz w:val="22"/>
                <w:szCs w:val="22"/>
                <w:lang w:val="en-US" w:eastAsia="zh-CN"/>
              </w:rPr>
              <w:t>数</w:t>
            </w:r>
          </w:p>
        </w:tc>
        <w:tc>
          <w:tcPr>
            <w:tcW w:w="2036"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2"/>
                <w:szCs w:val="22"/>
              </w:rPr>
            </w:pPr>
            <w:r>
              <w:rPr>
                <w:rFonts w:hint="eastAsia" w:ascii="仿宋_GB2312" w:hAnsi="仿宋" w:eastAsia="仿宋_GB2312" w:cs="Calibri"/>
                <w:color w:val="484848"/>
                <w:kern w:val="0"/>
                <w:sz w:val="22"/>
                <w:szCs w:val="22"/>
              </w:rPr>
              <w:t>≥</w:t>
            </w:r>
            <w:r>
              <w:rPr>
                <w:rFonts w:hint="eastAsia" w:ascii="仿宋_GB2312" w:hAnsi="微软雅黑" w:eastAsia="仿宋_GB2312" w:cs="Calibri"/>
                <w:color w:val="484848"/>
                <w:kern w:val="0"/>
                <w:sz w:val="22"/>
                <w:szCs w:val="22"/>
              </w:rPr>
              <w:t>3</w:t>
            </w:r>
            <w:r>
              <w:rPr>
                <w:rFonts w:hint="eastAsia" w:ascii="仿宋_GB2312" w:hAnsi="微软雅黑" w:eastAsia="仿宋_GB2312" w:cs="Calibri"/>
                <w:color w:val="484848"/>
                <w:kern w:val="0"/>
                <w:sz w:val="22"/>
                <w:szCs w:val="22"/>
                <w:lang w:val="en-US" w:eastAsia="zh-CN"/>
              </w:rPr>
              <w:t>0</w:t>
            </w:r>
            <w:r>
              <w:rPr>
                <w:rFonts w:hint="eastAsia" w:ascii="仿宋_GB2312" w:hAnsi="微软雅黑" w:eastAsia="仿宋_GB2312" w:cs="Calibri"/>
                <w:color w:val="484848"/>
                <w:kern w:val="0"/>
                <w:sz w:val="22"/>
                <w:szCs w:val="22"/>
              </w:rPr>
              <w:t>0</w:t>
            </w:r>
            <w:r>
              <w:rPr>
                <w:rFonts w:hint="eastAsia" w:ascii="仿宋_GB2312" w:hAnsi="仿宋" w:eastAsia="仿宋_GB2312" w:cs="Calibri"/>
                <w:color w:val="484848"/>
                <w:kern w:val="0"/>
                <w:sz w:val="22"/>
                <w:szCs w:val="22"/>
              </w:rPr>
              <w:t>天或持续改善</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鹿寨生态环境局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24</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环境空气主要污染物年均值</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达国</w:t>
            </w:r>
            <w:r>
              <w:rPr>
                <w:rFonts w:hint="eastAsia" w:ascii="仿宋_GB2312" w:hAnsi="仿宋" w:eastAsia="仿宋_GB2312" w:cs="Calibri"/>
                <w:color w:val="484848"/>
                <w:kern w:val="0"/>
                <w:sz w:val="24"/>
                <w:szCs w:val="24"/>
                <w:lang w:val="en-US" w:eastAsia="zh-CN"/>
              </w:rPr>
              <w:t>标</w:t>
            </w:r>
            <w:r>
              <w:rPr>
                <w:rFonts w:hint="eastAsia" w:ascii="仿宋_GB2312" w:hAnsi="仿宋" w:eastAsia="仿宋_GB2312" w:cs="Calibri"/>
                <w:color w:val="484848"/>
                <w:kern w:val="0"/>
                <w:sz w:val="24"/>
                <w:szCs w:val="24"/>
              </w:rPr>
              <w:t>二级标准</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鹿寨生态环境局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25</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区域环境噪声控制平均值</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55</w:t>
            </w:r>
            <w:r>
              <w:rPr>
                <w:rFonts w:hint="eastAsia" w:ascii="仿宋_GB2312" w:hAnsi="仿宋" w:eastAsia="仿宋_GB2312" w:cs="Calibri"/>
                <w:color w:val="484848"/>
                <w:kern w:val="0"/>
                <w:sz w:val="24"/>
                <w:szCs w:val="24"/>
              </w:rPr>
              <w:t>分贝</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鹿寨生态环境局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26</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声功能区环境质量夜间达标率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000000"/>
                <w:kern w:val="0"/>
                <w:sz w:val="24"/>
                <w:szCs w:val="24"/>
              </w:rPr>
              <w:t>75％</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鹿寨生态环境局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27</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集中式饮用水水源地水质达标率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鹿寨生态环境局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28</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医疗废物无害化处置率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鹿寨生态环境局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29</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学校校医或专（兼）职保健教师</w:t>
            </w:r>
            <w:r>
              <w:rPr>
                <w:rFonts w:hint="eastAsia" w:ascii="仿宋_GB2312" w:hAnsi="微软雅黑" w:eastAsia="仿宋_GB2312" w:cs="Calibri"/>
                <w:color w:val="000000"/>
                <w:kern w:val="0"/>
                <w:sz w:val="24"/>
                <w:szCs w:val="24"/>
              </w:rPr>
              <w:t>配备比率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&gt;70％</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hAnsi="仿宋" w:eastAsia="仿宋_GB2312" w:cs="Calibri"/>
                <w:color w:val="484848"/>
                <w:kern w:val="0"/>
                <w:sz w:val="24"/>
                <w:szCs w:val="24"/>
                <w:lang w:val="en-US" w:eastAsia="zh-CN"/>
              </w:rPr>
            </w:pPr>
            <w:r>
              <w:rPr>
                <w:rFonts w:hint="eastAsia" w:ascii="仿宋_GB2312" w:hAnsi="仿宋" w:eastAsia="仿宋_GB2312" w:cs="Calibri"/>
                <w:color w:val="484848"/>
                <w:kern w:val="0"/>
                <w:sz w:val="24"/>
                <w:szCs w:val="24"/>
                <w:lang w:val="en-US" w:eastAsia="zh-CN"/>
              </w:rPr>
              <w:t>县教育局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30</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中小学体育与健康课程开课率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县教育局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31</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中小学生每天校内体育活动时间</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1</w:t>
            </w:r>
            <w:r>
              <w:rPr>
                <w:rFonts w:hint="eastAsia" w:ascii="仿宋_GB2312" w:hAnsi="仿宋" w:eastAsia="仿宋_GB2312" w:cs="Calibri"/>
                <w:color w:val="484848"/>
                <w:kern w:val="0"/>
                <w:sz w:val="24"/>
                <w:szCs w:val="24"/>
              </w:rPr>
              <w:t>小时</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县教育局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32</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学校眼保健操普及率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100%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县教育局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33</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中小学生近视率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0000FF"/>
                <w:kern w:val="0"/>
                <w:sz w:val="24"/>
                <w:szCs w:val="24"/>
              </w:rPr>
            </w:pPr>
            <w:r>
              <w:rPr>
                <w:rFonts w:hint="eastAsia" w:ascii="仿宋_GB2312" w:hAnsi="仿宋" w:eastAsia="仿宋_GB2312" w:cs="Calibri"/>
                <w:color w:val="0000FF"/>
                <w:kern w:val="0"/>
                <w:sz w:val="24"/>
                <w:szCs w:val="24"/>
              </w:rPr>
              <w:t>逐年下降</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县教育局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34</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中小学生肥胖率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0000FF"/>
                <w:kern w:val="0"/>
                <w:sz w:val="24"/>
                <w:szCs w:val="24"/>
              </w:rPr>
            </w:pPr>
            <w:r>
              <w:rPr>
                <w:rFonts w:hint="eastAsia" w:ascii="仿宋_GB2312" w:hAnsi="仿宋" w:eastAsia="仿宋_GB2312" w:cs="Calibri"/>
                <w:color w:val="0000FF"/>
                <w:kern w:val="0"/>
                <w:sz w:val="24"/>
                <w:szCs w:val="24"/>
              </w:rPr>
              <w:t>逐年下降</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县教育局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35</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2"/>
                <w:szCs w:val="22"/>
              </w:rPr>
              <w:t>存在职业病目录所列职业病危害因素的企业职业病危害项目申报率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&gt;90％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36</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食品生产经营风险分级管理率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000000"/>
                <w:kern w:val="0"/>
                <w:sz w:val="24"/>
                <w:szCs w:val="24"/>
              </w:rPr>
              <w:t>90％</w:t>
            </w:r>
          </w:p>
        </w:tc>
        <w:tc>
          <w:tcPr>
            <w:tcW w:w="1905" w:type="dxa"/>
            <w:noWrap w:val="0"/>
            <w:tcMar>
              <w:top w:w="0" w:type="dxa"/>
              <w:left w:w="108" w:type="dxa"/>
              <w:bottom w:w="0" w:type="dxa"/>
              <w:right w:w="108" w:type="dxa"/>
            </w:tcMar>
            <w:vAlign w:val="center"/>
          </w:tcPr>
          <w:p>
            <w:pPr>
              <w:widowControl/>
              <w:spacing w:line="400" w:lineRule="exact"/>
              <w:jc w:val="center"/>
              <w:rPr>
                <w:rFonts w:hint="default" w:ascii="仿宋_GB2312" w:hAnsi="仿宋" w:eastAsia="仿宋_GB2312" w:cs="Calibri"/>
                <w:color w:val="484848"/>
                <w:kern w:val="0"/>
                <w:sz w:val="24"/>
                <w:szCs w:val="24"/>
                <w:lang w:val="en-US" w:eastAsia="zh-CN"/>
              </w:rPr>
            </w:pPr>
            <w:r>
              <w:rPr>
                <w:rFonts w:hint="eastAsia" w:ascii="仿宋_GB2312" w:hAnsi="仿宋" w:eastAsia="仿宋_GB2312" w:cs="Calibri"/>
                <w:color w:val="484848"/>
                <w:kern w:val="0"/>
                <w:sz w:val="24"/>
                <w:szCs w:val="24"/>
                <w:lang w:val="en-US" w:eastAsia="zh-CN"/>
              </w:rPr>
              <w:t>县市场监管局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37</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2"/>
                <w:szCs w:val="22"/>
              </w:rPr>
              <w:t>个人卫生支出占卫生总费用的比重</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25%</w:t>
            </w:r>
            <w:r>
              <w:rPr>
                <w:rFonts w:hint="eastAsia" w:ascii="仿宋_GB2312" w:hAnsi="仿宋" w:eastAsia="仿宋_GB2312" w:cs="Calibri"/>
                <w:color w:val="484848"/>
                <w:kern w:val="0"/>
                <w:sz w:val="24"/>
                <w:szCs w:val="24"/>
              </w:rPr>
              <w:t>或持续降低</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38</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甲、乙类法定传染病报告发病率</w:t>
            </w:r>
          </w:p>
        </w:tc>
        <w:tc>
          <w:tcPr>
            <w:tcW w:w="2036"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2"/>
                <w:szCs w:val="22"/>
              </w:rPr>
              <w:t>不高于近</w:t>
            </w:r>
            <w:r>
              <w:rPr>
                <w:rFonts w:hint="eastAsia" w:ascii="仿宋_GB2312" w:hAnsi="微软雅黑" w:eastAsia="仿宋_GB2312" w:cs="Calibri"/>
                <w:color w:val="484848"/>
                <w:kern w:val="0"/>
                <w:sz w:val="22"/>
                <w:szCs w:val="22"/>
              </w:rPr>
              <w:t>5</w:t>
            </w:r>
            <w:r>
              <w:rPr>
                <w:rFonts w:hint="eastAsia" w:ascii="仿宋_GB2312" w:hAnsi="仿宋" w:eastAsia="仿宋_GB2312" w:cs="Calibri"/>
                <w:color w:val="484848"/>
                <w:kern w:val="0"/>
                <w:sz w:val="22"/>
                <w:szCs w:val="22"/>
              </w:rPr>
              <w:t>年平均水平</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39</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婴儿死亡率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5.6</w:t>
            </w:r>
            <w:r>
              <w:rPr>
                <w:rFonts w:hint="eastAsia" w:ascii="仿宋_GB2312" w:hAnsi="仿宋" w:eastAsia="仿宋_GB2312" w:cs="Calibri"/>
                <w:color w:val="484848"/>
                <w:kern w:val="0"/>
                <w:sz w:val="24"/>
                <w:szCs w:val="24"/>
              </w:rPr>
              <w:t>‰或持续降低</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40</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5岁以下儿童死亡率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7.8</w:t>
            </w:r>
            <w:r>
              <w:rPr>
                <w:rFonts w:hint="eastAsia" w:ascii="仿宋_GB2312" w:hAnsi="仿宋" w:eastAsia="仿宋_GB2312" w:cs="Calibri"/>
                <w:color w:val="484848"/>
                <w:kern w:val="0"/>
                <w:sz w:val="24"/>
                <w:szCs w:val="24"/>
              </w:rPr>
              <w:t>‰或持续降低</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41</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孕产妇死亡率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2"/>
                <w:szCs w:val="22"/>
              </w:rPr>
              <w:t>≤</w:t>
            </w:r>
            <w:r>
              <w:rPr>
                <w:rFonts w:hint="eastAsia" w:ascii="仿宋_GB2312" w:hAnsi="微软雅黑" w:eastAsia="仿宋_GB2312" w:cs="Calibri"/>
                <w:color w:val="484848"/>
                <w:kern w:val="0"/>
                <w:sz w:val="22"/>
                <w:szCs w:val="22"/>
              </w:rPr>
              <w:t>18/10</w:t>
            </w:r>
            <w:r>
              <w:rPr>
                <w:rFonts w:hint="eastAsia" w:ascii="仿宋_GB2312" w:hAnsi="仿宋" w:eastAsia="仿宋_GB2312" w:cs="Calibri"/>
                <w:color w:val="484848"/>
                <w:kern w:val="0"/>
                <w:sz w:val="22"/>
                <w:szCs w:val="22"/>
              </w:rPr>
              <w:t>万或持续降低</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42</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人均预期寿命</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2"/>
                <w:szCs w:val="22"/>
              </w:rPr>
              <w:t>≥</w:t>
            </w:r>
            <w:r>
              <w:rPr>
                <w:rFonts w:hint="eastAsia" w:ascii="仿宋_GB2312" w:hAnsi="微软雅黑" w:eastAsia="仿宋_GB2312" w:cs="Calibri"/>
                <w:color w:val="484848"/>
                <w:kern w:val="0"/>
                <w:sz w:val="22"/>
                <w:szCs w:val="22"/>
              </w:rPr>
              <w:t>78.3</w:t>
            </w:r>
            <w:r>
              <w:rPr>
                <w:rFonts w:hint="eastAsia" w:ascii="仿宋_GB2312" w:hAnsi="仿宋" w:eastAsia="仿宋_GB2312" w:cs="Calibri"/>
                <w:color w:val="484848"/>
                <w:kern w:val="0"/>
                <w:sz w:val="22"/>
                <w:szCs w:val="22"/>
              </w:rPr>
              <w:t>岁或逐年提高</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43</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以街道（乡、镇）为单位适龄儿童免疫规划疫苗接种率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44</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居住满</w:t>
            </w:r>
            <w:r>
              <w:rPr>
                <w:rFonts w:hint="eastAsia" w:ascii="仿宋_GB2312" w:hAnsi="微软雅黑" w:eastAsia="仿宋_GB2312" w:cs="Calibri"/>
                <w:color w:val="484848"/>
                <w:kern w:val="0"/>
                <w:sz w:val="24"/>
                <w:szCs w:val="24"/>
              </w:rPr>
              <w:t>3</w:t>
            </w:r>
            <w:r>
              <w:rPr>
                <w:rFonts w:hint="eastAsia" w:ascii="仿宋_GB2312" w:hAnsi="仿宋" w:eastAsia="仿宋_GB2312" w:cs="Calibri"/>
                <w:color w:val="484848"/>
                <w:kern w:val="0"/>
                <w:sz w:val="24"/>
                <w:szCs w:val="24"/>
              </w:rPr>
              <w:t>个月以上的适龄儿童建卡建证率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95%</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45</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辖区内</w:t>
            </w:r>
            <w:r>
              <w:rPr>
                <w:rFonts w:hint="eastAsia" w:ascii="仿宋_GB2312" w:hAnsi="微软雅黑" w:eastAsia="仿宋_GB2312" w:cs="Calibri"/>
                <w:color w:val="484848"/>
                <w:kern w:val="0"/>
                <w:sz w:val="24"/>
                <w:szCs w:val="24"/>
              </w:rPr>
              <w:t>3</w:t>
            </w:r>
            <w:r>
              <w:rPr>
                <w:rFonts w:hint="eastAsia" w:ascii="仿宋_GB2312" w:hAnsi="仿宋" w:eastAsia="仿宋_GB2312" w:cs="Calibri"/>
                <w:color w:val="000000"/>
                <w:kern w:val="0"/>
                <w:sz w:val="24"/>
                <w:szCs w:val="24"/>
              </w:rPr>
              <w:t>岁以下儿童系统管理率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w:t>
            </w:r>
            <w:r>
              <w:rPr>
                <w:rFonts w:hint="eastAsia" w:ascii="仿宋_GB2312" w:hAnsi="微软雅黑" w:eastAsia="仿宋_GB2312" w:cs="Calibri"/>
                <w:color w:val="484848"/>
                <w:kern w:val="0"/>
                <w:sz w:val="24"/>
                <w:szCs w:val="24"/>
              </w:rPr>
              <w:t>90%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46</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0-6岁儿童眼保健和视力检查率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000000"/>
                <w:kern w:val="0"/>
                <w:sz w:val="24"/>
                <w:szCs w:val="24"/>
              </w:rPr>
              <w:t>≥</w:t>
            </w:r>
            <w:r>
              <w:rPr>
                <w:rFonts w:hint="eastAsia" w:ascii="仿宋_GB2312" w:hAnsi="微软雅黑" w:eastAsia="仿宋_GB2312" w:cs="Calibri"/>
                <w:color w:val="484848"/>
                <w:kern w:val="0"/>
                <w:sz w:val="24"/>
                <w:szCs w:val="24"/>
              </w:rPr>
              <w:t>90%</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47</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重大慢性病过早死亡率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呈下降趋势</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48</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严重精神障碍患者规范管理率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85%</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49</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2"/>
                <w:szCs w:val="22"/>
              </w:rPr>
              <w:t>每千常住人口医疗卫生机构床位数</w:t>
            </w:r>
          </w:p>
        </w:tc>
        <w:tc>
          <w:tcPr>
            <w:tcW w:w="2036" w:type="dxa"/>
            <w:vMerge w:val="restart"/>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符合所在地区域卫生规划要求</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50</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每千常住人口执业（助理）医师数</w:t>
            </w:r>
          </w:p>
        </w:tc>
        <w:tc>
          <w:tcPr>
            <w:tcW w:w="2036" w:type="dxa"/>
            <w:vMerge w:val="continue"/>
            <w:noWrap w:val="0"/>
            <w:vAlign w:val="center"/>
          </w:tcPr>
          <w:p>
            <w:pPr>
              <w:widowControl/>
              <w:spacing w:line="400" w:lineRule="exact"/>
              <w:jc w:val="left"/>
              <w:rPr>
                <w:rFonts w:hint="eastAsia" w:ascii="仿宋_GB2312" w:eastAsia="仿宋_GB2312" w:cs="Calibri"/>
                <w:color w:val="484848"/>
                <w:kern w:val="0"/>
                <w:sz w:val="24"/>
                <w:szCs w:val="24"/>
              </w:rPr>
            </w:pP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51</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每千常住人口注册护士数</w:t>
            </w:r>
          </w:p>
        </w:tc>
        <w:tc>
          <w:tcPr>
            <w:tcW w:w="2036" w:type="dxa"/>
            <w:vMerge w:val="continue"/>
            <w:noWrap w:val="0"/>
            <w:vAlign w:val="center"/>
          </w:tcPr>
          <w:p>
            <w:pPr>
              <w:widowControl/>
              <w:spacing w:line="400" w:lineRule="exact"/>
              <w:jc w:val="left"/>
              <w:rPr>
                <w:rFonts w:hint="eastAsia" w:ascii="仿宋_GB2312" w:eastAsia="仿宋_GB2312" w:cs="Calibri"/>
                <w:color w:val="484848"/>
                <w:kern w:val="0"/>
                <w:sz w:val="24"/>
                <w:szCs w:val="24"/>
              </w:rPr>
            </w:pP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52</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每千常住人口公共卫生人员数</w:t>
            </w:r>
          </w:p>
        </w:tc>
        <w:tc>
          <w:tcPr>
            <w:tcW w:w="2036" w:type="dxa"/>
            <w:vMerge w:val="continue"/>
            <w:noWrap w:val="0"/>
            <w:vAlign w:val="center"/>
          </w:tcPr>
          <w:p>
            <w:pPr>
              <w:widowControl/>
              <w:spacing w:line="400" w:lineRule="exact"/>
              <w:jc w:val="left"/>
              <w:rPr>
                <w:rFonts w:hint="eastAsia" w:ascii="仿宋_GB2312" w:eastAsia="仿宋_GB2312" w:cs="Calibri"/>
                <w:color w:val="484848"/>
                <w:kern w:val="0"/>
                <w:sz w:val="24"/>
                <w:szCs w:val="24"/>
              </w:rPr>
            </w:pP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53</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每千常住人口药师（药士）数</w:t>
            </w:r>
          </w:p>
        </w:tc>
        <w:tc>
          <w:tcPr>
            <w:tcW w:w="2036" w:type="dxa"/>
            <w:vMerge w:val="continue"/>
            <w:noWrap w:val="0"/>
            <w:vAlign w:val="center"/>
          </w:tcPr>
          <w:p>
            <w:pPr>
              <w:widowControl/>
              <w:spacing w:line="400" w:lineRule="exact"/>
              <w:jc w:val="left"/>
              <w:rPr>
                <w:rFonts w:hint="eastAsia" w:ascii="仿宋_GB2312" w:eastAsia="仿宋_GB2312" w:cs="Calibri"/>
                <w:color w:val="484848"/>
                <w:kern w:val="0"/>
                <w:sz w:val="24"/>
                <w:szCs w:val="24"/>
              </w:rPr>
            </w:pP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54</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每万常住人口全科医生数</w:t>
            </w:r>
          </w:p>
        </w:tc>
        <w:tc>
          <w:tcPr>
            <w:tcW w:w="2036" w:type="dxa"/>
            <w:vMerge w:val="continue"/>
            <w:noWrap w:val="0"/>
            <w:vAlign w:val="center"/>
          </w:tcPr>
          <w:p>
            <w:pPr>
              <w:widowControl/>
              <w:spacing w:line="400" w:lineRule="exact"/>
              <w:jc w:val="left"/>
              <w:rPr>
                <w:rFonts w:hint="eastAsia" w:ascii="仿宋_GB2312" w:eastAsia="仿宋_GB2312" w:cs="Calibri"/>
                <w:color w:val="484848"/>
                <w:kern w:val="0"/>
                <w:sz w:val="24"/>
                <w:szCs w:val="24"/>
              </w:rPr>
            </w:pP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8" w:hRule="atLeast"/>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55</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lang w:val="en-US" w:eastAsia="zh-CN"/>
              </w:rPr>
              <w:t>县城</w:t>
            </w:r>
            <w:r>
              <w:rPr>
                <w:rFonts w:hint="eastAsia" w:ascii="仿宋_GB2312" w:hAnsi="仿宋" w:eastAsia="仿宋_GB2312" w:cs="Calibri"/>
                <w:color w:val="484848"/>
                <w:kern w:val="0"/>
                <w:sz w:val="24"/>
                <w:szCs w:val="24"/>
              </w:rPr>
              <w:t>鼠、蚊、蝇、蟑螂的密度</w:t>
            </w:r>
          </w:p>
        </w:tc>
        <w:tc>
          <w:tcPr>
            <w:tcW w:w="2036"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达到国家病媒生物密度控制水平标准</w:t>
            </w:r>
            <w:r>
              <w:rPr>
                <w:rFonts w:hint="eastAsia" w:ascii="仿宋_GB2312" w:hAnsi="微软雅黑" w:eastAsia="仿宋_GB2312" w:cs="Calibri"/>
                <w:color w:val="484848"/>
                <w:kern w:val="0"/>
                <w:sz w:val="24"/>
                <w:szCs w:val="24"/>
              </w:rPr>
              <w:t>C</w:t>
            </w:r>
            <w:r>
              <w:rPr>
                <w:rFonts w:hint="eastAsia" w:ascii="仿宋_GB2312" w:hAnsi="仿宋" w:eastAsia="仿宋_GB2312" w:cs="Calibri"/>
                <w:color w:val="484848"/>
                <w:kern w:val="0"/>
                <w:sz w:val="24"/>
                <w:szCs w:val="24"/>
              </w:rPr>
              <w:t>级要求</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15" w:type="dxa"/>
            <w:noWrap w:val="0"/>
            <w:tcMar>
              <w:top w:w="0" w:type="dxa"/>
              <w:left w:w="108" w:type="dxa"/>
              <w:bottom w:w="0" w:type="dxa"/>
              <w:right w:w="108" w:type="dxa"/>
            </w:tcMar>
            <w:vAlign w:val="center"/>
          </w:tcPr>
          <w:p>
            <w:pPr>
              <w:widowControl/>
              <w:spacing w:line="400" w:lineRule="exact"/>
              <w:jc w:val="center"/>
              <w:rPr>
                <w:rFonts w:hint="eastAsia" w:ascii="黑体" w:hAnsi="黑体" w:eastAsia="黑体" w:cs="Calibri"/>
                <w:color w:val="484848"/>
                <w:kern w:val="0"/>
                <w:sz w:val="24"/>
                <w:szCs w:val="24"/>
              </w:rPr>
            </w:pPr>
            <w:r>
              <w:rPr>
                <w:rFonts w:hint="eastAsia" w:ascii="黑体" w:hAnsi="黑体" w:eastAsia="黑体" w:cs="Calibri"/>
                <w:color w:val="484848"/>
                <w:kern w:val="0"/>
                <w:sz w:val="24"/>
                <w:szCs w:val="24"/>
              </w:rPr>
              <w:t>56</w:t>
            </w:r>
          </w:p>
        </w:tc>
        <w:tc>
          <w:tcPr>
            <w:tcW w:w="3739" w:type="dxa"/>
            <w:noWrap w:val="0"/>
            <w:tcMar>
              <w:top w:w="0" w:type="dxa"/>
              <w:left w:w="108" w:type="dxa"/>
              <w:bottom w:w="0" w:type="dxa"/>
              <w:right w:w="108" w:type="dxa"/>
            </w:tcMar>
            <w:vAlign w:val="center"/>
          </w:tcPr>
          <w:p>
            <w:pPr>
              <w:widowControl/>
              <w:spacing w:line="400" w:lineRule="exact"/>
              <w:jc w:val="left"/>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重点行业和单位防蝇和防鼠设施合格率</w:t>
            </w:r>
          </w:p>
        </w:tc>
        <w:tc>
          <w:tcPr>
            <w:tcW w:w="2036"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rPr>
            </w:pPr>
            <w:r>
              <w:rPr>
                <w:rFonts w:hint="eastAsia" w:ascii="仿宋_GB2312" w:hAnsi="仿宋" w:eastAsia="仿宋_GB2312" w:cs="Calibri"/>
                <w:color w:val="484848"/>
                <w:kern w:val="0"/>
                <w:sz w:val="24"/>
                <w:szCs w:val="24"/>
              </w:rPr>
              <w:t>≥</w:t>
            </w:r>
            <w:r>
              <w:rPr>
                <w:rFonts w:hint="eastAsia" w:ascii="仿宋_GB2312" w:hAnsi="微软雅黑" w:eastAsia="仿宋_GB2312" w:cs="Calibri"/>
                <w:color w:val="484848"/>
                <w:kern w:val="0"/>
                <w:sz w:val="24"/>
                <w:szCs w:val="24"/>
              </w:rPr>
              <w:t>95%</w:t>
            </w:r>
          </w:p>
        </w:tc>
        <w:tc>
          <w:tcPr>
            <w:tcW w:w="1905" w:type="dxa"/>
            <w:noWrap w:val="0"/>
            <w:tcMar>
              <w:top w:w="0" w:type="dxa"/>
              <w:left w:w="108" w:type="dxa"/>
              <w:bottom w:w="0" w:type="dxa"/>
              <w:right w:w="108" w:type="dxa"/>
            </w:tcMar>
            <w:vAlign w:val="center"/>
          </w:tcPr>
          <w:p>
            <w:pPr>
              <w:widowControl/>
              <w:spacing w:line="400" w:lineRule="exact"/>
              <w:jc w:val="center"/>
              <w:rPr>
                <w:rFonts w:hint="eastAsia" w:ascii="仿宋_GB2312" w:hAnsi="仿宋" w:eastAsia="仿宋_GB2312" w:cs="Calibri"/>
                <w:color w:val="484848"/>
                <w:kern w:val="0"/>
                <w:sz w:val="24"/>
                <w:szCs w:val="24"/>
              </w:rPr>
            </w:pPr>
            <w:r>
              <w:rPr>
                <w:rFonts w:hint="eastAsia" w:ascii="仿宋_GB2312" w:eastAsia="仿宋_GB2312" w:cs="Calibri"/>
                <w:color w:val="484848"/>
                <w:kern w:val="0"/>
                <w:sz w:val="24"/>
                <w:szCs w:val="24"/>
                <w:lang w:val="en-US" w:eastAsia="zh-CN"/>
              </w:rPr>
              <w:t>县卫健局</w:t>
            </w:r>
          </w:p>
        </w:tc>
        <w:tc>
          <w:tcPr>
            <w:tcW w:w="1459" w:type="dxa"/>
            <w:noWrap w:val="0"/>
            <w:tcMar>
              <w:top w:w="0" w:type="dxa"/>
              <w:left w:w="108" w:type="dxa"/>
              <w:bottom w:w="0" w:type="dxa"/>
              <w:right w:w="108" w:type="dxa"/>
            </w:tcMar>
            <w:vAlign w:val="center"/>
          </w:tcPr>
          <w:p>
            <w:pPr>
              <w:widowControl/>
              <w:spacing w:line="400" w:lineRule="exact"/>
              <w:jc w:val="center"/>
              <w:rPr>
                <w:rFonts w:hint="eastAsia" w:ascii="仿宋_GB2312" w:eastAsia="仿宋_GB2312" w:cs="Calibri"/>
                <w:color w:val="484848"/>
                <w:kern w:val="0"/>
                <w:sz w:val="24"/>
                <w:szCs w:val="24"/>
                <w:lang w:val="en-US" w:eastAsia="zh-CN"/>
              </w:rPr>
            </w:pPr>
            <w:r>
              <w:rPr>
                <w:rFonts w:hint="eastAsia" w:ascii="仿宋_GB2312" w:eastAsia="仿宋_GB2312" w:cs="Calibri"/>
                <w:color w:val="484848"/>
                <w:kern w:val="0"/>
                <w:sz w:val="24"/>
                <w:szCs w:val="24"/>
                <w:lang w:val="en-US" w:eastAsia="zh-CN"/>
              </w:rPr>
              <w:t>各有关单位</w:t>
            </w:r>
          </w:p>
        </w:tc>
      </w:tr>
    </w:tbl>
    <w:p>
      <w:pPr>
        <w:widowControl/>
        <w:spacing w:line="560" w:lineRule="exact"/>
        <w:rPr>
          <w:rFonts w:hint="eastAsia" w:ascii="仿宋_GB2312" w:hAnsi="微软雅黑" w:eastAsia="仿宋_GB2312" w:cs="Calibri"/>
          <w:b/>
          <w:bCs/>
          <w:color w:val="484848"/>
          <w:kern w:val="0"/>
          <w:szCs w:val="21"/>
        </w:rPr>
      </w:pPr>
      <w:r>
        <w:rPr>
          <w:rFonts w:hint="eastAsia" w:ascii="仿宋_GB2312" w:hAnsi="微软雅黑" w:eastAsia="仿宋_GB2312" w:cs="Calibri"/>
          <w:b/>
          <w:bCs/>
          <w:color w:val="484848"/>
          <w:kern w:val="0"/>
          <w:szCs w:val="21"/>
        </w:rPr>
        <w:t> </w:t>
      </w:r>
    </w:p>
    <w:p>
      <w:pPr>
        <w:pStyle w:val="3"/>
        <w:rPr>
          <w:rFonts w:hint="eastAsia" w:ascii="仿宋_GB2312" w:hAnsi="微软雅黑" w:eastAsia="仿宋_GB2312" w:cs="Calibri"/>
          <w:b/>
          <w:bCs/>
          <w:color w:val="484848"/>
          <w:kern w:val="0"/>
          <w:szCs w:val="21"/>
        </w:rPr>
      </w:pPr>
    </w:p>
    <w:p>
      <w:pPr>
        <w:pStyle w:val="4"/>
        <w:rPr>
          <w:rFonts w:hint="eastAsia" w:ascii="仿宋_GB2312" w:hAnsi="微软雅黑" w:eastAsia="仿宋_GB2312" w:cs="Calibri"/>
          <w:b/>
          <w:bCs/>
          <w:color w:val="484848"/>
          <w:kern w:val="0"/>
          <w:szCs w:val="21"/>
        </w:rPr>
      </w:pPr>
    </w:p>
    <w:p>
      <w:pPr>
        <w:rPr>
          <w:rFonts w:hint="eastAsia" w:ascii="仿宋_GB2312" w:hAnsi="微软雅黑" w:eastAsia="仿宋_GB2312" w:cs="Calibri"/>
          <w:b/>
          <w:bCs/>
          <w:color w:val="484848"/>
          <w:kern w:val="0"/>
          <w:szCs w:val="21"/>
        </w:rPr>
      </w:pPr>
    </w:p>
    <w:p>
      <w:pPr>
        <w:pStyle w:val="3"/>
        <w:rPr>
          <w:rFonts w:hint="eastAsia" w:ascii="仿宋_GB2312" w:hAnsi="微软雅黑" w:eastAsia="仿宋_GB2312" w:cs="Calibri"/>
          <w:b/>
          <w:bCs/>
          <w:color w:val="484848"/>
          <w:kern w:val="0"/>
          <w:szCs w:val="21"/>
        </w:rPr>
      </w:pPr>
    </w:p>
    <w:p>
      <w:pPr>
        <w:rPr>
          <w:rFonts w:hint="eastAsia" w:ascii="仿宋_GB2312" w:hAnsi="微软雅黑" w:eastAsia="仿宋_GB2312" w:cs="Calibri"/>
          <w:b/>
          <w:bCs/>
          <w:color w:val="484848"/>
          <w:kern w:val="0"/>
          <w:szCs w:val="21"/>
          <w:lang w:val="en-US" w:eastAsia="zh-CN"/>
        </w:rPr>
      </w:pPr>
    </w:p>
    <w:p>
      <w:pPr>
        <w:bidi w:val="0"/>
        <w:rPr>
          <w:rFonts w:hint="eastAsia" w:ascii="Times New Roman" w:hAnsi="Times New Roman" w:eastAsia="宋体" w:cs="Times New Roman"/>
          <w:kern w:val="2"/>
          <w:sz w:val="21"/>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08"/>
        </w:tabs>
        <w:bidi w:val="0"/>
        <w:jc w:val="left"/>
        <w:rPr>
          <w:rFonts w:hint="default"/>
          <w:lang w:val="en-US" w:eastAsia="zh-CN"/>
        </w:rPr>
      </w:pPr>
    </w:p>
    <w:sectPr>
      <w:footerReference r:id="rId4" w:type="default"/>
      <w:pgSz w:w="11906" w:h="16838"/>
      <w:pgMar w:top="2098" w:right="1276" w:bottom="39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0B1A2"/>
    <w:multiLevelType w:val="singleLevel"/>
    <w:tmpl w:val="8D20B1A2"/>
    <w:lvl w:ilvl="0" w:tentative="0">
      <w:start w:val="1"/>
      <w:numFmt w:val="decimal"/>
      <w:lvlText w:val="%1."/>
      <w:lvlJc w:val="left"/>
      <w:pPr>
        <w:tabs>
          <w:tab w:val="left" w:pos="312"/>
        </w:tabs>
      </w:pPr>
    </w:lvl>
  </w:abstractNum>
  <w:abstractNum w:abstractNumId="1">
    <w:nsid w:val="FA06D995"/>
    <w:multiLevelType w:val="singleLevel"/>
    <w:tmpl w:val="FA06D99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TJkNmRlNzQ5Yjk3NDhiYzA4NjUxZjVkOTAyMDcifQ=="/>
  </w:docVars>
  <w:rsids>
    <w:rsidRoot w:val="592F35BB"/>
    <w:rsid w:val="031B2C7F"/>
    <w:rsid w:val="078A03D3"/>
    <w:rsid w:val="0E0802A4"/>
    <w:rsid w:val="0F0F5662"/>
    <w:rsid w:val="17822888"/>
    <w:rsid w:val="18B51028"/>
    <w:rsid w:val="1B9D2D3F"/>
    <w:rsid w:val="24DD5B8E"/>
    <w:rsid w:val="31A737AC"/>
    <w:rsid w:val="32827D75"/>
    <w:rsid w:val="3B9558B8"/>
    <w:rsid w:val="3BE54E63"/>
    <w:rsid w:val="426E3E72"/>
    <w:rsid w:val="43C006FD"/>
    <w:rsid w:val="485B6C46"/>
    <w:rsid w:val="4A2C089A"/>
    <w:rsid w:val="4A3E2905"/>
    <w:rsid w:val="58F20F01"/>
    <w:rsid w:val="592F35BB"/>
    <w:rsid w:val="5D024701"/>
    <w:rsid w:val="636956E3"/>
    <w:rsid w:val="76C324D4"/>
    <w:rsid w:val="77234A70"/>
    <w:rsid w:val="77387FCF"/>
    <w:rsid w:val="7808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napToGrid w:val="0"/>
      <w:spacing w:line="500" w:lineRule="exact"/>
      <w:ind w:firstLine="623"/>
    </w:pPr>
    <w:rPr>
      <w:rFonts w:ascii="Times New Roman" w:hAnsi="Times New Roman" w:eastAsia="仿宋_GB2312"/>
      <w:spacing w:val="-6"/>
      <w:sz w:val="32"/>
      <w:szCs w:val="32"/>
    </w:rPr>
  </w:style>
  <w:style w:type="paragraph" w:styleId="3">
    <w:name w:val="Body Text"/>
    <w:basedOn w:val="1"/>
    <w:next w:val="4"/>
    <w:qFormat/>
    <w:uiPriority w:val="0"/>
    <w:pPr>
      <w:spacing w:line="400" w:lineRule="atLeast"/>
      <w:jc w:val="center"/>
    </w:pPr>
    <w:rPr>
      <w:rFonts w:ascii="Times New Roman" w:hAnsi="Times New Roman" w:eastAsia="仿宋_GB2312"/>
      <w:kern w:val="2"/>
      <w:sz w:val="24"/>
      <w:szCs w:val="24"/>
    </w:rPr>
  </w:style>
  <w:style w:type="paragraph" w:styleId="4">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5">
    <w:name w:val="footer"/>
    <w:basedOn w:val="1"/>
    <w:qFormat/>
    <w:uiPriority w:val="0"/>
    <w:pPr>
      <w:tabs>
        <w:tab w:val="center" w:pos="4153"/>
        <w:tab w:val="right" w:pos="8306"/>
      </w:tabs>
      <w:snapToGrid w:val="0"/>
      <w:jc w:val="left"/>
    </w:pPr>
    <w:rPr>
      <w:rFonts w:ascii="Times New Roman" w:hAnsi="Times New Roman"/>
      <w:kern w:val="2"/>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20264</Words>
  <Characters>21150</Characters>
  <Lines>0</Lines>
  <Paragraphs>0</Paragraphs>
  <TotalTime>43</TotalTime>
  <ScaleCrop>false</ScaleCrop>
  <LinksUpToDate>false</LinksUpToDate>
  <CharactersWithSpaces>21727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2023-06-20T07:50:00Z</dcterms:created>
  <dc:creator>青苔上的小脚丫</dc:creator>
  <cp:lastModifiedBy>青苔上的小脚丫</cp:lastModifiedBy>
  <cp:lastPrinted>2023-06-21T01:12:00Z</cp:lastPrinted>
  <dcterms:modified xsi:type="dcterms:W3CDTF">2023-06-27T07:58:28Z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7E63AFAEE3E0475BB4EFB863BD8A1774_11</vt:lpwstr>
  </property>
</Properties>
</file>