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lang w:val="en-US" w:eastAsia="zh-CN"/>
        </w:rPr>
        <w:t>鹿寨县信息化建设中心</w:t>
      </w:r>
    </w:p>
    <w:p>
      <w:pPr>
        <w:jc w:val="center"/>
        <w:rPr>
          <w:rFonts w:ascii="黑体" w:eastAsia="黑体" w:cs="ArialUnicodeMS"/>
          <w:kern w:val="0"/>
          <w:sz w:val="52"/>
          <w:szCs w:val="52"/>
        </w:rPr>
      </w:pPr>
      <w:r>
        <w:rPr>
          <w:rFonts w:hint="eastAsia" w:ascii="黑体" w:eastAsia="黑体"/>
          <w:kern w:val="0"/>
          <w:sz w:val="52"/>
          <w:szCs w:val="52"/>
          <w:lang w:eastAsia="zh-CN"/>
        </w:rPr>
        <w:t>2021</w:t>
      </w:r>
      <w:r>
        <w:rPr>
          <w:rFonts w:hint="eastAsia" w:ascii="黑体" w:eastAsia="黑体" w:cs="ArialUnicodeMS"/>
          <w:kern w:val="0"/>
          <w:sz w:val="52"/>
          <w:szCs w:val="52"/>
        </w:rPr>
        <w:t>年度部门决算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eastAsia="仿宋_GB2312"/>
          <w:b/>
          <w:sz w:val="32"/>
          <w:szCs w:val="32"/>
          <w:lang w:eastAsia="zh-CN"/>
        </w:rPr>
        <w:t>鹿寨县信息化建设中心</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鹿寨县信息化建设中心2021</w:t>
      </w:r>
      <w:r>
        <w:rPr>
          <w:rFonts w:hint="eastAsia" w:ascii="仿宋_GB2312" w:eastAsia="仿宋_GB2312"/>
          <w:b/>
          <w:sz w:val="32"/>
          <w:szCs w:val="32"/>
        </w:rPr>
        <w:t>年部门决算报表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firstLine="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鹿寨县信息化建设中心2021</w:t>
      </w:r>
      <w:r>
        <w:rPr>
          <w:rFonts w:hint="eastAsia" w:ascii="仿宋_GB2312" w:eastAsia="仿宋_GB2312"/>
          <w:b/>
          <w:sz w:val="32"/>
          <w:szCs w:val="32"/>
        </w:rPr>
        <w:t>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2021</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eastAsia="仿宋_GB2312"/>
          <w:b/>
          <w:sz w:val="32"/>
          <w:szCs w:val="32"/>
          <w:lang w:eastAsia="zh-CN"/>
        </w:rPr>
        <w:t>鹿寨县信息化建设中心</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napToGrid w:val="0"/>
        <w:spacing w:line="520" w:lineRule="exact"/>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1．主要职能。鹿寨县信息化建设中心内设综合部、网络信息部、数据资源部三个职能部门。其基本职能及主要工作目标是</w:t>
      </w:r>
      <w:r>
        <w:rPr>
          <w:rFonts w:hint="eastAsia" w:ascii="仿宋_GB2312" w:eastAsia="仿宋_GB2312"/>
          <w:sz w:val="32"/>
          <w:szCs w:val="32"/>
        </w:rPr>
        <w:t>负责统筹协调推进</w:t>
      </w:r>
      <w:r>
        <w:rPr>
          <w:rFonts w:hint="eastAsia" w:ascii="仿宋_GB2312" w:eastAsia="仿宋_GB2312"/>
          <w:sz w:val="32"/>
          <w:szCs w:val="32"/>
          <w:lang w:eastAsia="zh-CN"/>
        </w:rPr>
        <w:t>全县</w:t>
      </w:r>
      <w:r>
        <w:rPr>
          <w:rFonts w:hint="eastAsia" w:ascii="仿宋_GB2312" w:eastAsia="仿宋_GB2312"/>
          <w:sz w:val="32"/>
          <w:szCs w:val="32"/>
        </w:rPr>
        <w:t>信息化、数字</w:t>
      </w:r>
      <w:r>
        <w:rPr>
          <w:rFonts w:hint="eastAsia" w:ascii="仿宋_GB2312" w:eastAsia="仿宋_GB2312"/>
          <w:sz w:val="32"/>
          <w:szCs w:val="32"/>
          <w:lang w:eastAsia="zh-CN"/>
        </w:rPr>
        <w:t>化</w:t>
      </w:r>
      <w:r>
        <w:rPr>
          <w:rFonts w:hint="eastAsia" w:ascii="仿宋_GB2312" w:eastAsia="仿宋_GB2312"/>
          <w:sz w:val="32"/>
          <w:szCs w:val="32"/>
        </w:rPr>
        <w:t>建设。负责推进电子政务网络、数据资源安全体系建设</w:t>
      </w:r>
      <w:r>
        <w:rPr>
          <w:rFonts w:hint="eastAsia" w:ascii="仿宋_GB2312" w:eastAsia="仿宋_GB2312"/>
          <w:sz w:val="32"/>
          <w:szCs w:val="32"/>
          <w:lang w:eastAsia="zh-CN"/>
        </w:rPr>
        <w:t>，</w:t>
      </w:r>
      <w:r>
        <w:rPr>
          <w:rFonts w:hint="eastAsia" w:ascii="仿宋_GB2312" w:eastAsia="仿宋_GB2312"/>
          <w:sz w:val="32"/>
          <w:szCs w:val="32"/>
        </w:rPr>
        <w:t>配合做好网络安全工作。负责协调通信基础设施等其他基础设施建设。负责协调推进公共数据共享平台建设。负责统筹全县数据资源建设、管理、应用，政务数据的汇聚、共享。指导协调行业主管部门推进社会数据的汇聚、共享，统筹推进政府数据和社会数据的开放、应用。负责全县统一的电子政务云平台、公共应用平台和公共支撑平台建设</w:t>
      </w:r>
      <w:r>
        <w:rPr>
          <w:rFonts w:hint="eastAsia" w:ascii="仿宋_GB2312" w:eastAsia="仿宋_GB2312"/>
          <w:sz w:val="32"/>
          <w:szCs w:val="32"/>
          <w:lang w:eastAsia="zh-CN"/>
        </w:rPr>
        <w:t>推进</w:t>
      </w:r>
      <w:r>
        <w:rPr>
          <w:rFonts w:hint="eastAsia" w:ascii="仿宋_GB2312" w:eastAsia="仿宋_GB2312"/>
          <w:sz w:val="32"/>
          <w:szCs w:val="32"/>
        </w:rPr>
        <w:t>。负责县政府网站的统筹规划、监督考核、综合分析等工作。</w:t>
      </w:r>
    </w:p>
    <w:p>
      <w:pPr>
        <w:ind w:firstLine="645"/>
        <w:rPr>
          <w:rFonts w:hint="eastAsia" w:ascii="仿宋_GB2312" w:eastAsia="仿宋_GB2312"/>
          <w:sz w:val="32"/>
          <w:szCs w:val="32"/>
          <w:lang w:val="en-US" w:eastAsia="zh-CN"/>
        </w:rPr>
      </w:pPr>
      <w:r>
        <w:rPr>
          <w:rFonts w:hint="eastAsia" w:ascii="仿宋_GB2312" w:eastAsia="仿宋_GB2312"/>
          <w:sz w:val="32"/>
          <w:szCs w:val="32"/>
        </w:rPr>
        <w:t>二、部门决算单位构成</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鹿寨县信息化建设办室机构改革后更名为鹿寨县信息化建设中心，</w:t>
      </w:r>
      <w:r>
        <w:rPr>
          <w:rFonts w:hint="eastAsia" w:ascii="仿宋_GB2312" w:hAnsi="仿宋" w:eastAsia="仿宋_GB2312"/>
          <w:sz w:val="32"/>
          <w:szCs w:val="32"/>
          <w:lang w:val="en-US" w:eastAsia="zh-CN"/>
        </w:rPr>
        <w:t>加</w:t>
      </w:r>
      <w:r>
        <w:rPr>
          <w:rFonts w:hint="eastAsia" w:ascii="仿宋_GB2312" w:hAnsi="仿宋" w:eastAsia="仿宋_GB2312"/>
          <w:sz w:val="32"/>
          <w:szCs w:val="32"/>
          <w:lang w:eastAsia="zh-CN"/>
        </w:rPr>
        <w:t>挂县大数据建设中心牌子。核定事业编制13名。变动原因根据《鹿寨县机构改革方案》、《鹿寨县本级事业单位规范调整工作方案》</w:t>
      </w:r>
      <w:r>
        <w:rPr>
          <w:rFonts w:hint="eastAsia" w:ascii="仿宋_GB2312" w:hAnsi="仿宋" w:eastAsia="仿宋_GB2312"/>
          <w:sz w:val="32"/>
          <w:szCs w:val="32"/>
          <w:lang w:val="en-US" w:eastAsia="zh-CN"/>
        </w:rPr>
        <w:t>等</w:t>
      </w:r>
      <w:r>
        <w:rPr>
          <w:rFonts w:hint="eastAsia" w:ascii="仿宋_GB2312" w:hAnsi="仿宋" w:eastAsia="仿宋_GB2312"/>
          <w:sz w:val="32"/>
          <w:szCs w:val="32"/>
          <w:lang w:eastAsia="zh-CN"/>
        </w:rPr>
        <w:t>精神变动。现实有在职人数</w:t>
      </w:r>
      <w:r>
        <w:rPr>
          <w:rFonts w:hint="eastAsia" w:ascii="仿宋_GB2312" w:hAnsi="仿宋" w:eastAsia="仿宋_GB2312"/>
          <w:sz w:val="32"/>
          <w:szCs w:val="32"/>
          <w:lang w:val="en-US" w:eastAsia="zh-CN"/>
        </w:rPr>
        <w:t>12</w:t>
      </w:r>
      <w:r>
        <w:rPr>
          <w:rFonts w:hint="eastAsia" w:ascii="仿宋_GB2312" w:hAnsi="仿宋" w:eastAsia="仿宋_GB2312"/>
          <w:sz w:val="32"/>
          <w:szCs w:val="32"/>
          <w:lang w:eastAsia="zh-CN"/>
        </w:rPr>
        <w:t>人，其中在职在编</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人、控制数人员</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人、退休人员</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人，遗属补助人员</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center"/>
        <w:textAlignment w:val="auto"/>
        <w:rPr>
          <w:rFonts w:hint="eastAsia" w:ascii="仿宋_GB2312" w:eastAsia="仿宋_GB2312"/>
          <w:b/>
          <w:sz w:val="32"/>
          <w:szCs w:val="32"/>
        </w:rPr>
      </w:pPr>
    </w:p>
    <w:p>
      <w:pPr>
        <w:pStyle w:val="2"/>
        <w:rPr>
          <w:rFonts w:hint="eastAsia" w:ascii="仿宋_GB2312" w:eastAsia="仿宋_GB2312"/>
          <w:b/>
          <w:sz w:val="32"/>
          <w:szCs w:val="32"/>
        </w:rPr>
        <w:sectPr>
          <w:headerReference r:id="rId3" w:type="default"/>
          <w:footerReference r:id="rId4" w:type="default"/>
          <w:pgSz w:w="11906" w:h="16838"/>
          <w:pgMar w:top="1440" w:right="964" w:bottom="1440" w:left="1134" w:header="851" w:footer="992" w:gutter="0"/>
          <w:pgNumType w:fmt="numberInDash"/>
          <w:cols w:space="0" w:num="1"/>
          <w:rtlGutter w:val="0"/>
          <w:docGrid w:type="lines" w:linePitch="340" w:charSpace="0"/>
        </w:sectP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鹿寨县信息化建设中心</w:t>
      </w:r>
      <w:r>
        <w:rPr>
          <w:rFonts w:hint="eastAsia" w:ascii="仿宋_GB2312" w:eastAsia="仿宋_GB2312"/>
          <w:b/>
          <w:sz w:val="32"/>
          <w:szCs w:val="32"/>
        </w:rPr>
        <w:t xml:space="preserve"> </w:t>
      </w:r>
      <w:r>
        <w:rPr>
          <w:rFonts w:hint="eastAsia" w:ascii="仿宋_GB2312" w:eastAsia="仿宋_GB2312"/>
          <w:b/>
          <w:sz w:val="32"/>
          <w:szCs w:val="32"/>
          <w:lang w:eastAsia="zh-CN"/>
        </w:rPr>
        <w:t>2021</w:t>
      </w:r>
      <w:r>
        <w:rPr>
          <w:rFonts w:hint="eastAsia" w:ascii="仿宋_GB2312" w:eastAsia="仿宋_GB2312"/>
          <w:b/>
          <w:sz w:val="32"/>
          <w:szCs w:val="32"/>
        </w:rPr>
        <w:t>年部门决算报表</w:t>
      </w:r>
    </w:p>
    <w:p>
      <w:pPr>
        <w:ind w:firstLine="640" w:firstLineChars="200"/>
        <w:rPr>
          <w:rFonts w:hint="eastAsia" w:ascii="仿宋_GB2312" w:hAnsi="黑体" w:eastAsia="仿宋_GB2312"/>
          <w:b/>
          <w:sz w:val="32"/>
          <w:szCs w:val="32"/>
        </w:rPr>
      </w:pPr>
      <w:r>
        <w:rPr>
          <w:rFonts w:hint="eastAsia" w:ascii="仿宋_GB2312" w:hAnsi="黑体" w:eastAsia="仿宋_GB2312"/>
          <w:sz w:val="32"/>
          <w:szCs w:val="32"/>
        </w:rPr>
        <w:t>《收入决算表》《支出决算表》《一般公共预算财政拨款支出决算表》、《政府性基金预算财政拨款收入支出决算表》和《</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r>
        <w:rPr>
          <w:rFonts w:hint="eastAsia" w:ascii="仿宋_GB2312" w:hAnsi="黑体" w:eastAsia="仿宋_GB2312"/>
          <w:sz w:val="32"/>
          <w:szCs w:val="32"/>
        </w:rPr>
        <w:t>》应当细化公开到支出功能分类项级科目，《一般公共预算财政拨款基本支出决算表》应当细化公开到经济分类款级科目。</w:t>
      </w:r>
      <w:r>
        <w:rPr>
          <w:rFonts w:hint="eastAsia" w:ascii="仿宋_GB2312" w:hAnsi="黑体" w:eastAsia="仿宋_GB2312"/>
          <w:b/>
          <w:sz w:val="32"/>
          <w:szCs w:val="32"/>
        </w:rPr>
        <w:t>没有数据的表格要零报告，列出空表并在表格下方说明“XX（委、局、办）没有XX收入，也没有XX安排的支出，故本表无数据”。</w:t>
      </w:r>
    </w:p>
    <w:p>
      <w:pPr>
        <w:jc w:val="center"/>
      </w:pPr>
    </w:p>
    <w:p/>
    <w:p>
      <w:pPr>
        <w:jc w:val="right"/>
        <w:rPr>
          <w:sz w:val="22"/>
          <w:szCs w:val="22"/>
        </w:rPr>
      </w:pPr>
      <w:r>
        <w:rPr>
          <w:rFonts w:hint="eastAsia"/>
          <w:sz w:val="22"/>
          <w:szCs w:val="22"/>
        </w:rPr>
        <w:t xml:space="preserve">                    </w:t>
      </w:r>
    </w:p>
    <w:p/>
    <w:p/>
    <w:p/>
    <w:p>
      <w:pPr>
        <w:ind w:firstLine="640"/>
        <w:rPr>
          <w:rFonts w:hint="eastAsia" w:ascii="仿宋_GB2312" w:eastAsia="仿宋_GB2312"/>
          <w:b/>
          <w:sz w:val="32"/>
          <w:szCs w:val="32"/>
        </w:rPr>
        <w:sectPr>
          <w:pgSz w:w="11906" w:h="16838"/>
          <w:pgMar w:top="1440" w:right="964" w:bottom="1440" w:left="1134" w:header="851" w:footer="992" w:gutter="0"/>
          <w:pgNumType w:fmt="numberInDash"/>
          <w:cols w:space="0" w:num="1"/>
          <w:rtlGutter w:val="0"/>
          <w:docGrid w:type="lines" w:linePitch="340" w:charSpace="0"/>
        </w:sectPr>
      </w:pPr>
      <w:r>
        <w:rPr>
          <w:rFonts w:hint="eastAsia" w:ascii="黑体" w:hAnsi="黑体" w:eastAsia="黑体"/>
          <w:sz w:val="32"/>
          <w:szCs w:val="32"/>
        </w:rPr>
        <w:t>(此部分另附表格，详见附件</w:t>
      </w:r>
      <w:r>
        <w:rPr>
          <w:rFonts w:hint="eastAsia" w:ascii="黑体" w:hAnsi="黑体" w:eastAsia="黑体"/>
          <w:sz w:val="32"/>
          <w:szCs w:val="32"/>
          <w:lang w:val="en-US" w:eastAsia="zh-CN"/>
        </w:rPr>
        <w:t>3</w:t>
      </w:r>
      <w:r>
        <w:rPr>
          <w:rFonts w:hint="eastAsia" w:ascii="黑体" w:hAnsi="黑体" w:eastAsia="黑体"/>
          <w:sz w:val="32"/>
          <w:szCs w:val="32"/>
        </w:rPr>
        <w:t>：</w:t>
      </w:r>
      <w:r>
        <w:rPr>
          <w:rFonts w:hint="eastAsia" w:ascii="仿宋_GB2312" w:hAnsi="黑体" w:eastAsia="仿宋_GB2312"/>
          <w:b/>
          <w:bCs/>
          <w:color w:val="000000"/>
          <w:sz w:val="32"/>
          <w:szCs w:val="32"/>
          <w:u w:val="single"/>
          <w:lang w:eastAsia="zh-CN"/>
        </w:rPr>
        <w:t>鹿寨县信息化建设中心</w:t>
      </w:r>
      <w:r>
        <w:rPr>
          <w:rFonts w:hint="eastAsia"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年度部门决算公开表)</w:t>
      </w:r>
    </w:p>
    <w:p>
      <w:pPr>
        <w:spacing w:line="580" w:lineRule="exact"/>
        <w:jc w:val="center"/>
        <w:rPr>
          <w:rFonts w:ascii="仿宋_GB2312" w:eastAsia="仿宋_GB2312"/>
          <w:b/>
          <w:sz w:val="32"/>
          <w:szCs w:val="32"/>
        </w:rPr>
      </w:pPr>
      <w:r>
        <w:rPr>
          <w:rFonts w:hint="eastAsia" w:ascii="仿宋_GB2312" w:eastAsia="仿宋_GB2312"/>
          <w:b/>
          <w:sz w:val="32"/>
          <w:szCs w:val="32"/>
        </w:rPr>
        <w:t>第三部分：</w:t>
      </w:r>
      <w:r>
        <w:rPr>
          <w:rFonts w:hint="eastAsia" w:ascii="仿宋_GB2312" w:eastAsia="仿宋_GB2312"/>
          <w:b/>
          <w:sz w:val="32"/>
          <w:szCs w:val="32"/>
          <w:lang w:eastAsia="zh-CN"/>
        </w:rPr>
        <w:t>鹿寨县信息化建设中心2021</w:t>
      </w:r>
      <w:r>
        <w:rPr>
          <w:rFonts w:hint="eastAsia" w:ascii="仿宋_GB2312" w:eastAsia="仿宋_GB2312"/>
          <w:b/>
          <w:sz w:val="32"/>
          <w:szCs w:val="32"/>
        </w:rPr>
        <w:t>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2021</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年度总收入</w:t>
      </w:r>
      <w:r>
        <w:rPr>
          <w:rFonts w:hint="eastAsia" w:ascii="仿宋_GB2312" w:eastAsia="仿宋_GB2312"/>
          <w:kern w:val="0"/>
          <w:sz w:val="32"/>
          <w:szCs w:val="32"/>
        </w:rPr>
        <w:t>306.05</w:t>
      </w:r>
      <w:r>
        <w:rPr>
          <w:rFonts w:hint="eastAsia" w:ascii="仿宋_GB2312" w:eastAsia="仿宋_GB2312" w:cs="仿宋_GB2312"/>
          <w:kern w:val="0"/>
          <w:sz w:val="32"/>
          <w:szCs w:val="32"/>
        </w:rPr>
        <w:t xml:space="preserve">万元，其中本年收入306.05万元,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55.85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15.43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.一般公共预算财政拨款收入306.05万元，为财政当年拨付的资金。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55.85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15.43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hAnsi="仿宋" w:eastAsia="仿宋_GB2312"/>
          <w:sz w:val="32"/>
          <w:szCs w:val="32"/>
          <w:lang w:val="en-US" w:eastAsia="zh-CN"/>
        </w:rPr>
        <w:t>基本支出减少。</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4.事业收入</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w:t>
      </w:r>
      <w:r>
        <w:rPr>
          <w:rFonts w:hint="eastAsia" w:ascii="仿宋_GB2312" w:eastAsia="仿宋_GB2312" w:cs="仿宋_GB2312"/>
          <w:kern w:val="0"/>
          <w:sz w:val="32"/>
          <w:szCs w:val="32"/>
          <w:lang w:eastAsia="zh-CN"/>
        </w:rPr>
        <w:t>元</w:t>
      </w:r>
      <w:r>
        <w:rPr>
          <w:rFonts w:hint="eastAsia" w:ascii="仿宋_GB2312" w:eastAsia="仿宋_GB2312" w:cs="仿宋_GB2312"/>
          <w:kern w:val="0"/>
          <w:sz w:val="32"/>
          <w:szCs w:val="32"/>
        </w:rPr>
        <w:t>，为事业单位在业务活动之外开展非独立核算经营活动取得的收入。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 xml:space="preserve">年度决算数增加（减少）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万元，为</w:t>
      </w:r>
      <w:r>
        <w:rPr>
          <w:rFonts w:hint="eastAsia" w:ascii="仿宋_GB2312" w:eastAsia="仿宋_GB2312" w:cs="仿宋_GB2312"/>
          <w:kern w:val="0"/>
          <w:sz w:val="32"/>
          <w:szCs w:val="32"/>
          <w:lang w:eastAsia="zh-CN"/>
        </w:rPr>
        <w:t>部门</w:t>
      </w:r>
      <w:r>
        <w:rPr>
          <w:rFonts w:hint="eastAsia" w:ascii="仿宋_GB2312" w:eastAsia="仿宋_GB2312" w:cs="仿宋_GB2312"/>
          <w:kern w:val="0"/>
          <w:sz w:val="32"/>
          <w:szCs w:val="32"/>
        </w:rPr>
        <w:t>单位在</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p>
    <w:p>
      <w:pPr>
        <w:autoSpaceDE w:val="0"/>
        <w:autoSpaceDN w:val="0"/>
        <w:adjustRightInd w:val="0"/>
        <w:spacing w:line="560" w:lineRule="exact"/>
        <w:jc w:val="left"/>
        <w:rPr>
          <w:rFonts w:hint="eastAsia" w:ascii="仿宋_GB2312" w:eastAsia="仿宋_GB2312" w:cs="仿宋_GB2312"/>
          <w:kern w:val="0"/>
          <w:sz w:val="32"/>
          <w:szCs w:val="32"/>
        </w:rPr>
      </w:pP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之外取得的收入。</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 xml:space="preserve">年度决算数增加（减少）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bCs/>
          <w:kern w:val="0"/>
          <w:sz w:val="32"/>
          <w:szCs w:val="32"/>
        </w:rPr>
        <w:t>7</w:t>
      </w:r>
      <w:r>
        <w:rPr>
          <w:rFonts w:hint="eastAsia" w:ascii="仿宋_GB2312" w:eastAsia="仿宋_GB2312" w:cs="仿宋_GB2312"/>
          <w:kern w:val="0"/>
          <w:sz w:val="32"/>
          <w:szCs w:val="32"/>
        </w:rPr>
        <w:t>.使用非财政拨款结余</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 xml:space="preserve">年度决算数增加（减少）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w:t>
      </w:r>
    </w:p>
    <w:p>
      <w:pPr>
        <w:pStyle w:val="2"/>
        <w:rPr>
          <w:rFonts w:hint="eastAsia" w:ascii="仿宋_GB2312" w:eastAsia="仿宋_GB2312" w:cs="仿宋_GB2312"/>
          <w:kern w:val="0"/>
          <w:sz w:val="32"/>
          <w:szCs w:val="32"/>
          <w:lang w:eastAsia="zh-CN"/>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 xml:space="preserve">年度决算数增加（减少）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年度总支出</w:t>
      </w:r>
      <w:r>
        <w:rPr>
          <w:rFonts w:hint="eastAsia" w:ascii="仿宋_GB2312" w:eastAsia="仿宋_GB2312"/>
          <w:kern w:val="0"/>
          <w:sz w:val="32"/>
          <w:szCs w:val="32"/>
        </w:rPr>
        <w:t>306.05</w:t>
      </w:r>
      <w:r>
        <w:rPr>
          <w:rFonts w:hint="eastAsia" w:ascii="仿宋_GB2312" w:eastAsia="仿宋_GB2312" w:cs="仿宋_GB2312"/>
          <w:kern w:val="0"/>
          <w:sz w:val="32"/>
          <w:szCs w:val="32"/>
        </w:rPr>
        <w:t>万元，其中本年支出</w:t>
      </w:r>
      <w:r>
        <w:rPr>
          <w:rFonts w:hint="eastAsia" w:ascii="仿宋_GB2312" w:eastAsia="仿宋_GB2312"/>
          <w:kern w:val="0"/>
          <w:sz w:val="32"/>
          <w:szCs w:val="32"/>
        </w:rPr>
        <w:t>306.05</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55.85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15.43</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hAnsi="黑体" w:eastAsia="仿宋_GB2312"/>
          <w:b/>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.一般公共服务支出（类）</w:t>
      </w:r>
      <w:r>
        <w:rPr>
          <w:rFonts w:hint="eastAsia" w:ascii="仿宋_GB2312" w:hAnsi="仿宋" w:eastAsia="仿宋_GB2312"/>
          <w:color w:val="auto"/>
          <w:sz w:val="32"/>
          <w:szCs w:val="32"/>
          <w:lang w:val="en-US" w:eastAsia="zh-CN"/>
        </w:rPr>
        <w:t>240.25</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：信息事务支出和项目支出。</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66.03</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21.56</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 w:hAnsi="仿宋" w:eastAsia="仿宋" w:cs="仿宋"/>
          <w:color w:val="auto"/>
          <w:sz w:val="32"/>
          <w:szCs w:val="32"/>
          <w:lang w:val="en-US" w:eastAsia="zh-CN"/>
        </w:rPr>
        <w:t>2020年度绩效奖尾款</w:t>
      </w:r>
      <w:r>
        <w:rPr>
          <w:rFonts w:hint="eastAsia" w:ascii="仿宋" w:hAnsi="仿宋" w:eastAsia="仿宋" w:cs="仿宋"/>
          <w:bCs/>
          <w:color w:val="auto"/>
          <w:sz w:val="32"/>
          <w:szCs w:val="32"/>
          <w:lang w:val="en-US" w:eastAsia="zh-CN"/>
        </w:rPr>
        <w:t>2021年</w:t>
      </w:r>
      <w:r>
        <w:rPr>
          <w:rFonts w:hint="eastAsia" w:ascii="仿宋" w:hAnsi="仿宋" w:eastAsia="仿宋" w:cs="仿宋"/>
          <w:color w:val="auto"/>
          <w:sz w:val="32"/>
          <w:szCs w:val="32"/>
          <w:lang w:val="en-US" w:eastAsia="zh-CN"/>
        </w:rPr>
        <w:t>第三季度</w:t>
      </w:r>
      <w:r>
        <w:rPr>
          <w:rFonts w:hint="eastAsia" w:ascii="仿宋" w:hAnsi="仿宋" w:eastAsia="仿宋" w:cs="仿宋"/>
          <w:bCs/>
          <w:color w:val="auto"/>
          <w:sz w:val="32"/>
          <w:szCs w:val="32"/>
          <w:lang w:val="en-US" w:eastAsia="zh-CN"/>
        </w:rPr>
        <w:t>绩效奖未能兑现、办公经费减少。</w:t>
      </w:r>
    </w:p>
    <w:p>
      <w:pPr>
        <w:autoSpaceDE w:val="0"/>
        <w:autoSpaceDN w:val="0"/>
        <w:adjustRightInd w:val="0"/>
        <w:spacing w:line="560" w:lineRule="exact"/>
        <w:ind w:firstLine="627" w:firstLineChars="196"/>
        <w:jc w:val="left"/>
        <w:rPr>
          <w:rFonts w:hint="eastAsia" w:ascii="仿宋" w:hAnsi="仿宋" w:eastAsia="仿宋" w:cs="仿宋"/>
          <w:color w:val="auto"/>
          <w:sz w:val="32"/>
          <w:szCs w:val="32"/>
          <w:lang w:val="en-US" w:eastAsia="zh-CN"/>
        </w:rPr>
      </w:pPr>
      <w:r>
        <w:rPr>
          <w:rFonts w:hint="eastAsia" w:ascii="仿宋_GB2312" w:eastAsia="仿宋_GB2312" w:cs="仿宋_GB2312"/>
          <w:kern w:val="0"/>
          <w:sz w:val="32"/>
          <w:szCs w:val="32"/>
          <w:lang w:val="en-US" w:eastAsia="zh-CN"/>
        </w:rPr>
        <w:t>2.社会保障和就业支出（类）32.33万元：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支付</w:t>
      </w:r>
      <w:r>
        <w:rPr>
          <w:rFonts w:hint="eastAsia" w:ascii="仿宋_GB2312" w:eastAsia="仿宋_GB2312" w:cs="仿宋_GB2312"/>
          <w:kern w:val="0"/>
          <w:sz w:val="32"/>
          <w:szCs w:val="32"/>
        </w:rPr>
        <w:t>基本养老保险缴费</w:t>
      </w:r>
      <w:r>
        <w:rPr>
          <w:rFonts w:hint="eastAsia" w:ascii="仿宋_GB2312" w:eastAsia="仿宋_GB2312" w:cs="仿宋_GB2312"/>
          <w:kern w:val="0"/>
          <w:sz w:val="32"/>
          <w:szCs w:val="32"/>
          <w:lang w:eastAsia="zh-CN"/>
        </w:rPr>
        <w:t>单位部分、职业年金缴费单位部分及事业单位离退休。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4.67</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16.88</w:t>
      </w:r>
      <w:r>
        <w:rPr>
          <w:rFonts w:hint="eastAsia" w:ascii="仿宋_GB2312" w:hAnsi="黑体" w:eastAsia="仿宋_GB2312" w:cs="仿宋_GB2312"/>
          <w:kern w:val="0"/>
          <w:sz w:val="32"/>
          <w:szCs w:val="32"/>
        </w:rPr>
        <w:t xml:space="preserve"> %，主要原因是</w:t>
      </w:r>
      <w:r>
        <w:rPr>
          <w:rFonts w:hint="eastAsia" w:ascii="仿宋_GB2312" w:hAnsi="黑体" w:eastAsia="仿宋_GB2312" w:cs="仿宋_GB2312"/>
          <w:kern w:val="0"/>
          <w:sz w:val="32"/>
          <w:szCs w:val="32"/>
          <w:lang w:eastAsia="zh-CN"/>
        </w:rPr>
        <w:t>：</w:t>
      </w:r>
      <w:r>
        <w:rPr>
          <w:rFonts w:hint="eastAsia" w:ascii="仿宋" w:hAnsi="仿宋" w:eastAsia="仿宋" w:cs="仿宋"/>
          <w:color w:val="auto"/>
          <w:sz w:val="32"/>
          <w:szCs w:val="32"/>
          <w:lang w:eastAsia="zh-CN"/>
        </w:rPr>
        <w:t>社保基数调高</w:t>
      </w:r>
      <w:r>
        <w:rPr>
          <w:rFonts w:hint="eastAsia" w:ascii="仿宋" w:hAnsi="仿宋" w:eastAsia="仿宋" w:cs="仿宋"/>
          <w:color w:val="auto"/>
          <w:sz w:val="32"/>
          <w:szCs w:val="32"/>
          <w:lang w:val="en-US" w:eastAsia="zh-CN"/>
        </w:rPr>
        <w:t>。</w:t>
      </w:r>
    </w:p>
    <w:p>
      <w:pPr>
        <w:autoSpaceDE w:val="0"/>
        <w:autoSpaceDN w:val="0"/>
        <w:adjustRightInd w:val="0"/>
        <w:spacing w:line="560" w:lineRule="exact"/>
        <w:ind w:firstLine="640" w:firstLineChars="200"/>
        <w:jc w:val="left"/>
        <w:rPr>
          <w:rFonts w:hint="eastAsia"/>
        </w:rPr>
      </w:pPr>
      <w:r>
        <w:rPr>
          <w:rFonts w:hint="eastAsia" w:ascii="仿宋" w:hAnsi="仿宋" w:eastAsia="仿宋" w:cs="仿宋"/>
          <w:color w:val="auto"/>
          <w:sz w:val="32"/>
          <w:szCs w:val="32"/>
          <w:lang w:val="en-US" w:eastAsia="zh-CN"/>
        </w:rPr>
        <w:t>3.卫生健康支出（类）14</w:t>
      </w:r>
      <w:r>
        <w:rPr>
          <w:rFonts w:hint="eastAsia" w:ascii="仿宋_GB2312" w:eastAsia="仿宋_GB2312" w:cs="仿宋_GB2312"/>
          <w:kern w:val="0"/>
          <w:sz w:val="32"/>
          <w:szCs w:val="32"/>
          <w:lang w:val="en-US" w:eastAsia="zh-CN"/>
        </w:rPr>
        <w:t>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支付职工基本医疗保险单位缴费部分、公务员医疗补助缴费及其他社会保障缴费。</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1.61</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10.31</w:t>
      </w:r>
      <w:r>
        <w:rPr>
          <w:rFonts w:hint="eastAsia" w:ascii="仿宋_GB2312" w:hAnsi="黑体" w:eastAsia="仿宋_GB2312" w:cs="仿宋_GB2312"/>
          <w:kern w:val="0"/>
          <w:sz w:val="32"/>
          <w:szCs w:val="32"/>
        </w:rPr>
        <w:t xml:space="preserve"> %，主要原因是</w:t>
      </w:r>
      <w:r>
        <w:rPr>
          <w:rFonts w:hint="eastAsia" w:ascii="仿宋_GB2312" w:hAnsi="黑体" w:eastAsia="仿宋_GB2312" w:cs="仿宋_GB2312"/>
          <w:kern w:val="0"/>
          <w:sz w:val="32"/>
          <w:szCs w:val="32"/>
          <w:lang w:eastAsia="zh-CN"/>
        </w:rPr>
        <w:t>：</w:t>
      </w:r>
      <w:r>
        <w:rPr>
          <w:rFonts w:hint="eastAsia" w:ascii="仿宋" w:hAnsi="仿宋" w:eastAsia="仿宋" w:cs="仿宋"/>
          <w:color w:val="auto"/>
          <w:sz w:val="32"/>
          <w:szCs w:val="32"/>
          <w:lang w:eastAsia="zh-CN"/>
        </w:rPr>
        <w:t>公务员</w:t>
      </w:r>
      <w:r>
        <w:rPr>
          <w:rFonts w:hint="eastAsia" w:ascii="仿宋_GB2312" w:eastAsia="仿宋_GB2312" w:cs="仿宋_GB2312"/>
          <w:kern w:val="0"/>
          <w:sz w:val="32"/>
          <w:szCs w:val="32"/>
          <w:lang w:eastAsia="zh-CN"/>
        </w:rPr>
        <w:t>医疗补助缴费减少</w:t>
      </w:r>
      <w:r>
        <w:rPr>
          <w:rFonts w:hint="eastAsia" w:ascii="仿宋" w:hAnsi="仿宋" w:eastAsia="仿宋" w:cs="仿宋"/>
          <w:color w:val="auto"/>
          <w:sz w:val="32"/>
          <w:szCs w:val="32"/>
          <w:lang w:val="en-US" w:eastAsia="zh-CN"/>
        </w:rPr>
        <w:t>。</w:t>
      </w:r>
    </w:p>
    <w:p>
      <w:pPr>
        <w:pStyle w:val="2"/>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4.住房保障支出（类）</w:t>
      </w:r>
      <w:r>
        <w:rPr>
          <w:rFonts w:hint="eastAsia" w:ascii="仿宋_GB2312" w:eastAsia="仿宋_GB2312" w:cs="仿宋_GB2312"/>
          <w:kern w:val="0"/>
          <w:sz w:val="32"/>
          <w:szCs w:val="32"/>
          <w:lang w:val="en-US" w:eastAsia="zh-CN"/>
        </w:rPr>
        <w:t>13.77万元：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支付职工住房公积金单位缴费部分。</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1.5</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12.22</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 w:hAnsi="仿宋" w:eastAsia="仿宋" w:cs="仿宋"/>
          <w:color w:val="auto"/>
          <w:sz w:val="32"/>
          <w:szCs w:val="32"/>
          <w:lang w:eastAsia="zh-CN"/>
        </w:rPr>
        <w:t>社保基数调高</w:t>
      </w:r>
      <w:r>
        <w:rPr>
          <w:rFonts w:hint="eastAsia" w:ascii="仿宋" w:hAnsi="仿宋" w:eastAsia="仿宋" w:cs="仿宋"/>
          <w:color w:val="auto"/>
          <w:sz w:val="32"/>
          <w:szCs w:val="32"/>
          <w:lang w:val="en-US" w:eastAsia="zh-CN"/>
        </w:rPr>
        <w:t>。</w:t>
      </w:r>
    </w:p>
    <w:p>
      <w:pPr>
        <w:autoSpaceDE w:val="0"/>
        <w:autoSpaceDN w:val="0"/>
        <w:adjustRightInd w:val="0"/>
        <w:spacing w:line="560" w:lineRule="exact"/>
        <w:ind w:firstLine="627" w:firstLineChars="196"/>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5.其他支出（类）</w:t>
      </w:r>
      <w:r>
        <w:rPr>
          <w:rFonts w:hint="eastAsia" w:ascii="仿宋_GB2312" w:eastAsia="仿宋_GB2312" w:cs="仿宋_GB2312"/>
          <w:kern w:val="0"/>
          <w:sz w:val="32"/>
          <w:szCs w:val="32"/>
          <w:lang w:val="en-US" w:eastAsia="zh-CN"/>
        </w:rPr>
        <w:t>5.7万元：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发放</w:t>
      </w:r>
      <w:r>
        <w:rPr>
          <w:rFonts w:hint="eastAsia" w:ascii="仿宋_GB2312" w:eastAsia="仿宋_GB2312" w:cs="仿宋_GB2312"/>
          <w:kern w:val="0"/>
          <w:sz w:val="32"/>
          <w:szCs w:val="32"/>
          <w:lang w:val="en-US" w:eastAsia="zh-CN"/>
        </w:rPr>
        <w:t>2021年度绩效奖。</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5.7</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增加</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lang w:eastAsia="zh-CN"/>
        </w:rPr>
        <w:t>发放</w:t>
      </w:r>
      <w:r>
        <w:rPr>
          <w:rFonts w:hint="eastAsia" w:ascii="仿宋_GB2312" w:eastAsia="仿宋_GB2312" w:cs="仿宋_GB2312"/>
          <w:kern w:val="0"/>
          <w:sz w:val="32"/>
          <w:szCs w:val="32"/>
          <w:lang w:val="en-US" w:eastAsia="zh-CN"/>
        </w:rPr>
        <w:t>2021年度绩效奖</w:t>
      </w:r>
      <w:r>
        <w:rPr>
          <w:rFonts w:hint="eastAsia" w:ascii="仿宋" w:hAnsi="仿宋" w:eastAsia="仿宋" w:cs="仿宋"/>
          <w:color w:val="auto"/>
          <w:sz w:val="32"/>
          <w:szCs w:val="32"/>
          <w:lang w:val="en-US" w:eastAsia="zh-CN"/>
        </w:rPr>
        <w:t>。</w:t>
      </w:r>
    </w:p>
    <w:p>
      <w:pPr>
        <w:pStyle w:val="2"/>
        <w:ind w:firstLine="640" w:firstLineChars="200"/>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lang w:val="en-US" w:eastAsia="zh-CN"/>
        </w:rPr>
        <w:t>6</w:t>
      </w:r>
      <w:r>
        <w:rPr>
          <w:rFonts w:hint="eastAsia" w:ascii="仿宋_GB2312" w:eastAsia="仿宋_GB2312" w:cs="仿宋_GB2312"/>
          <w:kern w:val="0"/>
          <w:sz w:val="32"/>
          <w:szCs w:val="32"/>
        </w:rPr>
        <w:t>.结余分配</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0 </w:t>
      </w:r>
      <w:r>
        <w:rPr>
          <w:rFonts w:hint="eastAsia" w:ascii="仿宋_GB2312" w:eastAsia="仿宋_GB2312" w:cs="仿宋_GB2312"/>
          <w:kern w:val="0"/>
          <w:sz w:val="32"/>
          <w:szCs w:val="32"/>
        </w:rPr>
        <w:t>万元，为事业单位按规定提取的职工福利基金、事业基金和缴纳的所得税等。</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bCs/>
          <w:kern w:val="0"/>
          <w:sz w:val="32"/>
          <w:szCs w:val="32"/>
          <w:lang w:val="en-US" w:eastAsia="zh-CN"/>
        </w:rPr>
        <w:t>7</w:t>
      </w:r>
      <w:r>
        <w:rPr>
          <w:rFonts w:hint="eastAsia" w:ascii="仿宋_GB2312" w:eastAsia="仿宋_GB2312" w:cs="仿宋_GB2312"/>
          <w:kern w:val="0"/>
          <w:sz w:val="32"/>
          <w:szCs w:val="32"/>
        </w:rPr>
        <w:t>.年末结转和结余</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万元，为本年度或以前年度预算安排、因客观条件发生变化无法按原计划实施，需要延迟到以后年度按有关规定继续使用的资金。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hAnsi="黑体" w:eastAsia="仿宋_GB2312" w:cs="仿宋_GB2312"/>
          <w:kern w:val="0"/>
          <w:sz w:val="32"/>
          <w:szCs w:val="32"/>
          <w:lang w:eastAsia="zh-CN"/>
        </w:rPr>
        <w:t>。</w:t>
      </w:r>
    </w:p>
    <w:p>
      <w:pPr>
        <w:autoSpaceDE w:val="0"/>
        <w:autoSpaceDN w:val="0"/>
        <w:adjustRightInd w:val="0"/>
        <w:spacing w:line="560" w:lineRule="exact"/>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2021</w:t>
      </w:r>
      <w:r>
        <w:rPr>
          <w:rFonts w:hint="eastAsia" w:ascii="黑体" w:hAnsi="黑体" w:eastAsia="黑体"/>
          <w:kern w:val="0"/>
          <w:sz w:val="32"/>
          <w:szCs w:val="32"/>
        </w:rPr>
        <w:t xml:space="preserve">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rPr>
        <w:t>306.05</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年度决算数减少</w:t>
      </w:r>
      <w:r>
        <w:rPr>
          <w:rFonts w:hint="eastAsia" w:ascii="仿宋_GB2312" w:hAnsi="黑体" w:eastAsia="仿宋_GB2312" w:cs="仿宋_GB2312"/>
          <w:kern w:val="0"/>
          <w:sz w:val="32"/>
          <w:szCs w:val="32"/>
          <w:lang w:val="en-US" w:eastAsia="zh-CN"/>
        </w:rPr>
        <w:t>55.85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15.43</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186.99</w:t>
      </w:r>
      <w:r>
        <w:rPr>
          <w:rFonts w:hint="eastAsia" w:ascii="仿宋_GB2312" w:eastAsia="仿宋_GB2312" w:cs="仿宋_GB2312"/>
          <w:kern w:val="0"/>
          <w:sz w:val="32"/>
          <w:szCs w:val="32"/>
        </w:rPr>
        <w:t>万元，项目支出</w:t>
      </w:r>
      <w:r>
        <w:rPr>
          <w:rFonts w:hint="eastAsia" w:ascii="仿宋_GB2312" w:eastAsia="仿宋_GB2312"/>
          <w:kern w:val="0"/>
          <w:sz w:val="32"/>
          <w:szCs w:val="32"/>
        </w:rPr>
        <w:t xml:space="preserve"> 119.06</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eastAsia="仿宋_GB2312"/>
          <w:sz w:val="32"/>
          <w:szCs w:val="32"/>
          <w:lang w:val="en-US" w:eastAsia="zh-CN"/>
        </w:rPr>
        <w:t>323.3</w:t>
      </w:r>
      <w:r>
        <w:rPr>
          <w:rFonts w:hint="eastAsia" w:ascii="仿宋_GB2312" w:hAnsi="黑体" w:eastAsia="仿宋_GB2312" w:cs="仿宋_GB2312"/>
          <w:kern w:val="0"/>
          <w:sz w:val="32"/>
          <w:szCs w:val="32"/>
        </w:rPr>
        <w:t>万元，支出决算为</w:t>
      </w:r>
      <w:r>
        <w:rPr>
          <w:rFonts w:hint="eastAsia" w:ascii="仿宋_GB2312" w:eastAsia="仿宋_GB2312"/>
          <w:kern w:val="0"/>
          <w:sz w:val="32"/>
          <w:szCs w:val="32"/>
        </w:rPr>
        <w:t>306.05</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94.66</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lang w:eastAsia="zh-CN"/>
        </w:rPr>
      </w:pPr>
      <w:r>
        <w:rPr>
          <w:rFonts w:hint="eastAsia" w:ascii="仿宋_GB2312" w:eastAsia="仿宋_GB2312" w:cs="仿宋_GB2312"/>
          <w:bCs/>
          <w:kern w:val="0"/>
          <w:sz w:val="32"/>
          <w:szCs w:val="32"/>
        </w:rPr>
        <w:t>一般公共服务（类）统计信息事务（款）</w:t>
      </w:r>
      <w:r>
        <w:rPr>
          <w:rFonts w:hint="eastAsia" w:ascii="仿宋_GB2312" w:eastAsia="仿宋_GB2312" w:cs="仿宋_GB2312"/>
          <w:bCs/>
          <w:kern w:val="0"/>
          <w:sz w:val="32"/>
          <w:szCs w:val="32"/>
          <w:lang w:eastAsia="zh-CN"/>
        </w:rPr>
        <w:t>信息</w:t>
      </w:r>
      <w:r>
        <w:rPr>
          <w:rFonts w:hint="eastAsia" w:ascii="仿宋_GB2312" w:eastAsia="仿宋_GB2312" w:cs="仿宋_GB2312"/>
          <w:bCs/>
          <w:kern w:val="0"/>
          <w:sz w:val="32"/>
          <w:szCs w:val="32"/>
        </w:rPr>
        <w:t>事务（项）</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年初预算为258.13万元，支出决算为</w:t>
      </w:r>
      <w:r>
        <w:rPr>
          <w:rFonts w:hint="eastAsia" w:ascii="仿宋_GB2312" w:hAnsi="仿宋" w:eastAsia="仿宋_GB2312"/>
          <w:color w:val="auto"/>
          <w:sz w:val="32"/>
          <w:szCs w:val="32"/>
          <w:lang w:val="en-US" w:eastAsia="zh-CN"/>
        </w:rPr>
        <w:t>240.25</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93.07</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原因：财政资金紧张，缩紧开支。</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bCs/>
          <w:kern w:val="0"/>
          <w:sz w:val="32"/>
          <w:szCs w:val="32"/>
          <w:lang w:eastAsia="zh-CN"/>
        </w:rPr>
        <w:t>（二）</w:t>
      </w:r>
      <w:r>
        <w:rPr>
          <w:rFonts w:hint="eastAsia" w:ascii="仿宋_GB2312" w:eastAsia="仿宋_GB2312" w:cs="仿宋_GB2312"/>
          <w:kern w:val="0"/>
          <w:sz w:val="32"/>
          <w:szCs w:val="32"/>
        </w:rPr>
        <w:t>社会保障和就业支出</w:t>
      </w:r>
      <w:r>
        <w:rPr>
          <w:rFonts w:hint="eastAsia" w:ascii="仿宋_GB2312" w:eastAsia="仿宋_GB2312" w:cs="仿宋_GB2312"/>
          <w:kern w:val="0"/>
          <w:sz w:val="32"/>
          <w:szCs w:val="32"/>
          <w:lang w:eastAsia="zh-CN"/>
        </w:rPr>
        <w:t>（类）行政事业单位养老支出（款）机关事业单位基本养老保险缴费支出（项）。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 xml:space="preserve"> 19.83</w:t>
      </w:r>
      <w:r>
        <w:rPr>
          <w:rFonts w:hint="eastAsia" w:ascii="仿宋_GB2312" w:hAnsi="黑体" w:eastAsia="仿宋_GB2312" w:cs="仿宋_GB2312"/>
          <w:kern w:val="0"/>
          <w:sz w:val="32"/>
          <w:szCs w:val="32"/>
        </w:rPr>
        <w:t>万元，支出决算为</w:t>
      </w:r>
      <w:r>
        <w:rPr>
          <w:rFonts w:hint="eastAsia" w:ascii="仿宋_GB2312" w:eastAsia="仿宋_GB2312" w:cs="仿宋_GB2312"/>
          <w:kern w:val="0"/>
          <w:sz w:val="32"/>
          <w:szCs w:val="32"/>
          <w:lang w:val="en-US" w:eastAsia="zh-CN"/>
        </w:rPr>
        <w:t>18.32</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92.39</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原因是：实际缴费基数小于预算缴费基数。</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kern w:val="0"/>
          <w:sz w:val="32"/>
          <w:szCs w:val="32"/>
          <w:lang w:eastAsia="zh-CN"/>
        </w:rPr>
        <w:t>（三）</w:t>
      </w:r>
      <w:r>
        <w:rPr>
          <w:rFonts w:hint="eastAsia" w:ascii="仿宋_GB2312" w:eastAsia="仿宋_GB2312" w:cs="仿宋_GB2312"/>
          <w:kern w:val="0"/>
          <w:sz w:val="32"/>
          <w:szCs w:val="32"/>
        </w:rPr>
        <w:t>社会保障和就业支出</w:t>
      </w:r>
      <w:r>
        <w:rPr>
          <w:rFonts w:hint="eastAsia" w:ascii="仿宋_GB2312" w:eastAsia="仿宋_GB2312" w:cs="仿宋_GB2312"/>
          <w:kern w:val="0"/>
          <w:sz w:val="32"/>
          <w:szCs w:val="32"/>
          <w:lang w:eastAsia="zh-CN"/>
        </w:rPr>
        <w:t>（类）行政事业单位养老支出（款）机关事业单位职业年金缴费支出（项）。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8.34</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7.61</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 xml:space="preserve"> 91.25</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原因是：实际缴费基数小于预算缴费基数。</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（四）</w:t>
      </w:r>
      <w:r>
        <w:rPr>
          <w:rFonts w:hint="eastAsia" w:ascii="仿宋_GB2312" w:eastAsia="仿宋_GB2312" w:cs="仿宋_GB2312"/>
          <w:kern w:val="0"/>
          <w:sz w:val="32"/>
          <w:szCs w:val="32"/>
        </w:rPr>
        <w:t>社会保障和就业支出</w:t>
      </w:r>
      <w:r>
        <w:rPr>
          <w:rFonts w:hint="eastAsia" w:ascii="仿宋_GB2312" w:eastAsia="仿宋_GB2312" w:cs="仿宋_GB2312"/>
          <w:kern w:val="0"/>
          <w:sz w:val="32"/>
          <w:szCs w:val="32"/>
          <w:lang w:eastAsia="zh-CN"/>
        </w:rPr>
        <w:t>（类）行政事业单位养老支出（款）行政单位离退休（项）。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0.96</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原因是：财政下达预算到鹿寨县发展和改革局，后调整预算。</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（五）</w:t>
      </w:r>
      <w:r>
        <w:rPr>
          <w:rFonts w:hint="eastAsia" w:ascii="仿宋_GB2312" w:eastAsia="仿宋_GB2312" w:cs="仿宋_GB2312"/>
          <w:kern w:val="0"/>
          <w:sz w:val="32"/>
          <w:szCs w:val="32"/>
        </w:rPr>
        <w:t>社会保障和就业支出</w:t>
      </w:r>
      <w:r>
        <w:rPr>
          <w:rFonts w:hint="eastAsia" w:ascii="仿宋_GB2312" w:eastAsia="仿宋_GB2312" w:cs="仿宋_GB2312"/>
          <w:kern w:val="0"/>
          <w:sz w:val="32"/>
          <w:szCs w:val="32"/>
          <w:lang w:eastAsia="zh-CN"/>
        </w:rPr>
        <w:t>（类）行政事业单位养老支出（款）事业单位离退休（项）。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5.44</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5.44</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 xml:space="preserve"> %。</w:t>
      </w:r>
    </w:p>
    <w:p>
      <w:pPr>
        <w:numPr>
          <w:ilvl w:val="-1"/>
          <w:numId w:val="0"/>
        </w:num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lang w:eastAsia="zh-CN"/>
        </w:rPr>
        <w:t>（六）</w:t>
      </w:r>
      <w:r>
        <w:rPr>
          <w:rFonts w:hint="eastAsia" w:ascii="仿宋_GB2312" w:eastAsia="仿宋_GB2312" w:cs="仿宋_GB2312"/>
          <w:kern w:val="0"/>
          <w:sz w:val="32"/>
          <w:szCs w:val="32"/>
        </w:rPr>
        <w:t>卫生健康支出</w:t>
      </w:r>
      <w:r>
        <w:rPr>
          <w:rFonts w:hint="eastAsia" w:ascii="仿宋_GB2312" w:eastAsia="仿宋_GB2312" w:cs="仿宋_GB2312"/>
          <w:kern w:val="0"/>
          <w:sz w:val="32"/>
          <w:szCs w:val="32"/>
          <w:lang w:eastAsia="zh-CN"/>
        </w:rPr>
        <w:t>（类）行政事业单位医疗（款）事业单位医疗（项）。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9.67</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9.67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 xml:space="preserve"> %。</w:t>
      </w:r>
    </w:p>
    <w:p>
      <w:pPr>
        <w:numPr>
          <w:ilvl w:val="-1"/>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（七）</w:t>
      </w:r>
      <w:r>
        <w:rPr>
          <w:rFonts w:hint="eastAsia" w:ascii="仿宋_GB2312" w:eastAsia="仿宋_GB2312" w:cs="仿宋_GB2312"/>
          <w:kern w:val="0"/>
          <w:sz w:val="32"/>
          <w:szCs w:val="32"/>
        </w:rPr>
        <w:t>卫生健康支出</w:t>
      </w:r>
      <w:r>
        <w:rPr>
          <w:rFonts w:hint="eastAsia" w:ascii="仿宋_GB2312" w:eastAsia="仿宋_GB2312" w:cs="仿宋_GB2312"/>
          <w:kern w:val="0"/>
          <w:sz w:val="32"/>
          <w:szCs w:val="32"/>
          <w:lang w:eastAsia="zh-CN"/>
        </w:rPr>
        <w:t>（类）行政事业单位医疗（款）公务员医疗补助（项）。</w:t>
      </w:r>
      <w:r>
        <w:rPr>
          <w:rFonts w:hint="eastAsia" w:ascii="仿宋_GB2312" w:hAnsi="黑体" w:eastAsia="仿宋_GB2312" w:cs="仿宋_GB2312"/>
          <w:kern w:val="0"/>
          <w:sz w:val="32"/>
          <w:szCs w:val="32"/>
        </w:rPr>
        <w:t>年初预算</w:t>
      </w:r>
      <w:r>
        <w:rPr>
          <w:rFonts w:hint="eastAsia" w:ascii="仿宋_GB2312" w:hAnsi="黑体" w:eastAsia="仿宋_GB2312" w:cs="仿宋_GB2312"/>
          <w:kern w:val="0"/>
          <w:sz w:val="32"/>
          <w:szCs w:val="32"/>
          <w:lang w:val="en-US" w:eastAsia="zh-CN"/>
        </w:rPr>
        <w:t>7.03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4.33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61.59</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原因是实际缴费基数小于预算缴费基数。</w:t>
      </w:r>
    </w:p>
    <w:p>
      <w:pPr>
        <w:pStyle w:val="2"/>
        <w:ind w:firstLine="640" w:firstLineChars="200"/>
        <w:rPr>
          <w:rFonts w:hint="eastAsia"/>
          <w:lang w:eastAsia="zh-CN"/>
        </w:rPr>
      </w:pPr>
      <w:r>
        <w:rPr>
          <w:rFonts w:hint="eastAsia" w:ascii="仿宋_GB2312" w:eastAsia="仿宋_GB2312" w:cs="仿宋_GB2312"/>
          <w:kern w:val="0"/>
          <w:sz w:val="32"/>
          <w:szCs w:val="32"/>
          <w:lang w:eastAsia="zh-CN"/>
        </w:rPr>
        <w:t>（八）</w:t>
      </w:r>
      <w:r>
        <w:rPr>
          <w:rFonts w:hint="eastAsia" w:ascii="仿宋_GB2312" w:eastAsia="仿宋_GB2312" w:cs="仿宋_GB2312"/>
          <w:kern w:val="0"/>
          <w:sz w:val="32"/>
          <w:szCs w:val="32"/>
        </w:rPr>
        <w:t>住房保障支出</w:t>
      </w:r>
      <w:r>
        <w:rPr>
          <w:rFonts w:hint="eastAsia" w:ascii="仿宋_GB2312" w:eastAsia="仿宋_GB2312" w:cs="仿宋_GB2312"/>
          <w:kern w:val="0"/>
          <w:sz w:val="32"/>
          <w:szCs w:val="32"/>
          <w:lang w:eastAsia="zh-CN"/>
        </w:rPr>
        <w:t>（类）住房改革支出（款）住房公积金（项）。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14.87</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13.77</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92.6</w:t>
      </w:r>
      <w:r>
        <w:rPr>
          <w:rFonts w:hint="eastAsia" w:ascii="仿宋_GB2312" w:hAnsi="黑体" w:eastAsia="仿宋_GB2312" w:cs="仿宋_GB2312"/>
          <w:kern w:val="0"/>
          <w:sz w:val="32"/>
          <w:szCs w:val="32"/>
        </w:rPr>
        <w:t xml:space="preserve"> %</w:t>
      </w:r>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lang w:eastAsia="zh-CN"/>
        </w:rPr>
        <w:t>实际缴费基数小于预算缴费基数。</w:t>
      </w:r>
    </w:p>
    <w:p>
      <w:pPr>
        <w:numPr>
          <w:ilvl w:val="-1"/>
          <w:numId w:val="0"/>
        </w:num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仿宋_GB2312" w:eastAsia="仿宋_GB2312" w:cs="仿宋_GB2312"/>
          <w:kern w:val="0"/>
          <w:sz w:val="32"/>
          <w:szCs w:val="32"/>
          <w:lang w:eastAsia="zh-CN"/>
        </w:rPr>
        <w:t>（九）</w:t>
      </w:r>
      <w:r>
        <w:rPr>
          <w:rFonts w:hint="eastAsia" w:ascii="仿宋_GB2312" w:eastAsia="仿宋_GB2312" w:cs="仿宋_GB2312"/>
          <w:kern w:val="0"/>
          <w:sz w:val="32"/>
          <w:szCs w:val="32"/>
        </w:rPr>
        <w:t>其他支出</w:t>
      </w:r>
      <w:r>
        <w:rPr>
          <w:rFonts w:hint="eastAsia" w:ascii="仿宋_GB2312" w:eastAsia="仿宋_GB2312" w:cs="仿宋_GB2312"/>
          <w:kern w:val="0"/>
          <w:sz w:val="32"/>
          <w:szCs w:val="32"/>
          <w:lang w:eastAsia="zh-CN"/>
        </w:rPr>
        <w:t>（类）其他支出（款）其他支出（项）。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5.7</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原因是发放绩效奖。</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kern w:val="0"/>
          <w:sz w:val="32"/>
          <w:szCs w:val="32"/>
          <w:lang w:val="en-US" w:eastAsia="zh-CN"/>
        </w:rPr>
        <w:t>186.99</w:t>
      </w:r>
      <w:r>
        <w:rPr>
          <w:rFonts w:hint="eastAsia" w:ascii="仿宋_GB2312" w:eastAsia="仿宋_GB2312" w:cs="仿宋_GB2312"/>
          <w:kern w:val="0"/>
          <w:sz w:val="32"/>
          <w:szCs w:val="32"/>
        </w:rPr>
        <w:t>万元，支出具体情况如下：</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（一）工资福利支出153.02万元，完成年初预算的</w:t>
      </w:r>
      <w:r>
        <w:rPr>
          <w:rFonts w:hint="eastAsia" w:ascii="仿宋_GB2312" w:eastAsia="仿宋_GB2312"/>
          <w:bCs/>
          <w:kern w:val="0"/>
          <w:sz w:val="32"/>
          <w:szCs w:val="32"/>
          <w:lang w:val="en-US" w:eastAsia="zh-CN"/>
        </w:rPr>
        <w:t>95.62</w:t>
      </w:r>
      <w:r>
        <w:rPr>
          <w:rFonts w:hint="eastAsia" w:ascii="仿宋_GB2312" w:eastAsia="仿宋_GB2312"/>
          <w:bCs/>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w:t>
      </w:r>
      <w:r>
        <w:rPr>
          <w:rFonts w:hint="eastAsia" w:ascii="仿宋_GB2312" w:eastAsia="仿宋_GB2312"/>
          <w:bCs/>
          <w:kern w:val="0"/>
          <w:sz w:val="32"/>
          <w:szCs w:val="32"/>
          <w:lang w:eastAsia="zh-CN"/>
        </w:rPr>
        <w:t>社会缴费基数、</w:t>
      </w:r>
      <w:r>
        <w:rPr>
          <w:rFonts w:hint="eastAsia" w:ascii="仿宋_GB2312" w:eastAsia="仿宋_GB2312" w:cs="仿宋_GB2312"/>
          <w:kern w:val="0"/>
          <w:sz w:val="32"/>
          <w:szCs w:val="32"/>
        </w:rPr>
        <w:t>卫生健康支出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住房保障支出</w:t>
      </w:r>
      <w:r>
        <w:rPr>
          <w:rFonts w:hint="eastAsia" w:ascii="仿宋_GB2312" w:eastAsia="仿宋_GB2312" w:cs="仿宋_GB2312"/>
          <w:kern w:val="0"/>
          <w:sz w:val="32"/>
          <w:szCs w:val="32"/>
          <w:lang w:eastAsia="zh-CN"/>
        </w:rPr>
        <w:t>实际缴费基数小于预算缴费基数。</w:t>
      </w:r>
    </w:p>
    <w:p>
      <w:p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（二）商品和服务支出</w:t>
      </w:r>
      <w:r>
        <w:rPr>
          <w:rFonts w:hint="eastAsia" w:ascii="仿宋_GB2312" w:eastAsia="仿宋_GB2312"/>
          <w:bCs/>
          <w:kern w:val="0"/>
          <w:sz w:val="32"/>
          <w:szCs w:val="32"/>
          <w:lang w:val="en-US" w:eastAsia="zh-CN"/>
        </w:rPr>
        <w:t>16.44</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58.51</w:t>
      </w:r>
      <w:r>
        <w:rPr>
          <w:rFonts w:hint="eastAsia" w:ascii="仿宋_GB2312" w:eastAsia="仿宋_GB2312"/>
          <w:bCs/>
          <w:kern w:val="0"/>
          <w:sz w:val="32"/>
          <w:szCs w:val="32"/>
        </w:rPr>
        <w:t>%。</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原因是财政资金紧张，缩紧开支。</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仿宋_GB2312" w:eastAsia="仿宋_GB2312"/>
          <w:bCs/>
          <w:kern w:val="0"/>
          <w:sz w:val="32"/>
          <w:szCs w:val="32"/>
        </w:rPr>
        <w:t>（</w:t>
      </w:r>
      <w:r>
        <w:rPr>
          <w:rFonts w:hint="eastAsia" w:ascii="仿宋_GB2312" w:eastAsia="仿宋_GB2312"/>
          <w:bCs/>
          <w:kern w:val="0"/>
          <w:sz w:val="32"/>
          <w:szCs w:val="32"/>
          <w:lang w:eastAsia="zh-CN"/>
        </w:rPr>
        <w:t>三</w:t>
      </w:r>
      <w:r>
        <w:rPr>
          <w:rFonts w:hint="eastAsia" w:ascii="仿宋_GB2312" w:eastAsia="仿宋_GB2312"/>
          <w:bCs/>
          <w:kern w:val="0"/>
          <w:sz w:val="32"/>
          <w:szCs w:val="32"/>
        </w:rPr>
        <w:t>）对个人和家庭的补助支出</w:t>
      </w:r>
      <w:r>
        <w:rPr>
          <w:rFonts w:hint="eastAsia" w:ascii="仿宋_GB2312" w:eastAsia="仿宋_GB2312"/>
          <w:bCs/>
          <w:kern w:val="0"/>
          <w:sz w:val="32"/>
          <w:szCs w:val="32"/>
          <w:lang w:val="en-US" w:eastAsia="zh-CN"/>
        </w:rPr>
        <w:t>17.53</w:t>
      </w:r>
      <w:r>
        <w:rPr>
          <w:rFonts w:hint="eastAsia" w:ascii="仿宋_GB2312" w:eastAsia="仿宋_GB2312"/>
          <w:bCs/>
          <w:kern w:val="0"/>
          <w:sz w:val="32"/>
          <w:szCs w:val="32"/>
        </w:rPr>
        <w:t>万元，完成年初预算的</w:t>
      </w:r>
      <w:r>
        <w:rPr>
          <w:rFonts w:hint="eastAsia" w:ascii="仿宋_GB2312" w:eastAsia="仿宋_GB2312"/>
          <w:bCs/>
          <w:kern w:val="0"/>
          <w:sz w:val="32"/>
          <w:szCs w:val="32"/>
          <w:lang w:val="en-US" w:eastAsia="zh-CN"/>
        </w:rPr>
        <w:t>108.81</w:t>
      </w:r>
      <w:r>
        <w:rPr>
          <w:rFonts w:hint="eastAsia" w:ascii="仿宋_GB2312" w:eastAsia="仿宋_GB2312"/>
          <w:bCs/>
          <w:kern w:val="0"/>
          <w:sz w:val="32"/>
          <w:szCs w:val="32"/>
        </w:rPr>
        <w:t xml:space="preserve"> %。</w:t>
      </w:r>
      <w:r>
        <w:rPr>
          <w:rFonts w:hint="eastAsia" w:ascii="仿宋_GB2312" w:eastAsia="仿宋_GB2312" w:cs="仿宋_GB2312"/>
          <w:kern w:val="0"/>
          <w:sz w:val="32"/>
          <w:szCs w:val="32"/>
        </w:rPr>
        <w:t>主要</w:t>
      </w:r>
      <w:r>
        <w:rPr>
          <w:rFonts w:hint="eastAsia" w:ascii="仿宋_GB2312" w:eastAsia="仿宋_GB2312" w:cs="仿宋_GB2312"/>
          <w:kern w:val="0"/>
          <w:sz w:val="32"/>
          <w:szCs w:val="32"/>
          <w:lang w:eastAsia="zh-CN"/>
        </w:rPr>
        <w:t>原因是：其他对个人和家庭的补助增加。</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2020</w:t>
      </w:r>
      <w:r>
        <w:rPr>
          <w:rFonts w:hint="eastAsia" w:ascii="仿宋_GB2312" w:hAnsi="黑体" w:eastAsia="仿宋_GB2312" w:cs="仿宋_GB2312"/>
          <w:kern w:val="0"/>
          <w:sz w:val="32"/>
          <w:szCs w:val="32"/>
        </w:rPr>
        <w:t>年度决算数增加（减少）</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万元，增长（下降）</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r>
        <w:rPr>
          <w:rFonts w:hint="eastAsia" w:ascii="仿宋_GB2312" w:eastAsia="仿宋_GB2312" w:cs="仿宋_GB2312"/>
          <w:kern w:val="0"/>
          <w:sz w:val="32"/>
          <w:szCs w:val="32"/>
        </w:rPr>
        <w:t>其中：基本支出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 xml:space="preserve"> </w:t>
      </w:r>
      <w:r>
        <w:rPr>
          <w:rFonts w:hint="eastAsia" w:ascii="仿宋_GB2312" w:hAnsi="黑体" w:eastAsia="仿宋_GB2312" w:cs="仿宋_GB2312"/>
          <w:kern w:val="0"/>
          <w:sz w:val="32"/>
          <w:szCs w:val="32"/>
        </w:rPr>
        <w:t xml:space="preserve">年度政府性基金支出年初预算为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万元，支出决算为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autoSpaceDE w:val="0"/>
        <w:autoSpaceDN w:val="0"/>
        <w:adjustRightInd w:val="0"/>
        <w:spacing w:line="580" w:lineRule="exact"/>
        <w:ind w:firstLine="320" w:firstLineChars="100"/>
        <w:jc w:val="left"/>
        <w:rPr>
          <w:rFonts w:ascii="仿宋_GB2312" w:eastAsia="仿宋_GB2312" w:cs="仿宋_GB2312"/>
          <w:bCs/>
          <w:kern w:val="0"/>
          <w:sz w:val="32"/>
          <w:szCs w:val="32"/>
        </w:rPr>
      </w:pPr>
      <w:r>
        <w:rPr>
          <w:rFonts w:hint="eastAsia" w:ascii="仿宋_GB2312" w:eastAsia="仿宋_GB2312"/>
          <w:bCs/>
          <w:kern w:val="0"/>
          <w:sz w:val="32"/>
          <w:szCs w:val="32"/>
        </w:rPr>
        <w:t>（一）</w:t>
      </w:r>
      <w:r>
        <w:rPr>
          <w:rFonts w:hint="eastAsia" w:ascii="仿宋_GB2312" w:eastAsia="仿宋_GB2312" w:cs="仿宋_GB2312"/>
          <w:bCs/>
          <w:kern w:val="0"/>
          <w:sz w:val="32"/>
          <w:szCs w:val="32"/>
        </w:rPr>
        <w:t>城乡社区支出（类）</w:t>
      </w:r>
      <w:r>
        <w:rPr>
          <w:rFonts w:hint="eastAsia" w:ascii="仿宋_GB2312" w:eastAsia="仿宋_GB2312" w:cs="仿宋_GB2312"/>
          <w:bCs/>
          <w:kern w:val="0"/>
          <w:sz w:val="32"/>
          <w:szCs w:val="32"/>
          <w:lang w:eastAsia="zh-CN"/>
        </w:rPr>
        <w:t>国有土地使用权出让</w:t>
      </w:r>
      <w:r>
        <w:rPr>
          <w:rFonts w:hint="eastAsia" w:ascii="仿宋_GB2312" w:eastAsia="仿宋_GB2312" w:cs="仿宋_GB2312"/>
          <w:bCs/>
          <w:kern w:val="0"/>
          <w:sz w:val="32"/>
          <w:szCs w:val="32"/>
        </w:rPr>
        <w:t>收入安排</w:t>
      </w:r>
      <w:r>
        <w:rPr>
          <w:rFonts w:hint="eastAsia" w:ascii="仿宋_GB2312" w:eastAsia="仿宋_GB2312" w:cs="仿宋_GB2312"/>
          <w:bCs/>
          <w:kern w:val="0"/>
          <w:sz w:val="32"/>
          <w:szCs w:val="32"/>
          <w:lang w:eastAsia="zh-CN"/>
        </w:rPr>
        <w:t>的</w:t>
      </w:r>
      <w:r>
        <w:rPr>
          <w:rFonts w:hint="eastAsia" w:ascii="仿宋_GB2312" w:eastAsia="仿宋_GB2312" w:cs="仿宋_GB2312"/>
          <w:bCs/>
          <w:kern w:val="0"/>
          <w:sz w:val="32"/>
          <w:szCs w:val="32"/>
        </w:rPr>
        <w:t>支出（款）</w:t>
      </w:r>
      <w:r>
        <w:rPr>
          <w:rFonts w:hint="eastAsia" w:ascii="仿宋_GB2312" w:eastAsia="仿宋_GB2312" w:cs="仿宋_GB2312"/>
          <w:bCs/>
          <w:kern w:val="0"/>
          <w:sz w:val="32"/>
          <w:szCs w:val="32"/>
          <w:lang w:eastAsia="zh-CN"/>
        </w:rPr>
        <w:t>城市建设支出</w:t>
      </w:r>
      <w:r>
        <w:rPr>
          <w:rFonts w:hint="eastAsia" w:ascii="仿宋_GB2312" w:eastAsia="仿宋_GB2312" w:cs="仿宋_GB2312"/>
          <w:bCs/>
          <w:kern w:val="0"/>
          <w:sz w:val="32"/>
          <w:szCs w:val="32"/>
        </w:rPr>
        <w:t>（项）。年初预算为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万元，支出决算为 </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万元，完成年初预算的 </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w:t>
      </w:r>
    </w:p>
    <w:p>
      <w:pPr>
        <w:autoSpaceDE w:val="0"/>
        <w:autoSpaceDN w:val="0"/>
        <w:adjustRightInd w:val="0"/>
        <w:spacing w:line="560" w:lineRule="exact"/>
        <w:ind w:firstLine="643" w:firstLineChars="200"/>
        <w:jc w:val="left"/>
        <w:rPr>
          <w:rFonts w:hint="eastAsia" w:ascii="仿宋_GB2312" w:eastAsia="仿宋_GB2312" w:cs="仿宋_GB2312"/>
          <w:b/>
          <w:bCs/>
          <w:kern w:val="0"/>
          <w:sz w:val="32"/>
          <w:szCs w:val="32"/>
        </w:rPr>
      </w:pPr>
      <w:r>
        <w:rPr>
          <w:rFonts w:hint="eastAsia" w:ascii="仿宋_GB2312" w:eastAsia="仿宋_GB2312" w:cs="仿宋_GB2312"/>
          <w:b/>
          <w:bCs/>
          <w:kern w:val="0"/>
          <w:sz w:val="32"/>
          <w:szCs w:val="32"/>
          <w:lang w:eastAsia="zh-CN"/>
        </w:rPr>
        <w:t>鹿寨县信息化建设中心</w:t>
      </w:r>
      <w:r>
        <w:rPr>
          <w:rFonts w:hint="eastAsia" w:ascii="仿宋_GB2312" w:eastAsia="仿宋_GB2312" w:cs="仿宋_GB2312"/>
          <w:b/>
          <w:bCs/>
          <w:kern w:val="0"/>
          <w:sz w:val="32"/>
          <w:szCs w:val="32"/>
        </w:rPr>
        <w:t>2</w:t>
      </w:r>
      <w:r>
        <w:rPr>
          <w:rFonts w:ascii="仿宋_GB2312" w:eastAsia="仿宋_GB2312" w:cs="仿宋_GB2312"/>
          <w:b/>
          <w:bCs/>
          <w:kern w:val="0"/>
          <w:sz w:val="32"/>
          <w:szCs w:val="32"/>
        </w:rPr>
        <w:t>02</w:t>
      </w:r>
      <w:r>
        <w:rPr>
          <w:rFonts w:hint="eastAsia" w:ascii="仿宋_GB2312" w:eastAsia="仿宋_GB2312" w:cs="仿宋_GB2312"/>
          <w:b/>
          <w:bCs/>
          <w:kern w:val="0"/>
          <w:sz w:val="32"/>
          <w:szCs w:val="32"/>
          <w:lang w:val="en-US" w:eastAsia="zh-CN"/>
        </w:rPr>
        <w:t>1</w:t>
      </w:r>
      <w:r>
        <w:rPr>
          <w:rFonts w:hint="eastAsia" w:ascii="仿宋_GB2312" w:eastAsia="仿宋_GB2312" w:cs="仿宋_GB2312"/>
          <w:b/>
          <w:bCs/>
          <w:kern w:val="0"/>
          <w:sz w:val="32"/>
          <w:szCs w:val="32"/>
        </w:rPr>
        <w:t>年度没有政府性基金收入，也没有政府性基金安排的支出，故无数据情况说明。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2021</w:t>
      </w:r>
      <w:r>
        <w:rPr>
          <w:rFonts w:hint="eastAsia" w:ascii="黑体" w:hAnsi="黑体" w:eastAsia="黑体" w:cs="仿宋_GB2312"/>
          <w:kern w:val="0"/>
          <w:sz w:val="32"/>
          <w:szCs w:val="32"/>
        </w:rPr>
        <w:t>年度国有资本经营预算支出决算情况</w:t>
      </w:r>
    </w:p>
    <w:p>
      <w:pPr>
        <w:autoSpaceDE w:val="0"/>
        <w:autoSpaceDN w:val="0"/>
        <w:adjustRightInd w:val="0"/>
        <w:spacing w:line="560" w:lineRule="exact"/>
        <w:ind w:left="319" w:leftChars="152" w:firstLine="320" w:firstLineChars="1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kern w:val="0"/>
          <w:sz w:val="32"/>
          <w:szCs w:val="32"/>
          <w:lang w:eastAsia="zh-CN"/>
        </w:rPr>
        <w:t>2021</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cs="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kern w:val="0"/>
          <w:sz w:val="32"/>
          <w:szCs w:val="32"/>
        </w:rPr>
        <w:t xml:space="preserve"> </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本部门</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 xml:space="preserve"> </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其中：</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（一）</w:t>
      </w:r>
      <w:r>
        <w:rPr>
          <w:rFonts w:hint="eastAsia" w:ascii="仿宋_GB2312" w:eastAsia="仿宋_GB2312"/>
          <w:bCs/>
          <w:kern w:val="0"/>
          <w:sz w:val="32"/>
          <w:szCs w:val="32"/>
          <w:lang w:eastAsia="zh-CN"/>
        </w:rPr>
        <w:t>国有资本经营预算支出（类）解决历史遗留问题及改革成本支出（款）“三供一业”移交补助支出（项）</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万元，支出决算为 </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万元，完成年初预算的</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 xml:space="preserve"> %。</w:t>
      </w:r>
    </w:p>
    <w:p>
      <w:pPr>
        <w:autoSpaceDE w:val="0"/>
        <w:autoSpaceDN w:val="0"/>
        <w:adjustRightInd w:val="0"/>
        <w:spacing w:line="560" w:lineRule="exact"/>
        <w:ind w:firstLine="643" w:firstLineChars="200"/>
        <w:jc w:val="left"/>
        <w:rPr>
          <w:rFonts w:hint="eastAsia" w:ascii="仿宋_GB2312" w:eastAsia="仿宋_GB2312" w:cs="仿宋_GB2312"/>
          <w:kern w:val="0"/>
          <w:sz w:val="32"/>
          <w:szCs w:val="32"/>
        </w:rPr>
      </w:pPr>
      <w:r>
        <w:rPr>
          <w:rFonts w:hint="eastAsia" w:ascii="仿宋_GB2312" w:eastAsia="仿宋_GB2312" w:cs="仿宋_GB2312"/>
          <w:b/>
          <w:bCs/>
          <w:kern w:val="0"/>
          <w:sz w:val="32"/>
          <w:szCs w:val="32"/>
          <w:lang w:eastAsia="zh-CN"/>
        </w:rPr>
        <w:t>鹿寨县信息化建设中心</w:t>
      </w:r>
      <w:r>
        <w:rPr>
          <w:rFonts w:hint="eastAsia" w:ascii="仿宋_GB2312" w:eastAsia="仿宋_GB2312" w:cs="仿宋_GB2312"/>
          <w:b/>
          <w:bCs/>
          <w:kern w:val="0"/>
          <w:sz w:val="32"/>
          <w:szCs w:val="32"/>
        </w:rPr>
        <w:t>2</w:t>
      </w:r>
      <w:r>
        <w:rPr>
          <w:rFonts w:ascii="仿宋_GB2312" w:eastAsia="仿宋_GB2312" w:cs="仿宋_GB2312"/>
          <w:b/>
          <w:bCs/>
          <w:kern w:val="0"/>
          <w:sz w:val="32"/>
          <w:szCs w:val="32"/>
        </w:rPr>
        <w:t>02</w:t>
      </w:r>
      <w:r>
        <w:rPr>
          <w:rFonts w:hint="eastAsia" w:ascii="仿宋_GB2312" w:eastAsia="仿宋_GB2312" w:cs="仿宋_GB2312"/>
          <w:b/>
          <w:bCs/>
          <w:kern w:val="0"/>
          <w:sz w:val="32"/>
          <w:szCs w:val="32"/>
          <w:lang w:val="en-US" w:eastAsia="zh-CN"/>
        </w:rPr>
        <w:t>1</w:t>
      </w:r>
      <w:r>
        <w:rPr>
          <w:rFonts w:hint="eastAsia" w:ascii="仿宋_GB2312" w:eastAsia="仿宋_GB2312" w:cs="仿宋_GB2312"/>
          <w:b/>
          <w:bCs/>
          <w:kern w:val="0"/>
          <w:sz w:val="32"/>
          <w:szCs w:val="32"/>
        </w:rPr>
        <w:t>年度没有</w:t>
      </w:r>
      <w:r>
        <w:rPr>
          <w:rFonts w:hint="eastAsia" w:ascii="仿宋_GB2312" w:eastAsia="仿宋_GB2312"/>
          <w:b/>
          <w:kern w:val="0"/>
          <w:sz w:val="32"/>
          <w:szCs w:val="32"/>
        </w:rPr>
        <w:t>国有资本经营预算财政拨款</w:t>
      </w:r>
      <w:r>
        <w:rPr>
          <w:rFonts w:hint="eastAsia" w:ascii="仿宋_GB2312" w:eastAsia="仿宋_GB2312" w:cs="仿宋_GB2312"/>
          <w:b/>
          <w:bCs/>
          <w:kern w:val="0"/>
          <w:sz w:val="32"/>
          <w:szCs w:val="32"/>
        </w:rPr>
        <w:t>收入，也没有</w:t>
      </w:r>
      <w:r>
        <w:rPr>
          <w:rFonts w:hint="eastAsia" w:ascii="仿宋_GB2312" w:eastAsia="仿宋_GB2312"/>
          <w:b/>
          <w:kern w:val="0"/>
          <w:sz w:val="32"/>
          <w:szCs w:val="32"/>
        </w:rPr>
        <w:t>国有资本经营预算财政拨款安排</w:t>
      </w:r>
      <w:r>
        <w:rPr>
          <w:rFonts w:hint="eastAsia" w:ascii="仿宋_GB2312" w:eastAsia="仿宋_GB2312" w:cs="仿宋_GB2312"/>
          <w:b/>
          <w:bCs/>
          <w:kern w:val="0"/>
          <w:sz w:val="32"/>
          <w:szCs w:val="32"/>
        </w:rPr>
        <w:t>的支出，故无数据情况说明</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 xml:space="preserve">公共预算财政拨款安排的“三公”经费支出    </w:t>
      </w:r>
      <w:r>
        <w:rPr>
          <w:rFonts w:hint="eastAsia" w:ascii="仿宋_GB2312" w:eastAsia="仿宋_GB2312" w:cs="仿宋_GB2312"/>
          <w:kern w:val="0"/>
          <w:sz w:val="32"/>
          <w:szCs w:val="32"/>
          <w:lang w:val="en-US" w:eastAsia="zh-CN"/>
        </w:rPr>
        <w:t>0.4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26.67</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0.4</w:t>
      </w:r>
      <w:r>
        <w:rPr>
          <w:rFonts w:hint="eastAsia" w:ascii="仿宋_GB2312" w:eastAsia="仿宋_GB2312" w:cs="仿宋_GB2312"/>
          <w:kern w:val="0"/>
          <w:sz w:val="32"/>
          <w:szCs w:val="32"/>
        </w:rPr>
        <w:t>万元，主要原因是</w:t>
      </w:r>
      <w:r>
        <w:rPr>
          <w:rFonts w:hint="eastAsia" w:ascii="仿宋_GB2312" w:eastAsia="仿宋_GB2312" w:cs="仿宋_GB2312"/>
          <w:kern w:val="0"/>
          <w:sz w:val="32"/>
          <w:szCs w:val="32"/>
          <w:lang w:eastAsia="zh-CN"/>
        </w:rPr>
        <w:t>上级来访人员增加</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0.4</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%，比上年增减（减少）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鹿寨县信息化建设中心无</w:t>
      </w:r>
      <w:r>
        <w:rPr>
          <w:rFonts w:hint="eastAsia" w:ascii="仿宋_GB2312" w:eastAsia="仿宋_GB2312" w:cs="仿宋_GB2312"/>
          <w:kern w:val="0"/>
          <w:sz w:val="32"/>
          <w:szCs w:val="32"/>
        </w:rPr>
        <w:t>因公出国（境）费</w:t>
      </w:r>
      <w:r>
        <w:rPr>
          <w:rFonts w:hint="eastAsia" w:ascii="仿宋_GB2312" w:eastAsia="仿宋_GB2312" w:cs="仿宋_GB2312"/>
          <w:kern w:val="0"/>
          <w:sz w:val="32"/>
          <w:szCs w:val="32"/>
          <w:lang w:eastAsia="zh-CN"/>
        </w:rPr>
        <w:t>支出</w:t>
      </w:r>
      <w:r>
        <w:rPr>
          <w:rFonts w:hint="eastAsia" w:ascii="仿宋_GB2312" w:eastAsia="仿宋_GB2312" w:cs="仿宋_GB2312"/>
          <w:kern w:val="0"/>
          <w:sz w:val="32"/>
          <w:szCs w:val="32"/>
        </w:rPr>
        <w:t>。全年使用财政拨款安排</w:t>
      </w:r>
      <w:r>
        <w:rPr>
          <w:rFonts w:hint="eastAsia" w:ascii="仿宋_GB2312" w:hAnsi="黑体" w:eastAsia="仿宋_GB2312"/>
          <w:bCs/>
          <w:color w:val="000000"/>
          <w:sz w:val="32"/>
          <w:szCs w:val="32"/>
        </w:rPr>
        <w:t>（</w:t>
      </w:r>
      <w:r>
        <w:rPr>
          <w:rFonts w:hint="eastAsia" w:ascii="仿宋_GB2312" w:eastAsia="仿宋_GB2312" w:cs="仿宋_GB2312"/>
          <w:kern w:val="0"/>
          <w:sz w:val="32"/>
          <w:szCs w:val="32"/>
        </w:rPr>
        <w:t>委、局、办</w:t>
      </w:r>
      <w:r>
        <w:rPr>
          <w:rFonts w:hint="eastAsia" w:ascii="仿宋_GB2312" w:hAnsi="黑体" w:eastAsia="仿宋_GB2312"/>
          <w:bCs/>
          <w:color w:val="000000"/>
          <w:sz w:val="32"/>
          <w:szCs w:val="32"/>
        </w:rPr>
        <w:t>）机关、</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个所属单位出国团组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个，参加其他单位组织的出国团组</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个，全年因公出国（境）团组共计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个，累计</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人次。</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w:t>
      </w:r>
    </w:p>
    <w:p>
      <w:pPr>
        <w:autoSpaceDE w:val="0"/>
        <w:autoSpaceDN w:val="0"/>
        <w:adjustRightInd w:val="0"/>
        <w:spacing w:line="560" w:lineRule="exact"/>
        <w:ind w:firstLine="960" w:firstLineChars="3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（减少）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万元。购置了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辆公务用车</w:t>
      </w:r>
      <w:r>
        <w:rPr>
          <w:rFonts w:hint="eastAsia" w:ascii="仿宋_GB2312" w:eastAsia="仿宋_GB2312" w:cs="仿宋_GB2312"/>
          <w:kern w:val="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rPr>
        <w:t xml:space="preserve">（减少） </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万元。主要用于机要文件交换、市内因公出行以及开展  业务所需车辆燃料费、维修费、过路过桥费、保险费等。</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w:t>
      </w:r>
      <w:r>
        <w:rPr>
          <w:rFonts w:hint="eastAsia" w:ascii="仿宋_GB2312" w:hAnsi="黑体" w:eastAsia="仿宋_GB2312"/>
          <w:bCs/>
          <w:color w:val="000000"/>
          <w:sz w:val="32"/>
          <w:szCs w:val="32"/>
          <w:u w:val="single"/>
        </w:rPr>
        <w:t xml:space="preserve">    </w:t>
      </w:r>
      <w:r>
        <w:rPr>
          <w:rFonts w:hint="eastAsia" w:ascii="仿宋_GB2312" w:hAnsi="黑体" w:eastAsia="仿宋_GB2312"/>
          <w:bCs/>
          <w:color w:val="000000"/>
          <w:sz w:val="32"/>
          <w:szCs w:val="32"/>
        </w:rPr>
        <w:t>（</w:t>
      </w:r>
      <w:r>
        <w:rPr>
          <w:rFonts w:hint="eastAsia" w:ascii="仿宋_GB2312" w:eastAsia="仿宋_GB2312" w:cs="仿宋_GB2312"/>
          <w:kern w:val="0"/>
          <w:sz w:val="32"/>
          <w:szCs w:val="32"/>
        </w:rPr>
        <w:t>委、局、办</w:t>
      </w:r>
      <w:r>
        <w:rPr>
          <w:rFonts w:hint="eastAsia" w:ascii="仿宋_GB2312" w:hAnsi="黑体" w:eastAsia="仿宋_GB2312"/>
          <w:bCs/>
          <w:color w:val="000000"/>
          <w:sz w:val="32"/>
          <w:szCs w:val="32"/>
        </w:rPr>
        <w:t>）、</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个所属单位开支财政拨款的公务用车保有量为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辆</w:t>
      </w:r>
      <w:r>
        <w:rPr>
          <w:rFonts w:hint="eastAsia" w:ascii="仿宋_GB2312" w:hAnsi="黑体" w:eastAsia="仿宋_GB2312"/>
          <w:b/>
          <w:bCs w:val="0"/>
          <w:color w:val="000000"/>
          <w:sz w:val="32"/>
          <w:szCs w:val="32"/>
        </w:rPr>
        <w:t>，</w:t>
      </w:r>
      <w:r>
        <w:rPr>
          <w:rFonts w:hint="eastAsia" w:ascii="仿宋_GB2312" w:hAnsi="黑体" w:eastAsia="仿宋_GB2312"/>
          <w:bCs/>
          <w:color w:val="000000"/>
          <w:sz w:val="32"/>
          <w:szCs w:val="32"/>
        </w:rPr>
        <w:t>全年运行费支出</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0</w:t>
      </w:r>
      <w:r>
        <w:rPr>
          <w:rFonts w:hint="eastAsia" w:ascii="仿宋_GB2312" w:hAnsi="黑体" w:eastAsia="仿宋_GB2312"/>
          <w:bCs/>
          <w:color w:val="00000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0.4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26.67</w:t>
      </w:r>
      <w:r>
        <w:rPr>
          <w:rFonts w:hint="eastAsia" w:ascii="仿宋_GB2312" w:eastAsia="仿宋_GB2312" w:cs="仿宋_GB2312"/>
          <w:kern w:val="0"/>
          <w:sz w:val="32"/>
          <w:szCs w:val="32"/>
        </w:rPr>
        <w:t>%， 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0.4</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上级来访人员增加</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4</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44</w:t>
      </w:r>
      <w:r>
        <w:rPr>
          <w:rFonts w:hint="eastAsia" w:ascii="仿宋_GB2312" w:eastAsia="仿宋_GB2312" w:cs="仿宋_GB2312"/>
          <w:kern w:val="0"/>
          <w:sz w:val="32"/>
          <w:szCs w:val="32"/>
          <w:lang w:eastAsia="zh-CN"/>
        </w:rPr>
        <w:t>人</w:t>
      </w:r>
      <w:r>
        <w:rPr>
          <w:rFonts w:hint="eastAsia" w:ascii="仿宋_GB2312" w:eastAsia="仿宋_GB2312" w:cs="仿宋_GB2312"/>
          <w:kern w:val="0"/>
          <w:sz w:val="32"/>
          <w:szCs w:val="32"/>
        </w:rPr>
        <w:t>，国（境）外公务接待批次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年度机关运行经费支出</w:t>
      </w:r>
      <w:r>
        <w:rPr>
          <w:rFonts w:hint="eastAsia" w:ascii="仿宋_GB2312" w:eastAsia="仿宋_GB2312" w:cs="仿宋_GB2312"/>
          <w:kern w:val="0"/>
          <w:sz w:val="32"/>
          <w:szCs w:val="32"/>
          <w:lang w:val="en-US" w:eastAsia="zh-CN"/>
        </w:rPr>
        <w:t>16.44</w:t>
      </w:r>
      <w:r>
        <w:rPr>
          <w:rFonts w:hint="eastAsia" w:ascii="仿宋_GB2312" w:eastAsia="仿宋_GB2312" w:cs="仿宋_GB2312"/>
          <w:kern w:val="0"/>
          <w:sz w:val="32"/>
          <w:szCs w:val="32"/>
        </w:rPr>
        <w:t>万元（与部门决算中行政单位和参照公务员法管理事业单位一般公共预算财政拨款基本支出中公用经费之和保持一致），比年初预算数减少</w:t>
      </w:r>
      <w:r>
        <w:rPr>
          <w:rFonts w:hint="eastAsia" w:ascii="仿宋_GB2312" w:eastAsia="仿宋_GB2312" w:cs="仿宋_GB2312"/>
          <w:kern w:val="0"/>
          <w:sz w:val="32"/>
          <w:szCs w:val="32"/>
          <w:lang w:val="en-US" w:eastAsia="zh-CN"/>
        </w:rPr>
        <w:t>11.66</w:t>
      </w:r>
      <w:r>
        <w:rPr>
          <w:rFonts w:hint="eastAsia" w:ascii="仿宋_GB2312" w:eastAsia="仿宋_GB2312" w:cs="仿宋_GB2312"/>
          <w:kern w:val="0"/>
          <w:sz w:val="32"/>
          <w:szCs w:val="32"/>
        </w:rPr>
        <w:t>万元，降低</w:t>
      </w:r>
      <w:r>
        <w:rPr>
          <w:rFonts w:hint="eastAsia" w:ascii="仿宋_GB2312" w:eastAsia="仿宋_GB2312" w:cs="仿宋_GB2312"/>
          <w:kern w:val="0"/>
          <w:sz w:val="32"/>
          <w:szCs w:val="32"/>
          <w:lang w:val="en-US" w:eastAsia="zh-CN"/>
        </w:rPr>
        <w:t>41.49</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财政资金紧张，缩紧开支。</w:t>
      </w:r>
      <w:r>
        <w:rPr>
          <w:rFonts w:hint="eastAsia" w:ascii="仿宋_GB2312" w:eastAsia="仿宋_GB2312" w:cs="仿宋_GB2312"/>
          <w:kern w:val="0"/>
          <w:sz w:val="32"/>
          <w:szCs w:val="32"/>
        </w:rPr>
        <w:t>比</w:t>
      </w:r>
      <w:r>
        <w:rPr>
          <w:rFonts w:hint="eastAsia" w:ascii="仿宋_GB2312" w:eastAsia="仿宋_GB2312" w:cs="仿宋_GB2312"/>
          <w:kern w:val="0"/>
          <w:sz w:val="32"/>
          <w:szCs w:val="32"/>
          <w:lang w:eastAsia="zh-CN"/>
        </w:rPr>
        <w:t>2020</w:t>
      </w:r>
      <w:r>
        <w:rPr>
          <w:rFonts w:hint="eastAsia" w:ascii="仿宋_GB2312" w:eastAsia="仿宋_GB2312" w:cs="仿宋_GB2312"/>
          <w:kern w:val="0"/>
          <w:sz w:val="32"/>
          <w:szCs w:val="32"/>
        </w:rPr>
        <w:t>年减少</w:t>
      </w:r>
      <w:r>
        <w:rPr>
          <w:rFonts w:hint="eastAsia" w:ascii="仿宋_GB2312" w:eastAsia="仿宋_GB2312" w:cs="仿宋_GB2312"/>
          <w:kern w:val="0"/>
          <w:sz w:val="32"/>
          <w:szCs w:val="32"/>
          <w:lang w:val="en-US" w:eastAsia="zh-CN"/>
        </w:rPr>
        <w:t>79.54</w:t>
      </w:r>
      <w:r>
        <w:rPr>
          <w:rFonts w:hint="eastAsia" w:ascii="仿宋_GB2312" w:eastAsia="仿宋_GB2312" w:cs="仿宋_GB2312"/>
          <w:kern w:val="0"/>
          <w:sz w:val="32"/>
          <w:szCs w:val="32"/>
        </w:rPr>
        <w:t>万元，降低</w:t>
      </w:r>
      <w:r>
        <w:rPr>
          <w:rFonts w:hint="eastAsia" w:ascii="仿宋_GB2312" w:eastAsia="仿宋_GB2312" w:cs="仿宋_GB2312"/>
          <w:kern w:val="0"/>
          <w:sz w:val="32"/>
          <w:szCs w:val="32"/>
          <w:lang w:val="en-US" w:eastAsia="zh-CN"/>
        </w:rPr>
        <w:t>82.87</w:t>
      </w:r>
      <w:r>
        <w:rPr>
          <w:rFonts w:hint="eastAsia" w:ascii="仿宋_GB2312" w:eastAsia="仿宋_GB2312" w:cs="仿宋_GB2312"/>
          <w:kern w:val="0"/>
          <w:sz w:val="32"/>
          <w:szCs w:val="32"/>
        </w:rPr>
        <w:t xml:space="preserve"> %。主要原因是：办公设施设备购置经费减少。</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年度政府采购支出总额</w:t>
      </w:r>
      <w:r>
        <w:rPr>
          <w:rFonts w:hint="eastAsia" w:ascii="仿宋_GB2312" w:eastAsia="仿宋_GB2312" w:cs="仿宋_GB2312"/>
          <w:kern w:val="0"/>
          <w:sz w:val="32"/>
          <w:szCs w:val="32"/>
          <w:lang w:val="en-US" w:eastAsia="zh-CN"/>
        </w:rPr>
        <w:t>48.88</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48.88</w:t>
      </w:r>
      <w:r>
        <w:rPr>
          <w:rFonts w:hint="eastAsia" w:ascii="仿宋_GB2312" w:eastAsia="仿宋_GB2312" w:cs="仿宋_GB2312"/>
          <w:kern w:val="0"/>
          <w:sz w:val="32"/>
          <w:szCs w:val="32"/>
        </w:rPr>
        <w:t>万元、政府采购工程支</w:t>
      </w:r>
      <w:r>
        <w:rPr>
          <w:rFonts w:hint="eastAsia" w:ascii="仿宋_GB2312" w:eastAsia="仿宋_GB2312" w:cs="仿宋_GB2312"/>
          <w:color w:val="auto"/>
          <w:kern w:val="0"/>
          <w:sz w:val="32"/>
          <w:szCs w:val="32"/>
        </w:rPr>
        <w:t>出</w:t>
      </w:r>
      <w:r>
        <w:rPr>
          <w:rFonts w:hint="eastAsia" w:ascii="仿宋_GB2312" w:eastAsia="仿宋_GB2312" w:cs="仿宋_GB2312"/>
          <w:color w:val="auto"/>
          <w:kern w:val="0"/>
          <w:sz w:val="32"/>
          <w:szCs w:val="32"/>
          <w:lang w:val="en-US" w:eastAsia="zh-CN"/>
        </w:rPr>
        <w:t>0</w:t>
      </w:r>
      <w:r>
        <w:rPr>
          <w:rFonts w:hint="eastAsia" w:ascii="仿宋_GB2312" w:eastAsia="仿宋_GB2312" w:cs="仿宋_GB2312"/>
          <w:color w:val="auto"/>
          <w:kern w:val="0"/>
          <w:sz w:val="32"/>
          <w:szCs w:val="32"/>
        </w:rPr>
        <w:t>万元、</w:t>
      </w:r>
      <w:r>
        <w:rPr>
          <w:rFonts w:hint="eastAsia" w:ascii="仿宋_GB2312" w:eastAsia="仿宋_GB2312" w:cs="仿宋_GB2312"/>
          <w:kern w:val="0"/>
          <w:sz w:val="32"/>
          <w:szCs w:val="32"/>
        </w:rPr>
        <w:t>政府采购服务支出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万元，授予中小企业合同金额</w:t>
      </w:r>
      <w:r>
        <w:rPr>
          <w:rFonts w:hint="eastAsia" w:ascii="仿宋_GB2312" w:eastAsia="仿宋_GB2312" w:cs="仿宋_GB2312"/>
          <w:kern w:val="0"/>
          <w:sz w:val="32"/>
          <w:szCs w:val="32"/>
          <w:lang w:val="en-US" w:eastAsia="zh-CN"/>
        </w:rPr>
        <w:t>48.88</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 xml:space="preserve"> %，其中：授予小微企业合同金额</w:t>
      </w:r>
      <w:r>
        <w:rPr>
          <w:rFonts w:hint="eastAsia" w:ascii="仿宋_GB2312" w:eastAsia="仿宋_GB2312" w:cs="仿宋_GB2312"/>
          <w:kern w:val="0"/>
          <w:sz w:val="32"/>
          <w:szCs w:val="32"/>
          <w:lang w:val="en-US" w:eastAsia="zh-CN"/>
        </w:rPr>
        <w:t>48.88</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截至</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年12月31日，本部门共有车辆</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辆，其中：公务用车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 辆；执法执勤用车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辆；专业技术用车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辆；其他用车</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辆；单价50万元 以上通用设备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台（套），单价100 万元以上专用设备</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 xml:space="preserve">台（套）。 </w:t>
      </w:r>
    </w:p>
    <w:p>
      <w:pPr>
        <w:autoSpaceDE w:val="0"/>
        <w:autoSpaceDN w:val="0"/>
        <w:adjustRightInd w:val="0"/>
        <w:spacing w:line="560" w:lineRule="exact"/>
        <w:ind w:firstLine="643" w:firstLineChars="200"/>
        <w:jc w:val="left"/>
        <w:rPr>
          <w:rFonts w:hint="eastAsia" w:ascii="仿宋_GB2312" w:eastAsia="仿宋_GB2312" w:cs="仿宋_GB2312"/>
          <w:b/>
          <w:kern w:val="0"/>
          <w:sz w:val="32"/>
          <w:szCs w:val="32"/>
        </w:rPr>
      </w:pPr>
      <w:bookmarkStart w:id="0" w:name="_GoBack"/>
      <w:bookmarkEnd w:id="0"/>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年度一般公共预算项目支出全面开展绩效自评。共涉及资金110.064万元，占一般公共预算项目支出总额的</w:t>
      </w:r>
      <w:r>
        <w:rPr>
          <w:rFonts w:hint="eastAsia" w:ascii="仿宋_GB2312" w:eastAsia="仿宋_GB2312" w:cs="仿宋_GB2312"/>
          <w:kern w:val="0"/>
          <w:sz w:val="32"/>
          <w:szCs w:val="32"/>
          <w:lang w:val="en-US" w:eastAsia="zh-CN"/>
        </w:rPr>
        <w:t>35.96</w:t>
      </w: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年度XXX、XXX等</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个政府性基金预算项目支出开展绩效自评，共涉及资金</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万元，占政府性基金预算项目支出总额的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%。共组织对“网络专用光纤线路租用、域名管理维护费”等</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个项目进行了部门评价，涉及一般公共预算支出110.064万元，政府性基金预算支出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万元。其中对“网络专用光纤线路租用、域名管理维护费”等项目分别委托“</w:t>
      </w:r>
      <w:r>
        <w:rPr>
          <w:rFonts w:hint="eastAsia" w:ascii="仿宋_GB2312" w:eastAsia="仿宋_GB2312" w:cs="仿宋_GB2312"/>
          <w:kern w:val="0"/>
          <w:sz w:val="32"/>
          <w:szCs w:val="32"/>
          <w:lang w:eastAsia="zh-CN"/>
        </w:rPr>
        <w:t>鹿寨县财政局</w:t>
      </w:r>
      <w:r>
        <w:rPr>
          <w:rFonts w:hint="eastAsia" w:ascii="仿宋_GB2312" w:eastAsia="仿宋_GB2312" w:cs="仿宋_GB2312"/>
          <w:kern w:val="0"/>
          <w:sz w:val="32"/>
          <w:szCs w:val="32"/>
        </w:rPr>
        <w:t>”等第三方机构开展绩效评价。从评价情况来看，项目严格控制成本，没有超过预算成本，并且按时、按质、按量完成项目任务。</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个部门（单位）开展整体支出绩效评价试点，涉及一般公共预算支出</w:t>
      </w:r>
      <w:r>
        <w:rPr>
          <w:rFonts w:hint="eastAsia" w:ascii="仿宋_GB2312" w:eastAsia="仿宋_GB2312"/>
          <w:kern w:val="0"/>
          <w:sz w:val="32"/>
          <w:szCs w:val="32"/>
        </w:rPr>
        <w:t>306.05</w:t>
      </w:r>
      <w:r>
        <w:rPr>
          <w:rFonts w:hint="eastAsia" w:ascii="仿宋_GB2312" w:eastAsia="仿宋_GB2312" w:cs="仿宋_GB2312"/>
          <w:kern w:val="0"/>
          <w:sz w:val="32"/>
          <w:szCs w:val="32"/>
        </w:rPr>
        <w:t>万元，政府性基金预算支出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万元。其中对“</w:t>
      </w:r>
      <w:r>
        <w:rPr>
          <w:rFonts w:hint="eastAsia" w:ascii="仿宋_GB2312" w:eastAsia="仿宋_GB2312" w:cs="仿宋_GB2312"/>
          <w:kern w:val="0"/>
          <w:sz w:val="32"/>
          <w:szCs w:val="32"/>
          <w:lang w:eastAsia="zh-CN"/>
        </w:rPr>
        <w:t>鹿寨县信息化建设中心</w:t>
      </w:r>
      <w:r>
        <w:rPr>
          <w:rFonts w:hint="eastAsia" w:ascii="仿宋_GB2312" w:eastAsia="仿宋_GB2312" w:cs="仿宋_GB2312"/>
          <w:kern w:val="0"/>
          <w:sz w:val="32"/>
          <w:szCs w:val="32"/>
        </w:rPr>
        <w:t>”部门（单位）整体支出分别委托“</w:t>
      </w:r>
      <w:r>
        <w:rPr>
          <w:rFonts w:hint="eastAsia" w:ascii="仿宋_GB2312" w:eastAsia="仿宋_GB2312" w:cs="仿宋_GB2312"/>
          <w:kern w:val="0"/>
          <w:sz w:val="32"/>
          <w:szCs w:val="32"/>
          <w:lang w:eastAsia="zh-CN"/>
        </w:rPr>
        <w:t>鹿寨县财政局</w:t>
      </w:r>
      <w:r>
        <w:rPr>
          <w:rFonts w:hint="eastAsia" w:ascii="仿宋_GB2312" w:eastAsia="仿宋_GB2312" w:cs="仿宋_GB2312"/>
          <w:kern w:val="0"/>
          <w:sz w:val="32"/>
          <w:szCs w:val="32"/>
        </w:rPr>
        <w:t>”等第三方机构开展绩效评价。从评价情况来看，</w:t>
      </w:r>
      <w:r>
        <w:rPr>
          <w:rFonts w:hint="eastAsia" w:ascii="仿宋_GB2312" w:eastAsia="仿宋_GB2312" w:cs="仿宋_GB2312"/>
          <w:kern w:val="0"/>
          <w:sz w:val="32"/>
          <w:szCs w:val="32"/>
          <w:lang w:eastAsia="zh-CN"/>
        </w:rPr>
        <w:t>全年没有超过预算，全年工作顺利开展</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我部门根据年初设定的绩效目标，网络专用光纤线路租用、域名管理维护费项目自评得分为</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分。</w:t>
      </w:r>
    </w:p>
    <w:p>
      <w:pPr>
        <w:autoSpaceDE w:val="0"/>
        <w:autoSpaceDN w:val="0"/>
        <w:adjustRightInd w:val="0"/>
        <w:spacing w:line="580" w:lineRule="exact"/>
        <w:ind w:firstLine="627" w:firstLineChars="196"/>
        <w:jc w:val="left"/>
        <w:rPr>
          <w:rFonts w:hint="eastAsia" w:ascii="仿宋_GB2312" w:eastAsia="仿宋_GB2312" w:cs="仿宋_GB2312"/>
          <w:kern w:val="0"/>
          <w:sz w:val="32"/>
          <w:szCs w:val="32"/>
        </w:rPr>
        <w:sectPr>
          <w:headerReference r:id="rId5" w:type="default"/>
          <w:footerReference r:id="rId6" w:type="default"/>
          <w:pgSz w:w="11906" w:h="16838"/>
          <w:pgMar w:top="1440" w:right="964" w:bottom="1440" w:left="1134" w:header="851" w:footer="992" w:gutter="0"/>
          <w:pgNumType w:fmt="numberInDash"/>
          <w:cols w:space="0" w:num="1"/>
          <w:rtlGutter w:val="0"/>
          <w:docGrid w:type="lines" w:linePitch="340" w:charSpace="0"/>
        </w:sectPr>
      </w:pPr>
    </w:p>
    <w:tbl>
      <w:tblPr>
        <w:tblStyle w:val="7"/>
        <w:tblpPr w:leftFromText="180" w:rightFromText="180" w:vertAnchor="text" w:tblpX="15506" w:tblpY="-25069"/>
        <w:tblOverlap w:val="never"/>
        <w:tblW w:w="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920" w:type="dxa"/>
          </w:tcPr>
          <w:p>
            <w:pPr>
              <w:keepNext w:val="0"/>
              <w:keepLines w:val="0"/>
              <w:pageBreakBefore w:val="0"/>
              <w:kinsoku/>
              <w:wordWrap/>
              <w:overflowPunct/>
              <w:topLinePunct w:val="0"/>
              <w:autoSpaceDE/>
              <w:autoSpaceDN/>
              <w:bidi w:val="0"/>
              <w:adjustRightInd/>
              <w:snapToGrid/>
              <w:spacing w:line="240" w:lineRule="exact"/>
              <w:rPr>
                <w:vertAlign w:val="baseline"/>
              </w:rPr>
            </w:pPr>
          </w:p>
        </w:tc>
      </w:tr>
    </w:tbl>
    <w:tbl>
      <w:tblPr>
        <w:tblStyle w:val="6"/>
        <w:tblW w:w="16298" w:type="dxa"/>
        <w:tblInd w:w="0" w:type="dxa"/>
        <w:shd w:val="clear" w:color="auto" w:fill="auto"/>
        <w:tblLayout w:type="fixed"/>
        <w:tblCellMar>
          <w:top w:w="0" w:type="dxa"/>
          <w:left w:w="0" w:type="dxa"/>
          <w:bottom w:w="0" w:type="dxa"/>
          <w:right w:w="0" w:type="dxa"/>
        </w:tblCellMar>
      </w:tblPr>
      <w:tblGrid>
        <w:gridCol w:w="789"/>
        <w:gridCol w:w="788"/>
        <w:gridCol w:w="1"/>
        <w:gridCol w:w="821"/>
        <w:gridCol w:w="1"/>
        <w:gridCol w:w="2102"/>
        <w:gridCol w:w="1"/>
        <w:gridCol w:w="558"/>
        <w:gridCol w:w="1"/>
        <w:gridCol w:w="2273"/>
        <w:gridCol w:w="1"/>
        <w:gridCol w:w="1865"/>
        <w:gridCol w:w="1"/>
        <w:gridCol w:w="834"/>
        <w:gridCol w:w="1"/>
        <w:gridCol w:w="3461"/>
        <w:gridCol w:w="1"/>
        <w:gridCol w:w="1401"/>
        <w:gridCol w:w="1"/>
        <w:gridCol w:w="1"/>
        <w:gridCol w:w="1394"/>
        <w:gridCol w:w="1"/>
        <w:gridCol w:w="1"/>
      </w:tblGrid>
      <w:tr>
        <w:tblPrEx>
          <w:shd w:val="clear" w:color="auto" w:fill="auto"/>
          <w:tblLayout w:type="fixed"/>
          <w:tblCellMar>
            <w:top w:w="0" w:type="dxa"/>
            <w:left w:w="0" w:type="dxa"/>
            <w:bottom w:w="0" w:type="dxa"/>
            <w:right w:w="0" w:type="dxa"/>
          </w:tblCellMar>
        </w:tblPrEx>
        <w:trPr>
          <w:gridAfter w:val="2"/>
          <w:wAfter w:w="2" w:type="dxa"/>
          <w:trHeight w:val="300" w:hRule="atLeast"/>
        </w:trPr>
        <w:tc>
          <w:tcPr>
            <w:tcW w:w="1577"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附件3：</w:t>
            </w:r>
          </w:p>
        </w:tc>
        <w:tc>
          <w:tcPr>
            <w:tcW w:w="82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103"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559"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274"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66"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835"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346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0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396" w:type="dxa"/>
            <w:gridSpan w:val="3"/>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gridAfter w:val="1"/>
          <w:wAfter w:w="1" w:type="dxa"/>
          <w:trHeight w:val="408" w:hRule="atLeast"/>
        </w:trPr>
        <w:tc>
          <w:tcPr>
            <w:tcW w:w="14901" w:type="dxa"/>
            <w:gridSpan w:val="1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2021年鹿寨县预算项目支出绩效自评表</w:t>
            </w:r>
          </w:p>
        </w:tc>
        <w:tc>
          <w:tcPr>
            <w:tcW w:w="1396"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gridAfter w:val="1"/>
          <w:wAfter w:w="1" w:type="dxa"/>
          <w:trHeight w:val="300" w:hRule="atLeast"/>
        </w:trPr>
        <w:tc>
          <w:tcPr>
            <w:tcW w:w="1577" w:type="dxa"/>
            <w:gridSpan w:val="2"/>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单位（盖章）：</w:t>
            </w:r>
          </w:p>
        </w:tc>
        <w:tc>
          <w:tcPr>
            <w:tcW w:w="822" w:type="dxa"/>
            <w:gridSpan w:val="2"/>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4937" w:type="dxa"/>
            <w:gridSpan w:val="7"/>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鹿寨县信息化建设中心</w:t>
            </w:r>
          </w:p>
        </w:tc>
        <w:tc>
          <w:tcPr>
            <w:tcW w:w="1866" w:type="dxa"/>
            <w:gridSpan w:val="2"/>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835" w:type="dxa"/>
            <w:gridSpan w:val="2"/>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462" w:type="dxa"/>
            <w:gridSpan w:val="2"/>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402" w:type="dxa"/>
            <w:gridSpan w:val="2"/>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1396" w:type="dxa"/>
            <w:gridSpan w:val="3"/>
            <w:tcBorders>
              <w:top w:val="nil"/>
              <w:left w:val="nil"/>
              <w:bottom w:val="single" w:color="000000" w:sz="4" w:space="0"/>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00" w:hRule="atLeast"/>
        </w:trPr>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2502"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网络专用光纤线路租用、域名管理维护费</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300" w:hRule="atLeast"/>
        </w:trPr>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493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鹿寨县发展和改革局</w:t>
            </w:r>
          </w:p>
        </w:tc>
        <w:tc>
          <w:tcPr>
            <w:tcW w:w="7565"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2"/>
          <w:wAfter w:w="2" w:type="dxa"/>
          <w:trHeight w:val="400" w:hRule="atLeast"/>
        </w:trPr>
        <w:tc>
          <w:tcPr>
            <w:tcW w:w="23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项目资金执行情况（万元）</w:t>
            </w:r>
          </w:p>
        </w:tc>
        <w:tc>
          <w:tcPr>
            <w:tcW w:w="26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调整预算数（A）</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全年执行数（B）</w:t>
            </w:r>
          </w:p>
        </w:tc>
        <w:tc>
          <w:tcPr>
            <w:tcW w:w="569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预算资金执行率（B/A)</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Layout w:type="fixed"/>
          <w:tblCellMar>
            <w:top w:w="0" w:type="dxa"/>
            <w:left w:w="0" w:type="dxa"/>
            <w:bottom w:w="0" w:type="dxa"/>
            <w:right w:w="0" w:type="dxa"/>
          </w:tblCellMar>
        </w:tblPrEx>
        <w:trPr>
          <w:gridAfter w:val="2"/>
          <w:wAfter w:w="2" w:type="dxa"/>
          <w:trHeight w:val="300" w:hRule="atLeast"/>
        </w:trPr>
        <w:tc>
          <w:tcPr>
            <w:tcW w:w="23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年度资金总额：</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110.064</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110.064</w:t>
            </w:r>
          </w:p>
        </w:tc>
        <w:tc>
          <w:tcPr>
            <w:tcW w:w="56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2"/>
          <w:wAfter w:w="2" w:type="dxa"/>
          <w:trHeight w:val="300" w:hRule="atLeast"/>
        </w:trPr>
        <w:tc>
          <w:tcPr>
            <w:tcW w:w="23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Style w:val="18"/>
                <w:lang w:val="en-US" w:eastAsia="zh-CN" w:bidi="ar"/>
              </w:rPr>
              <w:t xml:space="preserve">   其中：一般公共预算</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110.064</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110.064</w:t>
            </w:r>
          </w:p>
        </w:tc>
        <w:tc>
          <w:tcPr>
            <w:tcW w:w="56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2"/>
          <w:wAfter w:w="2" w:type="dxa"/>
          <w:trHeight w:val="300" w:hRule="atLeast"/>
        </w:trPr>
        <w:tc>
          <w:tcPr>
            <w:tcW w:w="23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6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gridAfter w:val="2"/>
          <w:wAfter w:w="2" w:type="dxa"/>
          <w:trHeight w:val="400" w:hRule="atLeast"/>
        </w:trPr>
        <w:tc>
          <w:tcPr>
            <w:tcW w:w="23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66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69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740" w:hRule="atLeast"/>
        </w:trPr>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w:t>
            </w:r>
          </w:p>
        </w:tc>
        <w:tc>
          <w:tcPr>
            <w:tcW w:w="7638" w:type="dxa"/>
            <w:gridSpan w:val="11"/>
            <w:tcBorders>
              <w:top w:val="single" w:color="000000" w:sz="4" w:space="0"/>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10分</w:t>
            </w:r>
          </w:p>
        </w:tc>
        <w:tc>
          <w:tcPr>
            <w:tcW w:w="4864" w:type="dxa"/>
            <w:gridSpan w:val="4"/>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项目资金执行情况得分（C）=年度资金总额预算资金执行率×该指标分值(10分)，最高不得超过分值上限10分。</w:t>
            </w:r>
          </w:p>
        </w:tc>
        <w:tc>
          <w:tcPr>
            <w:tcW w:w="1396" w:type="dxa"/>
            <w:gridSpan w:val="3"/>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20" w:hRule="atLeast"/>
        </w:trPr>
        <w:tc>
          <w:tcPr>
            <w:tcW w:w="7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14113" w:type="dxa"/>
            <w:gridSpan w:val="1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2021年与营运商签定光纤扩容租用相关合同，确保全年网络专用光纤线路租用、域名管理维护费不超过110.064万元。</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300" w:hRule="atLeast"/>
        </w:trPr>
        <w:tc>
          <w:tcPr>
            <w:tcW w:w="7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年度绩效指标</w:t>
            </w:r>
          </w:p>
        </w:tc>
        <w:tc>
          <w:tcPr>
            <w:tcW w:w="78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82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10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227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年度指标值(A)  </w:t>
            </w:r>
          </w:p>
        </w:tc>
        <w:tc>
          <w:tcPr>
            <w:tcW w:w="18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全年实际值(B) </w:t>
            </w:r>
          </w:p>
        </w:tc>
        <w:tc>
          <w:tcPr>
            <w:tcW w:w="83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4864" w:type="dxa"/>
            <w:gridSpan w:val="4"/>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w:t>
            </w: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(50分)</w:t>
            </w: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租用光纤4组</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电子政务外网互联网出口宽带租用及维护。</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租用光纤4组，电子政务外网互联网出口宽带租用及维护。</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40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2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租用光纤符合质量要求</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电子政务外网正常运行。</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光纤质量符合要求，电子政务外网正常运行。</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6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执行合同约定，按时支付电子政务系统、全县视频会议建设维护费</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2021年12月前支付完当年网络专用光纤线路租用、域名管理维护。</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2021年12月前支付完当年网络专用光纤线路租用、域名管理维护。</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44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2021年网络专用光纤线路租用、域名管理维护费由县财政投资</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2021年网络专用光纤线路租用、域名管理维护费由县财政投资总共投资110.064万元</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2020年网络专用光纤线路租用、域名管理维护费由县财政投资总共投资110.064万元</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60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40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                                                                                                                           (30分)</w:t>
            </w: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全年开支控制在项目预算110.064万元以内。</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在达到预期网速内最大限度节约成本。</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全年开支110.06135万元。</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满足全县电子政务外网需求</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全县信息化和电子政务外网建设需求</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满足全县信息化和电子政务外网建设需求。</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2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1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实现信息化建设可持续性发展</w:t>
            </w:r>
          </w:p>
        </w:tc>
        <w:tc>
          <w:tcPr>
            <w:tcW w:w="5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由粗放型向规范型、法制型转变。</w:t>
            </w:r>
          </w:p>
        </w:tc>
        <w:tc>
          <w:tcPr>
            <w:tcW w:w="18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实现信息化建设可持续性发展，由粗放型向规范型、法制型转变。</w:t>
            </w:r>
          </w:p>
        </w:tc>
        <w:tc>
          <w:tcPr>
            <w:tcW w:w="8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2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1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263"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满意度指标（10分）</w:t>
            </w:r>
          </w:p>
        </w:tc>
        <w:tc>
          <w:tcPr>
            <w:tcW w:w="8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2103" w:type="dxa"/>
            <w:gridSpan w:val="2"/>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服务单位对项目实施满意</w:t>
            </w:r>
          </w:p>
        </w:tc>
        <w:tc>
          <w:tcPr>
            <w:tcW w:w="559" w:type="dxa"/>
            <w:gridSpan w:val="2"/>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274"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2021年度各使用单位在使用光纤网上工作时的满意。</w:t>
            </w:r>
          </w:p>
        </w:tc>
        <w:tc>
          <w:tcPr>
            <w:tcW w:w="1866" w:type="dxa"/>
            <w:gridSpan w:val="2"/>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2021年度各使用单位在使用光纤网上工作满意。</w:t>
            </w:r>
          </w:p>
        </w:tc>
        <w:tc>
          <w:tcPr>
            <w:tcW w:w="835" w:type="dxa"/>
            <w:gridSpan w:val="2"/>
            <w:vMerge w:val="restart"/>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864" w:type="dxa"/>
            <w:gridSpan w:val="4"/>
            <w:vMerge w:val="restart"/>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320" w:hRule="atLeast"/>
        </w:trPr>
        <w:tc>
          <w:tcPr>
            <w:tcW w:w="7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textDirection w:val="tbRlV"/>
            <w:vAlign w:val="center"/>
          </w:tcPr>
          <w:p>
            <w:pPr>
              <w:jc w:val="center"/>
              <w:rPr>
                <w:rFonts w:hint="eastAsia" w:ascii="宋体" w:hAnsi="宋体" w:eastAsia="宋体" w:cs="宋体"/>
                <w:i w:val="0"/>
                <w:color w:val="000000"/>
                <w:sz w:val="20"/>
                <w:szCs w:val="20"/>
                <w:u w:val="none"/>
              </w:rPr>
            </w:pPr>
          </w:p>
        </w:tc>
        <w:tc>
          <w:tcPr>
            <w:tcW w:w="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103" w:type="dxa"/>
            <w:gridSpan w:val="2"/>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559" w:type="dxa"/>
            <w:gridSpan w:val="2"/>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274"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1866" w:type="dxa"/>
            <w:gridSpan w:val="2"/>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835" w:type="dxa"/>
            <w:gridSpan w:val="2"/>
            <w:vMerge w:val="continue"/>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864" w:type="dxa"/>
            <w:gridSpan w:val="4"/>
            <w:vMerge w:val="continue"/>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96" w:type="dxa"/>
            <w:gridSpan w:val="3"/>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1" w:type="dxa"/>
          <w:trHeight w:val="780" w:hRule="atLeast"/>
        </w:trPr>
        <w:tc>
          <w:tcPr>
            <w:tcW w:w="23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  分</w:t>
            </w:r>
          </w:p>
        </w:tc>
        <w:tc>
          <w:tcPr>
            <w:tcW w:w="7638" w:type="dxa"/>
            <w:gridSpan w:val="11"/>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100分</w:t>
            </w:r>
          </w:p>
        </w:tc>
        <w:tc>
          <w:tcPr>
            <w:tcW w:w="486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总分=项目资金执行情况得分(C)+产出指标得分合计+效益指标得分合计+满意度指标得分合计。</w:t>
            </w:r>
          </w:p>
        </w:tc>
        <w:tc>
          <w:tcPr>
            <w:tcW w:w="139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285" w:hRule="atLeast"/>
        </w:trPr>
        <w:tc>
          <w:tcPr>
            <w:tcW w:w="789"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4273"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填报人：陶靓靓</w:t>
            </w:r>
          </w:p>
        </w:tc>
        <w:tc>
          <w:tcPr>
            <w:tcW w:w="4975" w:type="dxa"/>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联系电话：6819689</w:t>
            </w:r>
          </w:p>
        </w:tc>
        <w:tc>
          <w:tcPr>
            <w:tcW w:w="346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402"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396" w:type="dxa"/>
            <w:gridSpan w:val="3"/>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 w:type="dxa"/>
          <w:trHeight w:val="288" w:hRule="atLeast"/>
        </w:trPr>
        <w:tc>
          <w:tcPr>
            <w:tcW w:w="14901" w:type="dxa"/>
            <w:gridSpan w:val="1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注：1</w:t>
            </w:r>
            <w:r>
              <w:rPr>
                <w:rStyle w:val="19"/>
                <w:lang w:val="en-US" w:eastAsia="zh-CN" w:bidi="ar"/>
              </w:rPr>
              <w:t>.得分一档最高不能超过该指标分值上限；</w:t>
            </w:r>
          </w:p>
        </w:tc>
        <w:tc>
          <w:tcPr>
            <w:tcW w:w="1396"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540" w:hRule="atLeast"/>
        </w:trPr>
        <w:tc>
          <w:tcPr>
            <w:tcW w:w="14901" w:type="dxa"/>
            <w:gridSpan w:val="1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2.定性指标根据指标完成情况分为：达成预期指标、部分达成预期指标并具有一定效果、未达成预期指标且效果较差三档，分别按照该指标对应分值区间100-80%(含80%)、80-50%(含50%)、50-0%合理确定分值。</w:t>
            </w:r>
          </w:p>
        </w:tc>
        <w:tc>
          <w:tcPr>
            <w:tcW w:w="1396"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gridAfter w:val="1"/>
          <w:wAfter w:w="1" w:type="dxa"/>
          <w:trHeight w:val="288" w:hRule="atLeast"/>
        </w:trPr>
        <w:tc>
          <w:tcPr>
            <w:tcW w:w="14901" w:type="dxa"/>
            <w:gridSpan w:val="1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3.请在“未完成原因分析”中说明偏离目标、不能完成目标的原因及拟采取的措施。若内容过多可以另附说明。</w:t>
            </w:r>
          </w:p>
        </w:tc>
        <w:tc>
          <w:tcPr>
            <w:tcW w:w="1396"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bl>
    <w:p>
      <w:pPr>
        <w:autoSpaceDE w:val="0"/>
        <w:autoSpaceDN w:val="0"/>
        <w:adjustRightInd w:val="0"/>
        <w:spacing w:line="580" w:lineRule="exact"/>
        <w:jc w:val="center"/>
        <w:rPr>
          <w:rFonts w:hint="eastAsia" w:ascii="仿宋_GB2312" w:eastAsia="仿宋_GB2312"/>
          <w:b/>
          <w:sz w:val="32"/>
          <w:szCs w:val="32"/>
        </w:rPr>
        <w:sectPr>
          <w:pgSz w:w="16838" w:h="11906" w:orient="landscape"/>
          <w:pgMar w:top="1134" w:right="283" w:bottom="964" w:left="283" w:header="851" w:footer="992" w:gutter="0"/>
          <w:pgNumType w:fmt="numberInDash"/>
          <w:cols w:space="0" w:num="1"/>
          <w:rtlGutter w:val="0"/>
          <w:docGrid w:type="lines" w:linePitch="340" w:charSpace="0"/>
        </w:sectPr>
      </w:pPr>
    </w:p>
    <w:p>
      <w:pPr>
        <w:autoSpaceDE w:val="0"/>
        <w:autoSpaceDN w:val="0"/>
        <w:adjustRightInd w:val="0"/>
        <w:spacing w:line="580" w:lineRule="exact"/>
        <w:jc w:val="center"/>
        <w:rPr>
          <w:rFonts w:ascii="仿宋_GB2312" w:eastAsia="仿宋_GB2312"/>
          <w:b/>
          <w:sz w:val="32"/>
          <w:szCs w:val="32"/>
        </w:rPr>
      </w:pPr>
      <w:r>
        <w:rPr>
          <w:rFonts w:hint="eastAsia" w:ascii="仿宋_GB2312" w:eastAsia="仿宋_GB2312"/>
          <w:b/>
          <w:sz w:val="32"/>
          <w:szCs w:val="32"/>
        </w:rPr>
        <w:t>第四部分：名词解释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eastAsia="zh-CN"/>
        </w:rPr>
        <w:t>柳州市</w:t>
      </w:r>
      <w:r>
        <w:rPr>
          <w:rFonts w:hint="eastAsia" w:ascii="仿宋_GB2312" w:eastAsia="仿宋_GB2312"/>
          <w:sz w:val="32"/>
          <w:szCs w:val="32"/>
        </w:rPr>
        <w:t xml:space="preserve">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十二、“三公”经费：纳入</w:t>
      </w:r>
      <w:r>
        <w:rPr>
          <w:rFonts w:hint="eastAsia" w:ascii="仿宋_GB2312" w:eastAsia="仿宋_GB2312"/>
          <w:sz w:val="32"/>
          <w:szCs w:val="32"/>
          <w:lang w:eastAsia="zh-CN"/>
        </w:rPr>
        <w:t>柳州市</w:t>
      </w:r>
      <w:r>
        <w:rPr>
          <w:rFonts w:hint="eastAsia" w:ascii="仿宋_GB2312" w:eastAsia="仿宋_GB2312"/>
          <w:sz w:val="32"/>
          <w:szCs w:val="32"/>
        </w:rPr>
        <w:t>财政预决算管理的“三公”经费，是指</w:t>
      </w:r>
      <w:r>
        <w:rPr>
          <w:rFonts w:hint="eastAsia" w:ascii="仿宋_GB2312" w:eastAsia="仿宋_GB2312"/>
          <w:sz w:val="32"/>
          <w:szCs w:val="32"/>
          <w:lang w:eastAsia="zh-CN"/>
        </w:rPr>
        <w:t>柳州市</w:t>
      </w:r>
      <w:r>
        <w:rPr>
          <w:rFonts w:hint="eastAsia" w:ascii="仿宋_GB2312" w:eastAsia="仿宋_GB2312"/>
          <w:sz w:val="32"/>
          <w:szCs w:val="32"/>
        </w:rPr>
        <w:t xml:space="preserve">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eastAsia" w:ascii="仿宋_GB2312" w:hAnsi="黑体" w:eastAsia="仿宋_GB2312" w:cs="仿宋_GB2312"/>
          <w:kern w:val="0"/>
          <w:sz w:val="32"/>
          <w:szCs w:val="32"/>
          <w:lang w:val="en-US" w:eastAsia="zh-CN"/>
        </w:rPr>
        <w:sectPr>
          <w:pgSz w:w="11906" w:h="16838"/>
          <w:pgMar w:top="1440" w:right="964" w:bottom="1440" w:left="1134" w:header="851" w:footer="992" w:gutter="0"/>
          <w:pgNumType w:fmt="numberInDash"/>
          <w:cols w:space="0" w:num="1"/>
          <w:rtlGutter w:val="0"/>
          <w:docGrid w:type="lines" w:linePitch="340" w:charSpace="0"/>
        </w:sectPr>
      </w:pPr>
    </w:p>
    <w:p>
      <w:pPr>
        <w:rPr>
          <w:rFonts w:hint="eastAsia" w:ascii="仿宋_GB2312" w:eastAsia="仿宋_GB2312" w:cs="仿宋_GB2312"/>
          <w:kern w:val="0"/>
          <w:sz w:val="32"/>
          <w:szCs w:val="32"/>
        </w:rPr>
      </w:pPr>
    </w:p>
    <w:sectPr>
      <w:pgSz w:w="11906" w:h="16838"/>
      <w:pgMar w:top="1440" w:right="964" w:bottom="1440" w:left="1134" w:header="851" w:footer="992" w:gutter="0"/>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- 13 -</w:t>
    </w:r>
    <w:r>
      <w:rPr>
        <w:sz w:val="30"/>
        <w:szCs w:val="3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30"/>
        <w:szCs w:val="30"/>
      </w:rPr>
    </w:pPr>
    <w:r>
      <w:rPr>
        <w:sz w:val="30"/>
        <w:szCs w:val="30"/>
      </w:rPr>
      <w:fldChar w:fldCharType="begin"/>
    </w:r>
    <w:r>
      <w:rPr>
        <w:rStyle w:val="9"/>
        <w:sz w:val="30"/>
        <w:szCs w:val="30"/>
      </w:rPr>
      <w:instrText xml:space="preserve">PAGE  </w:instrText>
    </w:r>
    <w:r>
      <w:rPr>
        <w:sz w:val="30"/>
        <w:szCs w:val="30"/>
      </w:rPr>
      <w:fldChar w:fldCharType="separate"/>
    </w:r>
    <w:r>
      <w:rPr>
        <w:rStyle w:val="9"/>
        <w:sz w:val="30"/>
        <w:szCs w:val="30"/>
      </w:rPr>
      <w:t>- 13 -</w:t>
    </w:r>
    <w:r>
      <w:rPr>
        <w:sz w:val="30"/>
        <w:szCs w:val="3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0F1E3"/>
    <w:multiLevelType w:val="singleLevel"/>
    <w:tmpl w:val="7A20F1E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7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YzQwMmVkZDI4MjhiZTVjYjk1YjY1ZmE4NjNlYzIifQ=="/>
  </w:docVars>
  <w:rsids>
    <w:rsidRoot w:val="4C256E3D"/>
    <w:rsid w:val="00066CA3"/>
    <w:rsid w:val="004756AA"/>
    <w:rsid w:val="006C1367"/>
    <w:rsid w:val="00715385"/>
    <w:rsid w:val="00F66C5B"/>
    <w:rsid w:val="02EF1E8A"/>
    <w:rsid w:val="04595CB6"/>
    <w:rsid w:val="05352423"/>
    <w:rsid w:val="094B45FA"/>
    <w:rsid w:val="0A0C33E4"/>
    <w:rsid w:val="0A79028B"/>
    <w:rsid w:val="0B424B1D"/>
    <w:rsid w:val="0DA86951"/>
    <w:rsid w:val="0E074DDF"/>
    <w:rsid w:val="0F0F5ED6"/>
    <w:rsid w:val="124204B5"/>
    <w:rsid w:val="14F016D4"/>
    <w:rsid w:val="15823E15"/>
    <w:rsid w:val="160C1212"/>
    <w:rsid w:val="1612602D"/>
    <w:rsid w:val="16B90A0F"/>
    <w:rsid w:val="182962AB"/>
    <w:rsid w:val="19A5138E"/>
    <w:rsid w:val="19D073EB"/>
    <w:rsid w:val="1A650904"/>
    <w:rsid w:val="1C246AA4"/>
    <w:rsid w:val="1CA473E9"/>
    <w:rsid w:val="1CC31F67"/>
    <w:rsid w:val="1D0630D3"/>
    <w:rsid w:val="2249565E"/>
    <w:rsid w:val="24D337DC"/>
    <w:rsid w:val="24F20197"/>
    <w:rsid w:val="26460DBA"/>
    <w:rsid w:val="2B6F74EB"/>
    <w:rsid w:val="2C1F0B15"/>
    <w:rsid w:val="2C4219FE"/>
    <w:rsid w:val="2C9408A6"/>
    <w:rsid w:val="31C51E84"/>
    <w:rsid w:val="335718FE"/>
    <w:rsid w:val="34020F86"/>
    <w:rsid w:val="341361ED"/>
    <w:rsid w:val="376D6E8E"/>
    <w:rsid w:val="39A63F06"/>
    <w:rsid w:val="3A437DC1"/>
    <w:rsid w:val="3A982DC4"/>
    <w:rsid w:val="3BCA12DC"/>
    <w:rsid w:val="3C017E2C"/>
    <w:rsid w:val="3E6F4772"/>
    <w:rsid w:val="3EA872B2"/>
    <w:rsid w:val="3ED1439F"/>
    <w:rsid w:val="41697153"/>
    <w:rsid w:val="42235D58"/>
    <w:rsid w:val="437A21FA"/>
    <w:rsid w:val="44500BF5"/>
    <w:rsid w:val="45860B5F"/>
    <w:rsid w:val="475D1A32"/>
    <w:rsid w:val="47F43786"/>
    <w:rsid w:val="48374EDC"/>
    <w:rsid w:val="49912572"/>
    <w:rsid w:val="4AE7656F"/>
    <w:rsid w:val="4C256E3D"/>
    <w:rsid w:val="4CB52F0F"/>
    <w:rsid w:val="4E2875DF"/>
    <w:rsid w:val="50C04C3A"/>
    <w:rsid w:val="50F35421"/>
    <w:rsid w:val="532F1F9A"/>
    <w:rsid w:val="54302D35"/>
    <w:rsid w:val="58455654"/>
    <w:rsid w:val="5C3A25B5"/>
    <w:rsid w:val="5DBB25AC"/>
    <w:rsid w:val="5E995A3E"/>
    <w:rsid w:val="5F933EA7"/>
    <w:rsid w:val="5F95061E"/>
    <w:rsid w:val="5FC1266C"/>
    <w:rsid w:val="617E254E"/>
    <w:rsid w:val="62163194"/>
    <w:rsid w:val="624D024D"/>
    <w:rsid w:val="62A574A8"/>
    <w:rsid w:val="650E086A"/>
    <w:rsid w:val="65493030"/>
    <w:rsid w:val="6A8C365A"/>
    <w:rsid w:val="6BAA0708"/>
    <w:rsid w:val="6C3B4C39"/>
    <w:rsid w:val="6E9459C2"/>
    <w:rsid w:val="70046E9D"/>
    <w:rsid w:val="71340A82"/>
    <w:rsid w:val="72231A60"/>
    <w:rsid w:val="722F7BC9"/>
    <w:rsid w:val="72AD32C5"/>
    <w:rsid w:val="74084181"/>
    <w:rsid w:val="743631A3"/>
    <w:rsid w:val="747E7A7A"/>
    <w:rsid w:val="75AF6C8B"/>
    <w:rsid w:val="773109EF"/>
    <w:rsid w:val="7747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default" w:ascii="FangSong_GB2312" w:hAnsi="FangSong_GB2312" w:eastAsia="FangSong_GB2312" w:cs="Times New Roman"/>
      <w:color w:val="000000"/>
      <w:sz w:val="24"/>
      <w:szCs w:val="22"/>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customStyle="1" w:styleId="10">
    <w:name w:val="批注框文本 Char"/>
    <w:basedOn w:val="8"/>
    <w:link w:val="3"/>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2"/>
      <w:szCs w:val="22"/>
      <w:u w:val="none"/>
    </w:rPr>
  </w:style>
  <w:style w:type="character" w:customStyle="1" w:styleId="12">
    <w:name w:val="font01"/>
    <w:basedOn w:val="8"/>
    <w:qFormat/>
    <w:uiPriority w:val="0"/>
    <w:rPr>
      <w:rFonts w:hint="eastAsia" w:ascii="宋体" w:hAnsi="宋体" w:eastAsia="宋体" w:cs="宋体"/>
      <w:color w:val="000000"/>
      <w:sz w:val="24"/>
      <w:szCs w:val="24"/>
      <w:u w:val="none"/>
    </w:r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宋体" w:hAnsi="宋体" w:eastAsia="宋体" w:cs="宋体"/>
      <w:color w:val="000000"/>
      <w:sz w:val="20"/>
      <w:szCs w:val="20"/>
      <w:u w:val="none"/>
    </w:rPr>
  </w:style>
  <w:style w:type="character" w:customStyle="1" w:styleId="15">
    <w:name w:val="font41"/>
    <w:basedOn w:val="8"/>
    <w:qFormat/>
    <w:uiPriority w:val="0"/>
    <w:rPr>
      <w:rFonts w:hint="eastAsia" w:ascii="宋体" w:hAnsi="宋体" w:eastAsia="宋体" w:cs="宋体"/>
      <w:color w:val="000000"/>
      <w:sz w:val="22"/>
      <w:szCs w:val="22"/>
      <w:u w:val="none"/>
    </w:rPr>
  </w:style>
  <w:style w:type="character" w:customStyle="1" w:styleId="16">
    <w:name w:val="font51"/>
    <w:basedOn w:val="8"/>
    <w:qFormat/>
    <w:uiPriority w:val="0"/>
    <w:rPr>
      <w:rFonts w:hint="eastAsia" w:ascii="宋体" w:hAnsi="宋体" w:eastAsia="宋体" w:cs="宋体"/>
      <w:color w:val="000000"/>
      <w:sz w:val="20"/>
      <w:szCs w:val="20"/>
      <w:u w:val="none"/>
    </w:rPr>
  </w:style>
  <w:style w:type="character" w:customStyle="1" w:styleId="17">
    <w:name w:val="font61"/>
    <w:basedOn w:val="8"/>
    <w:qFormat/>
    <w:uiPriority w:val="0"/>
    <w:rPr>
      <w:rFonts w:hint="eastAsia" w:ascii="宋体" w:hAnsi="宋体" w:eastAsia="宋体" w:cs="宋体"/>
      <w:color w:val="000000"/>
      <w:sz w:val="20"/>
      <w:szCs w:val="20"/>
      <w:u w:val="none"/>
    </w:rPr>
  </w:style>
  <w:style w:type="character" w:customStyle="1" w:styleId="18">
    <w:name w:val="font161"/>
    <w:basedOn w:val="8"/>
    <w:uiPriority w:val="0"/>
    <w:rPr>
      <w:rFonts w:hint="eastAsia" w:ascii="宋体" w:hAnsi="宋体" w:eastAsia="宋体" w:cs="宋体"/>
      <w:color w:val="000000"/>
      <w:sz w:val="20"/>
      <w:szCs w:val="20"/>
      <w:u w:val="none"/>
    </w:rPr>
  </w:style>
  <w:style w:type="character" w:customStyle="1" w:styleId="19">
    <w:name w:val="font14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7110</Words>
  <Characters>7794</Characters>
  <Lines>60</Lines>
  <Paragraphs>17</Paragraphs>
  <TotalTime>3</TotalTime>
  <ScaleCrop>false</ScaleCrop>
  <LinksUpToDate>false</LinksUpToDate>
  <CharactersWithSpaces>8186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郭玲&gt;</cp:lastModifiedBy>
  <cp:lastPrinted>2021-07-07T01:10:00Z</cp:lastPrinted>
  <dcterms:modified xsi:type="dcterms:W3CDTF">2022-09-27T08:51:25Z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47EF6C756FB84DF08F560292D2981AC6</vt:lpwstr>
  </property>
</Properties>
</file>