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jc w:val="center"/>
        <w:rPr>
          <w:rFonts w:ascii="微软雅黑" w:hAnsi="微软雅黑" w:eastAsia="微软雅黑"/>
          <w:color w:val="000000"/>
          <w:sz w:val="18"/>
          <w:szCs w:val="18"/>
        </w:rPr>
      </w:pPr>
    </w:p>
    <w:p>
      <w:pPr>
        <w:pStyle w:val="4"/>
        <w:shd w:val="clear" w:color="auto" w:fill="FFFFFF"/>
        <w:rPr>
          <w:rFonts w:hint="eastAsia" w:ascii="微软雅黑" w:hAnsi="微软雅黑" w:eastAsia="微软雅黑"/>
          <w:color w:val="000000"/>
          <w:sz w:val="18"/>
          <w:szCs w:val="18"/>
        </w:rPr>
      </w:pPr>
    </w:p>
    <w:p>
      <w:pPr>
        <w:pStyle w:val="4"/>
        <w:shd w:val="clear" w:color="auto" w:fill="FFFFFF"/>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w:t>
      </w:r>
    </w:p>
    <w:p>
      <w:pPr>
        <w:pStyle w:val="4"/>
        <w:shd w:val="clear" w:color="auto" w:fill="FFFFFF"/>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w:t>
      </w:r>
    </w:p>
    <w:p>
      <w:pPr>
        <w:pStyle w:val="4"/>
        <w:shd w:val="clear" w:color="auto" w:fill="FFFFFF"/>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w:t>
      </w:r>
    </w:p>
    <w:p>
      <w:pPr>
        <w:pStyle w:val="4"/>
        <w:shd w:val="clear" w:color="auto" w:fill="FFFFFF"/>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w:t>
      </w:r>
    </w:p>
    <w:p>
      <w:pPr>
        <w:pStyle w:val="4"/>
        <w:shd w:val="clear" w:color="auto" w:fill="FFFFFF"/>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w:t>
      </w:r>
    </w:p>
    <w:p>
      <w:pPr>
        <w:pStyle w:val="4"/>
        <w:shd w:val="clear" w:color="auto" w:fill="FFFFFF"/>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w:t>
      </w:r>
    </w:p>
    <w:p>
      <w:pPr>
        <w:pStyle w:val="4"/>
        <w:shd w:val="clear" w:color="auto" w:fill="FFFFFF"/>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w:t>
      </w:r>
    </w:p>
    <w:p>
      <w:pPr>
        <w:pStyle w:val="4"/>
        <w:shd w:val="clear" w:color="auto" w:fill="FFFFFF"/>
        <w:jc w:val="center"/>
        <w:rPr>
          <w:rFonts w:hint="eastAsia" w:ascii="黑体" w:hAnsi="黑体" w:eastAsia="黑体"/>
          <w:color w:val="000000"/>
          <w:sz w:val="52"/>
          <w:szCs w:val="52"/>
          <w:lang w:val="en-US" w:eastAsia="zh-CN"/>
        </w:rPr>
      </w:pPr>
      <w:r>
        <w:rPr>
          <w:rFonts w:hint="eastAsia" w:ascii="黑体" w:eastAsia="黑体" w:cs="黑体"/>
          <w:sz w:val="52"/>
          <w:szCs w:val="52"/>
        </w:rPr>
        <w:t xml:space="preserve">  政协鹿寨县委员会办公室</w:t>
      </w:r>
    </w:p>
    <w:p>
      <w:pPr>
        <w:pStyle w:val="4"/>
        <w:shd w:val="clear" w:color="auto" w:fill="FFFFFF"/>
        <w:jc w:val="center"/>
        <w:rPr>
          <w:rFonts w:hint="eastAsia" w:ascii="微软雅黑" w:hAnsi="微软雅黑" w:eastAsia="微软雅黑"/>
          <w:color w:val="000000"/>
          <w:sz w:val="18"/>
          <w:szCs w:val="18"/>
        </w:rPr>
      </w:pPr>
      <w:r>
        <w:rPr>
          <w:rFonts w:ascii="黑体" w:eastAsia="黑体" w:cs="黑体"/>
          <w:sz w:val="52"/>
          <w:szCs w:val="52"/>
        </w:rPr>
        <w:t>201</w:t>
      </w:r>
      <w:r>
        <w:rPr>
          <w:rFonts w:hint="eastAsia" w:ascii="黑体" w:eastAsia="黑体" w:cs="黑体"/>
          <w:sz w:val="52"/>
          <w:szCs w:val="52"/>
        </w:rPr>
        <w:t>9年度部门决算</w:t>
      </w:r>
    </w:p>
    <w:p>
      <w:pPr>
        <w:pStyle w:val="4"/>
        <w:shd w:val="clear" w:color="auto" w:fill="FFFFFF"/>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w:t>
      </w:r>
    </w:p>
    <w:p>
      <w:pPr>
        <w:pStyle w:val="4"/>
        <w:shd w:val="clear" w:color="auto" w:fill="FFFFFF"/>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w:t>
      </w:r>
    </w:p>
    <w:p>
      <w:pPr>
        <w:pStyle w:val="4"/>
        <w:shd w:val="clear" w:color="auto" w:fill="FFFFFF"/>
        <w:jc w:val="center"/>
        <w:rPr>
          <w:rFonts w:hint="eastAsia" w:ascii="微软雅黑" w:hAnsi="微软雅黑" w:eastAsia="微软雅黑"/>
          <w:color w:val="000000"/>
          <w:sz w:val="18"/>
          <w:szCs w:val="18"/>
        </w:rPr>
      </w:pPr>
    </w:p>
    <w:p>
      <w:pPr>
        <w:pStyle w:val="4"/>
        <w:shd w:val="clear" w:color="auto" w:fill="FFFFFF"/>
        <w:jc w:val="center"/>
        <w:rPr>
          <w:rFonts w:hint="eastAsia" w:ascii="微软雅黑" w:hAnsi="微软雅黑" w:eastAsia="微软雅黑"/>
          <w:color w:val="000000"/>
          <w:sz w:val="18"/>
          <w:szCs w:val="18"/>
        </w:rPr>
      </w:pPr>
    </w:p>
    <w:p>
      <w:pPr>
        <w:pStyle w:val="4"/>
        <w:shd w:val="clear" w:color="auto" w:fill="FFFFFF"/>
        <w:jc w:val="center"/>
        <w:rPr>
          <w:rFonts w:hint="eastAsia" w:ascii="微软雅黑" w:hAnsi="微软雅黑" w:eastAsia="微软雅黑"/>
          <w:color w:val="000000"/>
          <w:sz w:val="18"/>
          <w:szCs w:val="18"/>
        </w:rPr>
      </w:pPr>
    </w:p>
    <w:p>
      <w:pPr>
        <w:pStyle w:val="4"/>
        <w:shd w:val="clear" w:color="auto" w:fill="FFFFFF"/>
        <w:jc w:val="center"/>
        <w:rPr>
          <w:rFonts w:hint="eastAsia" w:ascii="微软雅黑" w:hAnsi="微软雅黑" w:eastAsia="微软雅黑"/>
          <w:color w:val="000000"/>
          <w:sz w:val="18"/>
          <w:szCs w:val="18"/>
        </w:rPr>
      </w:pPr>
    </w:p>
    <w:p>
      <w:pPr>
        <w:pStyle w:val="4"/>
        <w:shd w:val="clear" w:color="auto" w:fill="FFFFFF"/>
        <w:jc w:val="center"/>
        <w:rPr>
          <w:rFonts w:hint="eastAsia" w:ascii="微软雅黑" w:hAnsi="微软雅黑" w:eastAsia="微软雅黑"/>
          <w:color w:val="000000"/>
          <w:sz w:val="18"/>
          <w:szCs w:val="18"/>
        </w:rPr>
      </w:pPr>
    </w:p>
    <w:p>
      <w:pPr>
        <w:pStyle w:val="4"/>
        <w:shd w:val="clear" w:color="auto" w:fill="FFFFFF"/>
        <w:jc w:val="center"/>
        <w:rPr>
          <w:rFonts w:hint="eastAsia" w:ascii="微软雅黑" w:hAnsi="微软雅黑" w:eastAsia="微软雅黑"/>
          <w:color w:val="000000"/>
          <w:sz w:val="18"/>
          <w:szCs w:val="18"/>
        </w:rPr>
      </w:pPr>
    </w:p>
    <w:p>
      <w:pPr>
        <w:pStyle w:val="4"/>
        <w:shd w:val="clear" w:color="auto" w:fill="FFFFFF"/>
        <w:jc w:val="center"/>
        <w:rPr>
          <w:rFonts w:hint="eastAsia" w:ascii="微软雅黑" w:hAnsi="微软雅黑" w:eastAsia="微软雅黑"/>
          <w:color w:val="000000"/>
          <w:sz w:val="18"/>
          <w:szCs w:val="18"/>
        </w:rPr>
      </w:pPr>
    </w:p>
    <w:p>
      <w:pPr>
        <w:pStyle w:val="4"/>
        <w:shd w:val="clear" w:color="auto" w:fill="FFFFFF"/>
        <w:jc w:val="center"/>
        <w:rPr>
          <w:rFonts w:hint="eastAsia" w:ascii="微软雅黑" w:hAnsi="微软雅黑" w:eastAsia="微软雅黑"/>
          <w:color w:val="000000"/>
          <w:sz w:val="18"/>
          <w:szCs w:val="18"/>
        </w:rPr>
      </w:pPr>
    </w:p>
    <w:p>
      <w:pPr>
        <w:keepNext w:val="0"/>
        <w:keepLines w:val="0"/>
        <w:pageBreakBefore w:val="0"/>
        <w:widowControl w:val="0"/>
        <w:kinsoku/>
        <w:wordWrap/>
        <w:overflowPunct/>
        <w:topLinePunct w:val="0"/>
        <w:bidi w:val="0"/>
        <w:snapToGrid/>
        <w:spacing w:line="312" w:lineRule="auto"/>
        <w:jc w:val="center"/>
        <w:textAlignment w:val="auto"/>
        <w:rPr>
          <w:rFonts w:hint="eastAsia" w:ascii="方正小标宋简体" w:hAnsi="方正小标宋简体" w:eastAsia="方正小标宋简体" w:cs="方正小标宋简体"/>
          <w:color w:val="000000"/>
          <w:kern w:val="0"/>
          <w:sz w:val="44"/>
          <w:szCs w:val="44"/>
        </w:rPr>
        <w:sectPr>
          <w:headerReference r:id="rId3" w:type="default"/>
          <w:footerReference r:id="rId4" w:type="default"/>
          <w:pgSz w:w="11906" w:h="16838"/>
          <w:pgMar w:top="1304" w:right="1304" w:bottom="1304" w:left="1474"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bidi w:val="0"/>
        <w:snapToGrid/>
        <w:spacing w:line="312" w:lineRule="auto"/>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目    录</w:t>
      </w:r>
    </w:p>
    <w:p>
      <w:pPr>
        <w:keepNext w:val="0"/>
        <w:keepLines w:val="0"/>
        <w:pageBreakBefore w:val="0"/>
        <w:widowControl w:val="0"/>
        <w:kinsoku/>
        <w:wordWrap/>
        <w:overflowPunct/>
        <w:topLinePunct w:val="0"/>
        <w:bidi w:val="0"/>
        <w:snapToGrid/>
        <w:spacing w:line="312" w:lineRule="auto"/>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第一部分：</w:t>
      </w:r>
      <w:r>
        <w:rPr>
          <w:rFonts w:hint="eastAsia" w:ascii="仿宋_GB2312" w:hAnsi="仿宋_GB2312" w:eastAsia="仿宋_GB2312" w:cs="仿宋_GB2312"/>
          <w:b/>
          <w:bCs w:val="0"/>
          <w:color w:val="000000"/>
          <w:sz w:val="32"/>
          <w:szCs w:val="32"/>
        </w:rPr>
        <w:t>单位</w:t>
      </w:r>
      <w:r>
        <w:rPr>
          <w:rFonts w:hint="eastAsia" w:ascii="仿宋_GB2312" w:hAnsi="仿宋_GB2312" w:eastAsia="仿宋_GB2312" w:cs="仿宋_GB2312"/>
          <w:b/>
          <w:bCs w:val="0"/>
          <w:sz w:val="32"/>
          <w:szCs w:val="32"/>
        </w:rPr>
        <w:t>概况</w:t>
      </w:r>
    </w:p>
    <w:p>
      <w:pPr>
        <w:keepNext w:val="0"/>
        <w:keepLines w:val="0"/>
        <w:pageBreakBefore w:val="0"/>
        <w:widowControl w:val="0"/>
        <w:kinsoku/>
        <w:wordWrap/>
        <w:overflowPunct/>
        <w:topLinePunct w:val="0"/>
        <w:bidi w:val="0"/>
        <w:snapToGrid/>
        <w:spacing w:line="312" w:lineRule="auto"/>
        <w:textAlignment w:val="auto"/>
        <w:rPr>
          <w:rFonts w:hint="eastAsia"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bidi w:val="0"/>
        <w:snapToGrid/>
        <w:spacing w:line="312" w:lineRule="auto"/>
        <w:textAlignment w:val="auto"/>
        <w:rPr>
          <w:rFonts w:hint="eastAsia"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widowControl w:val="0"/>
        <w:kinsoku/>
        <w:wordWrap/>
        <w:overflowPunct/>
        <w:topLinePunct w:val="0"/>
        <w:bidi w:val="0"/>
        <w:snapToGrid/>
        <w:spacing w:line="312" w:lineRule="auto"/>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第二部分：2019年部门决算报表</w:t>
      </w:r>
    </w:p>
    <w:p>
      <w:pPr>
        <w:keepNext w:val="0"/>
        <w:keepLines w:val="0"/>
        <w:pageBreakBefore w:val="0"/>
        <w:widowControl w:val="0"/>
        <w:kinsoku/>
        <w:wordWrap/>
        <w:overflowPunct/>
        <w:topLinePunct w:val="0"/>
        <w:bidi w:val="0"/>
        <w:snapToGrid/>
        <w:spacing w:line="312" w:lineRule="auto"/>
        <w:textAlignment w:val="auto"/>
        <w:rPr>
          <w:rFonts w:hint="eastAsia" w:ascii="仿宋_GB2312" w:eastAsia="仿宋_GB2312"/>
          <w:sz w:val="32"/>
          <w:szCs w:val="32"/>
        </w:rPr>
      </w:pPr>
      <w:r>
        <w:rPr>
          <w:rFonts w:hint="eastAsia" w:ascii="仿宋_GB2312" w:eastAsia="仿宋_GB2312"/>
          <w:sz w:val="32"/>
          <w:szCs w:val="32"/>
        </w:rPr>
        <w:t>表一：收入支出决算总表</w:t>
      </w:r>
    </w:p>
    <w:p>
      <w:pPr>
        <w:keepNext w:val="0"/>
        <w:keepLines w:val="0"/>
        <w:pageBreakBefore w:val="0"/>
        <w:widowControl w:val="0"/>
        <w:kinsoku/>
        <w:wordWrap/>
        <w:overflowPunct/>
        <w:topLinePunct w:val="0"/>
        <w:bidi w:val="0"/>
        <w:snapToGrid/>
        <w:spacing w:line="312" w:lineRule="auto"/>
        <w:textAlignment w:val="auto"/>
        <w:rPr>
          <w:rFonts w:hint="eastAsia" w:ascii="仿宋_GB2312" w:eastAsia="仿宋_GB2312"/>
          <w:sz w:val="32"/>
          <w:szCs w:val="32"/>
        </w:rPr>
      </w:pPr>
      <w:r>
        <w:rPr>
          <w:rFonts w:hint="eastAsia" w:ascii="仿宋_GB2312" w:eastAsia="仿宋_GB2312"/>
          <w:sz w:val="32"/>
          <w:szCs w:val="32"/>
        </w:rPr>
        <w:t>表二：收入决算表</w:t>
      </w:r>
    </w:p>
    <w:p>
      <w:pPr>
        <w:keepNext w:val="0"/>
        <w:keepLines w:val="0"/>
        <w:pageBreakBefore w:val="0"/>
        <w:widowControl w:val="0"/>
        <w:kinsoku/>
        <w:wordWrap/>
        <w:overflowPunct/>
        <w:topLinePunct w:val="0"/>
        <w:bidi w:val="0"/>
        <w:snapToGrid/>
        <w:spacing w:line="312" w:lineRule="auto"/>
        <w:textAlignment w:val="auto"/>
        <w:rPr>
          <w:rFonts w:hint="eastAsia" w:ascii="仿宋_GB2312" w:eastAsia="仿宋_GB2312"/>
          <w:sz w:val="32"/>
          <w:szCs w:val="32"/>
        </w:rPr>
      </w:pPr>
      <w:r>
        <w:rPr>
          <w:rFonts w:hint="eastAsia" w:ascii="仿宋_GB2312" w:eastAsia="仿宋_GB2312"/>
          <w:sz w:val="32"/>
          <w:szCs w:val="32"/>
        </w:rPr>
        <w:t>表三：支出决算表</w:t>
      </w:r>
    </w:p>
    <w:p>
      <w:pPr>
        <w:keepNext w:val="0"/>
        <w:keepLines w:val="0"/>
        <w:pageBreakBefore w:val="0"/>
        <w:widowControl w:val="0"/>
        <w:kinsoku/>
        <w:wordWrap/>
        <w:overflowPunct/>
        <w:topLinePunct w:val="0"/>
        <w:bidi w:val="0"/>
        <w:snapToGrid/>
        <w:spacing w:line="312" w:lineRule="auto"/>
        <w:textAlignment w:val="auto"/>
        <w:rPr>
          <w:rFonts w:hint="eastAsia" w:ascii="仿宋_GB2312" w:eastAsia="仿宋_GB2312"/>
          <w:sz w:val="32"/>
          <w:szCs w:val="32"/>
        </w:rPr>
      </w:pPr>
      <w:r>
        <w:rPr>
          <w:rFonts w:hint="eastAsia" w:ascii="仿宋_GB2312" w:eastAsia="仿宋_GB2312"/>
          <w:sz w:val="32"/>
          <w:szCs w:val="32"/>
        </w:rPr>
        <w:t>表四：财政拨款收入支出决算总表</w:t>
      </w:r>
    </w:p>
    <w:p>
      <w:pPr>
        <w:keepNext w:val="0"/>
        <w:keepLines w:val="0"/>
        <w:pageBreakBefore w:val="0"/>
        <w:widowControl w:val="0"/>
        <w:kinsoku/>
        <w:wordWrap/>
        <w:overflowPunct/>
        <w:topLinePunct w:val="0"/>
        <w:bidi w:val="0"/>
        <w:snapToGrid/>
        <w:spacing w:line="312" w:lineRule="auto"/>
        <w:textAlignment w:val="auto"/>
        <w:rPr>
          <w:rFonts w:hint="eastAsia" w:ascii="仿宋_GB2312" w:eastAsia="仿宋_GB2312"/>
          <w:sz w:val="32"/>
          <w:szCs w:val="32"/>
        </w:rPr>
      </w:pPr>
      <w:r>
        <w:rPr>
          <w:rFonts w:hint="eastAsia" w:ascii="仿宋_GB2312" w:eastAsia="仿宋_GB2312"/>
          <w:sz w:val="32"/>
          <w:szCs w:val="32"/>
        </w:rPr>
        <w:t>表五：一般公共预算财政拨款支出决算表</w:t>
      </w:r>
    </w:p>
    <w:p>
      <w:pPr>
        <w:keepNext w:val="0"/>
        <w:keepLines w:val="0"/>
        <w:pageBreakBefore w:val="0"/>
        <w:widowControl w:val="0"/>
        <w:kinsoku/>
        <w:wordWrap/>
        <w:overflowPunct/>
        <w:topLinePunct w:val="0"/>
        <w:bidi w:val="0"/>
        <w:snapToGrid/>
        <w:spacing w:line="312" w:lineRule="auto"/>
        <w:textAlignment w:val="auto"/>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keepNext w:val="0"/>
        <w:keepLines w:val="0"/>
        <w:pageBreakBefore w:val="0"/>
        <w:widowControl w:val="0"/>
        <w:kinsoku/>
        <w:wordWrap/>
        <w:overflowPunct/>
        <w:topLinePunct w:val="0"/>
        <w:bidi w:val="0"/>
        <w:snapToGrid/>
        <w:spacing w:line="312" w:lineRule="auto"/>
        <w:textAlignment w:val="auto"/>
        <w:rPr>
          <w:rFonts w:hint="eastAsia" w:ascii="仿宋_GB2312" w:eastAsia="仿宋_GB2312"/>
          <w:sz w:val="30"/>
          <w:szCs w:val="30"/>
        </w:rPr>
      </w:pPr>
      <w:r>
        <w:rPr>
          <w:rFonts w:hint="eastAsia" w:ascii="仿宋_GB2312" w:eastAsia="仿宋_GB2312"/>
          <w:sz w:val="30"/>
          <w:szCs w:val="30"/>
        </w:rPr>
        <w:t>表七：一般公共预算财政拨款安排的“三公”经费支出决算表</w:t>
      </w:r>
    </w:p>
    <w:p>
      <w:pPr>
        <w:keepNext w:val="0"/>
        <w:keepLines w:val="0"/>
        <w:pageBreakBefore w:val="0"/>
        <w:widowControl w:val="0"/>
        <w:kinsoku/>
        <w:wordWrap/>
        <w:overflowPunct/>
        <w:topLinePunct w:val="0"/>
        <w:bidi w:val="0"/>
        <w:snapToGrid/>
        <w:spacing w:line="312" w:lineRule="auto"/>
        <w:textAlignment w:val="auto"/>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keepNext w:val="0"/>
        <w:keepLines w:val="0"/>
        <w:pageBreakBefore w:val="0"/>
        <w:widowControl w:val="0"/>
        <w:kinsoku/>
        <w:wordWrap/>
        <w:overflowPunct/>
        <w:topLinePunct w:val="0"/>
        <w:bidi w:val="0"/>
        <w:snapToGrid/>
        <w:spacing w:line="312" w:lineRule="auto"/>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第三部分：2019年度部门决算情况说明</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2019</w:t>
      </w:r>
      <w:r>
        <w:rPr>
          <w:rFonts w:hint="eastAsia" w:ascii="仿宋_GB2312" w:eastAsia="仿宋_GB2312" w:cs="仿宋_GB2312"/>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2019</w:t>
      </w:r>
      <w:r>
        <w:rPr>
          <w:rFonts w:hint="eastAsia" w:ascii="仿宋_GB2312" w:eastAsia="仿宋_GB2312" w:cs="仿宋_GB2312"/>
          <w:kern w:val="0"/>
          <w:sz w:val="32"/>
          <w:szCs w:val="32"/>
        </w:rPr>
        <w:t>年度收入决算情况。</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2019</w:t>
      </w:r>
      <w:r>
        <w:rPr>
          <w:rFonts w:hint="eastAsia" w:ascii="仿宋_GB2312" w:eastAsia="仿宋_GB2312" w:cs="仿宋_GB2312"/>
          <w:kern w:val="0"/>
          <w:sz w:val="32"/>
          <w:szCs w:val="32"/>
        </w:rPr>
        <w:t>年度支出决算情况</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2019</w:t>
      </w:r>
      <w:r>
        <w:rPr>
          <w:rFonts w:hint="eastAsia" w:ascii="仿宋_GB2312" w:eastAsia="仿宋_GB2312" w:cs="仿宋_GB2312"/>
          <w:kern w:val="0"/>
          <w:sz w:val="32"/>
          <w:szCs w:val="32"/>
        </w:rPr>
        <w:t>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2019</w:t>
      </w:r>
      <w:r>
        <w:rPr>
          <w:rFonts w:hint="eastAsia" w:ascii="仿宋_GB2312" w:eastAsia="仿宋_GB2312" w:cs="仿宋_GB2312"/>
          <w:kern w:val="0"/>
          <w:sz w:val="32"/>
          <w:szCs w:val="32"/>
        </w:rPr>
        <w:t>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2019</w:t>
      </w:r>
      <w:r>
        <w:rPr>
          <w:rFonts w:hint="eastAsia" w:ascii="仿宋_GB2312" w:eastAsia="仿宋_GB2312" w:cs="仿宋_GB2312"/>
          <w:kern w:val="0"/>
          <w:sz w:val="32"/>
          <w:szCs w:val="32"/>
        </w:rPr>
        <w:t>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2019</w:t>
      </w:r>
      <w:r>
        <w:rPr>
          <w:rFonts w:hint="eastAsia" w:ascii="仿宋_GB2312" w:eastAsia="仿宋_GB2312" w:cs="仿宋_GB2312"/>
          <w:kern w:val="0"/>
          <w:sz w:val="32"/>
          <w:szCs w:val="32"/>
        </w:rPr>
        <w:t>年度一般公共预算财政拨款“三公”经费支出决算情况</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eastAsia="仿宋_GB2312"/>
          <w:kern w:val="0"/>
          <w:sz w:val="32"/>
          <w:szCs w:val="32"/>
        </w:rPr>
        <w:t>2019</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年度政府性基金预算财政拨款收入支出决算情况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eastAsia="仿宋_GB2312"/>
          <w:kern w:val="0"/>
          <w:sz w:val="32"/>
          <w:szCs w:val="32"/>
        </w:rPr>
        <w:t>2019</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年度预算绩效情况说明</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keepNext w:val="0"/>
        <w:keepLines w:val="0"/>
        <w:pageBreakBefore w:val="0"/>
        <w:widowControl w:val="0"/>
        <w:kinsoku/>
        <w:wordWrap/>
        <w:overflowPunct/>
        <w:topLinePunct w:val="0"/>
        <w:bidi w:val="0"/>
        <w:snapToGrid/>
        <w:spacing w:line="312" w:lineRule="auto"/>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第四部分：名词解释</w:t>
      </w:r>
    </w:p>
    <w:p>
      <w:pPr>
        <w:ind w:firstLine="646"/>
        <w:jc w:val="left"/>
        <w:rPr>
          <w:rFonts w:ascii="仿宋_GB2312" w:eastAsia="仿宋_GB2312"/>
          <w:b/>
          <w:sz w:val="32"/>
          <w:szCs w:val="32"/>
        </w:rPr>
      </w:pPr>
      <w:r>
        <w:rPr>
          <w:rFonts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单位</w:t>
      </w:r>
      <w:r>
        <w:rPr>
          <w:rFonts w:hint="eastAsia" w:ascii="仿宋_GB2312" w:eastAsia="仿宋_GB2312"/>
          <w:b/>
          <w:sz w:val="32"/>
          <w:szCs w:val="32"/>
        </w:rPr>
        <w:t>概况</w:t>
      </w:r>
    </w:p>
    <w:p>
      <w:pPr>
        <w:ind w:firstLine="646"/>
        <w:rPr>
          <w:rFonts w:hint="eastAsia" w:ascii="黑体" w:hAnsi="黑体" w:eastAsia="黑体" w:cs="黑体"/>
          <w:sz w:val="32"/>
          <w:szCs w:val="32"/>
        </w:rPr>
      </w:pPr>
      <w:r>
        <w:rPr>
          <w:rFonts w:hint="eastAsia" w:ascii="黑体" w:hAnsi="黑体" w:eastAsia="黑体" w:cs="黑体"/>
          <w:sz w:val="32"/>
          <w:szCs w:val="32"/>
        </w:rPr>
        <w:t>一、主要职能</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承担县政协工作计划、总结、报告和县政协领导重要讲话等文稿的起草工作，向全国、区、市政协和中共鹿寨县委反映政协工作动态，提出工作建议</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组织做好县政协全委会议、常委会议、主席会议、党组会议以及县政协召开的大型综合性会议的会务服务工作，做好政协领导公务活动的协调安排和服务工作</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负责与上级、县委、县人民政府日常来往公文的处理和县政协文件的起草、审核、拟办、印刷、分发、立卷和归档以及档案管理等，负责县政协领导有关批示件的转达、催办和落实。</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负责机关印鉴管理和机要保密工作</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）负责机关的效能建设、绩效管理和机关干部职工的福利事宜，开展好本单位的精神文明建设，做好机关退休干部的服务管理工作</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）负责重要信息工作，及时向区、市政协和县委办、政府办报送重要信息。做好政协委员、委员活动小组典型事迹和履职经验的宣传报道</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）负责政协机关的安全保卫工作，管理机关的财产、财务、车辆及其他行政事务</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）负责安排接待来鹿寨视察、考察的各级政协领导、委员、工作人员和兄弟省（自治区）、市、县（区）政协等负责人和工作人员；负责对在本县的区、市、县政协委员和县内各政协组成单位的联系</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九</w:t>
      </w:r>
      <w:r>
        <w:rPr>
          <w:rFonts w:hint="eastAsia" w:ascii="仿宋_GB2312" w:eastAsia="仿宋_GB2312"/>
          <w:sz w:val="32"/>
          <w:szCs w:val="32"/>
        </w:rPr>
        <w:t>）为委员履行职能创造条件，提供服务，多形式帮助委员了解情况，熟悉政策，扩大视野，把握全局，及时反映委员提供的各种信息；协助组织委员、支持配合专委会开展调研视察、协商议政、学习考察和民主监督等活动</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）做好政协委员及人民群众来信来访的接待和处理工作</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十一</w:t>
      </w:r>
      <w:r>
        <w:rPr>
          <w:rFonts w:hint="eastAsia" w:ascii="仿宋_GB2312" w:eastAsia="仿宋_GB2312"/>
          <w:sz w:val="32"/>
          <w:szCs w:val="32"/>
        </w:rPr>
        <w:t>）负责配合县委统战部、组织部做好政协换届委员提名推荐工作，做好届中委员调整、增补建议提名工作</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二）承办上级政协和县政协领导交办的其他工作事宜。</w:t>
      </w:r>
    </w:p>
    <w:p>
      <w:pPr>
        <w:ind w:firstLine="646"/>
        <w:rPr>
          <w:rFonts w:hint="eastAsia" w:ascii="黑体" w:hAnsi="黑体" w:eastAsia="黑体" w:cs="黑体"/>
          <w:sz w:val="32"/>
          <w:szCs w:val="32"/>
        </w:rPr>
      </w:pPr>
      <w:r>
        <w:rPr>
          <w:rFonts w:hint="eastAsia" w:ascii="黑体" w:hAnsi="黑体" w:eastAsia="黑体" w:cs="黑体"/>
          <w:sz w:val="32"/>
          <w:szCs w:val="32"/>
        </w:rPr>
        <w:t>二、部门决算单位构成</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机构</w:t>
      </w:r>
      <w:r>
        <w:rPr>
          <w:rFonts w:hint="eastAsia" w:ascii="仿宋_GB2312" w:hAnsi="仿宋" w:eastAsia="仿宋_GB2312"/>
          <w:sz w:val="32"/>
          <w:szCs w:val="32"/>
          <w:lang w:eastAsia="zh-CN"/>
        </w:rPr>
        <w:t>及</w:t>
      </w:r>
      <w:r>
        <w:rPr>
          <w:rFonts w:hint="eastAsia" w:ascii="仿宋_GB2312" w:hAnsi="仿宋" w:eastAsia="仿宋_GB2312"/>
          <w:sz w:val="32"/>
          <w:szCs w:val="32"/>
        </w:rPr>
        <w:t>人员情况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lang w:val="en-US" w:eastAsia="zh-CN"/>
        </w:rPr>
        <w:t>1.鹿寨</w:t>
      </w:r>
      <w:r>
        <w:rPr>
          <w:rFonts w:hint="eastAsia" w:ascii="仿宋_GB2312" w:eastAsia="仿宋_GB2312"/>
          <w:sz w:val="32"/>
          <w:szCs w:val="32"/>
        </w:rPr>
        <w:t>县政协为正处级单位，下设“一室</w:t>
      </w:r>
      <w:r>
        <w:rPr>
          <w:rFonts w:hint="eastAsia" w:ascii="仿宋_GB2312" w:eastAsia="仿宋_GB2312"/>
          <w:sz w:val="32"/>
          <w:szCs w:val="32"/>
          <w:lang w:eastAsia="zh-CN"/>
        </w:rPr>
        <w:t>五</w:t>
      </w:r>
      <w:r>
        <w:rPr>
          <w:rFonts w:hint="eastAsia" w:ascii="仿宋_GB2312" w:eastAsia="仿宋_GB2312"/>
          <w:sz w:val="32"/>
          <w:szCs w:val="32"/>
        </w:rPr>
        <w:t>委”即办公室、提案法制委员会、经济科技联络委员会、农业和农村委员会</w:t>
      </w:r>
      <w:r>
        <w:rPr>
          <w:rFonts w:hint="eastAsia" w:ascii="仿宋_GB2312" w:eastAsia="仿宋_GB2312"/>
          <w:sz w:val="32"/>
          <w:szCs w:val="32"/>
          <w:lang w:eastAsia="zh-CN"/>
        </w:rPr>
        <w:t>、</w:t>
      </w:r>
      <w:r>
        <w:rPr>
          <w:rFonts w:hint="eastAsia" w:ascii="仿宋_GB2312" w:eastAsia="仿宋_GB2312"/>
          <w:sz w:val="32"/>
          <w:szCs w:val="32"/>
        </w:rPr>
        <w:t>文化教育卫生体育委员会、学习文史委员会，“一室</w:t>
      </w:r>
      <w:r>
        <w:rPr>
          <w:rFonts w:hint="eastAsia" w:ascii="仿宋_GB2312" w:eastAsia="仿宋_GB2312"/>
          <w:sz w:val="32"/>
          <w:szCs w:val="32"/>
          <w:lang w:eastAsia="zh-CN"/>
        </w:rPr>
        <w:t>五</w:t>
      </w:r>
      <w:r>
        <w:rPr>
          <w:rFonts w:hint="eastAsia" w:ascii="仿宋_GB2312" w:eastAsia="仿宋_GB2312"/>
          <w:sz w:val="32"/>
          <w:szCs w:val="32"/>
        </w:rPr>
        <w:t>委”均为正科级单位。</w:t>
      </w:r>
    </w:p>
    <w:p>
      <w:pPr>
        <w:spacing w:line="52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人员构成情况：县政协机关核定编</w:t>
      </w:r>
      <w:r>
        <w:rPr>
          <w:rFonts w:hint="eastAsia" w:ascii="仿宋_GB2312" w:eastAsia="仿宋_GB2312"/>
          <w:sz w:val="32"/>
          <w:szCs w:val="32"/>
          <w:highlight w:val="none"/>
        </w:rPr>
        <w:t>制</w:t>
      </w:r>
      <w:r>
        <w:rPr>
          <w:rFonts w:ascii="仿宋_GB2312" w:eastAsia="仿宋_GB2312"/>
          <w:sz w:val="32"/>
          <w:szCs w:val="32"/>
          <w:highlight w:val="none"/>
        </w:rPr>
        <w:t>1</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人</w:t>
      </w:r>
      <w:r>
        <w:rPr>
          <w:rFonts w:hint="eastAsia" w:ascii="仿宋_GB2312" w:eastAsia="仿宋_GB2312"/>
          <w:sz w:val="32"/>
          <w:szCs w:val="32"/>
        </w:rPr>
        <w:t>，实有人员</w:t>
      </w:r>
      <w:r>
        <w:rPr>
          <w:rFonts w:ascii="仿宋_GB2312" w:eastAsia="仿宋_GB2312"/>
          <w:sz w:val="32"/>
          <w:szCs w:val="32"/>
        </w:rPr>
        <w:t>17</w:t>
      </w:r>
      <w:r>
        <w:rPr>
          <w:rFonts w:hint="eastAsia" w:ascii="仿宋_GB2312" w:eastAsia="仿宋_GB2312"/>
          <w:sz w:val="32"/>
          <w:szCs w:val="32"/>
        </w:rPr>
        <w:t>人，其中：正处级领导</w:t>
      </w:r>
      <w:r>
        <w:rPr>
          <w:rFonts w:ascii="仿宋_GB2312" w:eastAsia="仿宋_GB2312"/>
          <w:sz w:val="32"/>
          <w:szCs w:val="32"/>
        </w:rPr>
        <w:t>1</w:t>
      </w:r>
      <w:r>
        <w:rPr>
          <w:rFonts w:hint="eastAsia" w:ascii="仿宋_GB2312" w:eastAsia="仿宋_GB2312"/>
          <w:sz w:val="32"/>
          <w:szCs w:val="32"/>
        </w:rPr>
        <w:t>名、副处级领导</w:t>
      </w:r>
      <w:r>
        <w:rPr>
          <w:rFonts w:ascii="仿宋_GB2312" w:eastAsia="仿宋_GB2312"/>
          <w:sz w:val="32"/>
          <w:szCs w:val="32"/>
        </w:rPr>
        <w:t>4</w:t>
      </w:r>
      <w:r>
        <w:rPr>
          <w:rFonts w:hint="eastAsia" w:ascii="仿宋_GB2312" w:eastAsia="仿宋_GB2312"/>
          <w:sz w:val="32"/>
          <w:szCs w:val="32"/>
        </w:rPr>
        <w:t>名；正科级领导</w:t>
      </w:r>
      <w:r>
        <w:rPr>
          <w:rFonts w:hint="eastAsia" w:ascii="仿宋_GB2312" w:eastAsia="仿宋_GB2312"/>
          <w:sz w:val="32"/>
          <w:szCs w:val="32"/>
          <w:lang w:val="en-US" w:eastAsia="zh-CN"/>
        </w:rPr>
        <w:t>6</w:t>
      </w:r>
      <w:r>
        <w:rPr>
          <w:rFonts w:hint="eastAsia" w:ascii="仿宋_GB2312" w:eastAsia="仿宋_GB2312"/>
          <w:sz w:val="32"/>
          <w:szCs w:val="32"/>
        </w:rPr>
        <w:t>名、副科级领导</w:t>
      </w:r>
      <w:r>
        <w:rPr>
          <w:rFonts w:ascii="仿宋_GB2312" w:eastAsia="仿宋_GB2312"/>
          <w:sz w:val="32"/>
          <w:szCs w:val="32"/>
        </w:rPr>
        <w:t>1</w:t>
      </w:r>
      <w:r>
        <w:rPr>
          <w:rFonts w:hint="eastAsia" w:ascii="仿宋_GB2312" w:eastAsia="仿宋_GB2312"/>
          <w:sz w:val="32"/>
          <w:szCs w:val="32"/>
        </w:rPr>
        <w:t>名；正科级干部</w:t>
      </w:r>
      <w:r>
        <w:rPr>
          <w:rFonts w:hint="eastAsia" w:ascii="仿宋_GB2312" w:eastAsia="仿宋_GB2312"/>
          <w:sz w:val="32"/>
          <w:szCs w:val="32"/>
          <w:lang w:val="en-US" w:eastAsia="zh-CN"/>
        </w:rPr>
        <w:t>3</w:t>
      </w:r>
      <w:r>
        <w:rPr>
          <w:rFonts w:hint="eastAsia" w:ascii="仿宋_GB2312" w:eastAsia="仿宋_GB2312"/>
          <w:sz w:val="32"/>
          <w:szCs w:val="32"/>
        </w:rPr>
        <w:t>名；工勤人员</w:t>
      </w:r>
      <w:r>
        <w:rPr>
          <w:rFonts w:ascii="仿宋_GB2312" w:eastAsia="仿宋_GB2312"/>
          <w:sz w:val="32"/>
          <w:szCs w:val="32"/>
        </w:rPr>
        <w:t>2</w:t>
      </w:r>
      <w:r>
        <w:rPr>
          <w:rFonts w:hint="eastAsia" w:ascii="仿宋_GB2312" w:eastAsia="仿宋_GB2312"/>
          <w:sz w:val="32"/>
          <w:szCs w:val="32"/>
        </w:rPr>
        <w:t>名。</w:t>
      </w:r>
    </w:p>
    <w:p>
      <w:pPr>
        <w:snapToGrid w:val="0"/>
        <w:spacing w:line="588" w:lineRule="exact"/>
        <w:ind w:firstLine="640" w:firstLineChars="200"/>
        <w:rPr>
          <w:rFonts w:ascii="仿宋_GB2312" w:hAnsi="仿宋"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离退休情况：现离退休人员</w:t>
      </w:r>
      <w:r>
        <w:rPr>
          <w:rFonts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名，其中：离休</w:t>
      </w:r>
      <w:r>
        <w:rPr>
          <w:rFonts w:ascii="仿宋_GB2312" w:eastAsia="仿宋_GB2312"/>
          <w:sz w:val="32"/>
          <w:szCs w:val="32"/>
        </w:rPr>
        <w:t>1</w:t>
      </w:r>
      <w:r>
        <w:rPr>
          <w:rFonts w:hint="eastAsia" w:ascii="仿宋_GB2312" w:eastAsia="仿宋_GB2312"/>
          <w:sz w:val="32"/>
          <w:szCs w:val="32"/>
        </w:rPr>
        <w:t>名，退休</w:t>
      </w:r>
      <w:r>
        <w:rPr>
          <w:rFonts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名。</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在职人员变动情况：</w:t>
      </w:r>
      <w:r>
        <w:rPr>
          <w:rFonts w:hint="eastAsia" w:ascii="仿宋_GB2312" w:hAnsi="仿宋" w:eastAsia="仿宋_GB2312"/>
          <w:sz w:val="32"/>
          <w:szCs w:val="32"/>
          <w:lang w:eastAsia="zh-CN"/>
        </w:rPr>
        <w:t>职工调入新增</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人、退休减少</w:t>
      </w:r>
      <w:r>
        <w:rPr>
          <w:rFonts w:hint="eastAsia" w:ascii="仿宋_GB2312" w:hAnsi="仿宋" w:eastAsia="仿宋_GB2312"/>
          <w:sz w:val="32"/>
          <w:szCs w:val="32"/>
          <w:lang w:val="en-US" w:eastAsia="zh-CN"/>
        </w:rPr>
        <w:t>1人</w:t>
      </w:r>
      <w:r>
        <w:rPr>
          <w:rFonts w:hint="eastAsia" w:ascii="仿宋_GB2312" w:hAnsi="仿宋" w:eastAsia="仿宋_GB2312"/>
          <w:sz w:val="32"/>
          <w:szCs w:val="32"/>
        </w:rPr>
        <w:t>。</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离退休人员变动情况：</w:t>
      </w:r>
      <w:r>
        <w:rPr>
          <w:rFonts w:hint="eastAsia" w:ascii="仿宋_GB2312" w:hAnsi="仿宋" w:eastAsia="仿宋_GB2312"/>
          <w:sz w:val="32"/>
          <w:szCs w:val="32"/>
          <w:lang w:eastAsia="zh-CN"/>
        </w:rPr>
        <w:t>新增退休</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人</w:t>
      </w:r>
      <w:r>
        <w:rPr>
          <w:rFonts w:hint="eastAsia" w:ascii="仿宋_GB2312" w:hAnsi="仿宋" w:eastAsia="仿宋_GB2312"/>
          <w:sz w:val="32"/>
          <w:szCs w:val="32"/>
        </w:rPr>
        <w:t>。</w:t>
      </w:r>
    </w:p>
    <w:p>
      <w:pPr>
        <w:spacing w:line="580" w:lineRule="atLeast"/>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预算编制原则：按照中央八项规定，本着勤俭节约原则进行。</w:t>
      </w:r>
    </w:p>
    <w:p>
      <w:pPr>
        <w:spacing w:line="580" w:lineRule="atLeast"/>
        <w:ind w:firstLine="640" w:firstLineChars="200"/>
        <w:rPr>
          <w:rFonts w:hint="eastAsia" w:ascii="仿宋_GB2312" w:eastAsia="仿宋_GB2312"/>
          <w:sz w:val="32"/>
          <w:szCs w:val="32"/>
          <w:lang w:val="en-US" w:eastAsia="zh-CN"/>
        </w:rPr>
      </w:pP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ascii="仿宋_GB2312" w:eastAsia="仿宋_GB2312"/>
          <w:b/>
          <w:sz w:val="32"/>
          <w:szCs w:val="32"/>
        </w:rPr>
        <w:t>2019</w:t>
      </w:r>
      <w:r>
        <w:rPr>
          <w:rFonts w:hint="eastAsia" w:ascii="仿宋_GB2312" w:eastAsia="仿宋_GB2312"/>
          <w:b/>
          <w:sz w:val="32"/>
          <w:szCs w:val="32"/>
        </w:rPr>
        <w:t>年部门决算报表</w:t>
      </w:r>
    </w:p>
    <w:p>
      <w:pPr>
        <w:ind w:firstLine="640" w:firstLineChars="200"/>
        <w:rPr>
          <w:rFonts w:hint="eastAsia" w:ascii="方正小标宋简体" w:hAnsi="宋体" w:eastAsia="仿宋_GB2312" w:cs="宋体"/>
          <w:kern w:val="0"/>
          <w:sz w:val="36"/>
          <w:szCs w:val="36"/>
          <w:lang w:eastAsia="zh-CN"/>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hint="eastAsia" w:ascii="仿宋_GB2312" w:hAnsi="黑体" w:eastAsia="仿宋_GB2312"/>
          <w:sz w:val="32"/>
          <w:szCs w:val="32"/>
          <w:lang w:eastAsia="zh-CN"/>
        </w:rPr>
        <w:t>具体报表详见附件。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lang w:eastAsia="zh-CN"/>
        </w:rPr>
      </w:pPr>
    </w:p>
    <w:p>
      <w:pPr>
        <w:spacing w:line="560" w:lineRule="exact"/>
        <w:rPr>
          <w:rFonts w:ascii="仿宋_GB2312" w:eastAsia="仿宋_GB2312"/>
          <w:b/>
          <w:sz w:val="32"/>
          <w:szCs w:val="32"/>
        </w:rPr>
      </w:pPr>
      <w:r>
        <w:rPr>
          <w:rFonts w:hint="eastAsia" w:ascii="仿宋_GB2312" w:eastAsia="仿宋_GB2312"/>
          <w:b/>
          <w:sz w:val="32"/>
          <w:szCs w:val="32"/>
        </w:rPr>
        <w:t>第三部分：</w:t>
      </w:r>
      <w:r>
        <w:rPr>
          <w:rFonts w:ascii="仿宋_GB2312" w:eastAsia="仿宋_GB2312"/>
          <w:b/>
          <w:sz w:val="32"/>
          <w:szCs w:val="32"/>
        </w:rPr>
        <w:t>2019</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一、2019年度收入支出决算总体情况</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lang w:val="en-US" w:eastAsia="zh-CN"/>
        </w:rPr>
      </w:pPr>
      <w:r>
        <w:rPr>
          <w:rFonts w:ascii="仿宋_GB2312" w:eastAsia="仿宋_GB2312" w:cs="仿宋_GB2312"/>
          <w:bCs/>
          <w:kern w:val="0"/>
          <w:sz w:val="32"/>
          <w:szCs w:val="32"/>
        </w:rPr>
        <w:t>2019</w:t>
      </w:r>
      <w:r>
        <w:rPr>
          <w:rFonts w:hint="eastAsia" w:ascii="仿宋_GB2312" w:eastAsia="仿宋_GB2312" w:cs="仿宋_GB2312"/>
          <w:bCs/>
          <w:kern w:val="0"/>
          <w:sz w:val="32"/>
          <w:szCs w:val="32"/>
        </w:rPr>
        <w:t>年度收入总计443.37万元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支出总计441.8万元，与</w:t>
      </w:r>
      <w:r>
        <w:rPr>
          <w:rFonts w:ascii="仿宋_GB2312" w:eastAsia="仿宋_GB2312" w:cs="仿宋_GB2312"/>
          <w:bCs/>
          <w:kern w:val="0"/>
          <w:sz w:val="32"/>
          <w:szCs w:val="32"/>
        </w:rPr>
        <w:t>2018</w:t>
      </w:r>
      <w:r>
        <w:rPr>
          <w:rFonts w:hint="eastAsia" w:ascii="仿宋_GB2312" w:eastAsia="仿宋_GB2312" w:cs="仿宋_GB2312"/>
          <w:bCs/>
          <w:kern w:val="0"/>
          <w:sz w:val="32"/>
          <w:szCs w:val="32"/>
        </w:rPr>
        <w:t>年相比，收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12.05万元，</w:t>
      </w:r>
      <w:r>
        <w:rPr>
          <w:rFonts w:hint="eastAsia" w:ascii="仿宋_GB2312" w:eastAsia="仿宋_GB2312" w:cs="仿宋_GB2312"/>
          <w:bCs/>
          <w:kern w:val="0"/>
          <w:sz w:val="32"/>
          <w:szCs w:val="32"/>
        </w:rPr>
        <w:t>增长2.79</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；支出减少</w:t>
      </w:r>
      <w:r>
        <w:rPr>
          <w:rFonts w:hint="eastAsia" w:ascii="仿宋_GB2312" w:eastAsia="仿宋_GB2312" w:cs="仿宋_GB2312"/>
          <w:bCs/>
          <w:kern w:val="0"/>
          <w:sz w:val="32"/>
          <w:szCs w:val="32"/>
          <w:lang w:val="en-US" w:eastAsia="zh-CN"/>
        </w:rPr>
        <w:t>15.76万元，下降3.45%。</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二、2019年度收入决算情况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本年收入总计443.37万元</w:t>
      </w:r>
      <w:r>
        <w:rPr>
          <w:rFonts w:ascii="仿宋_GB2312" w:eastAsia="仿宋_GB2312" w:cs="仿宋_GB2312"/>
          <w:bCs/>
          <w:kern w:val="0"/>
          <w:sz w:val="32"/>
          <w:szCs w:val="32"/>
        </w:rPr>
        <w:t> </w:t>
      </w:r>
      <w:r>
        <w:rPr>
          <w:rFonts w:hint="eastAsia" w:ascii="仿宋_GB2312" w:eastAsia="仿宋_GB2312" w:cs="仿宋_GB2312"/>
          <w:bCs/>
          <w:kern w:val="0"/>
          <w:sz w:val="32"/>
          <w:szCs w:val="32"/>
        </w:rPr>
        <w:t>，其中：一般公共预算财政拨款收入443.37万元；占比</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 </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三、2019年度支出决算情况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441.8</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万元，其中：基本支出378.03万元，占</w:t>
      </w:r>
      <w:r>
        <w:rPr>
          <w:rFonts w:hint="eastAsia" w:ascii="仿宋_GB2312" w:eastAsia="仿宋_GB2312" w:cs="仿宋_GB2312"/>
          <w:bCs/>
          <w:kern w:val="0"/>
          <w:sz w:val="32"/>
          <w:szCs w:val="32"/>
          <w:lang w:val="en-US" w:eastAsia="zh-CN"/>
        </w:rPr>
        <w:t>85.57</w:t>
      </w:r>
      <w:r>
        <w:rPr>
          <w:rFonts w:ascii="仿宋_GB2312" w:eastAsia="仿宋_GB2312" w:cs="仿宋_GB2312"/>
          <w:bCs/>
          <w:kern w:val="0"/>
          <w:sz w:val="32"/>
          <w:szCs w:val="32"/>
        </w:rPr>
        <w:t>%</w:t>
      </w:r>
      <w:r>
        <w:rPr>
          <w:rFonts w:hint="eastAsia" w:ascii="仿宋_GB2312" w:eastAsia="仿宋_GB2312" w:cs="仿宋_GB2312"/>
          <w:bCs/>
          <w:kern w:val="0"/>
          <w:sz w:val="32"/>
          <w:szCs w:val="32"/>
        </w:rPr>
        <w:t>；项目支出63.77万元，占</w:t>
      </w:r>
      <w:r>
        <w:rPr>
          <w:rFonts w:hint="eastAsia" w:ascii="仿宋_GB2312" w:eastAsia="仿宋_GB2312" w:cs="仿宋_GB2312"/>
          <w:bCs/>
          <w:kern w:val="0"/>
          <w:sz w:val="32"/>
          <w:szCs w:val="32"/>
          <w:lang w:val="en-US" w:eastAsia="zh-CN"/>
        </w:rPr>
        <w:t>14.43</w:t>
      </w:r>
      <w:r>
        <w:rPr>
          <w:rFonts w:ascii="仿宋_GB2312" w:eastAsia="仿宋_GB2312" w:cs="仿宋_GB2312"/>
          <w:bCs/>
          <w:kern w:val="0"/>
          <w:sz w:val="32"/>
          <w:szCs w:val="32"/>
        </w:rPr>
        <w:t>%</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四、2019年度财政拨款收入支出决算情况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本部门</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年度财政拨款收</w:t>
      </w:r>
      <w:r>
        <w:rPr>
          <w:rFonts w:hint="eastAsia" w:ascii="仿宋_GB2312" w:eastAsia="仿宋_GB2312" w:cs="仿宋_GB2312"/>
          <w:bCs/>
          <w:kern w:val="0"/>
          <w:sz w:val="32"/>
          <w:szCs w:val="32"/>
          <w:lang w:eastAsia="zh-CN"/>
        </w:rPr>
        <w:t>入总决算443.37万元、</w:t>
      </w:r>
      <w:r>
        <w:rPr>
          <w:rFonts w:hint="eastAsia" w:ascii="仿宋_GB2312" w:eastAsia="仿宋_GB2312" w:cs="仿宋_GB2312"/>
          <w:bCs/>
          <w:kern w:val="0"/>
          <w:sz w:val="32"/>
          <w:szCs w:val="32"/>
        </w:rPr>
        <w:t>财政拨款支</w:t>
      </w:r>
      <w:r>
        <w:rPr>
          <w:rFonts w:hint="eastAsia" w:ascii="仿宋_GB2312" w:eastAsia="仿宋_GB2312" w:cs="仿宋_GB2312"/>
          <w:bCs/>
          <w:kern w:val="0"/>
          <w:sz w:val="32"/>
          <w:szCs w:val="32"/>
          <w:lang w:eastAsia="zh-CN"/>
        </w:rPr>
        <w:t>出</w:t>
      </w:r>
      <w:r>
        <w:rPr>
          <w:rFonts w:hint="eastAsia" w:ascii="仿宋_GB2312" w:eastAsia="仿宋_GB2312" w:cs="仿宋_GB2312"/>
          <w:bCs/>
          <w:kern w:val="0"/>
          <w:sz w:val="32"/>
          <w:szCs w:val="32"/>
        </w:rPr>
        <w:t>总决算441.8</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与</w:t>
      </w:r>
      <w:r>
        <w:rPr>
          <w:rFonts w:ascii="仿宋_GB2312" w:eastAsia="仿宋_GB2312" w:cs="仿宋_GB2312"/>
          <w:bCs/>
          <w:kern w:val="0"/>
          <w:sz w:val="32"/>
          <w:szCs w:val="32"/>
        </w:rPr>
        <w:t xml:space="preserve"> 2018 </w:t>
      </w:r>
      <w:r>
        <w:rPr>
          <w:rFonts w:hint="eastAsia" w:ascii="仿宋_GB2312" w:eastAsia="仿宋_GB2312" w:cs="仿宋_GB2312"/>
          <w:bCs/>
          <w:kern w:val="0"/>
          <w:sz w:val="32"/>
          <w:szCs w:val="32"/>
        </w:rPr>
        <w:t>年相比，财政拨款收</w:t>
      </w:r>
      <w:r>
        <w:rPr>
          <w:rFonts w:hint="eastAsia" w:ascii="仿宋_GB2312" w:eastAsia="仿宋_GB2312" w:cs="仿宋_GB2312"/>
          <w:bCs/>
          <w:kern w:val="0"/>
          <w:sz w:val="32"/>
          <w:szCs w:val="32"/>
          <w:lang w:eastAsia="zh-CN"/>
        </w:rPr>
        <w:t>入总计</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12.05万元，</w:t>
      </w:r>
      <w:r>
        <w:rPr>
          <w:rFonts w:hint="eastAsia" w:ascii="仿宋_GB2312" w:eastAsia="仿宋_GB2312" w:cs="仿宋_GB2312"/>
          <w:bCs/>
          <w:kern w:val="0"/>
          <w:sz w:val="32"/>
          <w:szCs w:val="32"/>
        </w:rPr>
        <w:t>增长2.79</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；财政拨款支出总计减少</w:t>
      </w:r>
      <w:r>
        <w:rPr>
          <w:rFonts w:hint="eastAsia" w:ascii="仿宋_GB2312" w:eastAsia="仿宋_GB2312" w:cs="仿宋_GB2312"/>
          <w:bCs/>
          <w:kern w:val="0"/>
          <w:sz w:val="32"/>
          <w:szCs w:val="32"/>
          <w:lang w:val="en-US" w:eastAsia="zh-CN"/>
        </w:rPr>
        <w:t>15.76万元，下降3.45%。</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五、2019年度一般公共预算财政拨款支出决算情况</w:t>
      </w:r>
    </w:p>
    <w:p>
      <w:pPr>
        <w:numPr>
          <w:ilvl w:val="0"/>
          <w:numId w:val="1"/>
        </w:numPr>
        <w:autoSpaceDE w:val="0"/>
        <w:autoSpaceDN w:val="0"/>
        <w:adjustRightInd w:val="0"/>
        <w:spacing w:line="560" w:lineRule="exact"/>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财政拨款支出决算情况 </w:t>
      </w:r>
    </w:p>
    <w:p>
      <w:pPr>
        <w:numPr>
          <w:numId w:val="0"/>
        </w:numPr>
        <w:autoSpaceDE w:val="0"/>
        <w:autoSpaceDN w:val="0"/>
        <w:adjustRightInd w:val="0"/>
        <w:spacing w:line="560" w:lineRule="exact"/>
        <w:jc w:val="left"/>
        <w:rPr>
          <w:rFonts w:hint="eastAsia" w:ascii="楷体_GB2312" w:hAnsi="楷体_GB2312" w:eastAsia="楷体_GB2312" w:cs="楷体_GB2312"/>
          <w:b/>
          <w:bCs/>
          <w:kern w:val="0"/>
          <w:sz w:val="32"/>
          <w:szCs w:val="32"/>
        </w:rPr>
      </w:pPr>
      <w:bookmarkStart w:id="0" w:name="_GoBack"/>
      <w:bookmarkEnd w:id="0"/>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本</w:t>
      </w:r>
      <w:r>
        <w:rPr>
          <w:rFonts w:hint="eastAsia" w:ascii="仿宋_GB2312" w:eastAsia="仿宋_GB2312" w:cs="仿宋_GB2312"/>
          <w:bCs/>
          <w:kern w:val="0"/>
          <w:sz w:val="32"/>
          <w:szCs w:val="32"/>
        </w:rPr>
        <w:t>部门</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年度财政拨款支出441.8</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万元，占本年支出合计的</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。与</w:t>
      </w:r>
      <w:r>
        <w:rPr>
          <w:rFonts w:ascii="仿宋_GB2312" w:eastAsia="仿宋_GB2312" w:cs="仿宋_GB2312"/>
          <w:bCs/>
          <w:kern w:val="0"/>
          <w:sz w:val="32"/>
          <w:szCs w:val="32"/>
        </w:rPr>
        <w:t xml:space="preserve"> 2018 </w:t>
      </w:r>
      <w:r>
        <w:rPr>
          <w:rFonts w:hint="eastAsia" w:ascii="仿宋_GB2312" w:eastAsia="仿宋_GB2312" w:cs="仿宋_GB2312"/>
          <w:bCs/>
          <w:kern w:val="0"/>
          <w:sz w:val="32"/>
          <w:szCs w:val="32"/>
        </w:rPr>
        <w:t>年相比，财政拨款支出</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15.76</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3.45</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（二）财政拨款支出决算结构情况</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lang w:val="en-US" w:eastAsia="zh-CN"/>
        </w:rPr>
      </w:pPr>
      <w:r>
        <w:rPr>
          <w:rFonts w:ascii="仿宋_GB2312" w:eastAsia="仿宋_GB2312" w:cs="仿宋_GB2312"/>
          <w:bCs/>
          <w:kern w:val="0"/>
          <w:sz w:val="32"/>
          <w:szCs w:val="32"/>
        </w:rPr>
        <w:t xml:space="preserve">2019 </w:t>
      </w:r>
      <w:r>
        <w:rPr>
          <w:rFonts w:hint="eastAsia" w:ascii="仿宋_GB2312" w:eastAsia="仿宋_GB2312" w:cs="仿宋_GB2312"/>
          <w:bCs/>
          <w:kern w:val="0"/>
          <w:sz w:val="32"/>
          <w:szCs w:val="32"/>
        </w:rPr>
        <w:t>年度财政拨款支出441.80万元，主要用于以下方面：一般公共服务（类）支出316.42万元，</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71.62</w:t>
      </w:r>
      <w:r>
        <w:rPr>
          <w:rFonts w:ascii="仿宋_GB2312" w:eastAsia="仿宋_GB2312" w:cs="仿宋_GB2312"/>
          <w:bCs/>
          <w:kern w:val="0"/>
          <w:sz w:val="32"/>
          <w:szCs w:val="32"/>
        </w:rPr>
        <w:t>%</w:t>
      </w:r>
      <w:r>
        <w:rPr>
          <w:rFonts w:hint="eastAsia" w:ascii="仿宋_GB2312" w:eastAsia="仿宋_GB2312" w:cs="仿宋_GB2312"/>
          <w:bCs/>
          <w:kern w:val="0"/>
          <w:sz w:val="32"/>
          <w:szCs w:val="32"/>
        </w:rPr>
        <w:t>；社会保障和就业（类）支出64.05万元，占</w:t>
      </w:r>
      <w:r>
        <w:rPr>
          <w:rFonts w:hint="eastAsia" w:ascii="仿宋_GB2312" w:eastAsia="仿宋_GB2312" w:cs="仿宋_GB2312"/>
          <w:bCs/>
          <w:kern w:val="0"/>
          <w:sz w:val="32"/>
          <w:szCs w:val="32"/>
          <w:lang w:val="en-US" w:eastAsia="zh-CN"/>
        </w:rPr>
        <w:t>14.50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（类）支出34.41万元，占</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7.79</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住房保障（类）支出26.92万元，占</w:t>
      </w:r>
      <w:r>
        <w:rPr>
          <w:rFonts w:hint="eastAsia" w:ascii="仿宋_GB2312" w:eastAsia="仿宋_GB2312" w:cs="仿宋_GB2312"/>
          <w:bCs/>
          <w:kern w:val="0"/>
          <w:sz w:val="32"/>
          <w:szCs w:val="32"/>
          <w:lang w:val="en-US" w:eastAsia="zh-CN"/>
        </w:rPr>
        <w:t>6.09</w:t>
      </w:r>
      <w:r>
        <w:rPr>
          <w:rFonts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 xml:space="preserve">。 </w:t>
      </w:r>
    </w:p>
    <w:p>
      <w:pPr>
        <w:autoSpaceDE w:val="0"/>
        <w:autoSpaceDN w:val="0"/>
        <w:adjustRightInd w:val="0"/>
        <w:spacing w:line="560" w:lineRule="exact"/>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（三）财政拨款支出决算具体情况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ascii="仿宋_GB2312" w:eastAsia="仿宋_GB2312" w:cs="仿宋_GB2312"/>
          <w:bCs/>
          <w:kern w:val="0"/>
          <w:sz w:val="32"/>
          <w:szCs w:val="32"/>
        </w:rPr>
        <w:t xml:space="preserve">2019 </w:t>
      </w:r>
      <w:r>
        <w:rPr>
          <w:rFonts w:hint="eastAsia" w:ascii="仿宋_GB2312" w:eastAsia="仿宋_GB2312" w:cs="仿宋_GB2312"/>
          <w:bCs/>
          <w:kern w:val="0"/>
          <w:sz w:val="32"/>
          <w:szCs w:val="32"/>
        </w:rPr>
        <w:t>年度财政拨款支出年初预算为392.79万元，支出决算为441.80万元，完成年初预算的</w:t>
      </w:r>
      <w:r>
        <w:rPr>
          <w:rFonts w:hint="eastAsia" w:ascii="仿宋_GB2312" w:eastAsia="仿宋_GB2312" w:cs="仿宋_GB2312"/>
          <w:bCs/>
          <w:kern w:val="0"/>
          <w:sz w:val="32"/>
          <w:szCs w:val="32"/>
          <w:lang w:val="en-US" w:eastAsia="zh-CN"/>
        </w:rPr>
        <w:t>112.48</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。决算数大于预算数的主要原因：一是年中追加安排财政拨款支出预算，涉及项目有一般公共服务支出</w:t>
      </w:r>
      <w:r>
        <w:rPr>
          <w:rFonts w:hint="eastAsia" w:ascii="仿宋_GB2312" w:eastAsia="仿宋_GB2312" w:cs="仿宋_GB2312"/>
          <w:bCs/>
          <w:kern w:val="0"/>
          <w:sz w:val="32"/>
          <w:szCs w:val="32"/>
          <w:lang w:eastAsia="zh-CN"/>
        </w:rPr>
        <w:t>、社会保障和就业支出、卫生健康支出、住房保障支出</w:t>
      </w:r>
      <w:r>
        <w:rPr>
          <w:rFonts w:hint="eastAsia" w:ascii="仿宋_GB2312" w:eastAsia="仿宋_GB2312" w:cs="仿宋_GB2312"/>
          <w:bCs/>
          <w:kern w:val="0"/>
          <w:sz w:val="32"/>
          <w:szCs w:val="32"/>
        </w:rPr>
        <w:t>；二是部分支出按规定，通过使用以前年度财政拨款结转资金解决。其中：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ascii="仿宋_GB2312" w:eastAsia="仿宋_GB2312" w:cs="仿宋_GB2312"/>
          <w:bCs/>
          <w:kern w:val="0"/>
          <w:sz w:val="32"/>
          <w:szCs w:val="32"/>
        </w:rPr>
        <w:t>.</w:t>
      </w:r>
      <w:r>
        <w:rPr>
          <w:rFonts w:hint="eastAsia" w:ascii="仿宋_GB2312" w:eastAsia="仿宋_GB2312" w:cs="仿宋_GB2312"/>
          <w:bCs/>
          <w:kern w:val="0"/>
          <w:sz w:val="32"/>
          <w:szCs w:val="32"/>
          <w:highlight w:val="none"/>
        </w:rPr>
        <w:t>一般公共服务（类）</w:t>
      </w:r>
      <w:r>
        <w:rPr>
          <w:rFonts w:hint="eastAsia" w:ascii="仿宋_GB2312" w:eastAsia="仿宋_GB2312" w:cs="仿宋_GB2312"/>
          <w:bCs/>
          <w:kern w:val="0"/>
          <w:sz w:val="32"/>
          <w:szCs w:val="32"/>
          <w:highlight w:val="none"/>
          <w:lang w:eastAsia="zh-CN"/>
        </w:rPr>
        <w:t>人大</w:t>
      </w:r>
      <w:r>
        <w:rPr>
          <w:rFonts w:hint="eastAsia" w:ascii="仿宋_GB2312" w:eastAsia="仿宋_GB2312" w:cs="仿宋_GB2312"/>
          <w:bCs/>
          <w:kern w:val="0"/>
          <w:sz w:val="32"/>
          <w:szCs w:val="32"/>
          <w:highlight w:val="none"/>
        </w:rPr>
        <w:t>事务（款）</w:t>
      </w:r>
      <w:r>
        <w:rPr>
          <w:rFonts w:hint="eastAsia" w:ascii="仿宋_GB2312" w:eastAsia="仿宋_GB2312" w:cs="仿宋_GB2312"/>
          <w:bCs/>
          <w:kern w:val="0"/>
          <w:sz w:val="32"/>
          <w:szCs w:val="32"/>
          <w:highlight w:val="none"/>
          <w:lang w:eastAsia="zh-CN"/>
        </w:rPr>
        <w:t>行政运行</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0.8</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100</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eastAsia="zh-CN"/>
        </w:rPr>
        <w:t>此项为新进编外人员伙食补助费用</w:t>
      </w:r>
      <w:r>
        <w:rPr>
          <w:rFonts w:hint="eastAsia" w:ascii="仿宋_GB2312" w:eastAsia="仿宋_GB2312" w:cs="仿宋_GB2312"/>
          <w:bCs/>
          <w:kern w:val="0"/>
          <w:sz w:val="32"/>
          <w:szCs w:val="32"/>
          <w:highlight w:val="none"/>
        </w:rPr>
        <w:t>。</w:t>
      </w:r>
      <w:r>
        <w:rPr>
          <w:rFonts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2</w:t>
      </w:r>
      <w:r>
        <w:rPr>
          <w:rFonts w:ascii="仿宋_GB2312" w:eastAsia="仿宋_GB2312" w:cs="仿宋_GB2312"/>
          <w:bCs/>
          <w:kern w:val="0"/>
          <w:sz w:val="32"/>
          <w:szCs w:val="32"/>
        </w:rPr>
        <w:t>.</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政协</w:t>
      </w:r>
      <w:r>
        <w:rPr>
          <w:rFonts w:hint="eastAsia" w:ascii="仿宋_GB2312" w:eastAsia="仿宋_GB2312" w:cs="仿宋_GB2312"/>
          <w:bCs/>
          <w:kern w:val="0"/>
          <w:sz w:val="32"/>
          <w:szCs w:val="32"/>
        </w:rPr>
        <w:t>事务（款）行政运行（项）。年</w:t>
      </w:r>
      <w:r>
        <w:rPr>
          <w:rFonts w:hint="eastAsia" w:ascii="仿宋_GB2312" w:eastAsia="仿宋_GB2312" w:cs="仿宋_GB2312"/>
          <w:bCs/>
          <w:kern w:val="0"/>
          <w:sz w:val="32"/>
          <w:szCs w:val="32"/>
          <w:highlight w:val="none"/>
        </w:rPr>
        <w:t>初预算为</w:t>
      </w:r>
      <w:r>
        <w:rPr>
          <w:rFonts w:hint="eastAsia" w:ascii="仿宋_GB2312" w:eastAsia="仿宋_GB2312" w:cs="仿宋_GB2312"/>
          <w:bCs/>
          <w:kern w:val="0"/>
          <w:sz w:val="32"/>
          <w:szCs w:val="32"/>
          <w:highlight w:val="none"/>
          <w:lang w:val="en-US" w:eastAsia="zh-CN"/>
        </w:rPr>
        <w:t>210.34</w:t>
      </w:r>
      <w:r>
        <w:rPr>
          <w:rFonts w:hint="eastAsia" w:ascii="仿宋_GB2312" w:eastAsia="仿宋_GB2312" w:cs="仿宋_GB2312"/>
          <w:bCs/>
          <w:kern w:val="0"/>
          <w:sz w:val="32"/>
          <w:szCs w:val="32"/>
          <w:highlight w:val="none"/>
        </w:rPr>
        <w:t>万元，支出决算为249.64</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rPr>
        <w:t>万元，完成年初预算的</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118.68</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年内有调入人员及新进编外聘用人员，以及工资调整工资标准及增资。</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ascii="仿宋_GB2312" w:eastAsia="仿宋_GB2312" w:cs="仿宋_GB2312"/>
          <w:bCs/>
          <w:kern w:val="0"/>
          <w:sz w:val="32"/>
          <w:szCs w:val="32"/>
          <w:highlight w:val="none"/>
        </w:rPr>
        <w:t>3.</w:t>
      </w:r>
      <w:r>
        <w:rPr>
          <w:rFonts w:hint="eastAsia" w:ascii="仿宋_GB2312" w:eastAsia="仿宋_GB2312" w:cs="仿宋_GB2312"/>
          <w:bCs/>
          <w:kern w:val="0"/>
          <w:sz w:val="32"/>
          <w:szCs w:val="32"/>
          <w:highlight w:val="none"/>
        </w:rPr>
        <w:t>一般公共服务（类）</w:t>
      </w:r>
      <w:r>
        <w:rPr>
          <w:rFonts w:hint="eastAsia" w:ascii="仿宋_GB2312" w:eastAsia="仿宋_GB2312" w:cs="仿宋_GB2312"/>
          <w:bCs/>
          <w:kern w:val="0"/>
          <w:sz w:val="32"/>
          <w:szCs w:val="32"/>
          <w:highlight w:val="none"/>
          <w:lang w:eastAsia="zh-CN"/>
        </w:rPr>
        <w:t>政协</w:t>
      </w:r>
      <w:r>
        <w:rPr>
          <w:rFonts w:hint="eastAsia" w:ascii="仿宋_GB2312" w:eastAsia="仿宋_GB2312" w:cs="仿宋_GB2312"/>
          <w:bCs/>
          <w:kern w:val="0"/>
          <w:sz w:val="32"/>
          <w:szCs w:val="32"/>
          <w:highlight w:val="none"/>
        </w:rPr>
        <w:t>事务（款）</w:t>
      </w:r>
      <w:r>
        <w:rPr>
          <w:rFonts w:hint="eastAsia" w:ascii="仿宋_GB2312" w:eastAsia="仿宋_GB2312" w:cs="仿宋_GB2312"/>
          <w:bCs/>
          <w:kern w:val="0"/>
          <w:sz w:val="32"/>
          <w:szCs w:val="32"/>
          <w:highlight w:val="none"/>
          <w:lang w:eastAsia="zh-CN"/>
        </w:rPr>
        <w:t>政协会议</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2.80</w:t>
      </w:r>
      <w:r>
        <w:rPr>
          <w:rFonts w:hint="eastAsia" w:ascii="仿宋_GB2312" w:eastAsia="仿宋_GB2312" w:cs="仿宋_GB2312"/>
          <w:bCs/>
          <w:kern w:val="0"/>
          <w:sz w:val="32"/>
          <w:szCs w:val="32"/>
          <w:highlight w:val="none"/>
        </w:rPr>
        <w:t>元，支出决算为</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2.80</w:t>
      </w:r>
      <w:r>
        <w:rPr>
          <w:rFonts w:hint="eastAsia" w:ascii="仿宋_GB2312" w:eastAsia="仿宋_GB2312" w:cs="仿宋_GB2312"/>
          <w:bCs/>
          <w:kern w:val="0"/>
          <w:sz w:val="32"/>
          <w:szCs w:val="32"/>
          <w:highlight w:val="none"/>
        </w:rPr>
        <w:t>万元，完</w:t>
      </w:r>
      <w:r>
        <w:rPr>
          <w:rFonts w:hint="eastAsia" w:ascii="仿宋_GB2312" w:eastAsia="仿宋_GB2312" w:cs="仿宋_GB2312"/>
          <w:bCs/>
          <w:kern w:val="0"/>
          <w:sz w:val="32"/>
          <w:szCs w:val="32"/>
        </w:rPr>
        <w:t>成年初预算的</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highlight w:val="none"/>
          <w:lang w:val="en-US" w:eastAsia="zh-CN"/>
        </w:rPr>
        <w:t>4</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一般公共服务（类）</w:t>
      </w:r>
      <w:r>
        <w:rPr>
          <w:rFonts w:hint="eastAsia" w:ascii="仿宋_GB2312" w:eastAsia="仿宋_GB2312" w:cs="仿宋_GB2312"/>
          <w:bCs/>
          <w:kern w:val="0"/>
          <w:sz w:val="32"/>
          <w:szCs w:val="32"/>
          <w:highlight w:val="none"/>
          <w:lang w:eastAsia="zh-CN"/>
        </w:rPr>
        <w:t>政协</w:t>
      </w:r>
      <w:r>
        <w:rPr>
          <w:rFonts w:hint="eastAsia" w:ascii="仿宋_GB2312" w:eastAsia="仿宋_GB2312" w:cs="仿宋_GB2312"/>
          <w:bCs/>
          <w:kern w:val="0"/>
          <w:sz w:val="32"/>
          <w:szCs w:val="32"/>
          <w:highlight w:val="none"/>
        </w:rPr>
        <w:t>事务（款）</w:t>
      </w:r>
      <w:r>
        <w:rPr>
          <w:rFonts w:hint="eastAsia" w:ascii="仿宋_GB2312" w:eastAsia="仿宋_GB2312" w:cs="仿宋_GB2312"/>
          <w:bCs/>
          <w:kern w:val="0"/>
          <w:sz w:val="32"/>
          <w:szCs w:val="32"/>
          <w:highlight w:val="none"/>
          <w:lang w:eastAsia="zh-CN"/>
        </w:rPr>
        <w:t>委员视察</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2.00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2.00</w:t>
      </w:r>
      <w:r>
        <w:rPr>
          <w:rFonts w:hint="eastAsia" w:ascii="仿宋_GB2312" w:eastAsia="仿宋_GB2312" w:cs="仿宋_GB2312"/>
          <w:bCs/>
          <w:kern w:val="0"/>
          <w:sz w:val="32"/>
          <w:szCs w:val="32"/>
          <w:highlight w:val="none"/>
        </w:rPr>
        <w:t>万元，完</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成年初预算的</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5</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一般公共服务（类）</w:t>
      </w:r>
      <w:r>
        <w:rPr>
          <w:rFonts w:hint="eastAsia" w:ascii="仿宋_GB2312" w:eastAsia="仿宋_GB2312" w:cs="仿宋_GB2312"/>
          <w:bCs/>
          <w:kern w:val="0"/>
          <w:sz w:val="32"/>
          <w:szCs w:val="32"/>
          <w:highlight w:val="none"/>
          <w:lang w:eastAsia="zh-CN"/>
        </w:rPr>
        <w:t>政协</w:t>
      </w:r>
      <w:r>
        <w:rPr>
          <w:rFonts w:hint="eastAsia" w:ascii="仿宋_GB2312" w:eastAsia="仿宋_GB2312" w:cs="仿宋_GB2312"/>
          <w:bCs/>
          <w:kern w:val="0"/>
          <w:sz w:val="32"/>
          <w:szCs w:val="32"/>
          <w:highlight w:val="none"/>
        </w:rPr>
        <w:t>事务（款）</w:t>
      </w:r>
      <w:r>
        <w:rPr>
          <w:rFonts w:hint="eastAsia" w:ascii="仿宋_GB2312" w:eastAsia="仿宋_GB2312" w:cs="仿宋_GB2312"/>
          <w:bCs/>
          <w:kern w:val="0"/>
          <w:sz w:val="32"/>
          <w:szCs w:val="32"/>
          <w:highlight w:val="none"/>
          <w:lang w:eastAsia="zh-CN"/>
        </w:rPr>
        <w:t>参政议政</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48.00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47.90</w:t>
      </w:r>
      <w:r>
        <w:rPr>
          <w:rFonts w:hint="eastAsia" w:ascii="仿宋_GB2312" w:eastAsia="仿宋_GB2312" w:cs="仿宋_GB2312"/>
          <w:bCs/>
          <w:kern w:val="0"/>
          <w:sz w:val="32"/>
          <w:szCs w:val="32"/>
          <w:highlight w:val="none"/>
        </w:rPr>
        <w:t>万元，完成年初预算的</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99.79</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eastAsia="zh-CN"/>
        </w:rPr>
        <w:t>有结余资金</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6</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一般公共服务（类）</w:t>
      </w:r>
      <w:r>
        <w:rPr>
          <w:rFonts w:hint="eastAsia" w:ascii="仿宋_GB2312" w:eastAsia="仿宋_GB2312" w:cs="仿宋_GB2312"/>
          <w:bCs/>
          <w:kern w:val="0"/>
          <w:sz w:val="32"/>
          <w:szCs w:val="32"/>
          <w:highlight w:val="none"/>
          <w:lang w:eastAsia="zh-CN"/>
        </w:rPr>
        <w:t>政协</w:t>
      </w:r>
      <w:r>
        <w:rPr>
          <w:rFonts w:hint="eastAsia" w:ascii="仿宋_GB2312" w:eastAsia="仿宋_GB2312" w:cs="仿宋_GB2312"/>
          <w:bCs/>
          <w:kern w:val="0"/>
          <w:sz w:val="32"/>
          <w:szCs w:val="32"/>
          <w:highlight w:val="none"/>
        </w:rPr>
        <w:t>事务（款）</w:t>
      </w:r>
      <w:r>
        <w:rPr>
          <w:rFonts w:hint="eastAsia" w:ascii="仿宋_GB2312" w:eastAsia="仿宋_GB2312" w:cs="仿宋_GB2312"/>
          <w:bCs/>
          <w:kern w:val="0"/>
          <w:sz w:val="32"/>
          <w:szCs w:val="32"/>
          <w:highlight w:val="none"/>
          <w:lang w:eastAsia="zh-CN"/>
        </w:rPr>
        <w:t>事业运行</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0万</w:t>
      </w:r>
      <w:r>
        <w:rPr>
          <w:rFonts w:hint="eastAsia" w:ascii="仿宋_GB2312" w:eastAsia="仿宋_GB2312" w:cs="仿宋_GB2312"/>
          <w:bCs/>
          <w:kern w:val="0"/>
          <w:sz w:val="32"/>
          <w:szCs w:val="32"/>
          <w:highlight w:val="none"/>
        </w:rPr>
        <w:t>元，支出决算为</w:t>
      </w:r>
      <w:r>
        <w:rPr>
          <w:rFonts w:hint="eastAsia" w:ascii="仿宋_GB2312" w:eastAsia="仿宋_GB2312" w:cs="仿宋_GB2312"/>
          <w:bCs/>
          <w:kern w:val="0"/>
          <w:sz w:val="32"/>
          <w:szCs w:val="32"/>
          <w:highlight w:val="none"/>
          <w:lang w:val="en-US" w:eastAsia="zh-CN"/>
        </w:rPr>
        <w:t>2.21</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100</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本年</w:t>
      </w:r>
      <w:r>
        <w:rPr>
          <w:rFonts w:hint="eastAsia" w:ascii="仿宋_GB2312" w:eastAsia="仿宋_GB2312" w:cs="仿宋_GB2312"/>
          <w:bCs/>
          <w:kern w:val="0"/>
          <w:sz w:val="32"/>
          <w:szCs w:val="32"/>
          <w:highlight w:val="none"/>
        </w:rPr>
        <w:t>新</w:t>
      </w:r>
      <w:r>
        <w:rPr>
          <w:rFonts w:hint="eastAsia" w:ascii="仿宋_GB2312" w:eastAsia="仿宋_GB2312" w:cs="仿宋_GB2312"/>
          <w:bCs/>
          <w:kern w:val="0"/>
          <w:sz w:val="32"/>
          <w:szCs w:val="32"/>
          <w:highlight w:val="none"/>
          <w:lang w:eastAsia="zh-CN"/>
        </w:rPr>
        <w:t>进编外聘用</w:t>
      </w:r>
      <w:r>
        <w:rPr>
          <w:rFonts w:hint="eastAsia" w:ascii="仿宋_GB2312" w:eastAsia="仿宋_GB2312" w:cs="仿宋_GB2312"/>
          <w:bCs/>
          <w:kern w:val="0"/>
          <w:sz w:val="32"/>
          <w:szCs w:val="32"/>
          <w:highlight w:val="none"/>
        </w:rPr>
        <w:t>人员</w:t>
      </w:r>
      <w:r>
        <w:rPr>
          <w:rFonts w:hint="eastAsia" w:ascii="仿宋_GB2312" w:eastAsia="仿宋_GB2312" w:cs="仿宋_GB2312"/>
          <w:bCs/>
          <w:kern w:val="0"/>
          <w:sz w:val="32"/>
          <w:szCs w:val="32"/>
          <w:highlight w:val="none"/>
          <w:lang w:eastAsia="zh-CN"/>
        </w:rPr>
        <w:t>，用于发放编外人员奖励性绩效工资</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7</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一般公共服务（类）</w:t>
      </w:r>
      <w:r>
        <w:rPr>
          <w:rFonts w:hint="eastAsia" w:ascii="仿宋_GB2312" w:eastAsia="仿宋_GB2312" w:cs="仿宋_GB2312"/>
          <w:bCs/>
          <w:kern w:val="0"/>
          <w:sz w:val="32"/>
          <w:szCs w:val="32"/>
          <w:highlight w:val="none"/>
          <w:lang w:eastAsia="zh-CN"/>
        </w:rPr>
        <w:t>政协</w:t>
      </w:r>
      <w:r>
        <w:rPr>
          <w:rFonts w:hint="eastAsia" w:ascii="仿宋_GB2312" w:eastAsia="仿宋_GB2312" w:cs="仿宋_GB2312"/>
          <w:bCs/>
          <w:kern w:val="0"/>
          <w:sz w:val="32"/>
          <w:szCs w:val="32"/>
          <w:highlight w:val="none"/>
        </w:rPr>
        <w:t>事务（款）</w:t>
      </w:r>
      <w:r>
        <w:rPr>
          <w:rFonts w:hint="eastAsia" w:ascii="仿宋_GB2312" w:eastAsia="仿宋_GB2312" w:cs="仿宋_GB2312"/>
          <w:bCs/>
          <w:kern w:val="0"/>
          <w:sz w:val="32"/>
          <w:szCs w:val="32"/>
          <w:highlight w:val="none"/>
          <w:lang w:eastAsia="zh-CN"/>
        </w:rPr>
        <w:t>其他政协事务支出</w:t>
      </w:r>
      <w:r>
        <w:rPr>
          <w:rFonts w:hint="eastAsia" w:ascii="仿宋_GB2312" w:eastAsia="仿宋_GB2312" w:cs="仿宋_GB2312"/>
          <w:bCs/>
          <w:kern w:val="0"/>
          <w:sz w:val="32"/>
          <w:szCs w:val="32"/>
          <w:highlight w:val="none"/>
        </w:rPr>
        <w:t>（项）。</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10.00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11.07</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110.70</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增加相关工作经费</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8</w:t>
      </w:r>
      <w:r>
        <w:rPr>
          <w:rFonts w:ascii="仿宋_GB2312" w:eastAsia="仿宋_GB2312" w:cs="仿宋_GB2312"/>
          <w:bCs/>
          <w:kern w:val="0"/>
          <w:sz w:val="32"/>
          <w:szCs w:val="32"/>
        </w:rPr>
        <w:t>.</w:t>
      </w:r>
      <w:r>
        <w:rPr>
          <w:rFonts w:hint="eastAsia" w:ascii="仿宋_GB2312" w:eastAsia="仿宋_GB2312" w:cs="仿宋_GB2312"/>
          <w:bCs/>
          <w:kern w:val="0"/>
          <w:sz w:val="32"/>
          <w:szCs w:val="32"/>
        </w:rPr>
        <w:t>社会保障和就业（类）</w:t>
      </w:r>
      <w:r>
        <w:rPr>
          <w:rFonts w:hint="eastAsia" w:ascii="仿宋_GB2312" w:eastAsia="仿宋_GB2312" w:cs="仿宋_GB2312"/>
          <w:bCs/>
          <w:kern w:val="0"/>
          <w:sz w:val="32"/>
          <w:szCs w:val="32"/>
          <w:lang w:eastAsia="zh-CN"/>
        </w:rPr>
        <w:t>行政事业单位离退休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归口管理的行政单位离退休</w:t>
      </w:r>
      <w:r>
        <w:rPr>
          <w:rFonts w:hint="eastAsia" w:ascii="仿宋_GB2312" w:eastAsia="仿宋_GB2312" w:cs="仿宋_GB2312"/>
          <w:bCs/>
          <w:kern w:val="0"/>
          <w:sz w:val="32"/>
          <w:szCs w:val="32"/>
          <w:highlight w:val="none"/>
        </w:rPr>
        <w:t>（项）。</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18.21</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23.33</w:t>
      </w:r>
      <w:r>
        <w:rPr>
          <w:rFonts w:hint="eastAsia" w:ascii="仿宋_GB2312" w:eastAsia="仿宋_GB2312" w:cs="仿宋_GB2312"/>
          <w:bCs/>
          <w:kern w:val="0"/>
          <w:sz w:val="32"/>
          <w:szCs w:val="32"/>
          <w:highlight w:val="none"/>
        </w:rPr>
        <w:t>万元，完</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rPr>
        <w:t>成年初预算的</w:t>
      </w:r>
      <w:r>
        <w:rPr>
          <w:rFonts w:hint="eastAsia" w:ascii="仿宋_GB2312" w:eastAsia="仿宋_GB2312" w:cs="仿宋_GB2312"/>
          <w:bCs/>
          <w:kern w:val="0"/>
          <w:sz w:val="32"/>
          <w:szCs w:val="32"/>
          <w:highlight w:val="none"/>
          <w:lang w:val="en-US" w:eastAsia="zh-CN"/>
        </w:rPr>
        <w:t>128.12</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新增退休人员一名。</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9</w:t>
      </w:r>
      <w:r>
        <w:rPr>
          <w:rFonts w:ascii="仿宋_GB2312" w:eastAsia="仿宋_GB2312" w:cs="仿宋_GB2312"/>
          <w:bCs/>
          <w:kern w:val="0"/>
          <w:sz w:val="32"/>
          <w:szCs w:val="32"/>
        </w:rPr>
        <w:t>.</w:t>
      </w:r>
      <w:r>
        <w:rPr>
          <w:rFonts w:hint="eastAsia" w:ascii="仿宋_GB2312" w:eastAsia="仿宋_GB2312" w:cs="仿宋_GB2312"/>
          <w:bCs/>
          <w:kern w:val="0"/>
          <w:sz w:val="32"/>
          <w:szCs w:val="32"/>
        </w:rPr>
        <w:t>社会保障和就业（类）</w:t>
      </w:r>
      <w:r>
        <w:rPr>
          <w:rFonts w:hint="eastAsia" w:ascii="仿宋_GB2312" w:eastAsia="仿宋_GB2312" w:cs="仿宋_GB2312"/>
          <w:bCs/>
          <w:kern w:val="0"/>
          <w:sz w:val="32"/>
          <w:szCs w:val="32"/>
          <w:lang w:eastAsia="zh-CN"/>
        </w:rPr>
        <w:t>行政事业单位离退休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项）。</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42.50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40.72</w:t>
      </w:r>
      <w:r>
        <w:rPr>
          <w:rFonts w:hint="eastAsia" w:ascii="仿宋_GB2312" w:eastAsia="仿宋_GB2312" w:cs="仿宋_GB2312"/>
          <w:bCs/>
          <w:kern w:val="0"/>
          <w:sz w:val="32"/>
          <w:szCs w:val="32"/>
          <w:highlight w:val="none"/>
        </w:rPr>
        <w:t>万元，完</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rPr>
        <w:t>成年初预算的</w:t>
      </w:r>
      <w:r>
        <w:rPr>
          <w:rFonts w:hint="eastAsia" w:ascii="仿宋_GB2312" w:eastAsia="仿宋_GB2312" w:cs="仿宋_GB2312"/>
          <w:bCs/>
          <w:kern w:val="0"/>
          <w:sz w:val="32"/>
          <w:szCs w:val="32"/>
          <w:highlight w:val="none"/>
          <w:lang w:val="en-US" w:eastAsia="zh-CN"/>
        </w:rPr>
        <w:t>95.81</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剩余款项结转到下一年使用</w:t>
      </w:r>
      <w:r>
        <w:rPr>
          <w:rFonts w:hint="eastAsia" w:ascii="仿宋_GB2312" w:eastAsia="仿宋_GB2312" w:cs="仿宋_GB2312"/>
          <w:bCs/>
          <w:kern w:val="0"/>
          <w:sz w:val="32"/>
          <w:szCs w:val="32"/>
          <w:lang w:val="en-US" w:eastAsia="zh-CN"/>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10</w:t>
      </w:r>
      <w:r>
        <w:rPr>
          <w:rFonts w:ascii="仿宋_GB2312" w:eastAsia="仿宋_GB2312" w:cs="仿宋_GB2312"/>
          <w:bCs/>
          <w:kern w:val="0"/>
          <w:sz w:val="32"/>
          <w:szCs w:val="32"/>
        </w:rPr>
        <w:t>.</w:t>
      </w:r>
      <w:r>
        <w:rPr>
          <w:rFonts w:hint="eastAsia" w:ascii="仿宋_GB2312" w:eastAsia="仿宋_GB2312" w:cs="仿宋_GB2312"/>
          <w:bCs/>
          <w:kern w:val="0"/>
          <w:sz w:val="32"/>
          <w:szCs w:val="32"/>
        </w:rPr>
        <w:t>卫生健康（类）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highlight w:val="none"/>
        </w:rPr>
        <w:t>初预算为</w:t>
      </w:r>
      <w:r>
        <w:rPr>
          <w:rFonts w:hint="eastAsia" w:ascii="仿宋_GB2312" w:eastAsia="仿宋_GB2312" w:cs="仿宋_GB2312"/>
          <w:bCs/>
          <w:kern w:val="0"/>
          <w:sz w:val="32"/>
          <w:szCs w:val="32"/>
          <w:highlight w:val="none"/>
          <w:lang w:val="en-US" w:eastAsia="zh-CN"/>
        </w:rPr>
        <w:t>15.94</w:t>
      </w:r>
      <w:r>
        <w:rPr>
          <w:rFonts w:hint="eastAsia" w:ascii="仿宋_GB2312" w:eastAsia="仿宋_GB2312" w:cs="仿宋_GB2312"/>
          <w:bCs/>
          <w:kern w:val="0"/>
          <w:sz w:val="32"/>
          <w:szCs w:val="32"/>
          <w:highlight w:val="none"/>
        </w:rPr>
        <w:t>元，支出决算为</w:t>
      </w:r>
      <w:r>
        <w:rPr>
          <w:rFonts w:hint="eastAsia" w:ascii="仿宋_GB2312" w:eastAsia="仿宋_GB2312" w:cs="仿宋_GB2312"/>
          <w:bCs/>
          <w:kern w:val="0"/>
          <w:sz w:val="32"/>
          <w:szCs w:val="32"/>
          <w:highlight w:val="none"/>
          <w:lang w:val="en-US" w:eastAsia="zh-CN"/>
        </w:rPr>
        <w:t>16.90</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106.02</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w:t>
      </w:r>
      <w:r>
        <w:rPr>
          <w:rFonts w:hint="eastAsia" w:ascii="仿宋_GB2312" w:eastAsia="仿宋_GB2312" w:cs="仿宋_GB2312"/>
          <w:bCs/>
          <w:kern w:val="0"/>
          <w:sz w:val="32"/>
          <w:szCs w:val="32"/>
          <w:lang w:eastAsia="zh-CN"/>
        </w:rPr>
        <w:t>是有人员增加</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highlight w:val="none"/>
          <w:lang w:val="en-US" w:eastAsia="zh-CN"/>
        </w:rPr>
        <w:t>1</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卫生健康（类）</w:t>
      </w:r>
      <w:r>
        <w:rPr>
          <w:rFonts w:hint="eastAsia" w:ascii="仿宋_GB2312" w:eastAsia="仿宋_GB2312" w:cs="仿宋_GB2312"/>
          <w:bCs/>
          <w:kern w:val="0"/>
          <w:sz w:val="32"/>
          <w:szCs w:val="32"/>
          <w:highlight w:val="none"/>
          <w:lang w:eastAsia="zh-CN"/>
        </w:rPr>
        <w:t>行政事业单位医疗</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val="en-US" w:eastAsia="zh-CN"/>
        </w:rPr>
        <w:t>公务员医疗补助</w:t>
      </w:r>
      <w:r>
        <w:rPr>
          <w:rFonts w:hint="eastAsia" w:ascii="仿宋_GB2312" w:eastAsia="仿宋_GB2312" w:cs="仿宋_GB2312"/>
          <w:bCs/>
          <w:kern w:val="0"/>
          <w:sz w:val="32"/>
          <w:szCs w:val="32"/>
          <w:highlight w:val="none"/>
        </w:rPr>
        <w:t>（项）。</w:t>
      </w:r>
      <w:r>
        <w:rPr>
          <w:rFonts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17.51</w:t>
      </w:r>
      <w:r>
        <w:rPr>
          <w:rFonts w:hint="eastAsia" w:ascii="仿宋_GB2312" w:eastAsia="仿宋_GB2312" w:cs="仿宋_GB2312"/>
          <w:bCs/>
          <w:kern w:val="0"/>
          <w:sz w:val="32"/>
          <w:szCs w:val="32"/>
          <w:highlight w:val="none"/>
        </w:rPr>
        <w:t>元，支出决算为</w:t>
      </w:r>
      <w:r>
        <w:rPr>
          <w:rFonts w:hint="eastAsia" w:ascii="仿宋_GB2312" w:eastAsia="仿宋_GB2312" w:cs="仿宋_GB2312"/>
          <w:bCs/>
          <w:kern w:val="0"/>
          <w:sz w:val="32"/>
          <w:szCs w:val="32"/>
          <w:highlight w:val="none"/>
          <w:lang w:val="en-US" w:eastAsia="zh-CN"/>
        </w:rPr>
        <w:t>17.51</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100</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12. 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住房公积金</w:t>
      </w:r>
      <w:r>
        <w:rPr>
          <w:rFonts w:hint="eastAsia" w:ascii="仿宋_GB2312" w:eastAsia="仿宋_GB2312" w:cs="仿宋_GB2312"/>
          <w:bCs/>
          <w:kern w:val="0"/>
          <w:sz w:val="32"/>
          <w:szCs w:val="32"/>
        </w:rPr>
        <w:t>（项）。</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年初预</w:t>
      </w:r>
      <w:r>
        <w:rPr>
          <w:rFonts w:hint="eastAsia" w:ascii="仿宋_GB2312" w:eastAsia="仿宋_GB2312" w:cs="仿宋_GB2312"/>
          <w:bCs/>
          <w:kern w:val="0"/>
          <w:sz w:val="32"/>
          <w:szCs w:val="32"/>
          <w:highlight w:val="none"/>
        </w:rPr>
        <w:t>算为</w:t>
      </w:r>
      <w:r>
        <w:rPr>
          <w:rFonts w:hint="eastAsia" w:ascii="仿宋_GB2312" w:eastAsia="仿宋_GB2312" w:cs="仿宋_GB2312"/>
          <w:bCs/>
          <w:kern w:val="0"/>
          <w:sz w:val="32"/>
          <w:szCs w:val="32"/>
          <w:highlight w:val="none"/>
          <w:lang w:val="en-US" w:eastAsia="zh-CN"/>
        </w:rPr>
        <w:t>25.49</w:t>
      </w:r>
      <w:r>
        <w:rPr>
          <w:rFonts w:hint="eastAsia" w:ascii="仿宋_GB2312" w:eastAsia="仿宋_GB2312" w:cs="仿宋_GB2312"/>
          <w:bCs/>
          <w:kern w:val="0"/>
          <w:sz w:val="32"/>
          <w:szCs w:val="32"/>
          <w:highlight w:val="none"/>
        </w:rPr>
        <w:t>元，支出决算为</w:t>
      </w:r>
      <w:r>
        <w:rPr>
          <w:rFonts w:hint="eastAsia" w:ascii="仿宋_GB2312" w:eastAsia="仿宋_GB2312" w:cs="仿宋_GB2312"/>
          <w:bCs/>
          <w:kern w:val="0"/>
          <w:sz w:val="32"/>
          <w:szCs w:val="32"/>
          <w:highlight w:val="none"/>
          <w:lang w:val="en-US" w:eastAsia="zh-CN"/>
        </w:rPr>
        <w:t>26.92</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105.61</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有人</w:t>
      </w:r>
      <w:r>
        <w:rPr>
          <w:rFonts w:hint="eastAsia" w:ascii="仿宋_GB2312" w:eastAsia="仿宋_GB2312" w:cs="仿宋_GB2312"/>
          <w:bCs/>
          <w:kern w:val="0"/>
          <w:sz w:val="32"/>
          <w:szCs w:val="32"/>
          <w:lang w:eastAsia="zh-CN"/>
        </w:rPr>
        <w:t>员增加</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bCs/>
          <w:kern w:val="0"/>
          <w:sz w:val="32"/>
          <w:szCs w:val="32"/>
        </w:rPr>
        <w:t>六、</w:t>
      </w:r>
      <w:r>
        <w:rPr>
          <w:rFonts w:hint="eastAsia" w:ascii="黑体" w:hAnsi="黑体" w:eastAsia="黑体" w:cs="黑体"/>
          <w:b/>
          <w:kern w:val="0"/>
          <w:sz w:val="32"/>
          <w:szCs w:val="32"/>
        </w:rPr>
        <w:t>2019年度一般公共预算财政拨款基本支出决算情况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color w:val="auto"/>
          <w:kern w:val="0"/>
          <w:sz w:val="32"/>
          <w:szCs w:val="32"/>
        </w:rPr>
      </w:pPr>
      <w:r>
        <w:rPr>
          <w:rFonts w:ascii="仿宋_GB2312" w:eastAsia="仿宋_GB2312" w:cs="仿宋_GB2312"/>
          <w:bCs/>
          <w:color w:val="auto"/>
          <w:kern w:val="0"/>
          <w:sz w:val="32"/>
          <w:szCs w:val="32"/>
        </w:rPr>
        <w:t>2019</w:t>
      </w:r>
      <w:r>
        <w:rPr>
          <w:rFonts w:hint="eastAsia" w:ascii="仿宋_GB2312" w:eastAsia="仿宋_GB2312" w:cs="仿宋_GB2312"/>
          <w:bCs/>
          <w:color w:val="auto"/>
          <w:kern w:val="0"/>
          <w:sz w:val="32"/>
          <w:szCs w:val="32"/>
        </w:rPr>
        <w:t>年度财政拨款基本支出</w:t>
      </w:r>
      <w:r>
        <w:rPr>
          <w:rFonts w:hint="eastAsia" w:ascii="仿宋_GB2312" w:eastAsia="仿宋_GB2312" w:cs="仿宋_GB2312"/>
          <w:bCs/>
          <w:color w:val="auto"/>
          <w:kern w:val="0"/>
          <w:sz w:val="32"/>
          <w:szCs w:val="32"/>
          <w:lang w:val="en-US" w:eastAsia="zh-CN"/>
        </w:rPr>
        <w:t>378.03</w:t>
      </w:r>
      <w:r>
        <w:rPr>
          <w:rFonts w:hint="eastAsia" w:ascii="仿宋_GB2312" w:eastAsia="仿宋_GB2312" w:cs="仿宋_GB2312"/>
          <w:bCs/>
          <w:color w:val="auto"/>
          <w:kern w:val="0"/>
          <w:sz w:val="32"/>
          <w:szCs w:val="32"/>
        </w:rPr>
        <w:t>万元，其中：</w:t>
      </w:r>
    </w:p>
    <w:p>
      <w:pPr>
        <w:autoSpaceDE w:val="0"/>
        <w:autoSpaceDN w:val="0"/>
        <w:adjustRightInd w:val="0"/>
        <w:spacing w:line="56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（一）</w:t>
      </w:r>
      <w:r>
        <w:rPr>
          <w:rFonts w:hint="eastAsia" w:ascii="仿宋_GB2312" w:eastAsia="仿宋_GB2312" w:cs="仿宋_GB2312"/>
          <w:bCs/>
          <w:color w:val="auto"/>
          <w:kern w:val="0"/>
          <w:sz w:val="32"/>
          <w:szCs w:val="32"/>
        </w:rPr>
        <w:t>人员经费</w:t>
      </w:r>
      <w:r>
        <w:rPr>
          <w:rFonts w:hint="eastAsia" w:ascii="仿宋_GB2312" w:eastAsia="仿宋_GB2312" w:cs="仿宋_GB2312"/>
          <w:bCs/>
          <w:color w:val="auto"/>
          <w:kern w:val="0"/>
          <w:sz w:val="32"/>
          <w:szCs w:val="32"/>
          <w:lang w:val="en-US" w:eastAsia="zh-CN"/>
        </w:rPr>
        <w:t>345.06</w:t>
      </w:r>
      <w:r>
        <w:rPr>
          <w:rFonts w:hint="eastAsia" w:ascii="仿宋_GB2312" w:eastAsia="仿宋_GB2312" w:cs="仿宋_GB2312"/>
          <w:bCs/>
          <w:color w:val="auto"/>
          <w:kern w:val="0"/>
          <w:sz w:val="32"/>
          <w:szCs w:val="32"/>
        </w:rPr>
        <w:t>万元，主要包括：基本工资、津贴补贴、</w:t>
      </w:r>
      <w:r>
        <w:rPr>
          <w:rFonts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rPr>
        <w:t>奖金、伙食补助费、绩效工资、机关事业单位基本养老保险缴费、职业年金缴费、其他社会保障缴费、其他工资福利支出、</w:t>
      </w:r>
      <w:r>
        <w:rPr>
          <w:rFonts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rPr>
        <w:t>离休费、退休费、生活补助、奖励金、住房公积金；</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（二）</w:t>
      </w:r>
      <w:r>
        <w:rPr>
          <w:rFonts w:hint="eastAsia" w:ascii="仿宋_GB2312" w:eastAsia="仿宋_GB2312" w:cs="仿宋_GB2312"/>
          <w:bCs/>
          <w:color w:val="auto"/>
          <w:kern w:val="0"/>
          <w:sz w:val="32"/>
          <w:szCs w:val="32"/>
        </w:rPr>
        <w:t>公用经费</w:t>
      </w:r>
      <w:r>
        <w:rPr>
          <w:rFonts w:hint="eastAsia" w:ascii="仿宋_GB2312" w:eastAsia="仿宋_GB2312" w:cs="仿宋_GB2312"/>
          <w:bCs/>
          <w:color w:val="auto"/>
          <w:kern w:val="0"/>
          <w:sz w:val="32"/>
          <w:szCs w:val="32"/>
          <w:lang w:val="en-US" w:eastAsia="zh-CN"/>
        </w:rPr>
        <w:t>32.97</w:t>
      </w:r>
      <w:r>
        <w:rPr>
          <w:rFonts w:hint="eastAsia" w:ascii="仿宋_GB2312" w:eastAsia="仿宋_GB2312" w:cs="仿宋_GB2312"/>
          <w:bCs/>
          <w:color w:val="auto"/>
          <w:kern w:val="0"/>
          <w:sz w:val="32"/>
          <w:szCs w:val="32"/>
        </w:rPr>
        <w:t>万元，主要包括：办公费、邮电费、物业管理费、差旅费、会议费、福利费</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其他交通费用、税金及附加费用、其他商品和服务支出</w:t>
      </w:r>
      <w:r>
        <w:rPr>
          <w:rFonts w:hint="eastAsia" w:ascii="仿宋_GB2312" w:eastAsia="仿宋_GB2312" w:cs="仿宋_GB2312"/>
          <w:bCs/>
          <w:color w:val="auto"/>
          <w:kern w:val="0"/>
          <w:sz w:val="32"/>
          <w:szCs w:val="32"/>
          <w:lang w:eastAsia="zh-CN"/>
        </w:rPr>
        <w:t>。</w:t>
      </w:r>
    </w:p>
    <w:p>
      <w:pPr>
        <w:autoSpaceDE w:val="0"/>
        <w:autoSpaceDN w:val="0"/>
        <w:adjustRightInd w:val="0"/>
        <w:spacing w:line="560" w:lineRule="exact"/>
        <w:ind w:firstLine="643" w:firstLineChars="200"/>
        <w:jc w:val="left"/>
        <w:rPr>
          <w:rFonts w:hint="eastAsia" w:ascii="黑体" w:hAnsi="黑体" w:eastAsia="黑体" w:cs="黑体"/>
          <w:bCs/>
          <w:kern w:val="0"/>
          <w:sz w:val="32"/>
          <w:szCs w:val="32"/>
        </w:rPr>
      </w:pPr>
      <w:r>
        <w:rPr>
          <w:rFonts w:hint="eastAsia" w:ascii="黑体" w:hAnsi="黑体" w:eastAsia="黑体" w:cs="黑体"/>
          <w:b/>
          <w:bCs/>
          <w:kern w:val="0"/>
          <w:sz w:val="32"/>
          <w:szCs w:val="32"/>
        </w:rPr>
        <w:t>七、</w:t>
      </w:r>
      <w:r>
        <w:rPr>
          <w:rFonts w:hint="eastAsia" w:ascii="黑体" w:hAnsi="黑体" w:eastAsia="黑体" w:cs="黑体"/>
          <w:b/>
          <w:kern w:val="0"/>
          <w:sz w:val="32"/>
          <w:szCs w:val="32"/>
        </w:rPr>
        <w:t>2019 年度一般公共预算财政拨款“三公” 经费支出决算情况</w:t>
      </w:r>
    </w:p>
    <w:p>
      <w:pPr>
        <w:autoSpaceDE w:val="0"/>
        <w:autoSpaceDN w:val="0"/>
        <w:adjustRightInd w:val="0"/>
        <w:spacing w:line="560" w:lineRule="exact"/>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ascii="仿宋_GB2312" w:eastAsia="仿宋_GB2312" w:cs="仿宋_GB2312"/>
          <w:bCs/>
          <w:kern w:val="0"/>
          <w:sz w:val="32"/>
          <w:szCs w:val="32"/>
        </w:rPr>
        <w:t xml:space="preserve">2019 </w:t>
      </w:r>
      <w:r>
        <w:rPr>
          <w:rFonts w:hint="eastAsia" w:ascii="仿宋_GB2312" w:eastAsia="仿宋_GB2312" w:cs="仿宋_GB2312"/>
          <w:bCs/>
          <w:kern w:val="0"/>
          <w:sz w:val="32"/>
          <w:szCs w:val="32"/>
        </w:rPr>
        <w:t>年度“三公”经费财政拨款支出预算为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主要原因是</w:t>
      </w:r>
      <w:r>
        <w:rPr>
          <w:rFonts w:hint="eastAsia" w:ascii="仿宋_GB2312" w:eastAsia="仿宋_GB2312" w:cs="仿宋_GB2312"/>
          <w:bCs/>
          <w:kern w:val="0"/>
          <w:sz w:val="32"/>
          <w:szCs w:val="32"/>
          <w:lang w:eastAsia="zh-CN"/>
        </w:rPr>
        <w:t>一是</w:t>
      </w:r>
      <w:r>
        <w:rPr>
          <w:rFonts w:hint="eastAsia" w:ascii="仿宋_GB2312" w:eastAsia="仿宋_GB2312" w:cs="仿宋_GB2312"/>
          <w:bCs/>
          <w:kern w:val="0"/>
          <w:sz w:val="32"/>
          <w:szCs w:val="32"/>
        </w:rPr>
        <w:t>按照我县车改要求我单位无公务用车,如需公务用车统一由机关事务管理局负责安排</w:t>
      </w:r>
      <w:r>
        <w:rPr>
          <w:rFonts w:hint="eastAsia" w:ascii="仿宋_GB2312" w:eastAsia="仿宋_GB2312" w:cs="仿宋_GB2312"/>
          <w:bCs/>
          <w:kern w:val="0"/>
          <w:sz w:val="32"/>
          <w:szCs w:val="32"/>
          <w:lang w:eastAsia="zh-CN"/>
        </w:rPr>
        <w:t>；二是本单位公务接待统一由机关事务管理局负责。本部门认真贯彻落实中央“八项规定”精神和厉行节约要求，</w:t>
      </w:r>
      <w:r>
        <w:rPr>
          <w:rFonts w:hint="eastAsia" w:ascii="仿宋_GB2312" w:eastAsia="仿宋_GB2312" w:cs="仿宋_GB2312"/>
          <w:bCs/>
          <w:kern w:val="0"/>
          <w:sz w:val="32"/>
          <w:szCs w:val="32"/>
        </w:rPr>
        <w:t>从严控制“三公”经费开支</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2019</w:t>
      </w:r>
      <w:r>
        <w:rPr>
          <w:rFonts w:hint="eastAsia" w:ascii="仿宋_GB2312" w:eastAsia="仿宋_GB2312" w:cs="仿宋_GB2312"/>
          <w:bCs/>
          <w:kern w:val="0"/>
          <w:sz w:val="32"/>
          <w:szCs w:val="32"/>
        </w:rPr>
        <w:t>年度“三公”经费财政拨款支出决算数比</w:t>
      </w:r>
      <w:r>
        <w:rPr>
          <w:rFonts w:ascii="仿宋_GB2312" w:eastAsia="仿宋_GB2312" w:cs="仿宋_GB2312"/>
          <w:bCs/>
          <w:kern w:val="0"/>
          <w:sz w:val="32"/>
          <w:szCs w:val="32"/>
        </w:rPr>
        <w:t>2018</w:t>
      </w:r>
      <w:r>
        <w:rPr>
          <w:rFonts w:hint="eastAsia" w:ascii="仿宋_GB2312" w:eastAsia="仿宋_GB2312" w:cs="仿宋_GB2312"/>
          <w:bCs/>
          <w:kern w:val="0"/>
          <w:sz w:val="32"/>
          <w:szCs w:val="32"/>
        </w:rPr>
        <w:t>年减少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下降</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2019</w:t>
      </w:r>
      <w:r>
        <w:rPr>
          <w:rFonts w:hint="eastAsia" w:ascii="仿宋_GB2312" w:eastAsia="仿宋_GB2312" w:cs="仿宋_GB2312"/>
          <w:bCs/>
          <w:kern w:val="0"/>
          <w:sz w:val="32"/>
          <w:szCs w:val="32"/>
        </w:rPr>
        <w:t>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hint="eastAsia" w:ascii="黑体" w:hAnsi="黑体" w:eastAsia="黑体" w:cs="黑体"/>
          <w:bCs/>
          <w:kern w:val="0"/>
          <w:sz w:val="32"/>
          <w:szCs w:val="32"/>
        </w:rPr>
      </w:pPr>
      <w:r>
        <w:rPr>
          <w:rFonts w:hint="eastAsia" w:ascii="黑体" w:hAnsi="黑体" w:eastAsia="黑体" w:cs="黑体"/>
          <w:b/>
          <w:bCs/>
          <w:kern w:val="0"/>
          <w:sz w:val="32"/>
          <w:szCs w:val="32"/>
        </w:rPr>
        <w:t>八、</w:t>
      </w:r>
      <w:r>
        <w:rPr>
          <w:rFonts w:hint="eastAsia" w:ascii="黑体" w:hAnsi="黑体" w:eastAsia="黑体" w:cs="黑体"/>
          <w:b/>
          <w:kern w:val="0"/>
          <w:sz w:val="32"/>
          <w:szCs w:val="32"/>
        </w:rPr>
        <w:t xml:space="preserve">2019 年度政府性基金预算财政拨款收入支出决算情况说明 </w:t>
      </w:r>
    </w:p>
    <w:p>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本部门</w:t>
      </w:r>
      <w:r>
        <w:rPr>
          <w:rFonts w:ascii="仿宋_GB2312" w:eastAsia="仿宋_GB2312" w:cs="仿宋_GB2312"/>
          <w:bCs/>
          <w:kern w:val="0"/>
          <w:sz w:val="32"/>
          <w:szCs w:val="32"/>
        </w:rPr>
        <w:t xml:space="preserve"> 2019</w:t>
      </w:r>
      <w:r>
        <w:rPr>
          <w:rFonts w:hint="eastAsia" w:ascii="仿宋_GB2312" w:eastAsia="仿宋_GB2312" w:cs="仿宋_GB2312"/>
          <w:bCs/>
          <w:kern w:val="0"/>
          <w:sz w:val="32"/>
          <w:szCs w:val="32"/>
        </w:rPr>
        <w:t>年度政府基金预算财政拨款收、支总决算</w:t>
      </w:r>
      <w:r>
        <w:rPr>
          <w:rFonts w:hint="eastAsia" w:ascii="仿宋_GB2312" w:eastAsia="仿宋_GB2312" w:cs="仿宋_GB2312"/>
          <w:bCs/>
          <w:kern w:val="0"/>
          <w:sz w:val="32"/>
          <w:szCs w:val="32"/>
          <w:lang w:eastAsia="zh-CN"/>
        </w:rPr>
        <w:t>分别为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 xml:space="preserve"> 2018 </w:t>
      </w:r>
      <w:r>
        <w:rPr>
          <w:rFonts w:hint="eastAsia" w:ascii="仿宋_GB2312" w:eastAsia="仿宋_GB2312" w:cs="仿宋_GB2312"/>
          <w:bCs/>
          <w:kern w:val="0"/>
          <w:sz w:val="32"/>
          <w:szCs w:val="32"/>
        </w:rPr>
        <w:t>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rPr>
        <w:t>。其中，支出情况为：</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2019</w:t>
      </w:r>
      <w:r>
        <w:rPr>
          <w:rFonts w:hint="eastAsia" w:ascii="仿宋_GB2312" w:eastAsia="仿宋_GB2312" w:cs="仿宋_GB2312"/>
          <w:bCs/>
          <w:kern w:val="0"/>
          <w:sz w:val="32"/>
          <w:szCs w:val="32"/>
        </w:rPr>
        <w:t>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九、2019 年度预算绩效情况说明</w:t>
      </w:r>
    </w:p>
    <w:p>
      <w:pPr>
        <w:numPr>
          <w:ilvl w:val="0"/>
          <w:numId w:val="2"/>
        </w:numPr>
        <w:autoSpaceDE w:val="0"/>
        <w:autoSpaceDN w:val="0"/>
        <w:adjustRightInd w:val="0"/>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绩效管理工作开展情况</w:t>
      </w:r>
    </w:p>
    <w:p>
      <w:pPr>
        <w:autoSpaceDE w:val="0"/>
        <w:autoSpaceDN w:val="0"/>
        <w:adjustRightInd w:val="0"/>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根据财政预算管理要求，我部门组织对</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年度一般公共预算项目支出全面开展绩效自评。其中，一级项目</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个，二级项目</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委员视察项目安排经费</w:t>
      </w:r>
      <w:r>
        <w:rPr>
          <w:rFonts w:hint="eastAsia" w:ascii="仿宋_GB2312" w:eastAsia="仿宋_GB2312"/>
          <w:sz w:val="32"/>
          <w:szCs w:val="32"/>
          <w:lang w:val="en-US" w:eastAsia="zh-CN"/>
        </w:rPr>
        <w:t>2</w:t>
      </w:r>
      <w:r>
        <w:rPr>
          <w:rFonts w:hint="eastAsia" w:ascii="仿宋_GB2312" w:eastAsia="仿宋_GB2312"/>
          <w:sz w:val="32"/>
          <w:szCs w:val="32"/>
        </w:rPr>
        <w:t>万元，全部来自县级财政。资金到位</w:t>
      </w:r>
      <w:r>
        <w:rPr>
          <w:rFonts w:hint="eastAsia" w:ascii="仿宋_GB2312" w:eastAsia="仿宋_GB2312"/>
          <w:sz w:val="32"/>
          <w:szCs w:val="32"/>
          <w:lang w:val="en-US" w:eastAsia="zh-CN"/>
        </w:rPr>
        <w:t>2</w:t>
      </w:r>
      <w:r>
        <w:rPr>
          <w:rFonts w:hint="eastAsia" w:ascii="仿宋_GB2312" w:eastAsia="仿宋_GB2312"/>
          <w:sz w:val="32"/>
          <w:szCs w:val="32"/>
        </w:rPr>
        <w:t>万元，到位率100%，支出</w:t>
      </w:r>
      <w:r>
        <w:rPr>
          <w:rFonts w:hint="eastAsia" w:ascii="仿宋_GB2312" w:eastAsia="仿宋_GB2312"/>
          <w:sz w:val="32"/>
          <w:szCs w:val="32"/>
          <w:lang w:val="en-US" w:eastAsia="zh-CN"/>
        </w:rPr>
        <w:t>2</w:t>
      </w:r>
      <w:r>
        <w:rPr>
          <w:rFonts w:hint="eastAsia" w:ascii="仿宋_GB2312" w:eastAsia="仿宋_GB2312"/>
          <w:sz w:val="32"/>
          <w:szCs w:val="32"/>
        </w:rPr>
        <w:t>万元，使用率100%。</w:t>
      </w:r>
      <w:r>
        <w:rPr>
          <w:rFonts w:hint="eastAsia" w:ascii="仿宋_GB2312" w:eastAsia="仿宋_GB2312"/>
          <w:sz w:val="32"/>
          <w:szCs w:val="32"/>
          <w:lang w:eastAsia="zh-CN"/>
        </w:rPr>
        <w:t>项目</w:t>
      </w:r>
      <w:r>
        <w:rPr>
          <w:rFonts w:hint="eastAsia" w:ascii="仿宋_GB2312" w:eastAsia="仿宋_GB2312"/>
          <w:sz w:val="32"/>
          <w:szCs w:val="32"/>
        </w:rPr>
        <w:t xml:space="preserve">建设的起止时间为2019年01月01日至2019年12月31日。 </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委员视察工作经费项目预算资金主要用于2019年政协委员开展视察活动的租车费用、资料费、误工补助等支出。“委员视察”是政协委员在闭会期间委员履行职责的一种重要形式，通过开展委员视察活动极大地促进了委员学习、履职和经验交流活动的开展，为委员参政议政提供了重要平台，让政协委员在我县经济社会发展建设中发挥重要作用。</w:t>
      </w:r>
    </w:p>
    <w:p>
      <w:pPr>
        <w:numPr>
          <w:ilvl w:val="0"/>
          <w:numId w:val="2"/>
        </w:numPr>
        <w:autoSpaceDE w:val="0"/>
        <w:autoSpaceDN w:val="0"/>
        <w:adjustRightInd w:val="0"/>
        <w:ind w:left="0" w:leftChars="0"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部门决算中项目绩效自评结果。</w:t>
      </w:r>
    </w:p>
    <w:p>
      <w:pPr>
        <w:numPr>
          <w:ilvl w:val="0"/>
          <w:numId w:val="0"/>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根据年初设定的绩效目标，委员视察项目自评得分为100 分。</w:t>
      </w:r>
    </w:p>
    <w:p>
      <w:pPr>
        <w:numPr>
          <w:ilvl w:val="0"/>
          <w:numId w:val="0"/>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项目支出经费2万元，主要用于2019年政协委员开展视察活动的租车费用、资料费、误工补助等支出。我办根据我县有关专项财政资金管理规定精神，严格做好专项资金的使用管理工作，确保专款专用。</w:t>
      </w:r>
    </w:p>
    <w:p>
      <w:pPr>
        <w:numPr>
          <w:ilvl w:val="0"/>
          <w:numId w:val="0"/>
        </w:numPr>
        <w:autoSpaceDE w:val="0"/>
        <w:autoSpaceDN w:val="0"/>
        <w:adjustRightInd w:val="0"/>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以下是公开的《项目支出绩效自评表》：</w:t>
      </w:r>
    </w:p>
    <w:tbl>
      <w:tblPr>
        <w:tblStyle w:val="5"/>
        <w:tblW w:w="10233" w:type="dxa"/>
        <w:tblInd w:w="-480" w:type="dxa"/>
        <w:shd w:val="clear" w:color="auto" w:fill="auto"/>
        <w:tblLayout w:type="fixed"/>
        <w:tblCellMar>
          <w:top w:w="0" w:type="dxa"/>
          <w:left w:w="0" w:type="dxa"/>
          <w:bottom w:w="0" w:type="dxa"/>
          <w:right w:w="0" w:type="dxa"/>
        </w:tblCellMar>
      </w:tblPr>
      <w:tblGrid>
        <w:gridCol w:w="750"/>
        <w:gridCol w:w="850"/>
        <w:gridCol w:w="899"/>
        <w:gridCol w:w="3417"/>
        <w:gridCol w:w="616"/>
        <w:gridCol w:w="2825"/>
        <w:gridCol w:w="467"/>
        <w:gridCol w:w="409"/>
      </w:tblGrid>
      <w:tr>
        <w:tblPrEx>
          <w:shd w:val="clear" w:color="auto" w:fill="auto"/>
          <w:tblCellMar>
            <w:top w:w="0" w:type="dxa"/>
            <w:left w:w="0" w:type="dxa"/>
            <w:bottom w:w="0" w:type="dxa"/>
            <w:right w:w="0" w:type="dxa"/>
          </w:tblCellMar>
        </w:tblPrEx>
        <w:trPr>
          <w:trHeight w:val="439" w:hRule="atLeast"/>
        </w:trPr>
        <w:tc>
          <w:tcPr>
            <w:tcW w:w="10233"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部门整体支出绩效目标及评价指标表</w:t>
            </w:r>
            <w:r>
              <w:rPr>
                <w:rFonts w:hint="eastAsia" w:ascii="宋体" w:hAnsi="宋体" w:eastAsia="宋体" w:cs="宋体"/>
                <w:b/>
                <w:i w:val="0"/>
                <w:color w:val="000000"/>
                <w:kern w:val="0"/>
                <w:sz w:val="24"/>
                <w:szCs w:val="24"/>
                <w:u w:val="none"/>
                <w:lang w:val="en-US" w:eastAsia="zh-CN" w:bidi="ar"/>
              </w:rPr>
              <w:t>（ 2019 年度）</w:t>
            </w:r>
          </w:p>
        </w:tc>
      </w:tr>
      <w:tr>
        <w:tblPrEx>
          <w:tblCellMar>
            <w:top w:w="0" w:type="dxa"/>
            <w:left w:w="0" w:type="dxa"/>
            <w:bottom w:w="0" w:type="dxa"/>
            <w:right w:w="0" w:type="dxa"/>
          </w:tblCellMar>
        </w:tblPrEx>
        <w:trPr>
          <w:trHeight w:val="270" w:hRule="atLeast"/>
        </w:trPr>
        <w:tc>
          <w:tcPr>
            <w:tcW w:w="75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填报单位</w:t>
            </w:r>
          </w:p>
        </w:tc>
        <w:tc>
          <w:tcPr>
            <w:tcW w:w="8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（盖章）：</w:t>
            </w:r>
          </w:p>
        </w:tc>
        <w:tc>
          <w:tcPr>
            <w:tcW w:w="4316"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政协鹿寨县委员会办公室</w:t>
            </w:r>
          </w:p>
        </w:tc>
        <w:tc>
          <w:tcPr>
            <w:tcW w:w="61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2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6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指标解释</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目标值</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评分细则</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CellMar>
            <w:top w:w="0" w:type="dxa"/>
            <w:left w:w="0" w:type="dxa"/>
            <w:bottom w:w="0" w:type="dxa"/>
            <w:right w:w="0" w:type="dxa"/>
          </w:tblCellMar>
        </w:tblPrEx>
        <w:trPr>
          <w:trHeight w:val="515" w:hRule="atLeast"/>
        </w:trPr>
        <w:tc>
          <w:tcPr>
            <w:tcW w:w="75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预算编制（18分）</w:t>
            </w:r>
          </w:p>
        </w:tc>
        <w:tc>
          <w:tcPr>
            <w:tcW w:w="8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编制质量（18分）</w:t>
            </w:r>
          </w:p>
        </w:tc>
        <w:tc>
          <w:tcPr>
            <w:tcW w:w="89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收入编制完整性</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上年结余资金是否纳入部门预算管理。</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达到目标值得4分，否则不得分。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532" w:hRule="atLeast"/>
        </w:trPr>
        <w:tc>
          <w:tcPr>
            <w:tcW w:w="7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项目支出编制合规性</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是否按规定编制政府采购预算。</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达到目标值得4分，编制但存在不合规定情况酌情扣分，不编制不得分。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499" w:hRule="atLeast"/>
        </w:trPr>
        <w:tc>
          <w:tcPr>
            <w:tcW w:w="7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预算细化率=细化的项目金额/项目总金额×100%。</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以6分为上限，采用完成比率法计分：得分=细化率/80%×100%×6，超出目标值不加分。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CellMar>
            <w:top w:w="0" w:type="dxa"/>
            <w:left w:w="0" w:type="dxa"/>
            <w:bottom w:w="0" w:type="dxa"/>
            <w:right w:w="0" w:type="dxa"/>
          </w:tblCellMar>
        </w:tblPrEx>
        <w:trPr>
          <w:trHeight w:val="600" w:hRule="atLeast"/>
        </w:trPr>
        <w:tc>
          <w:tcPr>
            <w:tcW w:w="7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“三公经费”预算控制率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“三公经费”预算控制率=（本年度“三公经费”预算总额/上年度“三公经费”预算总额）×100%。</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达到目标值得4分，未达到目标值的每增加2.5个百分点扣1分，扣完为止。</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499"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（52分）</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（24分）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预算完成率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预算完成率=（实际完成数/年度预算数）×100%。</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达到目标值得5分，未达到目标值的每减少4个百分点扣1分，扣完为止。</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项目预算追加率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项目预算追加率=（追加项目预算数/年初项目预算数）×100%。</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达到目标值得5分，未达到目标值的每增加4个百分点扣1分，扣完为止。</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支出进度</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6月支出进度。</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以2分为上限，采用完成比率法计分：得分=6月支出进度/40%×100%×2，超出目标值不加分。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9月支出进度。</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以2分为上限，采用完成比率法计分：得分=9月支出进度/65%×100%×2，超出目标值不加分。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12月支出进度。</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以2分为上限，采用完成比率法计分：得分=12月支出进度/90%×100%×2，超出目标值不加分。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75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结转结余变动率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结转结余变动率=〔（本年度累计结转结余资金总额-上年度累计结转结余资金总额）/上年度累计结转结余资金总额〕×100%。</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达到目标值得4分，未达到目标值的每增加2.5个百分点扣1分，扣完为止。</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“三公经费”控制率</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“三公经费”控制率=（本年度“三公经费”实际支出/上年度“三公经费”实际支出）×100%</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≤100%</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达到目标值得4分，未达到目标值的每增加1个百分点扣1分，扣完为止。</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5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预决算管理（20分）</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管理制度健全性</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是否已制定或具有预算资金管理办法、内部财务管理制度、会计核算制度等管理制度。</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达到目标值得3分，否则不得分。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相关管理制度是否得到有效执行。</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达到目标值得3分，否则酌情扣分。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资金使用合规性</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是否符合国家财经法规和财务管理制度规定以及有关专项资金管理办法的规定。</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达到目标值得3分，否则酌情扣分。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资金的拨付是否有完整的审批程序和手续。</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达到目标值得2分，否则酌情扣分。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是否符合部门预算批复的用途。</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达到目标值得2分，否则酌情扣分。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是否存在截留、挤占、挪用、虚列支出等情况。</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达到目标值得3分，否则酌情扣分。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预决算信息公开性</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是否按规定公开预决算信息。</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达到目标值得4分，否则不得分。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499"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（52分）</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（8分）</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管理制度健全性</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是否已制定或具有资产管理制度。</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达到目标值得2分，否则不得分。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相关资产管理制度是否得到有效执行。</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达到目标值得2分，否则酌情扣分。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资产管理安全性</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资产保存是否完整；</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达到目标值得1分，否则酌情扣分。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资产配置是否合理；</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达到目标值得1分，否则酌情扣分。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资产处置是否合规；</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达到目标值得1分，否则酌情扣分。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资产账务管理是否合规，是否账实相符；</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达到目标值得1分，否则酌情扣分。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499"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绩效评价管理（30分）</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履职效益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（30分）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严格规范项目支出，使用是否符合预算要求</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符合预算要求10分，不符合0分。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让代表在闭会期间，认真履行职责，发挥作用。</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项目实施将产生社会综合效益：10分；社会综合效益一般：5分；无社会综合效益：0分。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服务代表、联系群众、宣传民主法制、化解社会矛盾，促进经济发展和社会和谐等方面。</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项目实施将产生良好可持续影响：5分；社会综合效益一般：3分；无社会综合效益：0分。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CellMar>
            <w:top w:w="0" w:type="dxa"/>
            <w:left w:w="0" w:type="dxa"/>
            <w:bottom w:w="0" w:type="dxa"/>
            <w:right w:w="0" w:type="dxa"/>
          </w:tblCellMar>
        </w:tblPrEx>
        <w:trPr>
          <w:trHeight w:val="49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社会公众或服务对象满意度</w:t>
            </w: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完成项目，预期服务对象对项目实施和满意程度</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82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服务对象满意率90%以上：5分；满意率70%—90%：3分；满意率70%以下：0分。</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CellMar>
            <w:top w:w="0" w:type="dxa"/>
            <w:left w:w="0" w:type="dxa"/>
            <w:bottom w:w="0" w:type="dxa"/>
            <w:right w:w="0" w:type="dxa"/>
          </w:tblCellMar>
        </w:tblPrEx>
        <w:trPr>
          <w:trHeight w:val="3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331" w:hRule="atLeast"/>
        </w:trPr>
        <w:tc>
          <w:tcPr>
            <w:tcW w:w="10233" w:type="dxa"/>
            <w:gridSpan w:val="8"/>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填表人：韦冰婷                     电话：   6821120                       单位负责人：陈献庆</w:t>
            </w:r>
          </w:p>
        </w:tc>
      </w:tr>
      <w:tr>
        <w:tblPrEx>
          <w:tblCellMar>
            <w:top w:w="0" w:type="dxa"/>
            <w:left w:w="0" w:type="dxa"/>
            <w:bottom w:w="0" w:type="dxa"/>
            <w:right w:w="0" w:type="dxa"/>
          </w:tblCellMar>
        </w:tblPrEx>
        <w:trPr>
          <w:trHeight w:val="346" w:hRule="atLeast"/>
        </w:trPr>
        <w:tc>
          <w:tcPr>
            <w:tcW w:w="10233"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填报说明：（一）一级指标预算编制、预算执行为共性指标，共70分，已设定了目标值、评分细则及相应分值，部门无需再设定。（二）一级指标绩效评价管理为个性指标，共30分，由部门根据具体履职情况设定，并赋予具体分值。（三）二级指标履职效益下的每一个三级指标可根据需要设定数个指标解释；对于部门无法体现的指标可删除，比如：该部门履职无经济效益指标可将经济效益指标删除。</w:t>
            </w:r>
          </w:p>
        </w:tc>
      </w:tr>
    </w:tbl>
    <w:p>
      <w:pPr>
        <w:autoSpaceDE w:val="0"/>
        <w:autoSpaceDN w:val="0"/>
        <w:adjustRightInd w:val="0"/>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十、其他重要事项的情况</w:t>
      </w:r>
    </w:p>
    <w:p>
      <w:pPr>
        <w:autoSpaceDE w:val="0"/>
        <w:autoSpaceDN w:val="0"/>
        <w:adjustRightInd w:val="0"/>
        <w:ind w:firstLine="643" w:firstLineChars="200"/>
        <w:jc w:val="left"/>
        <w:rPr>
          <w:rFonts w:ascii="仿宋_GB2312" w:eastAsia="仿宋_GB2312" w:cs="仿宋_GB2312"/>
          <w:kern w:val="0"/>
          <w:sz w:val="32"/>
          <w:szCs w:val="32"/>
        </w:rPr>
      </w:pPr>
      <w:r>
        <w:rPr>
          <w:rFonts w:hint="eastAsia" w:ascii="楷体_GB2312" w:hAnsi="楷体_GB2312" w:eastAsia="楷体_GB2312" w:cs="楷体_GB2312"/>
          <w:b/>
          <w:bCs/>
          <w:kern w:val="0"/>
          <w:sz w:val="32"/>
          <w:szCs w:val="32"/>
          <w:highlight w:val="none"/>
        </w:rPr>
        <w:t>（一）机关运行经费支出情况。</w:t>
      </w:r>
      <w:r>
        <w:rPr>
          <w:rFonts w:ascii="仿宋_GB2312" w:eastAsia="仿宋_GB2312" w:cs="仿宋_GB2312"/>
          <w:kern w:val="0"/>
          <w:sz w:val="32"/>
          <w:szCs w:val="32"/>
          <w:highlight w:val="none"/>
        </w:rPr>
        <w:t>2019</w:t>
      </w:r>
      <w:r>
        <w:rPr>
          <w:rFonts w:hint="eastAsia" w:ascii="仿宋_GB2312" w:eastAsia="仿宋_GB2312" w:cs="仿宋_GB2312"/>
          <w:kern w:val="0"/>
          <w:sz w:val="32"/>
          <w:szCs w:val="32"/>
          <w:highlight w:val="none"/>
        </w:rPr>
        <w:t>年度部门机关运行经费支出</w:t>
      </w:r>
      <w:r>
        <w:rPr>
          <w:rFonts w:hint="eastAsia" w:ascii="仿宋_GB2312" w:eastAsia="仿宋_GB2312" w:cs="仿宋_GB2312"/>
          <w:kern w:val="0"/>
          <w:sz w:val="32"/>
          <w:szCs w:val="32"/>
          <w:highlight w:val="none"/>
          <w:lang w:val="en-US" w:eastAsia="zh-CN"/>
        </w:rPr>
        <w:t>32.97</w:t>
      </w:r>
      <w:r>
        <w:rPr>
          <w:rFonts w:hint="eastAsia" w:ascii="仿宋_GB2312" w:eastAsia="仿宋_GB2312" w:cs="仿宋_GB2312"/>
          <w:kern w:val="0"/>
          <w:sz w:val="32"/>
          <w:szCs w:val="32"/>
          <w:highlight w:val="none"/>
        </w:rPr>
        <w:t>万元，比</w:t>
      </w:r>
      <w:r>
        <w:rPr>
          <w:rFonts w:ascii="仿宋_GB2312" w:eastAsia="仿宋_GB2312" w:cs="仿宋_GB2312"/>
          <w:kern w:val="0"/>
          <w:sz w:val="32"/>
          <w:szCs w:val="32"/>
          <w:highlight w:val="none"/>
        </w:rPr>
        <w:t xml:space="preserve"> 2018</w:t>
      </w:r>
      <w:r>
        <w:rPr>
          <w:rFonts w:hint="eastAsia" w:ascii="仿宋_GB2312" w:eastAsia="仿宋_GB2312" w:cs="仿宋_GB2312"/>
          <w:kern w:val="0"/>
          <w:sz w:val="32"/>
          <w:szCs w:val="32"/>
          <w:highlight w:val="none"/>
        </w:rPr>
        <w:t>年增加</w:t>
      </w:r>
      <w:r>
        <w:rPr>
          <w:rFonts w:hint="eastAsia" w:ascii="仿宋_GB2312" w:eastAsia="仿宋_GB2312" w:cs="仿宋_GB2312"/>
          <w:kern w:val="0"/>
          <w:sz w:val="32"/>
          <w:szCs w:val="32"/>
          <w:highlight w:val="none"/>
          <w:lang w:val="en-US" w:eastAsia="zh-CN"/>
        </w:rPr>
        <w:t>15.52</w:t>
      </w:r>
      <w:r>
        <w:rPr>
          <w:rFonts w:hint="eastAsia" w:ascii="仿宋_GB2312" w:eastAsia="仿宋_GB2312" w:cs="仿宋_GB2312"/>
          <w:kern w:val="0"/>
          <w:sz w:val="32"/>
          <w:szCs w:val="32"/>
          <w:highlight w:val="none"/>
        </w:rPr>
        <w:t>万元，增</w:t>
      </w:r>
      <w:r>
        <w:rPr>
          <w:rFonts w:hint="eastAsia" w:ascii="仿宋_GB2312" w:eastAsia="仿宋_GB2312" w:cs="仿宋_GB2312"/>
          <w:kern w:val="0"/>
          <w:sz w:val="32"/>
          <w:szCs w:val="32"/>
        </w:rPr>
        <w:t>长</w:t>
      </w:r>
      <w:r>
        <w:rPr>
          <w:rFonts w:hint="eastAsia" w:ascii="仿宋_GB2312" w:eastAsia="仿宋_GB2312" w:cs="仿宋_GB2312"/>
          <w:kern w:val="0"/>
          <w:sz w:val="32"/>
          <w:szCs w:val="32"/>
          <w:lang w:val="en-US" w:eastAsia="zh-CN"/>
        </w:rPr>
        <w:t>88.99</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是</w:t>
      </w:r>
      <w:r>
        <w:rPr>
          <w:rFonts w:hint="eastAsia" w:ascii="仿宋_GB2312" w:eastAsia="仿宋_GB2312" w:cs="仿宋_GB2312"/>
          <w:kern w:val="0"/>
          <w:sz w:val="32"/>
          <w:szCs w:val="32"/>
          <w:lang w:val="en-US" w:eastAsia="zh-CN"/>
        </w:rPr>
        <w:t>2019年公车改革交通补贴在此项中列支</w:t>
      </w:r>
      <w:r>
        <w:rPr>
          <w:rFonts w:hint="eastAsia" w:ascii="仿宋_GB2312" w:eastAsia="仿宋_GB2312" w:cs="仿宋_GB2312"/>
          <w:kern w:val="0"/>
          <w:sz w:val="32"/>
          <w:szCs w:val="32"/>
        </w:rPr>
        <w:t>。</w:t>
      </w:r>
    </w:p>
    <w:p>
      <w:pPr>
        <w:autoSpaceDE w:val="0"/>
        <w:autoSpaceDN w:val="0"/>
        <w:adjustRightInd w:val="0"/>
        <w:ind w:firstLine="643" w:firstLineChars="200"/>
        <w:jc w:val="left"/>
        <w:rPr>
          <w:rFonts w:ascii="仿宋_GB2312" w:eastAsia="仿宋_GB2312" w:cs="仿宋_GB2312"/>
          <w:kern w:val="0"/>
          <w:sz w:val="32"/>
          <w:szCs w:val="32"/>
        </w:rPr>
      </w:pPr>
      <w:r>
        <w:rPr>
          <w:rFonts w:hint="eastAsia" w:ascii="楷体_GB2312" w:hAnsi="楷体_GB2312" w:eastAsia="楷体_GB2312" w:cs="楷体_GB2312"/>
          <w:b/>
          <w:bCs/>
          <w:kern w:val="0"/>
          <w:sz w:val="32"/>
          <w:szCs w:val="32"/>
        </w:rPr>
        <w:t>（二）政府采购支出情况。</w:t>
      </w:r>
      <w:r>
        <w:rPr>
          <w:rFonts w:hint="eastAsia" w:ascii="仿宋_GB2312" w:hAnsi="仿宋_GB2312" w:eastAsia="仿宋_GB2312" w:cs="仿宋_GB2312"/>
          <w:b w:val="0"/>
          <w:bCs w:val="0"/>
          <w:kern w:val="0"/>
          <w:sz w:val="32"/>
          <w:szCs w:val="32"/>
        </w:rPr>
        <w:t>201</w:t>
      </w:r>
      <w:r>
        <w:rPr>
          <w:rFonts w:ascii="仿宋_GB2312" w:eastAsia="仿宋_GB2312" w:cs="仿宋_GB2312"/>
          <w:kern w:val="0"/>
          <w:sz w:val="32"/>
          <w:szCs w:val="32"/>
        </w:rPr>
        <w:t>9</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6.26</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6.26</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30" w:firstLineChars="196"/>
        <w:jc w:val="left"/>
        <w:rPr>
          <w:rFonts w:ascii="仿宋_GB2312" w:eastAsia="仿宋_GB2312" w:cs="仿宋_GB2312"/>
          <w:kern w:val="0"/>
          <w:sz w:val="32"/>
          <w:szCs w:val="32"/>
        </w:rPr>
      </w:pPr>
      <w:r>
        <w:rPr>
          <w:rFonts w:hint="eastAsia" w:ascii="楷体_GB2312" w:hAnsi="楷体_GB2312" w:eastAsia="楷体_GB2312" w:cs="楷体_GB2312"/>
          <w:b/>
          <w:bCs/>
          <w:kern w:val="0"/>
          <w:sz w:val="32"/>
          <w:szCs w:val="32"/>
        </w:rPr>
        <w:t>（三）国有资产占用情况。</w:t>
      </w:r>
      <w:r>
        <w:rPr>
          <w:rFonts w:hint="eastAsia" w:ascii="仿宋_GB2312" w:eastAsia="仿宋_GB2312" w:cs="仿宋_GB2312"/>
          <w:kern w:val="0"/>
          <w:sz w:val="32"/>
          <w:szCs w:val="32"/>
        </w:rPr>
        <w:t>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ascii="仿宋_GB2312" w:eastAsia="仿宋_GB2312" w:cs="仿宋_GB2312"/>
          <w:kern w:val="0"/>
          <w:sz w:val="32"/>
          <w:szCs w:val="32"/>
        </w:rPr>
        <w:t xml:space="preserve"> </w:t>
      </w:r>
    </w:p>
    <w:p>
      <w:pPr>
        <w:ind w:firstLine="645"/>
        <w:rPr>
          <w:rFonts w:hint="eastAsia" w:ascii="黑体" w:hAnsi="黑体" w:eastAsia="黑体" w:cs="黑体"/>
          <w:b/>
          <w:sz w:val="32"/>
          <w:szCs w:val="32"/>
        </w:rPr>
      </w:pPr>
    </w:p>
    <w:p>
      <w:pPr>
        <w:ind w:firstLine="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第四部分：名词解释</w:t>
      </w:r>
    </w:p>
    <w:p>
      <w:pPr>
        <w:numPr>
          <w:ilvl w:val="0"/>
          <w:numId w:val="3"/>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lang w:eastAsia="zh-CN"/>
        </w:rPr>
        <w:sectPr>
          <w:footerReference r:id="rId5" w:type="default"/>
          <w:pgSz w:w="11906" w:h="16838"/>
          <w:pgMar w:top="1304" w:right="1304" w:bottom="1304" w:left="1474" w:header="851" w:footer="992" w:gutter="0"/>
          <w:pgNumType w:fmt="numberInDash" w:start="1"/>
          <w:cols w:space="720" w:num="1"/>
          <w:docGrid w:type="lines" w:linePitch="312" w:charSpace="0"/>
        </w:sectPr>
      </w:pPr>
    </w:p>
    <w:p>
      <w:pPr>
        <w:widowControl/>
        <w:jc w:val="left"/>
        <w:rPr>
          <w:rFonts w:hint="eastAsia" w:ascii="方正小标宋简体" w:hAnsi="宋体" w:eastAsia="方正小标宋简体" w:cs="宋体"/>
          <w:kern w:val="0"/>
          <w:sz w:val="36"/>
          <w:szCs w:val="36"/>
          <w:lang w:eastAsia="zh-CN"/>
        </w:rPr>
      </w:pPr>
      <w:r>
        <w:rPr>
          <w:rFonts w:hint="eastAsia" w:ascii="方正小标宋简体" w:hAnsi="宋体" w:eastAsia="方正小标宋简体" w:cs="宋体"/>
          <w:kern w:val="0"/>
          <w:sz w:val="36"/>
          <w:szCs w:val="36"/>
          <w:lang w:eastAsia="zh-CN"/>
        </w:rPr>
        <w:t>附件：</w:t>
      </w:r>
    </w:p>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ind w:firstLine="440" w:firstLineChars="200"/>
        <w:jc w:val="right"/>
        <w:rPr>
          <w:rFonts w:hint="eastAsia" w:ascii="仿宋_GB2312" w:hAnsi="黑体" w:eastAsia="仿宋_GB2312"/>
          <w:b/>
          <w:sz w:val="32"/>
          <w:szCs w:val="32"/>
        </w:rPr>
      </w:pPr>
      <w:r>
        <w:rPr>
          <w:rFonts w:hint="eastAsia" w:ascii="宋体" w:hAnsi="宋体" w:cs="宋体"/>
          <w:kern w:val="0"/>
          <w:sz w:val="22"/>
          <w:szCs w:val="22"/>
        </w:rPr>
        <w:t>单位：万元</w:t>
      </w:r>
    </w:p>
    <w:tbl>
      <w:tblPr>
        <w:tblStyle w:val="5"/>
        <w:tblW w:w="9289" w:type="dxa"/>
        <w:tblInd w:w="0" w:type="dxa"/>
        <w:tblLayout w:type="fixed"/>
        <w:tblCellMar>
          <w:top w:w="0" w:type="dxa"/>
          <w:left w:w="0" w:type="dxa"/>
          <w:bottom w:w="0" w:type="dxa"/>
          <w:right w:w="0" w:type="dxa"/>
        </w:tblCellMar>
      </w:tblPr>
      <w:tblGrid>
        <w:gridCol w:w="3330"/>
        <w:gridCol w:w="1192"/>
        <w:gridCol w:w="3550"/>
        <w:gridCol w:w="1217"/>
      </w:tblGrid>
      <w:tr>
        <w:tblPrEx>
          <w:tblCellMar>
            <w:top w:w="0" w:type="dxa"/>
            <w:left w:w="0" w:type="dxa"/>
            <w:bottom w:w="0" w:type="dxa"/>
            <w:right w:w="0" w:type="dxa"/>
          </w:tblCellMar>
        </w:tblPrEx>
        <w:trPr>
          <w:trHeight w:val="308" w:hRule="atLeast"/>
        </w:trPr>
        <w:tc>
          <w:tcPr>
            <w:tcW w:w="452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4767"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443.37</w:t>
            </w: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316.42</w:t>
            </w: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443.37</w:t>
            </w: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441.80</w:t>
            </w: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444.79</w:t>
            </w:r>
          </w:p>
        </w:tc>
        <w:tc>
          <w:tcPr>
            <w:tcW w:w="35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444.79</w:t>
            </w:r>
          </w:p>
        </w:tc>
      </w:tr>
    </w:tbl>
    <w:p>
      <w:pPr>
        <w:rPr>
          <w:rFonts w:hint="eastAsia"/>
          <w:lang w:eastAsia="zh-CN"/>
        </w:rPr>
      </w:pPr>
      <w:r>
        <w:rPr>
          <w:rFonts w:hint="eastAsia"/>
        </w:rPr>
        <w:t>注：本表反映部门本年度的总收支和年末结转结余情</w:t>
      </w:r>
      <w:r>
        <w:rPr>
          <w:rFonts w:hint="eastAsia"/>
          <w:lang w:eastAsia="zh-CN"/>
        </w:rPr>
        <w:t>况。</w:t>
      </w:r>
    </w:p>
    <w:p>
      <w:pPr>
        <w:rPr>
          <w:rFonts w:hint="eastAsia"/>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17" w:right="1304" w:bottom="964" w:left="1531" w:header="851" w:footer="992" w:gutter="0"/>
          <w:pgNumType w:fmt="numberInDash"/>
          <w:cols w:space="720" w:num="1"/>
          <w:docGrid w:type="lines" w:linePitch="312" w:charSpace="0"/>
        </w:sectPr>
      </w:pPr>
    </w:p>
    <w:p>
      <w:pPr>
        <w:jc w:val="center"/>
        <w:rPr>
          <w:rFonts w:hint="eastAsia"/>
          <w:sz w:val="22"/>
          <w:szCs w:val="22"/>
        </w:rPr>
      </w:pPr>
      <w:r>
        <w:rPr>
          <w:rFonts w:hint="eastAsia" w:ascii="方正小标宋简体" w:hAnsi="宋体" w:eastAsia="方正小标宋简体" w:cs="宋体"/>
          <w:kern w:val="0"/>
          <w:sz w:val="36"/>
          <w:szCs w:val="36"/>
        </w:rPr>
        <w:t>表</w:t>
      </w:r>
      <w:r>
        <w:rPr>
          <w:rFonts w:hint="eastAsia" w:ascii="方正小标宋简体" w:hAnsi="宋体" w:eastAsia="方正小标宋简体" w:cs="宋体"/>
          <w:kern w:val="0"/>
          <w:sz w:val="36"/>
          <w:szCs w:val="36"/>
          <w:lang w:eastAsia="zh-CN"/>
        </w:rPr>
        <w:t>二</w:t>
      </w:r>
      <w:r>
        <w:rPr>
          <w:rFonts w:hint="eastAsia" w:ascii="方正小标宋简体" w:hAnsi="宋体" w:eastAsia="方正小标宋简体" w:cs="宋体"/>
          <w:kern w:val="0"/>
          <w:sz w:val="36"/>
          <w:szCs w:val="36"/>
        </w:rPr>
        <w:t>：收入决算表</w:t>
      </w:r>
    </w:p>
    <w:p>
      <w:pPr>
        <w:jc w:val="right"/>
        <w:rPr>
          <w:sz w:val="22"/>
          <w:szCs w:val="22"/>
        </w:rPr>
      </w:pPr>
      <w:r>
        <w:rPr>
          <w:rFonts w:hint="eastAsia"/>
          <w:sz w:val="22"/>
          <w:szCs w:val="22"/>
        </w:rPr>
        <w:t>单位：万元</w:t>
      </w:r>
    </w:p>
    <w:tbl>
      <w:tblPr>
        <w:tblStyle w:val="5"/>
        <w:tblW w:w="9139" w:type="dxa"/>
        <w:tblInd w:w="0" w:type="dxa"/>
        <w:tblLayout w:type="fixed"/>
        <w:tblCellMar>
          <w:top w:w="0" w:type="dxa"/>
          <w:left w:w="0" w:type="dxa"/>
          <w:bottom w:w="0" w:type="dxa"/>
          <w:right w:w="0" w:type="dxa"/>
        </w:tblCellMar>
      </w:tblPr>
      <w:tblGrid>
        <w:gridCol w:w="863"/>
        <w:gridCol w:w="2559"/>
        <w:gridCol w:w="991"/>
        <w:gridCol w:w="1350"/>
        <w:gridCol w:w="743"/>
        <w:gridCol w:w="516"/>
        <w:gridCol w:w="584"/>
        <w:gridCol w:w="966"/>
        <w:gridCol w:w="567"/>
      </w:tblGrid>
      <w:tr>
        <w:tblPrEx>
          <w:tblCellMar>
            <w:top w:w="0" w:type="dxa"/>
            <w:left w:w="0" w:type="dxa"/>
            <w:bottom w:w="0" w:type="dxa"/>
            <w:right w:w="0" w:type="dxa"/>
          </w:tblCellMar>
        </w:tblPrEx>
        <w:trPr>
          <w:trHeight w:val="23" w:hRule="atLeast"/>
        </w:trPr>
        <w:tc>
          <w:tcPr>
            <w:tcW w:w="3422" w:type="dxa"/>
            <w:gridSpan w:val="2"/>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支出功能项目</w:t>
            </w:r>
          </w:p>
        </w:tc>
        <w:tc>
          <w:tcPr>
            <w:tcW w:w="991" w:type="dxa"/>
            <w:vMerge w:val="restart"/>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本年收入合计</w:t>
            </w:r>
          </w:p>
        </w:tc>
        <w:tc>
          <w:tcPr>
            <w:tcW w:w="1350" w:type="dxa"/>
            <w:vMerge w:val="restart"/>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财政拨款收入</w:t>
            </w:r>
          </w:p>
        </w:tc>
        <w:tc>
          <w:tcPr>
            <w:tcW w:w="743" w:type="dxa"/>
            <w:vMerge w:val="restart"/>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上级补助收入</w:t>
            </w:r>
          </w:p>
        </w:tc>
        <w:tc>
          <w:tcPr>
            <w:tcW w:w="516" w:type="dxa"/>
            <w:vMerge w:val="restart"/>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事业收入</w:t>
            </w:r>
          </w:p>
        </w:tc>
        <w:tc>
          <w:tcPr>
            <w:tcW w:w="584" w:type="dxa"/>
            <w:vMerge w:val="restart"/>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经营收入</w:t>
            </w:r>
          </w:p>
        </w:tc>
        <w:tc>
          <w:tcPr>
            <w:tcW w:w="966" w:type="dxa"/>
            <w:vMerge w:val="restart"/>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附属单位上缴收入</w:t>
            </w:r>
          </w:p>
        </w:tc>
        <w:tc>
          <w:tcPr>
            <w:tcW w:w="567" w:type="dxa"/>
            <w:vMerge w:val="restar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23" w:hRule="atLeast"/>
        </w:trPr>
        <w:tc>
          <w:tcPr>
            <w:tcW w:w="86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科目编码</w:t>
            </w:r>
          </w:p>
        </w:tc>
        <w:tc>
          <w:tcPr>
            <w:tcW w:w="255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科目名称</w:t>
            </w:r>
          </w:p>
        </w:tc>
        <w:tc>
          <w:tcPr>
            <w:tcW w:w="991" w:type="dxa"/>
            <w:vMerge w:val="continue"/>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50" w:type="dxa"/>
            <w:vMerge w:val="continue"/>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43" w:type="dxa"/>
            <w:vMerge w:val="continue"/>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516" w:type="dxa"/>
            <w:vMerge w:val="continue"/>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584" w:type="dxa"/>
            <w:vMerge w:val="continue"/>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66" w:type="dxa"/>
            <w:vMerge w:val="continue"/>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567" w:type="dxa"/>
            <w:vMerge w:val="continue"/>
            <w:tcBorders>
              <w:top w:val="single" w:color="auto" w:sz="4" w:space="0"/>
              <w:left w:val="nil"/>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27" w:hRule="atLeast"/>
        </w:trPr>
        <w:tc>
          <w:tcPr>
            <w:tcW w:w="342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4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1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8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6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6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23" w:hRule="atLeast"/>
        </w:trPr>
        <w:tc>
          <w:tcPr>
            <w:tcW w:w="342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443.37</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443.37</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一般公共服务支出</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316.21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316.21</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20101</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人大事务</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0.80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0.80</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2010101</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行政运行</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0.80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0.80</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20102</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政协事务</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315.41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315.41</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2010201</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行政运行</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250.85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250.85</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2010204</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政协会议</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2010205</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委员视察</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2010206</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参政议政</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47.90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47.90</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2010250</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事业运行</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2010299</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其他政协事务支出</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9.65</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社会保障和就业支出</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65.83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65.83</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行政事业单位离退休</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65.83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65.83</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2080501</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归口管理的行政单位离退休</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23.33</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2080505</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42.50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42.50</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卫生健康支出</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34.41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34.41</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行政事业单位医疗</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34.41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34.41</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2101101</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行政单位医疗</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16.90</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2101103</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公务员医疗补助</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17.51</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住房保障支出</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26.92</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 w:hRule="atLeast"/>
        </w:trPr>
        <w:tc>
          <w:tcPr>
            <w:tcW w:w="86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255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9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74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r>
        <w:rPr>
          <w:rFonts w:hint="eastAsia"/>
        </w:rPr>
        <w:t>注：本表反映部门本年度取得的各项收入情况。</w:t>
      </w:r>
    </w:p>
    <w:p/>
    <w:p/>
    <w:p/>
    <w:p/>
    <w:p/>
    <w:p/>
    <w:p/>
    <w:p/>
    <w:p/>
    <w:p/>
    <w:p/>
    <w:p/>
    <w:p/>
    <w:p>
      <w:pPr>
        <w:jc w:val="center"/>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表三：支出决算表</w:t>
      </w:r>
    </w:p>
    <w:p>
      <w:pPr>
        <w:jc w:val="right"/>
        <w:rPr>
          <w:rFonts w:hint="eastAsia" w:ascii="方正小标宋简体" w:hAnsi="宋体" w:eastAsia="方正小标宋简体" w:cs="宋体"/>
          <w:kern w:val="0"/>
          <w:sz w:val="36"/>
          <w:szCs w:val="36"/>
        </w:rPr>
      </w:pPr>
      <w:r>
        <w:rPr>
          <w:rFonts w:hint="eastAsia"/>
          <w:sz w:val="22"/>
          <w:szCs w:val="22"/>
        </w:rPr>
        <w:t>单位：万元</w:t>
      </w:r>
    </w:p>
    <w:tbl>
      <w:tblPr>
        <w:tblStyle w:val="5"/>
        <w:tblW w:w="9296" w:type="dxa"/>
        <w:tblInd w:w="0" w:type="dxa"/>
        <w:tblLayout w:type="fixed"/>
        <w:tblCellMar>
          <w:top w:w="0" w:type="dxa"/>
          <w:left w:w="0" w:type="dxa"/>
          <w:bottom w:w="0" w:type="dxa"/>
          <w:right w:w="0" w:type="dxa"/>
        </w:tblCellMar>
      </w:tblPr>
      <w:tblGrid>
        <w:gridCol w:w="946"/>
        <w:gridCol w:w="1567"/>
        <w:gridCol w:w="1433"/>
        <w:gridCol w:w="1100"/>
        <w:gridCol w:w="967"/>
        <w:gridCol w:w="1116"/>
        <w:gridCol w:w="1034"/>
        <w:gridCol w:w="1133"/>
      </w:tblGrid>
      <w:tr>
        <w:tblPrEx>
          <w:tblCellMar>
            <w:top w:w="0" w:type="dxa"/>
            <w:left w:w="0" w:type="dxa"/>
            <w:bottom w:w="0" w:type="dxa"/>
            <w:right w:w="0" w:type="dxa"/>
          </w:tblCellMar>
        </w:tblPrEx>
        <w:trPr>
          <w:trHeight w:val="308" w:hRule="atLeast"/>
        </w:trPr>
        <w:tc>
          <w:tcPr>
            <w:tcW w:w="25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支出功能项目</w:t>
            </w:r>
          </w:p>
        </w:tc>
        <w:tc>
          <w:tcPr>
            <w:tcW w:w="1433"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6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1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034"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133"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180" w:hRule="atLeast"/>
        </w:trPr>
        <w:tc>
          <w:tcPr>
            <w:tcW w:w="94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567"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3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80" w:hRule="atLeast"/>
        </w:trPr>
        <w:tc>
          <w:tcPr>
            <w:tcW w:w="94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7"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94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7"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513"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3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3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2513"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441.80</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378.03</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63.77</w:t>
            </w: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316.42</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252.65</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63.77</w:t>
            </w: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2010101</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政协事务</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315.62</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251.85</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63.77</w:t>
            </w: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2010201</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249.64</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249.64</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2010204</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政协会议</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2010205</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委员视察</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2010206</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参政议政</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47.90</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47.90</w:t>
            </w: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2010250</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2010299</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其他政协事务支出</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w:t>
            </w: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23.33</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23.33</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40.72</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40.72</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15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1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r>
        <w:rPr>
          <w:rFonts w:hint="eastAsia"/>
        </w:rPr>
        <w:t>注：本表反映部门本年度各项支出情况。</w:t>
      </w:r>
    </w:p>
    <w:p/>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rFonts w:hint="eastAsia" w:ascii="方正小标宋简体" w:hAnsi="宋体" w:eastAsia="方正小标宋简体" w:cs="宋体"/>
          <w:kern w:val="0"/>
          <w:sz w:val="36"/>
          <w:szCs w:val="36"/>
        </w:rPr>
      </w:pPr>
      <w:r>
        <w:rPr>
          <w:rFonts w:hint="eastAsia"/>
          <w:sz w:val="22"/>
          <w:szCs w:val="22"/>
        </w:rPr>
        <w:t>单位：万元</w:t>
      </w:r>
    </w:p>
    <w:tbl>
      <w:tblPr>
        <w:tblStyle w:val="5"/>
        <w:tblW w:w="9789" w:type="dxa"/>
        <w:tblInd w:w="0" w:type="dxa"/>
        <w:tblLayout w:type="fixed"/>
        <w:tblCellMar>
          <w:top w:w="0" w:type="dxa"/>
          <w:left w:w="0" w:type="dxa"/>
          <w:bottom w:w="0" w:type="dxa"/>
          <w:right w:w="0" w:type="dxa"/>
        </w:tblCellMar>
      </w:tblPr>
      <w:tblGrid>
        <w:gridCol w:w="1956"/>
        <w:gridCol w:w="473"/>
        <w:gridCol w:w="893"/>
        <w:gridCol w:w="3000"/>
        <w:gridCol w:w="500"/>
        <w:gridCol w:w="767"/>
        <w:gridCol w:w="1133"/>
        <w:gridCol w:w="1067"/>
      </w:tblGrid>
      <w:tr>
        <w:tblPrEx>
          <w:tblCellMar>
            <w:top w:w="0" w:type="dxa"/>
            <w:left w:w="0" w:type="dxa"/>
            <w:bottom w:w="0" w:type="dxa"/>
            <w:right w:w="0" w:type="dxa"/>
          </w:tblCellMar>
        </w:tblPrEx>
        <w:trPr>
          <w:trHeight w:val="308" w:hRule="atLeast"/>
        </w:trPr>
        <w:tc>
          <w:tcPr>
            <w:tcW w:w="332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6467" w:type="dxa"/>
            <w:gridSpan w:val="5"/>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195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9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0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767"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06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CellMar>
            <w:top w:w="0" w:type="dxa"/>
            <w:left w:w="0" w:type="dxa"/>
            <w:bottom w:w="0" w:type="dxa"/>
            <w:right w:w="0" w:type="dxa"/>
          </w:tblCellMar>
        </w:tblPrEx>
        <w:trPr>
          <w:trHeight w:val="615" w:hRule="atLeast"/>
        </w:trPr>
        <w:tc>
          <w:tcPr>
            <w:tcW w:w="195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7"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443.37</w:t>
            </w: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316.42</w:t>
            </w: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316.42</w:t>
            </w: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443.37</w:t>
            </w: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441.80</w:t>
            </w: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441.80</w:t>
            </w: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89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444.79</w:t>
            </w:r>
          </w:p>
        </w:tc>
        <w:tc>
          <w:tcPr>
            <w:tcW w:w="30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444.79</w:t>
            </w:r>
          </w:p>
        </w:tc>
        <w:tc>
          <w:tcPr>
            <w:tcW w:w="11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444.79</w:t>
            </w: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r>
        <w:rPr>
          <w:rFonts w:hint="eastAsia"/>
        </w:rPr>
        <w:t>注：本表反映部门本年度一般公共预算财政拨款和政府性基金预算财政拨款的总收支和年末结转结余情况。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hint="eastAsia" w:ascii="宋体" w:hAnsi="宋体" w:cs="宋体"/>
          <w:kern w:val="0"/>
          <w:sz w:val="22"/>
          <w:szCs w:val="22"/>
        </w:rPr>
      </w:pPr>
      <w:r>
        <w:rPr>
          <w:rFonts w:hint="eastAsia" w:ascii="宋体" w:hAnsi="宋体" w:cs="宋体"/>
          <w:kern w:val="0"/>
          <w:sz w:val="22"/>
          <w:szCs w:val="22"/>
        </w:rPr>
        <w:t>单位：万元</w:t>
      </w:r>
    </w:p>
    <w:tbl>
      <w:tblPr>
        <w:tblStyle w:val="5"/>
        <w:tblW w:w="9422" w:type="dxa"/>
        <w:tblInd w:w="0" w:type="dxa"/>
        <w:tblLayout w:type="fixed"/>
        <w:tblCellMar>
          <w:top w:w="0" w:type="dxa"/>
          <w:left w:w="0" w:type="dxa"/>
          <w:bottom w:w="0" w:type="dxa"/>
          <w:right w:w="0" w:type="dxa"/>
        </w:tblCellMar>
      </w:tblPr>
      <w:tblGrid>
        <w:gridCol w:w="990"/>
        <w:gridCol w:w="4199"/>
        <w:gridCol w:w="1533"/>
        <w:gridCol w:w="1350"/>
        <w:gridCol w:w="1350"/>
      </w:tblGrid>
      <w:tr>
        <w:tblPrEx>
          <w:tblCellMar>
            <w:top w:w="0" w:type="dxa"/>
            <w:left w:w="0" w:type="dxa"/>
            <w:bottom w:w="0" w:type="dxa"/>
            <w:right w:w="0" w:type="dxa"/>
          </w:tblCellMar>
        </w:tblPrEx>
        <w:trPr>
          <w:trHeight w:val="308" w:hRule="atLeast"/>
        </w:trPr>
        <w:tc>
          <w:tcPr>
            <w:tcW w:w="51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支出功能项目</w:t>
            </w:r>
          </w:p>
        </w:tc>
        <w:tc>
          <w:tcPr>
            <w:tcW w:w="423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199"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3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3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99"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99"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1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51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441.80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378.03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63.77</w:t>
            </w:r>
          </w:p>
        </w:tc>
      </w:tr>
      <w:tr>
        <w:tblPrEx>
          <w:tblCellMar>
            <w:top w:w="0" w:type="dxa"/>
            <w:left w:w="0" w:type="dxa"/>
            <w:bottom w:w="0" w:type="dxa"/>
            <w:right w:w="0" w:type="dxa"/>
          </w:tblCellMar>
        </w:tblPrEx>
        <w:trPr>
          <w:trHeight w:val="344"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316.42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252.65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63.77</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2010101</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政协事务</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315.62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251.85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63.77</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2010201</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249.64</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249.64</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2010204</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政协会议</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2010205</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委员视察</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2010206</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参政议政</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47.90</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2010250</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2010299</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其他政协事务支出</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w:t>
            </w: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1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r>
        <w:rPr>
          <w:rFonts w:hint="eastAsia"/>
        </w:rPr>
        <w:t>注：本表反映部门本年度一般公共预算财政拨款实际支出情况。</w:t>
      </w:r>
    </w:p>
    <w:p/>
    <w:p/>
    <w:p/>
    <w:p/>
    <w:p/>
    <w:p/>
    <w:p/>
    <w:p>
      <w:pPr>
        <w:sectPr>
          <w:headerReference r:id="rId12" w:type="default"/>
          <w:footerReference r:id="rId13" w:type="default"/>
          <w:footerReference r:id="rId14" w:type="even"/>
          <w:pgSz w:w="11906" w:h="16838"/>
          <w:pgMar w:top="1043" w:right="1304" w:bottom="1213" w:left="1474"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right"/>
        <w:rPr>
          <w:rFonts w:hint="eastAsia" w:ascii="方正小标宋简体" w:hAnsi="宋体" w:eastAsia="方正小标宋简体" w:cs="宋体"/>
          <w:kern w:val="0"/>
          <w:sz w:val="36"/>
          <w:szCs w:val="36"/>
        </w:rPr>
      </w:pPr>
      <w:r>
        <w:rPr>
          <w:rFonts w:hint="eastAsia"/>
          <w:sz w:val="22"/>
          <w:szCs w:val="22"/>
        </w:rPr>
        <w:t>单位：万元</w:t>
      </w:r>
    </w:p>
    <w:tbl>
      <w:tblPr>
        <w:tblStyle w:val="5"/>
        <w:tblW w:w="9272" w:type="dxa"/>
        <w:tblInd w:w="0" w:type="dxa"/>
        <w:tblLayout w:type="fixed"/>
        <w:tblCellMar>
          <w:top w:w="0" w:type="dxa"/>
          <w:left w:w="0" w:type="dxa"/>
          <w:bottom w:w="0" w:type="dxa"/>
          <w:right w:w="0" w:type="dxa"/>
        </w:tblCellMar>
      </w:tblPr>
      <w:tblGrid>
        <w:gridCol w:w="1039"/>
        <w:gridCol w:w="3033"/>
        <w:gridCol w:w="967"/>
        <w:gridCol w:w="983"/>
        <w:gridCol w:w="2334"/>
        <w:gridCol w:w="916"/>
      </w:tblGrid>
      <w:tr>
        <w:tblPrEx>
          <w:tblCellMar>
            <w:top w:w="0" w:type="dxa"/>
            <w:left w:w="0" w:type="dxa"/>
            <w:bottom w:w="0" w:type="dxa"/>
            <w:right w:w="0" w:type="dxa"/>
          </w:tblCellMar>
        </w:tblPrEx>
        <w:trPr>
          <w:trHeight w:val="308" w:hRule="atLeast"/>
        </w:trPr>
        <w:tc>
          <w:tcPr>
            <w:tcW w:w="503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4233"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08" w:hRule="atLeast"/>
        </w:trPr>
        <w:tc>
          <w:tcPr>
            <w:tcW w:w="103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03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6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8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33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1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103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3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3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321.70</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32.97</w:t>
            </w: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80.66</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0.64</w:t>
            </w: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76.54</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40.72</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0.53</w:t>
            </w: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14.38</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12.91</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9.88</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0.57</w:t>
            </w: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w:t>
            </w: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17.34</w:t>
            </w: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8.22</w:t>
            </w: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3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33"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33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07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345.06</w:t>
            </w:r>
          </w:p>
        </w:tc>
        <w:tc>
          <w:tcPr>
            <w:tcW w:w="33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32.97</w:t>
            </w:r>
          </w:p>
        </w:tc>
      </w:tr>
    </w:tbl>
    <w:p>
      <w:pPr>
        <w:rPr>
          <w:rFonts w:hint="eastAsia" w:eastAsia="宋体"/>
          <w:lang w:eastAsia="zh-CN"/>
        </w:rPr>
        <w:sectPr>
          <w:pgSz w:w="11906" w:h="16838"/>
          <w:pgMar w:top="1191" w:right="1304" w:bottom="1304" w:left="1474" w:header="851" w:footer="992" w:gutter="0"/>
          <w:pgNumType w:fmt="numberInDash"/>
          <w:cols w:space="720" w:num="1"/>
          <w:docGrid w:type="lines" w:linePitch="312" w:charSpace="0"/>
        </w:sectPr>
      </w:pPr>
      <w:r>
        <w:rPr>
          <w:rFonts w:hint="eastAsia"/>
        </w:rPr>
        <w:t>注：本表反映部门本年度一般公共预算财政拨款基本支出明细情况</w:t>
      </w:r>
      <w:r>
        <w:rPr>
          <w:rFonts w:hint="eastAsia"/>
          <w:lang w:eastAsia="zh-CN"/>
        </w:rPr>
        <w:t>。</w:t>
      </w: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“三公”经费支出决算表</w:t>
      </w:r>
    </w:p>
    <w:p/>
    <w:p>
      <w:pPr>
        <w:jc w:val="right"/>
      </w:pPr>
      <w:r>
        <w:rPr>
          <w:rFonts w:hint="eastAsia"/>
        </w:rPr>
        <w:t>单位：万元</w:t>
      </w:r>
    </w:p>
    <w:tbl>
      <w:tblPr>
        <w:tblStyle w:val="5"/>
        <w:tblW w:w="9572" w:type="dxa"/>
        <w:tblInd w:w="0" w:type="dxa"/>
        <w:tblLayout w:type="fixed"/>
        <w:tblCellMar>
          <w:top w:w="0" w:type="dxa"/>
          <w:left w:w="0" w:type="dxa"/>
          <w:bottom w:w="0" w:type="dxa"/>
          <w:right w:w="0" w:type="dxa"/>
        </w:tblCellMar>
      </w:tblPr>
      <w:tblGrid>
        <w:gridCol w:w="589"/>
        <w:gridCol w:w="767"/>
        <w:gridCol w:w="733"/>
        <w:gridCol w:w="967"/>
        <w:gridCol w:w="950"/>
        <w:gridCol w:w="633"/>
        <w:gridCol w:w="600"/>
        <w:gridCol w:w="817"/>
        <w:gridCol w:w="700"/>
        <w:gridCol w:w="1033"/>
        <w:gridCol w:w="933"/>
        <w:gridCol w:w="850"/>
      </w:tblGrid>
      <w:tr>
        <w:tblPrEx>
          <w:tblCellMar>
            <w:top w:w="0" w:type="dxa"/>
            <w:left w:w="0" w:type="dxa"/>
            <w:bottom w:w="0" w:type="dxa"/>
            <w:right w:w="0" w:type="dxa"/>
          </w:tblCellMar>
        </w:tblPrEx>
        <w:trPr>
          <w:trHeight w:val="308" w:hRule="atLeast"/>
        </w:trPr>
        <w:tc>
          <w:tcPr>
            <w:tcW w:w="463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4933"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1240" w:hRule="atLeast"/>
        </w:trPr>
        <w:tc>
          <w:tcPr>
            <w:tcW w:w="58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6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650"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63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6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1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66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8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1240" w:hRule="atLeast"/>
        </w:trPr>
        <w:tc>
          <w:tcPr>
            <w:tcW w:w="58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6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9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63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3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93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8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8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1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308" w:hRule="atLeast"/>
        </w:trPr>
        <w:tc>
          <w:tcPr>
            <w:tcW w:w="5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3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rPr>
          <w:rFonts w:hint="eastAsia"/>
        </w:rPr>
      </w:pPr>
      <w:r>
        <w:rPr>
          <w:rFonts w:hint="eastAsia"/>
        </w:rPr>
        <w:t>注：</w:t>
      </w:r>
      <w:r>
        <w:rPr>
          <w:rFonts w:hint="eastAsia"/>
          <w:lang w:val="en-US" w:eastAsia="zh-CN"/>
        </w:rPr>
        <w:t>1.</w:t>
      </w:r>
      <w:r>
        <w:rPr>
          <w:rFonts w:hint="eastAsia"/>
        </w:rPr>
        <w:t>本表反映部门本年度“三公”经费支出预决算情况。其中，</w:t>
      </w:r>
      <w:r>
        <w:t>2019</w:t>
      </w:r>
      <w:r>
        <w:rPr>
          <w:rFonts w:hint="eastAsia"/>
        </w:rPr>
        <w:t>年度预算数为“三公”经费年初预算数，决算数是包括当年一般公共预算财政拨款和以前年度结转资金安排的实际支出。</w:t>
      </w:r>
    </w:p>
    <w:p>
      <w:pPr>
        <w:rPr>
          <w:rFonts w:hint="default" w:eastAsia="宋体"/>
          <w:lang w:val="en-US" w:eastAsia="zh-CN"/>
        </w:rPr>
        <w:sectPr>
          <w:pgSz w:w="11906" w:h="16838"/>
          <w:pgMar w:top="1440" w:right="1020" w:bottom="1440" w:left="1474" w:header="851" w:footer="992" w:gutter="0"/>
          <w:pgNumType w:fmt="numberInDash"/>
          <w:cols w:space="720" w:num="1"/>
          <w:docGrid w:type="lines" w:linePitch="312" w:charSpace="0"/>
        </w:sectPr>
      </w:pPr>
      <w:r>
        <w:rPr>
          <w:rFonts w:hint="eastAsia"/>
          <w:lang w:val="en-US" w:eastAsia="zh-CN"/>
        </w:rPr>
        <w:t xml:space="preserve">    2.我单位没有“三公”经费收入，也没有“三公”经费安排的支出，故本表无数据。</w:t>
      </w: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p>
      <w:pPr>
        <w:jc w:val="right"/>
        <w:rPr>
          <w:rFonts w:hint="eastAsia" w:ascii="方正小标宋简体" w:hAnsi="宋体" w:eastAsia="方正小标宋简体" w:cs="宋体"/>
          <w:kern w:val="0"/>
          <w:sz w:val="36"/>
          <w:szCs w:val="36"/>
        </w:rPr>
      </w:pPr>
      <w:r>
        <w:rPr>
          <w:rFonts w:hint="eastAsia" w:ascii="仿宋_GB2312" w:hAnsi="宋体" w:cs="宋体"/>
          <w:kern w:val="0"/>
          <w:sz w:val="22"/>
          <w:szCs w:val="22"/>
        </w:rPr>
        <w:t>单位：万元</w:t>
      </w:r>
    </w:p>
    <w:tbl>
      <w:tblPr>
        <w:tblStyle w:val="5"/>
        <w:tblW w:w="9306" w:type="dxa"/>
        <w:tblInd w:w="0" w:type="dxa"/>
        <w:tblLayout w:type="fixed"/>
        <w:tblCellMar>
          <w:top w:w="0" w:type="dxa"/>
          <w:left w:w="0" w:type="dxa"/>
          <w:bottom w:w="0" w:type="dxa"/>
          <w:right w:w="0" w:type="dxa"/>
        </w:tblCellMar>
      </w:tblPr>
      <w:tblGrid>
        <w:gridCol w:w="990"/>
        <w:gridCol w:w="1050"/>
        <w:gridCol w:w="1050"/>
        <w:gridCol w:w="1050"/>
        <w:gridCol w:w="1050"/>
        <w:gridCol w:w="1232"/>
        <w:gridCol w:w="1300"/>
        <w:gridCol w:w="1584"/>
      </w:tblGrid>
      <w:tr>
        <w:tblPrEx>
          <w:tblCellMar>
            <w:top w:w="0" w:type="dxa"/>
            <w:left w:w="0" w:type="dxa"/>
            <w:bottom w:w="0" w:type="dxa"/>
            <w:right w:w="0" w:type="dxa"/>
          </w:tblCellMar>
        </w:tblPrEx>
        <w:trPr>
          <w:trHeight w:val="308" w:hRule="atLeast"/>
        </w:trPr>
        <w:tc>
          <w:tcPr>
            <w:tcW w:w="2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0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582"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584"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05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3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3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58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04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204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3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3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lang w:val="en-US" w:eastAsia="zh-CN"/>
        </w:rPr>
      </w:pPr>
      <w:r>
        <w:rPr>
          <w:rFonts w:hint="eastAsia"/>
        </w:rPr>
        <w:t>注：</w:t>
      </w:r>
      <w:r>
        <w:rPr>
          <w:rFonts w:hint="eastAsia"/>
          <w:lang w:val="en-US" w:eastAsia="zh-CN"/>
        </w:rPr>
        <w:t>1.</w:t>
      </w:r>
      <w:r>
        <w:rPr>
          <w:rFonts w:hint="eastAsia"/>
        </w:rPr>
        <w:t>本表反映部门本年度政府性基金预算财政拨款收入支出及结转和结余情况。</w:t>
      </w:r>
      <w:r>
        <w:rPr>
          <w:rFonts w:hint="eastAsia"/>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ind w:firstLine="420" w:firstLineChars="200"/>
        <w:textAlignment w:val="auto"/>
        <w:rPr>
          <w:rFonts w:hint="eastAsia"/>
          <w:lang w:eastAsia="zh-CN"/>
        </w:rPr>
      </w:pPr>
      <w:r>
        <w:rPr>
          <w:rFonts w:hint="eastAsia"/>
        </w:rPr>
        <w:t>我单位没有政府性基金预算财政拨款收入，也没有政府性基金预算财政拨款安排的支出，故本表无数据</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lang w:eastAsia="zh-CN"/>
        </w:rPr>
      </w:pPr>
    </w:p>
    <w:p/>
    <w:sectPr>
      <w:pgSz w:w="11906" w:h="16838"/>
      <w:pgMar w:top="1304" w:right="1304" w:bottom="130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sz w:val="30"/>
        <w:szCs w:val="30"/>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- 12 -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- 12 -</w:t>
                    </w:r>
                    <w:r>
                      <w:rPr>
                        <w:sz w:val="30"/>
                        <w:szCs w:val="3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480"/>
                            <w:jc w:val="cente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ascii="宋体" w:hAnsi="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ind w:firstLine="480"/>
                      <w:jc w:val="cente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ascii="宋体" w:hAnsi="宋体"/>
                        <w:sz w:val="24"/>
                        <w:szCs w:val="24"/>
                      </w:rPr>
                      <w:t xml:space="preserve"> -</w:t>
                    </w:r>
                  </w:p>
                </w:txbxContent>
              </v:textbox>
            </v:shape>
          </w:pict>
        </mc:Fallback>
      </mc:AlternateContent>
    </w:r>
  </w:p>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- 12 -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- 12 -</w:t>
                    </w:r>
                    <w:r>
                      <w:rPr>
                        <w:sz w:val="30"/>
                        <w:szCs w:val="3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56FE36"/>
    <w:multiLevelType w:val="singleLevel"/>
    <w:tmpl w:val="9056FE36"/>
    <w:lvl w:ilvl="0" w:tentative="0">
      <w:start w:val="1"/>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6004F370"/>
    <w:multiLevelType w:val="singleLevel"/>
    <w:tmpl w:val="6004F370"/>
    <w:lvl w:ilvl="0" w:tentative="0">
      <w:start w:val="2"/>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B0BF6"/>
    <w:rsid w:val="028E47C2"/>
    <w:rsid w:val="03E516CD"/>
    <w:rsid w:val="07EC38D9"/>
    <w:rsid w:val="0D854808"/>
    <w:rsid w:val="1074513F"/>
    <w:rsid w:val="17664242"/>
    <w:rsid w:val="1C0156A3"/>
    <w:rsid w:val="1D926EC5"/>
    <w:rsid w:val="1F1A7BF6"/>
    <w:rsid w:val="20A351D3"/>
    <w:rsid w:val="31694E62"/>
    <w:rsid w:val="349F5345"/>
    <w:rsid w:val="3A081CAD"/>
    <w:rsid w:val="3F975E04"/>
    <w:rsid w:val="42E8686C"/>
    <w:rsid w:val="46481E98"/>
    <w:rsid w:val="49AE06BC"/>
    <w:rsid w:val="4A274515"/>
    <w:rsid w:val="54D754BC"/>
    <w:rsid w:val="688C3C22"/>
    <w:rsid w:val="69FB0BF6"/>
    <w:rsid w:val="7A67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2020-09-28T03:24:00Z</dcterms:created>
  <dc:creator>Administrator</dc:creator>
  <cp:lastModifiedBy>Administrator</cp:lastModifiedBy>
  <cp:lastPrinted>2020-09-29T02:27:00Z</cp:lastPrinted>
  <dcterms:modified xsi:type="dcterms:W3CDTF">2020-09-29T03:16:02Z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