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鹿寨县寨沙镇便民服务中心</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724B35F3">
      <w:pPr>
        <w:ind w:firstLine="645"/>
        <w:rPr>
          <w:rFonts w:hint="eastAsia" w:ascii="仿宋_GB2312" w:hAnsi="仿宋" w:eastAsia="仿宋_GB2312"/>
          <w:sz w:val="32"/>
          <w:szCs w:val="32"/>
          <w:lang w:eastAsia="zh-CN"/>
        </w:rPr>
      </w:pPr>
      <w:r>
        <w:rPr>
          <w:rFonts w:hint="eastAsia" w:ascii="仿宋_GB2312" w:eastAsia="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二、单位机构设置情况（按编制本说明）</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61C2DBF2">
      <w:pPr>
        <w:jc w:val="center"/>
      </w:pPr>
    </w:p>
    <w:p w14:paraId="23B33937">
      <w:pPr>
        <w:jc w:val="center"/>
      </w:pPr>
    </w:p>
    <w:p w14:paraId="0CA9E787">
      <w:pPr>
        <w:jc w:val="center"/>
      </w:pPr>
    </w:p>
    <w:p w14:paraId="739F6339"/>
    <w:p w14:paraId="23A339B2">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1EB48441">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noWrap w:val="0"/>
            <w:vAlign w:val="center"/>
          </w:tcPr>
          <w:p w14:paraId="606C6F9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311.9</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noWrap w:val="0"/>
            <w:vAlign w:val="center"/>
          </w:tcPr>
          <w:p w14:paraId="07BD2F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shd w:val="clear" w:color="auto" w:fill="FFFFFF"/>
            <w:noWrap w:val="0"/>
            <w:vAlign w:val="center"/>
          </w:tcPr>
          <w:p w14:paraId="6FFDE2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w:t>
            </w: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78F819B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noWrap w:val="0"/>
            <w:vAlign w:val="center"/>
          </w:tcPr>
          <w:p w14:paraId="13086D1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311.9</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noWrap w:val="0"/>
            <w:vAlign w:val="center"/>
          </w:tcPr>
          <w:p w14:paraId="603DF6D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311.9</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noWrap w:val="0"/>
            <w:vAlign w:val="center"/>
          </w:tcPr>
          <w:p w14:paraId="2E6A7F5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311.9</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noWrap w:val="0"/>
            <w:vAlign w:val="center"/>
          </w:tcPr>
          <w:p w14:paraId="70B954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311.9</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311.90</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311.90</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2080150</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214.67</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214.67</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9C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C64F2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bottom w:val="single" w:color="auto" w:sz="4" w:space="0"/>
            </w:tcBorders>
            <w:shd w:val="clear" w:color="auto" w:fill="FFFFFF"/>
            <w:noWrap w:val="0"/>
            <w:vAlign w:val="center"/>
          </w:tcPr>
          <w:p w14:paraId="4EE2D2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bottom w:val="single" w:color="auto" w:sz="4" w:space="0"/>
            </w:tcBorders>
            <w:shd w:val="clear" w:color="auto" w:fill="FFFFFF"/>
            <w:noWrap w:val="0"/>
            <w:vAlign w:val="center"/>
          </w:tcPr>
          <w:p w14:paraId="3EC8E0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1491" w:type="dxa"/>
            <w:tcBorders>
              <w:top w:val="single" w:color="auto" w:sz="4" w:space="0"/>
              <w:bottom w:val="single" w:color="auto" w:sz="4" w:space="0"/>
            </w:tcBorders>
            <w:shd w:val="clear" w:color="auto" w:fill="FFFFFF"/>
            <w:noWrap w:val="0"/>
            <w:vAlign w:val="center"/>
          </w:tcPr>
          <w:p w14:paraId="5D6457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1576" w:type="dxa"/>
            <w:tcBorders>
              <w:top w:val="single" w:color="auto" w:sz="4" w:space="0"/>
              <w:bottom w:val="single" w:color="auto" w:sz="4" w:space="0"/>
            </w:tcBorders>
            <w:shd w:val="clear" w:color="auto" w:fill="FFFFFF"/>
            <w:noWrap w:val="0"/>
            <w:vAlign w:val="center"/>
          </w:tcPr>
          <w:p w14:paraId="2B7223E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C2050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E3584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4419D5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E4592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F0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186482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28A95B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7C5805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491" w:type="dxa"/>
            <w:tcBorders>
              <w:top w:val="single" w:color="auto" w:sz="4" w:space="0"/>
              <w:bottom w:val="single" w:color="auto" w:sz="4" w:space="0"/>
            </w:tcBorders>
            <w:shd w:val="clear" w:color="auto" w:fill="FFFFFF"/>
            <w:noWrap w:val="0"/>
            <w:vAlign w:val="center"/>
          </w:tcPr>
          <w:p w14:paraId="17A396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576" w:type="dxa"/>
            <w:tcBorders>
              <w:top w:val="single" w:color="auto" w:sz="4" w:space="0"/>
              <w:bottom w:val="single" w:color="auto" w:sz="4" w:space="0"/>
            </w:tcBorders>
            <w:shd w:val="clear" w:color="auto" w:fill="FFFFFF"/>
            <w:noWrap w:val="0"/>
            <w:vAlign w:val="center"/>
          </w:tcPr>
          <w:p w14:paraId="6193CC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1E564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7848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BD36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0F7566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3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0B5783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779" w:type="dxa"/>
            <w:tcBorders>
              <w:top w:val="single" w:color="auto" w:sz="4" w:space="0"/>
              <w:bottom w:val="single" w:color="auto" w:sz="4" w:space="0"/>
            </w:tcBorders>
            <w:shd w:val="clear" w:color="auto" w:fill="FFFFFF"/>
            <w:noWrap w:val="0"/>
            <w:vAlign w:val="center"/>
          </w:tcPr>
          <w:p w14:paraId="005371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552" w:type="dxa"/>
            <w:tcBorders>
              <w:top w:val="single" w:color="auto" w:sz="4" w:space="0"/>
              <w:bottom w:val="single" w:color="auto" w:sz="4" w:space="0"/>
            </w:tcBorders>
            <w:shd w:val="clear" w:color="auto" w:fill="FFFFFF"/>
            <w:noWrap w:val="0"/>
            <w:vAlign w:val="center"/>
          </w:tcPr>
          <w:p w14:paraId="7043F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491" w:type="dxa"/>
            <w:tcBorders>
              <w:top w:val="single" w:color="auto" w:sz="4" w:space="0"/>
              <w:bottom w:val="single" w:color="auto" w:sz="4" w:space="0"/>
            </w:tcBorders>
            <w:shd w:val="clear" w:color="auto" w:fill="FFFFFF"/>
            <w:noWrap w:val="0"/>
            <w:vAlign w:val="center"/>
          </w:tcPr>
          <w:p w14:paraId="3C846B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576" w:type="dxa"/>
            <w:tcBorders>
              <w:top w:val="single" w:color="auto" w:sz="4" w:space="0"/>
              <w:bottom w:val="single" w:color="auto" w:sz="4" w:space="0"/>
            </w:tcBorders>
            <w:shd w:val="clear" w:color="auto" w:fill="FFFFFF"/>
            <w:noWrap w:val="0"/>
            <w:vAlign w:val="center"/>
          </w:tcPr>
          <w:p w14:paraId="0C80A0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4F08D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CB7B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BE759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B5D48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0991802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rPr>
                <w:rFonts w:hint="eastAsia" w:ascii="宋体" w:hAnsi="宋体" w:cs="宋体"/>
                <w:szCs w:val="21"/>
              </w:rPr>
            </w:pPr>
            <w:r>
              <w:br w:type="page"/>
            </w: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311.90</w:t>
            </w:r>
          </w:p>
        </w:tc>
        <w:tc>
          <w:tcPr>
            <w:tcW w:w="1772" w:type="dxa"/>
            <w:shd w:val="clear" w:color="auto" w:fill="FFFFFF"/>
            <w:noWrap w:val="0"/>
            <w:vAlign w:val="center"/>
          </w:tcPr>
          <w:p w14:paraId="78E181F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300.98</w:t>
            </w:r>
          </w:p>
        </w:tc>
        <w:tc>
          <w:tcPr>
            <w:tcW w:w="1772" w:type="dxa"/>
            <w:shd w:val="clear" w:color="auto" w:fill="FFFFFF"/>
            <w:noWrap w:val="0"/>
            <w:vAlign w:val="center"/>
          </w:tcPr>
          <w:p w14:paraId="081B270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10.92</w:t>
            </w: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1861" w:type="dxa"/>
            <w:shd w:val="clear" w:color="auto" w:fill="FFFFFF"/>
            <w:noWrap w:val="0"/>
            <w:vAlign w:val="center"/>
          </w:tcPr>
          <w:p w14:paraId="0987EB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772" w:type="dxa"/>
            <w:shd w:val="clear" w:color="auto" w:fill="FFFFFF"/>
            <w:noWrap w:val="0"/>
            <w:vAlign w:val="center"/>
          </w:tcPr>
          <w:p w14:paraId="7D83FA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1772" w:type="dxa"/>
            <w:shd w:val="clear" w:color="auto" w:fill="FFFFFF"/>
            <w:noWrap w:val="0"/>
            <w:vAlign w:val="center"/>
          </w:tcPr>
          <w:p w14:paraId="6220CB51">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319138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861" w:type="dxa"/>
            <w:shd w:val="clear" w:color="auto" w:fill="FFFFFF"/>
            <w:noWrap w:val="0"/>
            <w:vAlign w:val="center"/>
          </w:tcPr>
          <w:p w14:paraId="4E04A8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72" w:type="dxa"/>
            <w:shd w:val="clear" w:color="auto" w:fill="FFFFFF"/>
            <w:noWrap w:val="0"/>
            <w:vAlign w:val="center"/>
          </w:tcPr>
          <w:p w14:paraId="762C52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1772" w:type="dxa"/>
            <w:shd w:val="clear" w:color="auto" w:fill="FFFFFF"/>
            <w:noWrap w:val="0"/>
            <w:vAlign w:val="center"/>
          </w:tcPr>
          <w:p w14:paraId="32F328C8">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7553F6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2080150</w:t>
            </w:r>
          </w:p>
        </w:tc>
        <w:tc>
          <w:tcPr>
            <w:tcW w:w="1861" w:type="dxa"/>
            <w:shd w:val="clear" w:color="auto" w:fill="FFFFFF"/>
            <w:noWrap w:val="0"/>
            <w:vAlign w:val="center"/>
          </w:tcPr>
          <w:p w14:paraId="7C4DEF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1772" w:type="dxa"/>
            <w:shd w:val="clear" w:color="auto" w:fill="FFFFFF"/>
            <w:noWrap w:val="0"/>
            <w:vAlign w:val="center"/>
          </w:tcPr>
          <w:p w14:paraId="36F40B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214.67</w:t>
            </w:r>
          </w:p>
        </w:tc>
        <w:tc>
          <w:tcPr>
            <w:tcW w:w="1772" w:type="dxa"/>
            <w:shd w:val="clear" w:color="auto" w:fill="FFFFFF"/>
            <w:noWrap w:val="0"/>
            <w:vAlign w:val="center"/>
          </w:tcPr>
          <w:p w14:paraId="39128B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210.88</w:t>
            </w:r>
          </w:p>
        </w:tc>
        <w:tc>
          <w:tcPr>
            <w:tcW w:w="1772" w:type="dxa"/>
            <w:shd w:val="clear" w:color="auto" w:fill="FFFFFF"/>
            <w:noWrap w:val="0"/>
            <w:vAlign w:val="center"/>
          </w:tcPr>
          <w:p w14:paraId="45CB85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861" w:type="dxa"/>
            <w:shd w:val="clear" w:color="auto" w:fill="FFFFFF"/>
            <w:noWrap w:val="0"/>
            <w:vAlign w:val="center"/>
          </w:tcPr>
          <w:p w14:paraId="5808FB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772" w:type="dxa"/>
            <w:shd w:val="clear" w:color="auto" w:fill="FFFFFF"/>
            <w:noWrap w:val="0"/>
            <w:vAlign w:val="center"/>
          </w:tcPr>
          <w:p w14:paraId="7D018D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772" w:type="dxa"/>
            <w:shd w:val="clear" w:color="auto" w:fill="FFFFFF"/>
            <w:noWrap w:val="0"/>
            <w:vAlign w:val="center"/>
          </w:tcPr>
          <w:p w14:paraId="491161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772" w:type="dxa"/>
            <w:shd w:val="clear" w:color="auto" w:fill="FFFFFF"/>
            <w:noWrap w:val="0"/>
            <w:vAlign w:val="center"/>
          </w:tcPr>
          <w:p w14:paraId="14A2D810">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17CBEE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E2307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1772" w:type="dxa"/>
            <w:shd w:val="clear" w:color="auto" w:fill="FFFFFF"/>
            <w:noWrap w:val="0"/>
            <w:vAlign w:val="center"/>
          </w:tcPr>
          <w:p w14:paraId="480ACA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1772" w:type="dxa"/>
            <w:shd w:val="clear" w:color="auto" w:fill="FFFFFF"/>
            <w:noWrap w:val="0"/>
            <w:vAlign w:val="center"/>
          </w:tcPr>
          <w:p w14:paraId="7C62B32D">
            <w:pPr>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2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A77AC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06CF76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32FEAD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1772" w:type="dxa"/>
            <w:shd w:val="clear" w:color="auto" w:fill="FFFFFF"/>
            <w:noWrap w:val="0"/>
            <w:vAlign w:val="center"/>
          </w:tcPr>
          <w:p w14:paraId="0B27E3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1772" w:type="dxa"/>
            <w:shd w:val="clear" w:color="auto" w:fill="FFFFFF"/>
            <w:noWrap w:val="0"/>
            <w:vAlign w:val="center"/>
          </w:tcPr>
          <w:p w14:paraId="6A275C97">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4DD95E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C8A91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23C93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58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1E988DF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18E259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7A51F9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772" w:type="dxa"/>
            <w:shd w:val="clear" w:color="auto" w:fill="FFFFFF"/>
            <w:noWrap w:val="0"/>
            <w:vAlign w:val="center"/>
          </w:tcPr>
          <w:p w14:paraId="6BB7CC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772" w:type="dxa"/>
            <w:shd w:val="clear" w:color="auto" w:fill="FFFFFF"/>
            <w:noWrap w:val="0"/>
            <w:vAlign w:val="center"/>
          </w:tcPr>
          <w:p w14:paraId="3D23B08C">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5224FF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1B31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46BA5A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C36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3FA76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524DF5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14D837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772" w:type="dxa"/>
            <w:shd w:val="clear" w:color="auto" w:fill="FFFFFF"/>
            <w:noWrap w:val="0"/>
            <w:vAlign w:val="center"/>
          </w:tcPr>
          <w:p w14:paraId="0F13CF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772" w:type="dxa"/>
            <w:shd w:val="clear" w:color="auto" w:fill="FFFFFF"/>
            <w:noWrap w:val="0"/>
            <w:vAlign w:val="center"/>
          </w:tcPr>
          <w:p w14:paraId="5EA2DC80">
            <w:pPr>
              <w:jc w:val="right"/>
              <w:rPr>
                <w:rFonts w:hint="eastAsia" w:ascii="宋体" w:hAnsi="宋体" w:eastAsia="宋体" w:cs="宋体"/>
                <w:i w:val="0"/>
                <w:iCs w:val="0"/>
                <w:color w:val="000000"/>
                <w:sz w:val="22"/>
                <w:szCs w:val="22"/>
                <w:u w:val="none"/>
                <w:lang w:val="en-US" w:eastAsia="zh-CN"/>
              </w:rPr>
            </w:pPr>
          </w:p>
        </w:tc>
        <w:tc>
          <w:tcPr>
            <w:tcW w:w="1772" w:type="dxa"/>
            <w:shd w:val="clear" w:color="auto" w:fill="FFFFFF"/>
            <w:noWrap w:val="0"/>
            <w:vAlign w:val="center"/>
          </w:tcPr>
          <w:p w14:paraId="10510E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9AF3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283A6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noWrap w:val="0"/>
            <w:vAlign w:val="center"/>
          </w:tcPr>
          <w:p w14:paraId="00F0D3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311.9</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noWrap w:val="0"/>
            <w:vAlign w:val="center"/>
          </w:tcPr>
          <w:p w14:paraId="65B8CB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323695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shd w:val="clear" w:color="auto" w:fill="FFFFFF"/>
            <w:noWrap w:val="0"/>
            <w:vAlign w:val="center"/>
          </w:tcPr>
          <w:p w14:paraId="3CB50C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w:t>
            </w:r>
          </w:p>
        </w:tc>
        <w:tc>
          <w:tcPr>
            <w:tcW w:w="1417" w:type="dxa"/>
            <w:shd w:val="clear" w:color="auto" w:fill="FFFFFF"/>
            <w:noWrap w:val="0"/>
            <w:vAlign w:val="center"/>
          </w:tcPr>
          <w:p w14:paraId="21859D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w:t>
            </w: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1417" w:type="dxa"/>
            <w:shd w:val="clear" w:color="auto" w:fill="FFFFFF"/>
            <w:noWrap w:val="0"/>
            <w:vAlign w:val="center"/>
          </w:tcPr>
          <w:p w14:paraId="594977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417" w:type="dxa"/>
            <w:shd w:val="clear" w:color="auto" w:fill="FFFFFF"/>
            <w:noWrap w:val="0"/>
            <w:vAlign w:val="center"/>
          </w:tcPr>
          <w:p w14:paraId="2E5F46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2CADAA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417" w:type="dxa"/>
            <w:shd w:val="clear" w:color="auto" w:fill="FFFFFF"/>
            <w:noWrap w:val="0"/>
            <w:vAlign w:val="center"/>
          </w:tcPr>
          <w:p w14:paraId="00C0AA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noWrap w:val="0"/>
            <w:vAlign w:val="center"/>
          </w:tcPr>
          <w:p w14:paraId="53413C8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E1938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noWrap w:val="0"/>
            <w:vAlign w:val="center"/>
          </w:tcPr>
          <w:p w14:paraId="2FFDA2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311.9</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311.90</w:t>
            </w:r>
          </w:p>
        </w:tc>
        <w:tc>
          <w:tcPr>
            <w:tcW w:w="1417" w:type="dxa"/>
            <w:shd w:val="clear" w:color="auto" w:fill="FFFFFF"/>
            <w:noWrap w:val="0"/>
            <w:vAlign w:val="center"/>
          </w:tcPr>
          <w:p w14:paraId="153BDA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311.90</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noWrap w:val="0"/>
            <w:vAlign w:val="center"/>
          </w:tcPr>
          <w:p w14:paraId="5C7E5F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311.9</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311.90</w:t>
            </w:r>
          </w:p>
        </w:tc>
        <w:tc>
          <w:tcPr>
            <w:tcW w:w="1417" w:type="dxa"/>
            <w:shd w:val="clear" w:color="auto" w:fill="FFFFFF"/>
            <w:noWrap w:val="0"/>
            <w:vAlign w:val="center"/>
          </w:tcPr>
          <w:p w14:paraId="55CA4C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311.90</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lang w:eastAsia="zh-CN"/>
              </w:rPr>
              <w:t>鹿寨县寨沙镇便民服务中心</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311.90</w:t>
            </w:r>
          </w:p>
        </w:tc>
        <w:tc>
          <w:tcPr>
            <w:tcW w:w="3337" w:type="dxa"/>
            <w:shd w:val="clear" w:color="auto" w:fill="FFFFFF"/>
            <w:noWrap w:val="0"/>
            <w:vAlign w:val="center"/>
          </w:tcPr>
          <w:p w14:paraId="64B6A5B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300.98</w:t>
            </w:r>
          </w:p>
        </w:tc>
        <w:tc>
          <w:tcPr>
            <w:tcW w:w="2870" w:type="dxa"/>
            <w:shd w:val="clear" w:color="auto" w:fill="FFFFFF"/>
            <w:noWrap w:val="0"/>
            <w:vAlign w:val="center"/>
          </w:tcPr>
          <w:p w14:paraId="2C0FF08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10.92</w:t>
            </w: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295" w:type="dxa"/>
            <w:shd w:val="clear" w:color="auto" w:fill="FFFFFF"/>
            <w:noWrap w:val="0"/>
            <w:vAlign w:val="center"/>
          </w:tcPr>
          <w:p w14:paraId="770652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986" w:type="dxa"/>
            <w:shd w:val="clear" w:color="auto" w:fill="FFFFFF"/>
            <w:noWrap w:val="0"/>
            <w:vAlign w:val="center"/>
          </w:tcPr>
          <w:p w14:paraId="1411A9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3337" w:type="dxa"/>
            <w:shd w:val="clear" w:color="auto" w:fill="FFFFFF"/>
            <w:noWrap w:val="0"/>
            <w:vAlign w:val="center"/>
          </w:tcPr>
          <w:p w14:paraId="480E05C4">
            <w:pPr>
              <w:jc w:val="right"/>
              <w:rPr>
                <w:rFonts w:hint="eastAsia" w:ascii="宋体" w:hAnsi="宋体" w:eastAsia="宋体" w:cs="宋体"/>
                <w:i w:val="0"/>
                <w:iCs w:val="0"/>
                <w:color w:val="000000"/>
                <w:sz w:val="22"/>
                <w:szCs w:val="22"/>
                <w:u w:val="none"/>
                <w:lang w:val="en-US" w:eastAsia="zh-CN"/>
              </w:rPr>
            </w:pPr>
          </w:p>
        </w:tc>
        <w:tc>
          <w:tcPr>
            <w:tcW w:w="2870" w:type="dxa"/>
            <w:shd w:val="clear" w:color="auto" w:fill="FFFFFF"/>
            <w:noWrap w:val="0"/>
            <w:vAlign w:val="center"/>
          </w:tcPr>
          <w:p w14:paraId="480364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295" w:type="dxa"/>
            <w:shd w:val="clear" w:color="auto" w:fill="FFFFFF"/>
            <w:noWrap w:val="0"/>
            <w:vAlign w:val="center"/>
          </w:tcPr>
          <w:p w14:paraId="14052E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986" w:type="dxa"/>
            <w:shd w:val="clear" w:color="auto" w:fill="FFFFFF"/>
            <w:noWrap w:val="0"/>
            <w:vAlign w:val="center"/>
          </w:tcPr>
          <w:p w14:paraId="4CBE72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3337" w:type="dxa"/>
            <w:shd w:val="clear" w:color="auto" w:fill="FFFFFF"/>
            <w:noWrap w:val="0"/>
            <w:vAlign w:val="center"/>
          </w:tcPr>
          <w:p w14:paraId="694CEF32">
            <w:pPr>
              <w:jc w:val="right"/>
              <w:rPr>
                <w:rFonts w:hint="eastAsia" w:ascii="宋体" w:hAnsi="宋体" w:eastAsia="宋体" w:cs="宋体"/>
                <w:i w:val="0"/>
                <w:iCs w:val="0"/>
                <w:color w:val="000000"/>
                <w:sz w:val="22"/>
                <w:szCs w:val="22"/>
                <w:u w:val="none"/>
                <w:lang w:val="en-US" w:eastAsia="zh-CN"/>
              </w:rPr>
            </w:pPr>
          </w:p>
        </w:tc>
        <w:tc>
          <w:tcPr>
            <w:tcW w:w="2870" w:type="dxa"/>
            <w:shd w:val="clear" w:color="auto" w:fill="FFFFFF"/>
            <w:noWrap w:val="0"/>
            <w:vAlign w:val="center"/>
          </w:tcPr>
          <w:p w14:paraId="1C453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2080150</w:t>
            </w:r>
          </w:p>
        </w:tc>
        <w:tc>
          <w:tcPr>
            <w:tcW w:w="3295" w:type="dxa"/>
            <w:shd w:val="clear" w:color="auto" w:fill="FFFFFF"/>
            <w:noWrap w:val="0"/>
            <w:vAlign w:val="center"/>
          </w:tcPr>
          <w:p w14:paraId="74E2FC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事业运行</w:t>
            </w:r>
          </w:p>
        </w:tc>
        <w:tc>
          <w:tcPr>
            <w:tcW w:w="2986" w:type="dxa"/>
            <w:shd w:val="clear" w:color="auto" w:fill="FFFFFF"/>
            <w:noWrap w:val="0"/>
            <w:vAlign w:val="center"/>
          </w:tcPr>
          <w:p w14:paraId="7C5DB8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214.67</w:t>
            </w:r>
          </w:p>
        </w:tc>
        <w:tc>
          <w:tcPr>
            <w:tcW w:w="3337" w:type="dxa"/>
            <w:shd w:val="clear" w:color="auto" w:fill="FFFFFF"/>
            <w:noWrap w:val="0"/>
            <w:vAlign w:val="center"/>
          </w:tcPr>
          <w:p w14:paraId="4BA3D6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210.88</w:t>
            </w:r>
          </w:p>
        </w:tc>
        <w:tc>
          <w:tcPr>
            <w:tcW w:w="2870" w:type="dxa"/>
            <w:shd w:val="clear" w:color="auto" w:fill="FFFFFF"/>
            <w:noWrap w:val="0"/>
            <w:vAlign w:val="center"/>
          </w:tcPr>
          <w:p w14:paraId="4286B4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3295" w:type="dxa"/>
            <w:shd w:val="clear" w:color="auto" w:fill="FFFFFF"/>
            <w:noWrap w:val="0"/>
            <w:vAlign w:val="center"/>
          </w:tcPr>
          <w:p w14:paraId="2B2154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2986" w:type="dxa"/>
            <w:shd w:val="clear" w:color="auto" w:fill="FFFFFF"/>
            <w:noWrap w:val="0"/>
            <w:vAlign w:val="center"/>
          </w:tcPr>
          <w:p w14:paraId="47C0AF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3337" w:type="dxa"/>
            <w:shd w:val="clear" w:color="auto" w:fill="FFFFFF"/>
            <w:noWrap w:val="0"/>
            <w:vAlign w:val="center"/>
          </w:tcPr>
          <w:p w14:paraId="6F8ECE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2870" w:type="dxa"/>
            <w:shd w:val="clear" w:color="auto" w:fill="FFFFFF"/>
            <w:noWrap w:val="0"/>
            <w:vAlign w:val="center"/>
          </w:tcPr>
          <w:p w14:paraId="1C38E8CC">
            <w:pPr>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4E5C29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31A00E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3337" w:type="dxa"/>
            <w:shd w:val="clear" w:color="auto" w:fill="FFFFFF"/>
            <w:noWrap w:val="0"/>
            <w:vAlign w:val="center"/>
          </w:tcPr>
          <w:p w14:paraId="7D94DA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29.31</w:t>
            </w:r>
          </w:p>
        </w:tc>
        <w:tc>
          <w:tcPr>
            <w:tcW w:w="2870" w:type="dxa"/>
            <w:shd w:val="clear" w:color="auto" w:fill="FFFFFF"/>
            <w:noWrap w:val="0"/>
            <w:vAlign w:val="center"/>
          </w:tcPr>
          <w:p w14:paraId="7807A653">
            <w:pPr>
              <w:jc w:val="right"/>
              <w:rPr>
                <w:rFonts w:hint="eastAsia" w:ascii="宋体" w:hAnsi="宋体" w:eastAsia="宋体" w:cs="宋体"/>
                <w:i w:val="0"/>
                <w:iCs w:val="0"/>
                <w:color w:val="000000"/>
                <w:sz w:val="22"/>
                <w:szCs w:val="22"/>
                <w:u w:val="none"/>
              </w:rPr>
            </w:pPr>
          </w:p>
        </w:tc>
      </w:tr>
      <w:tr w14:paraId="4E4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0FC90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781BF1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37766D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3337" w:type="dxa"/>
            <w:shd w:val="clear" w:color="auto" w:fill="FFFFFF"/>
            <w:noWrap w:val="0"/>
            <w:vAlign w:val="center"/>
          </w:tcPr>
          <w:p w14:paraId="055ACB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13.21</w:t>
            </w:r>
          </w:p>
        </w:tc>
        <w:tc>
          <w:tcPr>
            <w:tcW w:w="2870" w:type="dxa"/>
            <w:shd w:val="clear" w:color="auto" w:fill="FFFFFF"/>
            <w:noWrap w:val="0"/>
            <w:vAlign w:val="center"/>
          </w:tcPr>
          <w:p w14:paraId="5D016A39">
            <w:pPr>
              <w:jc w:val="right"/>
              <w:rPr>
                <w:rFonts w:hint="eastAsia" w:ascii="宋体" w:hAnsi="宋体" w:eastAsia="宋体" w:cs="宋体"/>
                <w:i w:val="0"/>
                <w:iCs w:val="0"/>
                <w:color w:val="000000"/>
                <w:sz w:val="22"/>
                <w:szCs w:val="22"/>
                <w:u w:val="none"/>
                <w:lang w:val="en-US" w:eastAsia="zh-CN"/>
              </w:rPr>
            </w:pPr>
          </w:p>
        </w:tc>
      </w:tr>
      <w:tr w14:paraId="724E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566B7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0046D8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0E6C16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3337" w:type="dxa"/>
            <w:shd w:val="clear" w:color="auto" w:fill="FFFFFF"/>
            <w:noWrap w:val="0"/>
            <w:vAlign w:val="center"/>
          </w:tcPr>
          <w:p w14:paraId="0727C8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19.17</w:t>
            </w:r>
          </w:p>
        </w:tc>
        <w:tc>
          <w:tcPr>
            <w:tcW w:w="2870" w:type="dxa"/>
            <w:shd w:val="clear" w:color="auto" w:fill="FFFFFF"/>
            <w:noWrap w:val="0"/>
            <w:vAlign w:val="center"/>
          </w:tcPr>
          <w:p w14:paraId="0FF9B25F">
            <w:pPr>
              <w:jc w:val="right"/>
              <w:rPr>
                <w:rFonts w:hint="eastAsia" w:ascii="宋体" w:hAnsi="宋体" w:eastAsia="宋体" w:cs="宋体"/>
                <w:i w:val="0"/>
                <w:iCs w:val="0"/>
                <w:color w:val="000000"/>
                <w:sz w:val="22"/>
                <w:szCs w:val="22"/>
                <w:u w:val="none"/>
                <w:lang w:val="en-US" w:eastAsia="zh-CN"/>
              </w:rPr>
            </w:pPr>
          </w:p>
        </w:tc>
      </w:tr>
      <w:tr w14:paraId="2BA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4D2CE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58022F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47A2C7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3337" w:type="dxa"/>
            <w:shd w:val="clear" w:color="auto" w:fill="FFFFFF"/>
            <w:noWrap w:val="0"/>
            <w:vAlign w:val="center"/>
          </w:tcPr>
          <w:p w14:paraId="7CBC95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25.78</w:t>
            </w:r>
          </w:p>
        </w:tc>
        <w:tc>
          <w:tcPr>
            <w:tcW w:w="2870" w:type="dxa"/>
            <w:shd w:val="clear" w:color="auto" w:fill="FFFFFF"/>
            <w:noWrap w:val="0"/>
            <w:vAlign w:val="center"/>
          </w:tcPr>
          <w:p w14:paraId="416CC838">
            <w:pPr>
              <w:jc w:val="right"/>
              <w:rPr>
                <w:rFonts w:hint="eastAsia" w:ascii="宋体" w:hAnsi="宋体" w:eastAsia="宋体" w:cs="宋体"/>
                <w:i w:val="0"/>
                <w:iCs w:val="0"/>
                <w:color w:val="000000"/>
                <w:sz w:val="22"/>
                <w:szCs w:val="22"/>
                <w:u w:val="none"/>
                <w:lang w:val="en-US" w:eastAsia="zh-CN"/>
              </w:rPr>
            </w:pPr>
          </w:p>
        </w:tc>
      </w:tr>
    </w:tbl>
    <w:p w14:paraId="7F043237">
      <w:pPr>
        <w:rPr>
          <w:rFonts w:hint="eastAsia"/>
        </w:rPr>
      </w:pPr>
      <w:r>
        <w:rPr>
          <w:rFonts w:hint="eastAsia"/>
        </w:rPr>
        <w:t>注：本表反映单位本年度一般公共预算财政拨款支出情况。</w:t>
      </w:r>
    </w:p>
    <w:p w14:paraId="60358C20">
      <w:pPr>
        <w:rPr>
          <w:rFonts w:hint="eastAsia"/>
        </w:rPr>
      </w:pPr>
    </w:p>
    <w:p w14:paraId="291AABFD">
      <w:pPr>
        <w:rPr>
          <w:rFonts w:hint="eastAsia"/>
        </w:rPr>
      </w:pPr>
    </w:p>
    <w:p w14:paraId="24AB606D">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275.82 </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21.85 </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64.28 </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2.70 </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14.28 </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16.79 </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66.58 </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0.11 </w:t>
            </w: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29.31 </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1.79 </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13.21 </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0.73 </w:t>
            </w: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19.17 </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1.62 </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6.54 </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25.78 </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0.52 </w:t>
            </w: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24.79 </w:t>
            </w: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3.32 </w:t>
            </w: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0.84 </w:t>
            </w: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1.41 </w:t>
            </w: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2.55 </w:t>
            </w: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0.23 </w:t>
            </w: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0.77 </w:t>
            </w: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1.02 </w:t>
            </w: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3.49 </w:t>
            </w: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2.46 </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31BA0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279.14 </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A5D94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21.85 </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w:t>
            </w:r>
            <w:r>
              <w:rPr>
                <w:rFonts w:hint="eastAsia" w:ascii="宋体" w:hAnsi="宋体" w:cs="宋体"/>
                <w:kern w:val="0"/>
                <w:sz w:val="20"/>
                <w:szCs w:val="20"/>
                <w:lang w:eastAsia="zh-CN"/>
              </w:rPr>
              <w:t>鹿寨县寨沙镇便民服务中心</w:t>
            </w:r>
            <w:r>
              <w:rPr>
                <w:rFonts w:hint="eastAsia" w:ascii="宋体" w:hAnsi="宋体" w:cs="宋体"/>
                <w:kern w:val="0"/>
                <w:sz w:val="20"/>
                <w:szCs w:val="20"/>
              </w:rPr>
              <w:t xml:space="preserve">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eastAsia="宋体" w:cs="宋体"/>
                <w:sz w:val="28"/>
                <w:szCs w:val="28"/>
                <w:lang w:eastAsia="zh-CN"/>
              </w:rPr>
            </w:pPr>
            <w:r>
              <w:rPr>
                <w:rFonts w:hint="eastAsia" w:ascii="宋体" w:hAnsi="宋体" w:cs="宋体"/>
                <w:kern w:val="0"/>
                <w:sz w:val="20"/>
                <w:szCs w:val="20"/>
              </w:rPr>
              <w:t xml:space="preserve">单位名称： </w:t>
            </w:r>
            <w:r>
              <w:rPr>
                <w:rFonts w:hint="eastAsia" w:ascii="宋体" w:hAnsi="宋体" w:cs="宋体"/>
                <w:kern w:val="0"/>
                <w:sz w:val="20"/>
                <w:szCs w:val="20"/>
                <w:lang w:eastAsia="zh-CN"/>
              </w:rPr>
              <w:t>鹿寨县寨沙镇便民服务中心</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182" w:type="dxa"/>
            <w:shd w:val="clear" w:color="auto" w:fill="FFFFFF"/>
            <w:noWrap w:val="0"/>
            <w:vAlign w:val="center"/>
          </w:tcPr>
          <w:p w14:paraId="4B8DD4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182" w:type="dxa"/>
            <w:shd w:val="clear" w:color="auto" w:fill="FFFFFF"/>
            <w:noWrap w:val="0"/>
            <w:vAlign w:val="center"/>
          </w:tcPr>
          <w:p w14:paraId="659715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182" w:type="dxa"/>
            <w:shd w:val="clear" w:color="auto" w:fill="FFFFFF"/>
            <w:noWrap w:val="0"/>
            <w:vAlign w:val="center"/>
          </w:tcPr>
          <w:p w14:paraId="26BE0C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0.23</w:t>
            </w:r>
          </w:p>
        </w:tc>
        <w:tc>
          <w:tcPr>
            <w:tcW w:w="1182" w:type="dxa"/>
            <w:shd w:val="clear" w:color="auto" w:fill="FFFFFF"/>
            <w:noWrap w:val="0"/>
            <w:vAlign w:val="center"/>
          </w:tcPr>
          <w:p w14:paraId="268C69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182" w:type="dxa"/>
            <w:shd w:val="clear" w:color="auto" w:fill="FFFFFF"/>
            <w:noWrap w:val="0"/>
            <w:vAlign w:val="center"/>
          </w:tcPr>
          <w:p w14:paraId="2ADF6493">
            <w:pPr>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182" w:type="dxa"/>
            <w:shd w:val="clear" w:color="auto" w:fill="FFFFFF"/>
            <w:noWrap w:val="0"/>
            <w:vAlign w:val="center"/>
          </w:tcPr>
          <w:p w14:paraId="5202C053">
            <w:pPr>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1171" w:type="dxa"/>
            <w:shd w:val="clear" w:color="auto" w:fill="FFFFFF"/>
            <w:noWrap w:val="0"/>
            <w:vAlign w:val="center"/>
          </w:tcPr>
          <w:p w14:paraId="6B2EFA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0.23</w:t>
            </w: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 w14:paraId="1861D5FA">
      <w:p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eastAsia="zh-CN"/>
        </w:rPr>
        <w:t>鹿寨县寨沙镇便民服务中心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311.9</w:t>
      </w:r>
      <w:r>
        <w:rPr>
          <w:rFonts w:hint="eastAsia" w:ascii="仿宋_GB2312" w:eastAsia="仿宋_GB2312" w:cs="仿宋_GB2312"/>
          <w:kern w:val="0"/>
          <w:sz w:val="32"/>
          <w:szCs w:val="32"/>
        </w:rPr>
        <w:t xml:space="preserve">万元，其中本年收入311.9万元,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311.9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下降2.55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机构改革，人员调入调出，支出减少。</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311.9</w:t>
      </w:r>
      <w:r>
        <w:rPr>
          <w:rFonts w:hint="eastAsia" w:ascii="仿宋_GB2312" w:eastAsia="仿宋_GB2312" w:cs="仿宋_GB2312"/>
          <w:kern w:val="0"/>
          <w:sz w:val="32"/>
          <w:szCs w:val="32"/>
        </w:rPr>
        <w:t xml:space="preserve">万元，其中本年支出311.9万元,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4561D2A5">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.文化旅游体育与传媒支出</w:t>
      </w:r>
      <w:r>
        <w:rPr>
          <w:rFonts w:hint="eastAsia" w:ascii="仿宋_GB2312" w:eastAsia="仿宋_GB2312" w:cs="仿宋_GB2312"/>
          <w:kern w:val="0"/>
          <w:sz w:val="32"/>
          <w:szCs w:val="32"/>
          <w:lang w:val="en-US" w:eastAsia="zh-CN"/>
        </w:rPr>
        <w:t>7.13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村民文艺汇演</w:t>
      </w:r>
      <w:r>
        <w:rPr>
          <w:rFonts w:hint="eastAsia" w:ascii="仿宋_GB2312" w:eastAsia="仿宋_GB2312" w:cs="仿宋_GB2312"/>
          <w:bCs/>
          <w:kern w:val="0"/>
          <w:sz w:val="32"/>
          <w:szCs w:val="32"/>
          <w:lang w:val="en-US" w:eastAsia="zh-CN"/>
        </w:rPr>
        <w:t>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增加4.76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增长200.84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本年度支付了2021年寨沙镇戏曲进行乡村文艺演出费用</w:t>
      </w:r>
      <w:r>
        <w:rPr>
          <w:rFonts w:hint="eastAsia" w:ascii="仿宋_GB2312" w:hAnsi="黑体" w:eastAsia="仿宋_GB2312" w:cs="仿宋_GB2312"/>
          <w:kern w:val="0"/>
          <w:sz w:val="32"/>
          <w:szCs w:val="32"/>
          <w:lang w:val="en-US" w:eastAsia="zh-CN"/>
        </w:rPr>
        <w:t>、2023年寨沙镇头菜节活动等费用</w:t>
      </w:r>
      <w:r>
        <w:rPr>
          <w:rFonts w:hint="eastAsia" w:ascii="仿宋_GB2312" w:hAnsi="黑体" w:eastAsia="仿宋_GB2312" w:cs="仿宋_GB2312"/>
          <w:kern w:val="0"/>
          <w:sz w:val="32"/>
          <w:szCs w:val="32"/>
          <w:lang w:val="en-US" w:eastAsia="zh-CN"/>
        </w:rPr>
        <w:t>丰富乡村文化生活，提升村民的文化素养。</w:t>
      </w:r>
    </w:p>
    <w:p w14:paraId="16354CA0">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259.82</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8.95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3.33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机构改革，人员调入调出，支出减少。</w:t>
      </w:r>
    </w:p>
    <w:p w14:paraId="66E4798C">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19.17</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本单位员工医保，医疗补助支出。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减少8.17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下降29.88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机构改革，人员调入调出，支出减少。</w:t>
      </w:r>
    </w:p>
    <w:p w14:paraId="54591CB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25.78</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增加4.2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增长19.46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本年度支付2023年12月住房公积金单位部分。</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311.9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w:t>
      </w:r>
      <w:r>
        <w:rPr>
          <w:rFonts w:hint="eastAsia" w:ascii="仿宋_GB2312" w:hAnsi="黑体" w:eastAsia="仿宋_GB2312" w:cs="仿宋_GB2312"/>
          <w:kern w:val="0"/>
          <w:sz w:val="32"/>
          <w:szCs w:val="32"/>
          <w:lang w:val="en-US" w:eastAsia="zh-CN"/>
        </w:rPr>
        <w:t>减少8.15</w:t>
      </w:r>
      <w:r>
        <w:rPr>
          <w:rFonts w:hint="eastAsia" w:ascii="仿宋_GB2312" w:hAnsi="黑体" w:eastAsia="仿宋_GB2312" w:cs="仿宋_GB2312"/>
          <w:kern w:val="0"/>
          <w:sz w:val="32"/>
          <w:szCs w:val="32"/>
        </w:rPr>
        <w:t xml:space="preserve"> 万元，</w:t>
      </w:r>
      <w:r>
        <w:rPr>
          <w:rFonts w:hint="eastAsia" w:ascii="仿宋_GB2312" w:hAnsi="黑体" w:eastAsia="仿宋_GB2312" w:cs="仿宋_GB2312"/>
          <w:kern w:val="0"/>
          <w:sz w:val="32"/>
          <w:szCs w:val="32"/>
          <w:lang w:val="en-US" w:eastAsia="zh-CN"/>
        </w:rPr>
        <w:t>下降2.55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300.98</w:t>
      </w:r>
      <w:r>
        <w:rPr>
          <w:rFonts w:hint="eastAsia" w:ascii="仿宋_GB2312" w:eastAsia="仿宋_GB2312" w:cs="仿宋_GB2312"/>
          <w:kern w:val="0"/>
          <w:sz w:val="32"/>
          <w:szCs w:val="32"/>
        </w:rPr>
        <w:t>万元，项目支出</w:t>
      </w:r>
      <w:r>
        <w:rPr>
          <w:rFonts w:hint="eastAsia" w:ascii="仿宋_GB2312" w:eastAsia="仿宋_GB2312"/>
          <w:kern w:val="0"/>
          <w:sz w:val="32"/>
          <w:szCs w:val="32"/>
        </w:rPr>
        <w:t>10.92</w:t>
      </w:r>
      <w:r>
        <w:rPr>
          <w:rFonts w:hint="eastAsia" w:ascii="仿宋_GB2312" w:eastAsia="仿宋_GB2312" w:cs="仿宋_GB2312"/>
          <w:kern w:val="0"/>
          <w:sz w:val="32"/>
          <w:szCs w:val="32"/>
        </w:rPr>
        <w:t>万元。</w:t>
      </w:r>
    </w:p>
    <w:p w14:paraId="58B4DA39">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313.46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311.9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99.50</w:t>
      </w:r>
      <w:r>
        <w:rPr>
          <w:rFonts w:hint="eastAsia" w:ascii="仿宋_GB2312" w:hAnsi="黑体" w:eastAsia="仿宋_GB2312" w:cs="仿宋_GB2312"/>
          <w:kern w:val="0"/>
          <w:sz w:val="32"/>
          <w:szCs w:val="32"/>
        </w:rPr>
        <w:t>%。其中：</w:t>
      </w:r>
    </w:p>
    <w:p w14:paraId="0BA2462C">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rPr>
        <w:t>事业单位离退休</w:t>
      </w:r>
      <w:r>
        <w:rPr>
          <w:rFonts w:hint="eastAsia" w:ascii="仿宋_GB2312" w:eastAsia="仿宋_GB2312" w:cs="仿宋_GB2312"/>
          <w:kern w:val="0"/>
          <w:sz w:val="32"/>
          <w:szCs w:val="32"/>
          <w:highlight w:val="none"/>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5.14</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2.62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50.97</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差异主要原因是：部分退休生活补助不得发放。主要用于退休人员生活补助。</w:t>
      </w:r>
    </w:p>
    <w:p w14:paraId="705816CE">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rPr>
        <w:t>（二）机关事业单位基本养老保险缴费支出。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36.01</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29.31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81.39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eastAsia="zh-CN"/>
        </w:rPr>
        <w:t>。</w:t>
      </w:r>
    </w:p>
    <w:p w14:paraId="0DC60875">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17.89</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13.21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78.84</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差异主要原因是：机构改革，人员调入调出，支出减少</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kern w:val="0"/>
          <w:sz w:val="32"/>
          <w:szCs w:val="32"/>
          <w:highlight w:val="none"/>
          <w:lang w:val="en-US" w:eastAsia="zh-CN"/>
        </w:rPr>
        <w:t>员工职业年</w:t>
      </w:r>
      <w:r>
        <w:rPr>
          <w:rFonts w:hint="eastAsia" w:ascii="仿宋_GB2312" w:eastAsia="仿宋_GB2312" w:cs="仿宋_GB2312"/>
          <w:kern w:val="0"/>
          <w:sz w:val="32"/>
          <w:szCs w:val="32"/>
          <w:lang w:val="en-US" w:eastAsia="zh-CN"/>
        </w:rPr>
        <w:t>金缴费支出。</w:t>
      </w:r>
    </w:p>
    <w:p w14:paraId="31520B52">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17.56</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19.17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109.17</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差异主要原因是：补缴退休人员以前年度医疗单位部分支出。</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员工医保支出。</w:t>
      </w:r>
    </w:p>
    <w:p w14:paraId="626FB891">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（五）</w:t>
      </w:r>
      <w:r>
        <w:rPr>
          <w:rFonts w:hint="default" w:ascii="仿宋_GB2312" w:eastAsia="仿宋_GB2312" w:cs="仿宋_GB2312"/>
          <w:kern w:val="0"/>
          <w:sz w:val="32"/>
          <w:szCs w:val="32"/>
          <w:highlight w:val="none"/>
          <w:lang w:val="en-US" w:eastAsia="zh-CN"/>
        </w:rPr>
        <w:t>事业运行支出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209.86</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214.67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102.29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val="en-US" w:eastAsia="zh-CN"/>
        </w:rPr>
        <w:t>差异主要原因是：</w:t>
      </w:r>
      <w:r>
        <w:rPr>
          <w:rFonts w:hint="eastAsia" w:ascii="仿宋_GB2312" w:hAnsi="黑体" w:eastAsia="仿宋_GB2312" w:cs="仿宋_GB2312"/>
          <w:kern w:val="0"/>
          <w:sz w:val="32"/>
          <w:szCs w:val="32"/>
          <w:highlight w:val="none"/>
          <w:lang w:val="en-US" w:eastAsia="zh-CN"/>
        </w:rPr>
        <w:t>机构改革，人员调入调出，支出增加</w:t>
      </w:r>
      <w:r>
        <w:rPr>
          <w:rFonts w:hint="eastAsia" w:ascii="仿宋_GB2312" w:hAnsi="黑体" w:eastAsia="仿宋_GB2312" w:cs="仿宋_GB2312"/>
          <w:kern w:val="0"/>
          <w:sz w:val="32"/>
          <w:szCs w:val="32"/>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员工工资，办公经费支出。</w:t>
      </w:r>
    </w:p>
    <w:p w14:paraId="65E30C3A">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highlight w:val="none"/>
          <w:lang w:val="en-US" w:eastAsia="zh-CN"/>
        </w:rPr>
        <w:t>（六）其他文化和旅游支出。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3.08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乡村特殊文化宣传费用支出。</w:t>
      </w:r>
    </w:p>
    <w:p w14:paraId="07B2618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（七）住房公积金。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27.01</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25.78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95.45</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差异主要原因是：机构改革，人员调入调出，支出减少。</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员工住房公积金支出。</w:t>
      </w:r>
    </w:p>
    <w:p w14:paraId="77D2E40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（八）其他文化旅游体育与传媒支出。</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4.05</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乡村文艺活动费用支出。</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公共预算财政拨款基本支出300.98 万元，其中：人员经费279.14万元，主要包括：基本工资、津贴补贴、奖金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其他对个人和家庭的补助等；公用经费21.85万元，主要包括：办公费、印刷费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275.82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102.11</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w:t>
      </w:r>
      <w:r>
        <w:rPr>
          <w:rFonts w:hint="eastAsia" w:ascii="仿宋_GB2312" w:hAnsi="黑体" w:eastAsia="仿宋_GB2312" w:cs="仿宋_GB2312"/>
          <w:kern w:val="0"/>
          <w:sz w:val="32"/>
          <w:szCs w:val="32"/>
          <w:highlight w:val="none"/>
          <w:lang w:val="en-US" w:eastAsia="zh-CN"/>
        </w:rPr>
        <w:t>机构改革，人员调入调出，支出增加</w:t>
      </w:r>
      <w:r>
        <w:rPr>
          <w:rFonts w:hint="eastAsia" w:ascii="仿宋_GB2312" w:eastAsia="仿宋_GB2312"/>
          <w:bCs/>
          <w:kern w:val="0"/>
          <w:sz w:val="32"/>
          <w:szCs w:val="32"/>
          <w:highlight w:val="none"/>
          <w:lang w:val="en-US" w:eastAsia="zh-CN"/>
        </w:rPr>
        <w:t>。</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21.85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62.81</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原因：厉行节约，开支减少。</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3.32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65.87</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原因：厉行节约，开支减少。</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lang w:eastAsia="zh-CN"/>
        </w:rPr>
        <w:t>鹿寨县寨沙镇便民服务中心202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鹿寨县寨沙镇便民服务中心202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度财政拨款安排的“三公”经费支出预算为</w:t>
      </w:r>
      <w:r>
        <w:rPr>
          <w:rFonts w:hint="eastAsia" w:ascii="仿宋_GB2312" w:eastAsia="仿宋_GB2312" w:cs="仿宋_GB2312"/>
          <w:kern w:val="0"/>
          <w:sz w:val="32"/>
          <w:szCs w:val="32"/>
          <w:lang w:val="en-US" w:eastAsia="zh-CN"/>
        </w:rPr>
        <w:t>3.72</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3.72</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加2.25</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 xml:space="preserve"> 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w:t>
      </w:r>
      <w:r>
        <w:rPr>
          <w:rFonts w:hint="eastAsia" w:ascii="仿宋_GB2312" w:eastAsia="仿宋_GB2312" w:cs="仿宋_GB2312"/>
          <w:kern w:val="0"/>
          <w:sz w:val="32"/>
          <w:szCs w:val="32"/>
          <w:lang w:eastAsia="zh-CN"/>
        </w:rPr>
        <w:t>鹿寨县寨沙镇便民服务中心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 xml:space="preserve"> 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2.02</w:t>
      </w:r>
      <w:r>
        <w:rPr>
          <w:rFonts w:hint="eastAsia" w:ascii="仿宋_GB2312" w:eastAsia="仿宋_GB2312" w:cs="仿宋_GB2312"/>
          <w:kern w:val="0"/>
          <w:sz w:val="32"/>
          <w:szCs w:val="32"/>
        </w:rPr>
        <w:t xml:space="preserve"> 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鹿寨县寨沙镇便民服务中心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3.49</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1.75</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0.23</w:t>
      </w:r>
      <w:r>
        <w:rPr>
          <w:rFonts w:hint="eastAsia" w:ascii="仿宋_GB2312" w:eastAsia="仿宋_GB2312" w:cs="仿宋_GB2312"/>
          <w:kern w:val="0"/>
          <w:sz w:val="32"/>
          <w:szCs w:val="32"/>
        </w:rPr>
        <w:t xml:space="preserve"> 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21.85</w:t>
      </w:r>
      <w:r>
        <w:rPr>
          <w:rFonts w:hint="eastAsia" w:ascii="仿宋_GB2312" w:eastAsia="仿宋_GB2312" w:cs="仿宋_GB2312"/>
          <w:kern w:val="0"/>
          <w:sz w:val="32"/>
          <w:szCs w:val="32"/>
        </w:rPr>
        <w:t xml:space="preserve"> 万元，比年初预算数减少</w:t>
      </w:r>
      <w:r>
        <w:rPr>
          <w:rFonts w:hint="eastAsia" w:ascii="仿宋_GB2312" w:eastAsia="仿宋_GB2312" w:cs="仿宋_GB2312"/>
          <w:kern w:val="0"/>
          <w:sz w:val="32"/>
          <w:szCs w:val="32"/>
          <w:lang w:val="en-US" w:eastAsia="zh-CN"/>
        </w:rPr>
        <w:t>12.94</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val="en-US" w:eastAsia="zh-CN"/>
        </w:rPr>
        <w:t>下降37.19</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厉行节约，减少开支</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lang w:val="en-US" w:eastAsia="zh-CN"/>
        </w:rPr>
        <w:t>增加3.61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增长19.79</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机构改革，人员调入调出，支出增加</w:t>
      </w:r>
      <w:r>
        <w:rPr>
          <w:rFonts w:hint="eastAsia" w:ascii="仿宋_GB2312" w:eastAsia="仿宋_GB2312" w:cs="仿宋_GB2312"/>
          <w:kern w:val="0"/>
          <w:sz w:val="32"/>
          <w:szCs w:val="32"/>
        </w:rPr>
        <w:t>。</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8.29</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75.92</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4C622842">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w:t>
      </w:r>
    </w:p>
    <w:p w14:paraId="0F18847A">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公共图书馆、美术馆、文化馆（站）免费开放补助资金县级配套资金项目自评</w:t>
      </w:r>
      <w:r>
        <w:rPr>
          <w:rFonts w:hint="eastAsia" w:ascii="仿宋_GB2312" w:eastAsia="仿宋_GB2312" w:cs="仿宋_GB2312"/>
          <w:kern w:val="0"/>
          <w:sz w:val="32"/>
          <w:szCs w:val="32"/>
          <w:highlight w:val="none"/>
          <w:lang w:eastAsia="zh-CN"/>
        </w:rPr>
        <w:t>综述：全年预算数</w:t>
      </w:r>
      <w:r>
        <w:rPr>
          <w:rFonts w:hint="eastAsia" w:ascii="仿宋_GB2312" w:eastAsia="仿宋_GB2312" w:cs="仿宋_GB2312"/>
          <w:kern w:val="0"/>
          <w:sz w:val="32"/>
          <w:szCs w:val="32"/>
          <w:highlight w:val="none"/>
          <w:lang w:val="en-US" w:eastAsia="zh-CN"/>
        </w:rPr>
        <w:t>0.5万元，执行数0.5万元，执行率为100%，自评</w:t>
      </w:r>
      <w:r>
        <w:rPr>
          <w:rFonts w:hint="eastAsia" w:ascii="仿宋_GB2312" w:eastAsia="仿宋_GB2312" w:cs="仿宋_GB2312"/>
          <w:kern w:val="0"/>
          <w:sz w:val="32"/>
          <w:szCs w:val="32"/>
          <w:highlight w:val="none"/>
        </w:rPr>
        <w:t>得分为</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分</w:t>
      </w:r>
      <w:r>
        <w:rPr>
          <w:rFonts w:hint="eastAsia" w:ascii="仿宋_GB2312" w:eastAsia="仿宋_GB2312" w:cs="仿宋_GB2312"/>
          <w:kern w:val="0"/>
          <w:sz w:val="32"/>
          <w:szCs w:val="32"/>
          <w:highlight w:val="none"/>
          <w:lang w:val="en-US" w:eastAsia="zh-CN"/>
        </w:rPr>
        <w:t>。项目绩效目标总体完成情况良好，完成预期设定的绩效目标。</w:t>
      </w:r>
    </w:p>
    <w:p w14:paraId="6142C7DD">
      <w:pPr>
        <w:autoSpaceDE w:val="0"/>
        <w:autoSpaceDN w:val="0"/>
        <w:adjustRightInd w:val="0"/>
        <w:spacing w:line="240" w:lineRule="auto"/>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b/>
          <w:bCs/>
          <w:kern w:val="0"/>
          <w:sz w:val="32"/>
          <w:szCs w:val="32"/>
          <w:highlight w:val="none"/>
          <w:lang w:eastAsia="zh-CN"/>
        </w:rPr>
        <w:drawing>
          <wp:inline distT="0" distB="0" distL="114300" distR="114300">
            <wp:extent cx="5271770" cy="5027295"/>
            <wp:effectExtent l="0" t="0" r="5080" b="1905"/>
            <wp:docPr id="1" name="图片 1" descr="40f28253-9d36-448b-b3c3-e8b7b4d1c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f28253-9d36-448b-b3c3-e8b7b4d1c47c"/>
                    <pic:cNvPicPr>
                      <a:picLocks noChangeAspect="1"/>
                    </pic:cNvPicPr>
                  </pic:nvPicPr>
                  <pic:blipFill>
                    <a:blip r:embed="rId7"/>
                    <a:stretch>
                      <a:fillRect/>
                    </a:stretch>
                  </pic:blipFill>
                  <pic:spPr>
                    <a:xfrm>
                      <a:off x="0" y="0"/>
                      <a:ext cx="5271770" cy="5027295"/>
                    </a:xfrm>
                    <a:prstGeom prst="rect">
                      <a:avLst/>
                    </a:prstGeom>
                  </pic:spPr>
                </pic:pic>
              </a:graphicData>
            </a:graphic>
          </wp:inline>
        </w:drawing>
      </w:r>
      <w:bookmarkStart w:id="9" w:name="_GoBack"/>
      <w:bookmarkEnd w:id="9"/>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116C9"/>
    <w:multiLevelType w:val="singleLevel"/>
    <w:tmpl w:val="5D3116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1B92"/>
    <w:rsid w:val="013A1AA1"/>
    <w:rsid w:val="045252DD"/>
    <w:rsid w:val="11904E0C"/>
    <w:rsid w:val="12F928B1"/>
    <w:rsid w:val="15671D54"/>
    <w:rsid w:val="17CA1B01"/>
    <w:rsid w:val="210F1B86"/>
    <w:rsid w:val="236B6837"/>
    <w:rsid w:val="27E34291"/>
    <w:rsid w:val="350C73CB"/>
    <w:rsid w:val="39AF79C7"/>
    <w:rsid w:val="39E52F7A"/>
    <w:rsid w:val="3CD46987"/>
    <w:rsid w:val="4D492555"/>
    <w:rsid w:val="501E584C"/>
    <w:rsid w:val="5B764B54"/>
    <w:rsid w:val="63F07B60"/>
    <w:rsid w:val="658D62E6"/>
    <w:rsid w:val="6BE47A65"/>
    <w:rsid w:val="6F9356A7"/>
    <w:rsid w:val="6FE0340A"/>
    <w:rsid w:val="6FFE7C1E"/>
    <w:rsid w:val="74BD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8351</Words>
  <Characters>10540</Characters>
  <Lines>1</Lines>
  <Paragraphs>1</Paragraphs>
  <TotalTime>6</TotalTime>
  <ScaleCrop>false</ScaleCrop>
  <LinksUpToDate>false</LinksUpToDate>
  <CharactersWithSpaces>10673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淩梦</cp:lastModifiedBy>
  <dcterms:modified xsi:type="dcterms:W3CDTF">2025-09-09T09:17:53Z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eyJoZGlkIjoiMTE1YjdjYjM2ODk0ZGIyMzc1MTk3MWNhZTYzMWM4M2MiLCJ1c2VySWQiOiI4MTcyMDA1MTcifQ==</vt:lpwstr>
  </property>
  <property fmtid="{D5CDD505-2E9C-101B-9397-08002B2CF9AE}" pid="4" name="ICV">
    <vt:lpwstr>2348E4A857B44053888C9043A344A29B_12</vt:lpwstr>
  </property>
</Properties>
</file>