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ind w:firstLine="748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atLeas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鹿寨县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市场</w:t>
      </w:r>
      <w:r>
        <w:rPr>
          <w:rFonts w:hint="eastAsia" w:ascii="方正小标宋简体" w:eastAsia="方正小标宋简体"/>
          <w:color w:val="auto"/>
          <w:sz w:val="44"/>
          <w:szCs w:val="44"/>
        </w:rPr>
        <w:t>监督管理局</w:t>
      </w: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年部门预算说明</w:t>
      </w: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atLeas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目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录</w:t>
      </w:r>
    </w:p>
    <w:p>
      <w:pPr>
        <w:numPr>
          <w:ilvl w:val="0"/>
          <w:numId w:val="1"/>
        </w:numPr>
        <w:spacing w:line="580" w:lineRule="atLeas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基本情况</w:t>
      </w:r>
    </w:p>
    <w:p>
      <w:pPr>
        <w:numPr>
          <w:ilvl w:val="0"/>
          <w:numId w:val="2"/>
        </w:numPr>
        <w:spacing w:line="580" w:lineRule="atLeast"/>
        <w:ind w:left="642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主管部门及所属事业单位的基本情况</w:t>
      </w:r>
    </w:p>
    <w:p>
      <w:pPr>
        <w:numPr>
          <w:ilvl w:val="0"/>
          <w:numId w:val="2"/>
        </w:numPr>
        <w:spacing w:line="580" w:lineRule="atLeast"/>
        <w:ind w:left="642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人员构成情况</w:t>
      </w:r>
    </w:p>
    <w:p>
      <w:pPr>
        <w:spacing w:line="58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二、2020年收支总体情况</w:t>
      </w:r>
    </w:p>
    <w:p>
      <w:pPr>
        <w:spacing w:line="58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（一）收入预算说明</w:t>
      </w:r>
    </w:p>
    <w:p>
      <w:pPr>
        <w:spacing w:line="580" w:lineRule="atLeas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（二）支出预算说明</w:t>
      </w:r>
    </w:p>
    <w:p>
      <w:pPr>
        <w:spacing w:line="58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三、2020年财政拨款支出预算情况</w:t>
      </w:r>
    </w:p>
    <w:p>
      <w:pPr>
        <w:spacing w:line="58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四、2020年机关运行经费情况</w:t>
      </w:r>
    </w:p>
    <w:p>
      <w:pPr>
        <w:spacing w:line="580" w:lineRule="atLeast"/>
        <w:ind w:firstLine="643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五、本部门一般公共预算拨款2020年“三公”经费说明</w:t>
      </w:r>
    </w:p>
    <w:p>
      <w:pPr>
        <w:spacing w:line="58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六、政府采购情况说明</w:t>
      </w:r>
    </w:p>
    <w:p>
      <w:pPr>
        <w:spacing w:line="58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七、其他重要事项情况说明</w:t>
      </w:r>
    </w:p>
    <w:p>
      <w:pPr>
        <w:spacing w:line="58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1.预算绩效信息情况说明</w:t>
      </w:r>
    </w:p>
    <w:p>
      <w:pPr>
        <w:spacing w:line="580" w:lineRule="atLeas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2.国有资产占有使用情况说明</w:t>
      </w:r>
    </w:p>
    <w:p>
      <w:pPr>
        <w:spacing w:line="58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八、专业性较强名词解释</w:t>
      </w:r>
    </w:p>
    <w:p>
      <w:pPr>
        <w:spacing w:line="58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九、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年部门预算表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部门收支总表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部门收入总表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部门支出总表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部门预算财政拨款收支总表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一般公共预算收支总表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一般公共预算支出总表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一般公共预算支出（分经济科目）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一般公共预算基本支出表（分经济科目）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国有资本经营支出预算表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政府性基金支出预算表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纳入财政专户支出预算总表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上年结余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支出预算总表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公共财政预算拨款“三公”经费、会议费和培训费支出预算表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政府采购预算明细表</w:t>
      </w:r>
    </w:p>
    <w:p>
      <w:pPr>
        <w:numPr>
          <w:ilvl w:val="0"/>
          <w:numId w:val="3"/>
        </w:numPr>
        <w:spacing w:line="580" w:lineRule="atLeas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项目支出（资金来源）预算明细表</w:t>
      </w:r>
    </w:p>
    <w:p>
      <w:pPr>
        <w:numPr>
          <w:ilvl w:val="0"/>
          <w:numId w:val="0"/>
        </w:numPr>
        <w:spacing w:line="58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上述报表详见附件。</w:t>
      </w: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atLeast"/>
        <w:ind w:firstLine="900" w:firstLineChars="250"/>
        <w:rPr>
          <w:rFonts w:hint="eastAsia"/>
          <w:sz w:val="36"/>
          <w:szCs w:val="36"/>
        </w:rPr>
      </w:pPr>
    </w:p>
    <w:p>
      <w:pPr>
        <w:spacing w:line="58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一、基本情况</w:t>
      </w:r>
    </w:p>
    <w:p>
      <w:pPr>
        <w:widowControl/>
        <w:shd w:val="clear" w:color="auto" w:fill="FFFFFF"/>
        <w:ind w:firstLine="655" w:firstLineChars="204"/>
        <w:jc w:val="left"/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</w:rPr>
        <w:t>（一）机构设置：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ind w:firstLine="652" w:firstLineChars="204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FZFSK--GBK1-0"/>
          <w:color w:val="auto"/>
          <w:kern w:val="0"/>
          <w:sz w:val="32"/>
          <w:szCs w:val="32"/>
        </w:rPr>
        <w:t>1、鹿寨县</w:t>
      </w:r>
      <w:r>
        <w:rPr>
          <w:rFonts w:hint="eastAsia" w:ascii="仿宋" w:hAnsi="仿宋" w:eastAsia="仿宋" w:cs="FZFSK--GBK1-0"/>
          <w:color w:val="auto"/>
          <w:kern w:val="0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FZFSK--GBK1-0"/>
          <w:color w:val="auto"/>
          <w:kern w:val="0"/>
          <w:sz w:val="32"/>
          <w:szCs w:val="32"/>
        </w:rPr>
        <w:t>监督管理局（行政单位）：下设办公室</w:t>
      </w:r>
      <w:r>
        <w:rPr>
          <w:rFonts w:hint="eastAsia" w:ascii="仿宋" w:hAnsi="仿宋" w:eastAsia="仿宋" w:cs="FZKTK--GBK1-0"/>
          <w:color w:val="auto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政策法规股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反不正当竞争和反垄断股（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规范直销和打击传</w:t>
      </w:r>
      <w:r>
        <w:rPr>
          <w:rFonts w:hint="eastAsia" w:ascii="仿宋_GB2312" w:eastAsia="仿宋_GB2312"/>
          <w:sz w:val="32"/>
          <w:szCs w:val="32"/>
        </w:rPr>
        <w:t>销办公室）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个体私营经济监督管理和登记注册股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市场信用监督管理股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价格监督检查股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网络交易监督和消费环境管理股质量发展和科技认证管理股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质量发展和科技认证管理股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产品质量安全监督管理股（食品安全抽检监测股）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食品协调和应急管理股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食品生产安全监督管理股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食品</w:t>
      </w:r>
      <w:r>
        <w:rPr>
          <w:rFonts w:hint="eastAsia" w:ascii="仿宋_GB2312" w:hAnsi="宋体" w:eastAsia="仿宋_GB2312" w:cs="宋体"/>
          <w:sz w:val="32"/>
          <w:szCs w:val="32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安全监督管理股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食品餐饮安全监督管理股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特种设备安全监察股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计量与标准化股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知识产权保护促进和商标广告监督管理股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药械安全和化妆品安全监督管理股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财务股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人事教育股</w:t>
      </w:r>
      <w:r>
        <w:rPr>
          <w:rFonts w:hint="eastAsia" w:ascii="仿宋" w:hAnsi="仿宋" w:eastAsia="仿宋"/>
          <w:color w:val="auto"/>
          <w:sz w:val="32"/>
          <w:szCs w:val="32"/>
        </w:rPr>
        <w:t>；</w:t>
      </w:r>
    </w:p>
    <w:p>
      <w:pPr>
        <w:autoSpaceDE w:val="0"/>
        <w:autoSpaceDN w:val="0"/>
        <w:adjustRightInd w:val="0"/>
        <w:ind w:firstLine="652" w:firstLineChars="204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2、鹿寨县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食品药品</w:t>
      </w:r>
      <w:r>
        <w:rPr>
          <w:rFonts w:hint="eastAsia" w:ascii="仿宋" w:hAnsi="仿宋" w:eastAsia="仿宋"/>
          <w:color w:val="auto"/>
          <w:sz w:val="32"/>
          <w:szCs w:val="32"/>
        </w:rPr>
        <w:t>稽查大队（参公管理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auto"/>
          <w:sz w:val="32"/>
          <w:szCs w:val="32"/>
        </w:rPr>
        <w:t>）；</w:t>
      </w:r>
    </w:p>
    <w:p>
      <w:pPr>
        <w:autoSpaceDE w:val="0"/>
        <w:autoSpaceDN w:val="0"/>
        <w:adjustRightInd w:val="0"/>
        <w:ind w:firstLine="652" w:firstLineChars="204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3、鹿寨县食品药品检验检测中心（全额拨款事业单位）</w:t>
      </w:r>
    </w:p>
    <w:p>
      <w:pPr>
        <w:autoSpaceDE w:val="0"/>
        <w:autoSpaceDN w:val="0"/>
        <w:adjustRightInd w:val="0"/>
        <w:ind w:firstLine="652" w:firstLineChars="204"/>
        <w:jc w:val="left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4、鹿寨县计量检定测试所</w:t>
      </w:r>
      <w:r>
        <w:rPr>
          <w:rFonts w:hint="eastAsia" w:ascii="仿宋" w:hAnsi="仿宋" w:eastAsia="仿宋"/>
          <w:color w:val="auto"/>
          <w:sz w:val="32"/>
          <w:szCs w:val="32"/>
        </w:rPr>
        <w:t>（全额拨款事业单位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</w:p>
    <w:p>
      <w:pPr>
        <w:autoSpaceDE w:val="0"/>
        <w:autoSpaceDN w:val="0"/>
        <w:adjustRightInd w:val="0"/>
        <w:ind w:firstLine="652" w:firstLineChars="204"/>
        <w:jc w:val="left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52" w:firstLineChars="204"/>
        <w:jc w:val="left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655" w:firstLineChars="204"/>
        <w:jc w:val="left"/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</w:rPr>
        <w:t>（二）主要职责：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、负责全县市场综合监督管理。宣传、贯彻执行国家、自治区、市有关市场监督管理方面的方针、政策和法律、法规、规章，组织实施质量强县战略、食品安全战略、标准化战略、知识产权战略、品牌战略。拟订并组织实施有关规划，规范和维护市场秩序，营造诚实守信、公平竞争的市场环境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2、负责市场主体统一登记注册。依法办理和指导各类企业、农民专业合作社和从事经营活动的单位、个体工商户等市场主体的登记注册。依法公示和共享市场主体有关信息，加强信用监管，推动市场主体信用体系建设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3、负责组织和指导全县市场监督管理综合行政执法工作。指导市场监督管理综合行政执法队伍建设，推动实行统一的市场监管。组织查处重大违法案件。规范市场监督管理和知识产权行政执法行为。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4、负责监督管理全县市场秩序。依法监督管理市场交易、网络商品交易及有关服务的行为。组织和指导查处价格收费违法违规、不正当竞争、违法直销、传销、违法广告、制售假冒伪劣、侵犯商标专利知识产权等行为。指导广告业发展，监督管理广告活动。组织和指导消费维权工作，指导消费者咨询、申诉、举报受理、处理和网络体系建设。指导鹿寨消费者权益保护协会开展消费维权工作。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5、负责全县宏观质量管理工作。贯彻落实国家、自治区、柳州市质量发展战略。推行政府质量奖励制度。统筹质量基础设施建设与应用。会同有关部门组织实施重大工程设备质量监理制度。组织全县重大产品质量事故调查。监督管理产品防伪工作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6、负责产品质量安全监督管理。组织实施辖区内产品质量监督抽查、风险监测工作。组织实施质量分级制度、质量安全追溯制度。组织和指导开展纤维质量监督工作。组织和指导实施工业产品生产许可管理。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 xml:space="preserve">7、负责特种设备安全监督管理。综合管理特种设备安全监察、监督工作。监督检查高耗能特种设备节能标准和锅炉环境保护标准的执行情况。依法承担特种设备安全事故调查工作。 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8、负责食品安全监督管理综合协调。统筹指导食品安全工作。负责食品安全应急体系建设，组织和指导较大食品安全事件应急处置和调查处理工作。完善并落实食品安全重要信息直报制度，承担县食品安全委员会日常工作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9、负责食品安全监督管理。建立覆盖食品生产、流通、消费全过程的监督检查制度和隐患排查治理机制并组织实施，防范区域性、系统性风险。推动建立食品生产经营者落实主体责任的机制，健全食品安全追溯体系。组织开展食品安全监督抽检、风险监测、核查处置和风险预警、风险交流工作。组织实施特殊食品和食盐监督管理。组织和指导食品（含特殊食品、食盐）违法案件的处罚，监督实施问题食品召回和处置制度，完善食品监管行政执法与刑事司法衔接机制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10、负责统一管理计量工作。贯彻执行国家计量制度，推行法定计量单位，依职责管理计量器具及量值传递溯源和比对工作。规范、监督商品量和市场计量行为。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11、负责统一管理标准化工作。依法协调指导和监督地方标准、团体标准制修订工作。依法组织实施国家、行业及地方标准，组织拟订并实施标准化发展战略，规范标准化活动。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12、负责统一管理认证认可与检验检测工作。组织和指导实施认证认可与检验检测监督管理的制度措施，推进检验检测机构改革。规划指导全县认证认可与检验检测行业发展。依法监督管理认证认可与检验检测工作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13、负责市场监督管理科技和信息化建设、新闻宣传、对外交流与合作。参与开展相关工作对外谈判。按规定承担技术性贸易措施有关工作。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14、组织和指导个体私营经济发展与监督管理。扶持全县个体私营经济发展。指导查处无照生产经营和相关无证生产经营行为。组织指导小微企业、个体工商户、专业市场的党建工作。</w:t>
      </w:r>
    </w:p>
    <w:p>
      <w:pPr>
        <w:spacing w:line="480" w:lineRule="exact"/>
        <w:ind w:firstLine="627" w:firstLineChars="196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15、负责促进知识产权运用，保护知识产权。归口管理全县知识产权工作，制定知识产权发展规划，组织和指导开展知识产权相关执法工作。负责商标监督管理工作。拟订和组织实施全县商标品牌发展战略的政策、制度、措施。指导各类市场主体开展商标的注册、运用和管理。组织和指导开展商标、地理标志产品、特殊标志、官方标志的使用管理和保护工作。组织调处商标纠纷。</w:t>
      </w:r>
    </w:p>
    <w:p>
      <w:pPr>
        <w:spacing w:line="480" w:lineRule="exact"/>
        <w:ind w:firstLine="707" w:firstLineChars="221"/>
        <w:jc w:val="left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16、负责药品（含中药、民族药，下同）、医疗器械和化妆品质量安全监督管理，组织监督实施有关地方性法规和政府规章及政策规划。监督实施全县药品、医疗器械、化妆品标准和分类管理制度。组织监督实施药品、医疗器械地方性标准，配合有关部门实施国家基本药物制度。</w:t>
      </w:r>
    </w:p>
    <w:p>
      <w:pPr>
        <w:spacing w:line="480" w:lineRule="exact"/>
        <w:ind w:firstLine="707" w:firstLineChars="221"/>
        <w:jc w:val="left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17、监督实施药品、医疗器械经营质量管理规范。监督实施化妆品经营、使用卫生标准和技术规范。推动落实药品、医疗器械和化妆品安全企业主体责任。</w:t>
      </w:r>
    </w:p>
    <w:p>
      <w:pPr>
        <w:spacing w:line="480" w:lineRule="exact"/>
        <w:ind w:firstLine="707" w:firstLineChars="221"/>
        <w:jc w:val="left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18、负责全县药品、医疗器械和化妆品上市后风险管理。组织开展本县药品不良反应、医疗器械不良事件和化妆品不良反应的监测工作。依法承担药品、医疗器械和化妆品安全风险监测和应急管理工作。</w:t>
      </w:r>
    </w:p>
    <w:p>
      <w:pPr>
        <w:spacing w:line="480" w:lineRule="exact"/>
        <w:ind w:firstLine="707" w:firstLineChars="221"/>
        <w:jc w:val="left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  <w:t>19、负责组织和指导实施食品生产经营、药品零售、医疗器械经营、化妆品经营以及药品、医疗器械使用环节质量的检查和处罚，监督实施问题产品召回和处置制度，完善食品生产经营、药品、医疗器械、化妆品监管行政执法与刑事司法衔接机制。</w:t>
      </w:r>
    </w:p>
    <w:p>
      <w:pPr>
        <w:spacing w:line="480" w:lineRule="exact"/>
        <w:ind w:firstLine="707" w:firstLineChars="221"/>
        <w:jc w:val="left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4"/>
        </w:num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人员构成情况</w:t>
      </w:r>
    </w:p>
    <w:p>
      <w:pPr>
        <w:widowControl/>
        <w:shd w:val="clear" w:color="auto" w:fill="FFFFFF"/>
        <w:ind w:firstLine="576" w:firstLineChars="18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鹿寨县市场监督管理局</w:t>
      </w:r>
      <w:r>
        <w:rPr>
          <w:rFonts w:hint="eastAsia" w:ascii="仿宋" w:hAnsi="仿宋" w:eastAsia="仿宋"/>
          <w:color w:val="auto"/>
          <w:sz w:val="32"/>
          <w:szCs w:val="32"/>
        </w:rPr>
        <w:t>机关行政编制为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/>
          <w:color w:val="auto"/>
          <w:sz w:val="32"/>
          <w:szCs w:val="32"/>
        </w:rPr>
        <w:t>名，现有在职干部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/>
          <w:color w:val="auto"/>
          <w:sz w:val="32"/>
          <w:szCs w:val="32"/>
        </w:rPr>
        <w:t>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，退休干部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,临时人员21名</w:t>
      </w:r>
      <w:r>
        <w:rPr>
          <w:rFonts w:hint="eastAsia" w:ascii="仿宋" w:hAnsi="仿宋" w:eastAsia="仿宋"/>
          <w:color w:val="auto"/>
          <w:sz w:val="32"/>
          <w:szCs w:val="32"/>
        </w:rPr>
        <w:t>；食品药品稽查大队事业编制55名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其中事业工勤编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1名，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在职在编干部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人，编外聘用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人；食品药品检验检测中心事业编制6名，现有在职在编干部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;计量检定测试所事业编制10名，现有在职在编干部9人，退休干部5人。</w:t>
      </w:r>
    </w:p>
    <w:p>
      <w:pPr>
        <w:spacing w:line="580" w:lineRule="atLeas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2020年收支总体情况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（一）收入预算说明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2020年收入总预算2411.92万元，同比增加433万元，同比增长21.88%。其中：一般公共预算拨款2411.92万元，同比增加433万元，同比增长21.88%。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（二）支出预算说明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年支出总预算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2411.92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万元，其中：基本支出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2246.42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万元，占支出总预算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93.14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增加了472.5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增长26.64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%；项目支出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165.5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万元，占支出总预算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6.68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减少39.5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减少19.27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1．按支出功能分类科目划分共分为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类，其中：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（1）一般公共服务类科目支出预算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1715.08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万元；占支出总预算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增加345.41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增长25.21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（2）社会保障和就业类科目支出预算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377.19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万元, 占支出总预算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15.64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增加104.25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增长38.20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医疗卫生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类科目支出预算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168.68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万元；占支出总预算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减少14.52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减少7.93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（4）住房保障类科目支出预算150.97万元，占支出总预算6.26%，同比减少2.14万元，同比增长1.4%。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2．按支出结构分类划分，分为基本支出预算和项目支出预算。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（1）基本支出预算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2246.42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万元；占支出总预算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93.14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增加了472.5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增长26.64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%。其中：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工资福利支出预算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1769.94万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元；占基本支出预算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78.79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增加336.95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增长23.51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商品和服务支出预算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361.04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万元；占基本支出预算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16.07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增加70.63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增长24.32%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对个人和家庭的补助预算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115.44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万元；占基本支出预算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5.14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增长64.92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增长128.5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</w:t>
      </w:r>
    </w:p>
    <w:p>
      <w:pPr>
        <w:numPr>
          <w:ilvl w:val="0"/>
          <w:numId w:val="5"/>
        </w:numPr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项目支出预算</w:t>
      </w:r>
    </w:p>
    <w:p>
      <w:pPr>
        <w:numPr>
          <w:ilvl w:val="0"/>
          <w:numId w:val="0"/>
        </w:numPr>
        <w:spacing w:line="58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　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165.5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万元，占支出总预算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6.68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减少39.5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减少19.27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%。其中：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工资福利支出预算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88.25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万元；占项目支出预算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5.32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商品和服务支出预算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77.25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万元；占项目支出预算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46.68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</w:t>
      </w:r>
    </w:p>
    <w:p>
      <w:pPr>
        <w:spacing w:line="580" w:lineRule="atLeast"/>
        <w:ind w:firstLine="643" w:firstLineChars="200"/>
        <w:rPr>
          <w:rFonts w:hint="default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三、2020年财政拨款支出预算情况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年财政拨款支出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2411.92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万元，其中：基本支出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2246.42万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元，项目支出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165.5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万元。具体支出预算如下：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1.行政运行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（市场监督管理事务）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1013.98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万元，其中基本支出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958.16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主要用于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发放在职人员工资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执法车运行费用、社保支出以及日常的办公费用；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项目支出55.81万元，主要用于临时人员工资及单位应缴社保部分。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2.一般行政管理事务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（市场监督管理事务）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18.19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万元，其中项目支出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18.19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元。主要用于主要用于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临聘人员工资、日常执法办案，食品抽检，科普宣传等费用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其他市场监督管理事务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86.5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万元，其中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项目86.5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万元。主要用于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检测中心聘用人员（中级技术人员）工资福利、单位应缴社保部分和快检室试剂耗材及临聘人员工资福利支出，以及消费者维权相关业务的支出如:消费者维权的宣传、处理维权的差旅费等支出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事业运行（市场监督管理事务）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578.33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万元，其中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578.33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，项目支出5万元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。主要用于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单位在职干部工资发放、医疗保险、大病医疗、日常办公运行费用以及计量强检发生的相关费用支出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.归口管理的行政单位离退休支出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73.11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万元，其中基本支出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73.11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万元。主要用于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离退休干部一次性生活补助以及离休人员工资福利的支出。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6.机关事业单位基本养老保险缴费支出201.33万元，其中基本支出201.33万元，主要用于支付在职干部养老保险单位应缴部分。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7.事业单位离退休费用支出3.83万元，其中基本支出3.83万元，主要用于支付退休干部一次性生活补助经费。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.行政单位医疗支出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57.71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万元，其中基本支出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57.71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主要用于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支付在职干部医疗保险缴费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9.机关事业单位职业年金缴费支出98.91万元，其中基本支出98.91万元，主要用于支付在职干部单位应缴职业年金部分。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.事业单位医疗支出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36.79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万元，其中基本支出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36.79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主要用于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支付在职干部医疗保险缴费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11.公务员医疗补助支出92.27万元，其中基本支出92.27万元。主要用于支出在职和离退休公务员医疗补助缴费支出。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.住房公积金支出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150.97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万元，其中基本支出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150.97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万元。主要用于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在职干部住房公积金单位应缴部分缴费支出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color w:val="FF0000"/>
          <w:sz w:val="32"/>
          <w:szCs w:val="32"/>
          <w:lang w:val="en-US" w:eastAsia="zh-CN"/>
        </w:rPr>
      </w:pPr>
    </w:p>
    <w:p>
      <w:pPr>
        <w:spacing w:line="580" w:lineRule="atLeast"/>
        <w:ind w:firstLine="640" w:firstLineChars="200"/>
        <w:rPr>
          <w:rFonts w:hint="default" w:ascii="仿宋_GB2312" w:eastAsia="仿宋_GB2312"/>
          <w:color w:val="FF0000"/>
          <w:sz w:val="32"/>
          <w:szCs w:val="32"/>
          <w:lang w:val="en-US" w:eastAsia="zh-CN"/>
        </w:rPr>
      </w:pPr>
    </w:p>
    <w:p>
      <w:pPr>
        <w:spacing w:line="580" w:lineRule="atLeast"/>
        <w:ind w:firstLine="640" w:firstLineChars="200"/>
        <w:rPr>
          <w:rFonts w:hint="default" w:ascii="仿宋_GB2312" w:eastAsia="仿宋_GB2312"/>
          <w:color w:val="FF0000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四、2020年机关运行经费情况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2020年鹿寨县市场监督管理局本级及下属单位共有1个行政机关、1个参照公务员法管理的事业单位和2个全额拨款事业单位，机关运行经费财政拨款预算226.77万元，较2019年预算减少3.41万元，</w:t>
      </w:r>
      <w:r>
        <w:rPr>
          <w:rFonts w:hint="eastAsia" w:ascii="仿宋_GB2312" w:eastAsia="仿宋_GB2312"/>
          <w:sz w:val="32"/>
          <w:szCs w:val="32"/>
          <w:lang w:eastAsia="zh-CN"/>
        </w:rPr>
        <w:t>同比</w:t>
      </w:r>
      <w:r>
        <w:rPr>
          <w:rFonts w:hint="eastAsia" w:ascii="仿宋_GB2312" w:eastAsia="仿宋_GB2312"/>
          <w:sz w:val="32"/>
          <w:szCs w:val="32"/>
        </w:rPr>
        <w:t>下降1.48%，主要原因是严格控制日常经费的开支。</w:t>
      </w:r>
    </w:p>
    <w:p>
      <w:pPr>
        <w:spacing w:line="580" w:lineRule="atLeast"/>
        <w:ind w:firstLine="643" w:firstLineChars="200"/>
        <w:rPr>
          <w:rFonts w:hint="eastAsia" w:ascii="仿宋_GB2312" w:eastAsia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五、本部门一般公共预算拨款2020年“三公”经费说明。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（一）因公出国（境）经费2020年预算0万元，同比增加0万元，同比增长0%。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（二）公务接待费2020年预算3.37万元，同比减少0.31万元，同比下降8.42%，增减原因:严格控制运行成本，节约财政资金。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（三）公务用车费2020年预算30万元，同比增减0万元，同比增减0%。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1.公务用车运行维护费2020年预算30万元，同比增减0万元，同比增减0%。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atLeas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六、政府采购情况说明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（一）本年度纳入政府采购预算的金额为0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万元。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atLeast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七、其他重要事项情况说明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1.预算绩效信息情况说明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(1)、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年本部门整体支出预算绩效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项目是组织实施食品药品安全科普宣传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，绩效目标是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上级文件，每年开展形式多样的“全国食品安全宣传周”；围绕“全国安全用药月”的主题，开展1次多种形式的宣传活动；举办知识大讲堂不低于1场；在电视台公益广告播放均不少于60次；按照国家局的要求开展各种形式的户外公益宣传活动，在公交站牌、社区、学校、医院、工地、农村集贸市场等地张贴、宣传公益广告；在医院、药店定期发放科普宣传材料和食品药品监管提示信息；组织开展咨询活动，发放有关科普资料等活动。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年本部门整体支出预算绩效指标为</w:t>
      </w:r>
      <w:r>
        <w:rPr>
          <w:rFonts w:hint="eastAsia" w:ascii="仿宋_GB2312" w:eastAsia="仿宋_GB2312"/>
          <w:sz w:val="32"/>
          <w:szCs w:val="32"/>
        </w:rPr>
        <w:t>消费者维权经费</w:t>
      </w:r>
      <w:r>
        <w:rPr>
          <w:rFonts w:ascii="仿宋_GB2312" w:eastAsia="仿宋_GB2312"/>
          <w:sz w:val="32"/>
          <w:szCs w:val="32"/>
        </w:rPr>
        <w:t>，绩效目标是</w:t>
      </w:r>
      <w:r>
        <w:rPr>
          <w:rFonts w:hint="eastAsia" w:ascii="仿宋_GB2312" w:eastAsia="仿宋_GB2312"/>
          <w:sz w:val="32"/>
          <w:szCs w:val="32"/>
        </w:rPr>
        <w:t>增强公众消费安全意识，提高公众消费安全水平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2.国有资产占有使用情况说明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本部门预算单位占有的国有资产包括公务用车、办公设备、办公家具等，总额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2212.90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累计折旧997.28万元，净值为1215.62万元，均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正常使用。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atLeas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atLeast"/>
        <w:ind w:firstLine="643" w:firstLineChars="200"/>
        <w:rPr>
          <w:rFonts w:hint="eastAsia" w:ascii="仿宋_GB2312" w:eastAsia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八、专业性较强名词解释</w:t>
      </w:r>
    </w:p>
    <w:p>
      <w:pPr>
        <w:numPr>
          <w:ilvl w:val="0"/>
          <w:numId w:val="6"/>
        </w:numPr>
        <w:spacing w:line="580" w:lineRule="atLeast"/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行政运行：反映行政单位（包括实行公务员管理的事业单位）的基本支出。</w:t>
      </w:r>
    </w:p>
    <w:p>
      <w:pPr>
        <w:numPr>
          <w:ilvl w:val="0"/>
          <w:numId w:val="6"/>
        </w:numPr>
        <w:spacing w:line="580" w:lineRule="atLeast"/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一般行政管理事务：反应行政单位（包括实行公务员管理的事业单位）未单独设置项级科目的其他项目支出。</w:t>
      </w:r>
    </w:p>
    <w:p>
      <w:pPr>
        <w:numPr>
          <w:ilvl w:val="0"/>
          <w:numId w:val="6"/>
        </w:numPr>
        <w:spacing w:line="580" w:lineRule="atLeast"/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事业运行：反应事业单位的基本支出，不包括行政单位（包括实行公务员管理的事业单位）后勤服务中心、医务室等附属事业单位。</w:t>
      </w:r>
    </w:p>
    <w:p>
      <w:pPr>
        <w:numPr>
          <w:ilvl w:val="0"/>
          <w:numId w:val="6"/>
        </w:numPr>
        <w:spacing w:line="580" w:lineRule="atLeast"/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行政单位医疗：反应财政部门集中安排的行政单位的基本医疗保险缴费，未参加医疗保险的行政单位的公费医疗经费，按国家规定享受离休人员、红军老战士待遇人员的医疗经费。</w:t>
      </w:r>
    </w:p>
    <w:p>
      <w:pPr>
        <w:numPr>
          <w:ilvl w:val="0"/>
          <w:numId w:val="6"/>
        </w:numPr>
        <w:spacing w:line="580" w:lineRule="atLeast"/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事业单位医疗：反应财政部门集中安排的事业单位的基本医疗保险缴费，未参加医疗保险的事业单位的公费医疗经费，按国家规定享受离休人员待遇的医疗经费。</w:t>
      </w:r>
    </w:p>
    <w:p>
      <w:pPr>
        <w:numPr>
          <w:ilvl w:val="0"/>
          <w:numId w:val="6"/>
        </w:numPr>
        <w:spacing w:line="580" w:lineRule="atLeast"/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公务员医疗补助：反应财政部门集中安排的公务员医疗补助经费。</w:t>
      </w:r>
    </w:p>
    <w:p>
      <w:pPr>
        <w:numPr>
          <w:ilvl w:val="0"/>
          <w:numId w:val="6"/>
        </w:numPr>
        <w:spacing w:line="580" w:lineRule="atLeast"/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市场监督管理事务：反应市场监督管理事务方面（包括工商管理、质量技术监督、药品、医疗器械、化妆品）支出</w:t>
      </w:r>
    </w:p>
    <w:p>
      <w:pPr>
        <w:numPr>
          <w:ilvl w:val="0"/>
          <w:numId w:val="6"/>
        </w:numPr>
        <w:spacing w:line="58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化妆品事务：反应用于化妆品监督管理方面的支出。</w:t>
      </w:r>
    </w:p>
    <w:p>
      <w:pPr>
        <w:numPr>
          <w:ilvl w:val="0"/>
          <w:numId w:val="0"/>
        </w:numPr>
        <w:spacing w:line="580" w:lineRule="atLeast"/>
        <w:rPr>
          <w:rFonts w:hint="eastAsia" w:ascii="仿宋_GB2312" w:eastAsia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atLeast"/>
        <w:rPr>
          <w:rFonts w:hint="eastAsia" w:ascii="仿宋_GB2312" w:eastAsia="仿宋_GB2312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atLeast"/>
        <w:jc w:val="both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3D07C"/>
    <w:multiLevelType w:val="singleLevel"/>
    <w:tmpl w:val="AB43D0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B571CFC"/>
    <w:multiLevelType w:val="singleLevel"/>
    <w:tmpl w:val="AB571CFC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E67F030F"/>
    <w:multiLevelType w:val="singleLevel"/>
    <w:tmpl w:val="E67F03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6CB62CB"/>
    <w:multiLevelType w:val="singleLevel"/>
    <w:tmpl w:val="36CB62C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2" w:leftChars="0" w:firstLine="0" w:firstLineChars="0"/>
      </w:pPr>
    </w:lvl>
  </w:abstractNum>
  <w:abstractNum w:abstractNumId="4">
    <w:nsid w:val="59F1312D"/>
    <w:multiLevelType w:val="singleLevel"/>
    <w:tmpl w:val="59F1312D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A72E130"/>
    <w:multiLevelType w:val="singleLevel"/>
    <w:tmpl w:val="5A72E13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7D"/>
    <w:rsid w:val="0001077D"/>
    <w:rsid w:val="000412D2"/>
    <w:rsid w:val="0013327F"/>
    <w:rsid w:val="002555D3"/>
    <w:rsid w:val="00617353"/>
    <w:rsid w:val="006A243D"/>
    <w:rsid w:val="006E2223"/>
    <w:rsid w:val="00792966"/>
    <w:rsid w:val="00927E9F"/>
    <w:rsid w:val="00A06ED2"/>
    <w:rsid w:val="00B307B3"/>
    <w:rsid w:val="00CA2FF8"/>
    <w:rsid w:val="00D5248F"/>
    <w:rsid w:val="00D96F0E"/>
    <w:rsid w:val="00EE0D68"/>
    <w:rsid w:val="00FE4815"/>
    <w:rsid w:val="00FF4BEE"/>
    <w:rsid w:val="012806BD"/>
    <w:rsid w:val="01AB7356"/>
    <w:rsid w:val="025018DE"/>
    <w:rsid w:val="0377603C"/>
    <w:rsid w:val="052B3FC9"/>
    <w:rsid w:val="057D48A0"/>
    <w:rsid w:val="090A7430"/>
    <w:rsid w:val="0A3546AC"/>
    <w:rsid w:val="0AFD4C29"/>
    <w:rsid w:val="0C2A3E82"/>
    <w:rsid w:val="0C825854"/>
    <w:rsid w:val="0EE26C3A"/>
    <w:rsid w:val="1022390D"/>
    <w:rsid w:val="102F1E2D"/>
    <w:rsid w:val="14602AE9"/>
    <w:rsid w:val="147E4116"/>
    <w:rsid w:val="15353A71"/>
    <w:rsid w:val="166E1A7E"/>
    <w:rsid w:val="16CC3962"/>
    <w:rsid w:val="17427EFE"/>
    <w:rsid w:val="18296EBB"/>
    <w:rsid w:val="18875EBB"/>
    <w:rsid w:val="1A410571"/>
    <w:rsid w:val="1AD31EA4"/>
    <w:rsid w:val="1E106BBB"/>
    <w:rsid w:val="1E165CD1"/>
    <w:rsid w:val="21436855"/>
    <w:rsid w:val="220B4607"/>
    <w:rsid w:val="220C3194"/>
    <w:rsid w:val="22E230BA"/>
    <w:rsid w:val="24AC20F9"/>
    <w:rsid w:val="2574099C"/>
    <w:rsid w:val="25DD143D"/>
    <w:rsid w:val="272610C8"/>
    <w:rsid w:val="27386D5C"/>
    <w:rsid w:val="2797523D"/>
    <w:rsid w:val="28B15C76"/>
    <w:rsid w:val="29337DF9"/>
    <w:rsid w:val="2A2E0697"/>
    <w:rsid w:val="2BF23067"/>
    <w:rsid w:val="2DA94B55"/>
    <w:rsid w:val="2E6647EA"/>
    <w:rsid w:val="2F78579C"/>
    <w:rsid w:val="3007141D"/>
    <w:rsid w:val="301A4938"/>
    <w:rsid w:val="3191777A"/>
    <w:rsid w:val="32D56907"/>
    <w:rsid w:val="37133EFC"/>
    <w:rsid w:val="3A732A69"/>
    <w:rsid w:val="3B824D27"/>
    <w:rsid w:val="3D4A03BC"/>
    <w:rsid w:val="3D8F5F86"/>
    <w:rsid w:val="3FD96FC8"/>
    <w:rsid w:val="40A353D9"/>
    <w:rsid w:val="40E16F38"/>
    <w:rsid w:val="417A224B"/>
    <w:rsid w:val="41BA6AA0"/>
    <w:rsid w:val="42077FFB"/>
    <w:rsid w:val="441550FE"/>
    <w:rsid w:val="451F64E8"/>
    <w:rsid w:val="467855EA"/>
    <w:rsid w:val="46A35C09"/>
    <w:rsid w:val="48160545"/>
    <w:rsid w:val="484F08F2"/>
    <w:rsid w:val="488538F9"/>
    <w:rsid w:val="49764875"/>
    <w:rsid w:val="49AA2CFA"/>
    <w:rsid w:val="4A6B0227"/>
    <w:rsid w:val="4A720EF9"/>
    <w:rsid w:val="4A8A4B7E"/>
    <w:rsid w:val="4C8C6CFB"/>
    <w:rsid w:val="4DDB2974"/>
    <w:rsid w:val="4E203483"/>
    <w:rsid w:val="4F01054A"/>
    <w:rsid w:val="50415E13"/>
    <w:rsid w:val="51DB3749"/>
    <w:rsid w:val="524401B4"/>
    <w:rsid w:val="52DE6BC8"/>
    <w:rsid w:val="530F5717"/>
    <w:rsid w:val="54511313"/>
    <w:rsid w:val="55D92DE6"/>
    <w:rsid w:val="56BE124C"/>
    <w:rsid w:val="56DF7B23"/>
    <w:rsid w:val="572812FC"/>
    <w:rsid w:val="58B47046"/>
    <w:rsid w:val="594C52FE"/>
    <w:rsid w:val="59713F5D"/>
    <w:rsid w:val="59A606A6"/>
    <w:rsid w:val="5A9311B5"/>
    <w:rsid w:val="5E026958"/>
    <w:rsid w:val="5E71362E"/>
    <w:rsid w:val="5F877314"/>
    <w:rsid w:val="6040466A"/>
    <w:rsid w:val="60B55385"/>
    <w:rsid w:val="612D579F"/>
    <w:rsid w:val="62A76E63"/>
    <w:rsid w:val="62A91E14"/>
    <w:rsid w:val="64633DA1"/>
    <w:rsid w:val="65342B1D"/>
    <w:rsid w:val="65D03CCB"/>
    <w:rsid w:val="661162B2"/>
    <w:rsid w:val="661C352B"/>
    <w:rsid w:val="68895BD7"/>
    <w:rsid w:val="6A791BFA"/>
    <w:rsid w:val="6AF07A88"/>
    <w:rsid w:val="6B8809E1"/>
    <w:rsid w:val="6C02011B"/>
    <w:rsid w:val="6C30035C"/>
    <w:rsid w:val="6E100C83"/>
    <w:rsid w:val="6F034D3C"/>
    <w:rsid w:val="709131DA"/>
    <w:rsid w:val="71974317"/>
    <w:rsid w:val="71C75BF1"/>
    <w:rsid w:val="737D70F3"/>
    <w:rsid w:val="742C1293"/>
    <w:rsid w:val="765D5E2D"/>
    <w:rsid w:val="77051234"/>
    <w:rsid w:val="77F92015"/>
    <w:rsid w:val="79066BD8"/>
    <w:rsid w:val="794E399C"/>
    <w:rsid w:val="7A563961"/>
    <w:rsid w:val="7A585491"/>
    <w:rsid w:val="7B08125C"/>
    <w:rsid w:val="7BA752F5"/>
    <w:rsid w:val="7BB44E83"/>
    <w:rsid w:val="7C1A06B7"/>
    <w:rsid w:val="7D5E36DC"/>
    <w:rsid w:val="7D712F68"/>
    <w:rsid w:val="7D976A65"/>
    <w:rsid w:val="7DA27ACD"/>
    <w:rsid w:val="7DD32DCA"/>
    <w:rsid w:val="7EAE1E81"/>
    <w:rsid w:val="7EDA67F9"/>
    <w:rsid w:val="7F643765"/>
    <w:rsid w:val="7F757028"/>
    <w:rsid w:val="7FBC7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"/>
    <w:basedOn w:val="1"/>
    <w:qFormat/>
    <w:uiPriority w:val="0"/>
    <w:rPr>
      <w:szCs w:val="21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2015-03-02T08:19:00Z</dcterms:created>
  <dc:creator>黄然</dc:creator>
  <cp:lastModifiedBy>Administrator</cp:lastModifiedBy>
  <cp:lastPrinted>2015-03-19T00:25:00Z</cp:lastPrinted>
  <dcterms:modified xsi:type="dcterms:W3CDTF">2021-02-22T08:33:13Z</dcterms:modified>
  <dc:title>附件3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