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rPr>
          <w:rFonts w:ascii="黑体" w:hAnsi="宋体" w:eastAsia="黑体"/>
          <w:bCs/>
          <w:szCs w:val="32"/>
        </w:rPr>
      </w:pPr>
      <w:r>
        <w:rPr>
          <w:rFonts w:hint="eastAsia" w:ascii="方正小标宋简体" w:eastAsia="方正小标宋简体"/>
          <w:sz w:val="44"/>
          <w:szCs w:val="44"/>
        </w:rPr>
        <w:t>平山镇农业农村服务中心 2023年单位预算公开</w:t>
      </w:r>
    </w:p>
    <w:p>
      <w:pPr>
        <w:adjustRightInd w:val="0"/>
        <w:snapToGrid w:val="0"/>
        <w:spacing w:line="600" w:lineRule="exact"/>
        <w:ind w:right="-333" w:rightChars="-104"/>
        <w:jc w:val="center"/>
        <w:rPr>
          <w:rFonts w:ascii="黑体" w:hAnsi="宋体" w:eastAsia="黑体"/>
          <w:bCs/>
          <w:szCs w:val="32"/>
        </w:rPr>
      </w:pPr>
    </w:p>
    <w:p>
      <w:pPr>
        <w:adjustRightInd w:val="0"/>
        <w:snapToGrid w:val="0"/>
        <w:spacing w:line="600" w:lineRule="exact"/>
        <w:ind w:right="-333" w:rightChars="-104"/>
        <w:jc w:val="center"/>
        <w:rPr>
          <w:rFonts w:ascii="黑体" w:hAnsi="宋体" w:eastAsia="黑体"/>
          <w:bCs/>
          <w:szCs w:val="32"/>
        </w:rPr>
      </w:pPr>
      <w:r>
        <w:rPr>
          <w:rFonts w:hint="eastAsia" w:ascii="黑体" w:hAnsi="宋体" w:eastAsia="黑体"/>
          <w:bCs/>
          <w:szCs w:val="32"/>
        </w:rPr>
        <w:t>目  录</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第一部分：单位概况</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一、主要职责</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二、机构设置情况</w:t>
      </w:r>
    </w:p>
    <w:p>
      <w:pPr>
        <w:adjustRightInd w:val="0"/>
        <w:snapToGrid w:val="0"/>
        <w:spacing w:line="600" w:lineRule="exact"/>
        <w:ind w:right="-333" w:rightChars="-104" w:firstLine="640" w:firstLineChars="200"/>
        <w:rPr>
          <w:rFonts w:ascii="黑体" w:hAnsi="宋体" w:eastAsia="黑体"/>
          <w:bCs/>
          <w:szCs w:val="32"/>
        </w:rPr>
      </w:pPr>
      <w:r>
        <w:rPr>
          <w:rFonts w:hint="eastAsia" w:ascii="仿宋_GB2312" w:hAnsi="仿宋_GB2312" w:cs="仿宋_GB2312"/>
          <w:szCs w:val="32"/>
        </w:rPr>
        <w:t>三、编制现状及人员构成</w:t>
      </w:r>
    </w:p>
    <w:p>
      <w:pPr>
        <w:adjustRightInd w:val="0"/>
        <w:snapToGrid w:val="0"/>
        <w:spacing w:line="600" w:lineRule="exact"/>
        <w:ind w:right="-333" w:rightChars="-104" w:firstLine="640" w:firstLineChars="200"/>
        <w:rPr>
          <w:rFonts w:ascii="黑体" w:hAnsi="宋体" w:eastAsia="黑体"/>
          <w:bCs/>
          <w:szCs w:val="32"/>
        </w:rPr>
      </w:pPr>
      <w:r>
        <w:rPr>
          <w:rFonts w:hint="eastAsia" w:ascii="黑体" w:eastAsia="黑体"/>
          <w:szCs w:val="32"/>
        </w:rPr>
        <w:t>第二部分：</w:t>
      </w:r>
      <w:r>
        <w:rPr>
          <w:rFonts w:hint="eastAsia" w:ascii="黑体" w:hAnsi="宋体" w:eastAsia="黑体"/>
          <w:szCs w:val="32"/>
        </w:rPr>
        <w:t>平山镇农业农村服务中心2023年</w:t>
      </w:r>
      <w:r>
        <w:rPr>
          <w:rFonts w:hint="eastAsia" w:ascii="黑体" w:eastAsia="黑体"/>
          <w:szCs w:val="32"/>
        </w:rPr>
        <w:t>单位预算情况说明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一、收支总体情况说明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二、收入总体情况说明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三、支出总体情况说明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四、财政拨款收支总体情况说明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五、一般公共预算支出情况说明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 xml:space="preserve">六、一般公共预算基本支出情况说明 </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七、一般公共预算“三公”经费支出情况说明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八、政府性基金预算支出情况说明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九、国有资本经营预算支出情况说明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十、其他重要事项情况说明</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eastAsia="黑体"/>
          <w:szCs w:val="32"/>
        </w:rPr>
        <w:t>第三部分：名词解释</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第四部分：</w:t>
      </w:r>
      <w:r>
        <w:rPr>
          <w:rFonts w:hint="eastAsia" w:ascii="黑体" w:hAnsi="宋体" w:eastAsia="黑体"/>
          <w:szCs w:val="32"/>
        </w:rPr>
        <w:t>平山镇农业农村服务中心2023年</w:t>
      </w:r>
      <w:r>
        <w:rPr>
          <w:rFonts w:hint="eastAsia" w:ascii="黑体" w:eastAsia="黑体"/>
          <w:szCs w:val="32"/>
        </w:rPr>
        <w:t>单位预算公开报表</w:t>
      </w:r>
    </w:p>
    <w:p>
      <w:pPr>
        <w:adjustRightInd w:val="0"/>
        <w:snapToGrid w:val="0"/>
        <w:spacing w:line="600" w:lineRule="exact"/>
        <w:ind w:right="-333" w:rightChars="-104" w:firstLine="640" w:firstLineChars="200"/>
        <w:rPr>
          <w:rFonts w:ascii="仿宋_GB2312" w:hAnsi="仿宋_GB2312" w:cs="仿宋_GB2312"/>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第一部分：</w:t>
      </w:r>
      <w:r>
        <w:rPr>
          <w:rFonts w:hint="eastAsia" w:ascii="黑体" w:hAnsi="宋体" w:eastAsia="黑体"/>
          <w:szCs w:val="32"/>
        </w:rPr>
        <w:t>平山镇农村农业服务中心</w:t>
      </w:r>
      <w:r>
        <w:rPr>
          <w:rFonts w:hint="eastAsia" w:ascii="黑体" w:hAnsi="宋体" w:eastAsia="黑体"/>
          <w:bCs/>
          <w:szCs w:val="32"/>
        </w:rPr>
        <w:t>概况</w:t>
      </w:r>
    </w:p>
    <w:p>
      <w:pPr>
        <w:adjustRightInd w:val="0"/>
        <w:snapToGrid w:val="0"/>
        <w:spacing w:line="600" w:lineRule="exact"/>
        <w:ind w:right="-333" w:rightChars="-104" w:firstLine="640" w:firstLineChars="200"/>
        <w:rPr>
          <w:rFonts w:ascii="黑体" w:hAnsi="宋体" w:eastAsia="黑体"/>
          <w:szCs w:val="32"/>
        </w:rPr>
      </w:pPr>
      <w:r>
        <w:rPr>
          <w:rFonts w:hint="eastAsia" w:ascii="黑体" w:hAnsi="宋体" w:eastAsia="黑体"/>
          <w:bCs/>
          <w:szCs w:val="32"/>
        </w:rPr>
        <w:t>一</w:t>
      </w:r>
      <w:r>
        <w:rPr>
          <w:rFonts w:hint="eastAsia" w:ascii="黑体" w:hAnsi="宋体" w:eastAsia="黑体"/>
          <w:szCs w:val="32"/>
        </w:rPr>
        <w:t>、单位主要职能</w:t>
      </w:r>
    </w:p>
    <w:p>
      <w:pPr>
        <w:adjustRightInd w:val="0"/>
        <w:snapToGrid w:val="0"/>
        <w:spacing w:line="600" w:lineRule="exact"/>
        <w:ind w:right="-333" w:rightChars="-104" w:firstLine="560" w:firstLineChars="200"/>
        <w:rPr>
          <w:rFonts w:ascii="仿宋" w:hAnsi="仿宋" w:eastAsia="仿宋" w:cs="仿宋"/>
          <w:szCs w:val="32"/>
        </w:rPr>
      </w:pPr>
      <w:r>
        <w:rPr>
          <w:rFonts w:hint="eastAsia" w:ascii="宋体" w:hAnsi="宋体" w:eastAsia="宋体" w:cs="宋体"/>
          <w:sz w:val="28"/>
          <w:szCs w:val="28"/>
        </w:rPr>
        <w:t>负责农业、农机、水产畜牧等应用技术推广及试验示范，组织农业技术培训、咨询服务工作，为农民群众提供农业技术、信息服务和产业指导。负责乡村振兴、水利水土保持等事务性工作。组织协调做好防讯抗旱、河长制等服务性工作。做好动植物疫病防治及灾情的监剩、预报、防治和处置。做好农产品生产过程的质重安全检测、监测。指导群众性科技组织和农民技术人员的农业技术推广活动。推广新型农机具及技术，负责辖区内农机安全宣传教育、日常安全排查。</w:t>
      </w: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二、机构设置情况</w:t>
      </w:r>
    </w:p>
    <w:p>
      <w:pPr>
        <w:snapToGrid w:val="0"/>
        <w:spacing w:line="520" w:lineRule="exact"/>
        <w:ind w:firstLine="640" w:firstLineChars="200"/>
        <w:rPr>
          <w:rFonts w:ascii="仿宋_GB2312"/>
          <w:szCs w:val="32"/>
        </w:rPr>
      </w:pPr>
      <w:r>
        <w:rPr>
          <w:rFonts w:hint="eastAsia" w:ascii="仿宋_GB2312"/>
          <w:szCs w:val="32"/>
        </w:rPr>
        <w:t>本单位独立编制机构数1个，独立核算机构数1个，与2022年度相比无增减变化。</w:t>
      </w:r>
    </w:p>
    <w:p>
      <w:pPr>
        <w:spacing w:line="580" w:lineRule="atLeast"/>
        <w:rPr>
          <w:rFonts w:ascii="黑体" w:hAnsi="黑体" w:eastAsia="黑体" w:cs="黑体"/>
          <w:bCs/>
          <w:szCs w:val="32"/>
        </w:rPr>
      </w:pPr>
      <w:r>
        <w:rPr>
          <w:rFonts w:hint="eastAsia" w:ascii="黑体" w:hAnsi="黑体" w:eastAsia="黑体" w:cs="黑体"/>
          <w:bCs/>
          <w:szCs w:val="32"/>
        </w:rPr>
        <w:t>　　三、编制现状及人员构成</w:t>
      </w:r>
    </w:p>
    <w:p>
      <w:pPr>
        <w:snapToGrid w:val="0"/>
        <w:spacing w:line="520" w:lineRule="exact"/>
        <w:ind w:firstLine="640" w:firstLineChars="200"/>
        <w:rPr>
          <w:rFonts w:ascii="仿宋_GB2312"/>
          <w:szCs w:val="32"/>
        </w:rPr>
      </w:pPr>
      <w:r>
        <w:rPr>
          <w:rFonts w:hint="eastAsia" w:ascii="仿宋" w:hAnsi="仿宋" w:eastAsia="仿宋" w:cs="仿宋"/>
          <w:szCs w:val="32"/>
        </w:rPr>
        <w:t>本单位编制人数12人,编内在职12人，编外人员1人，。与2022年度相比编外增加1人。</w:t>
      </w:r>
    </w:p>
    <w:p>
      <w:pPr>
        <w:tabs>
          <w:tab w:val="center" w:pos="4475"/>
        </w:tabs>
        <w:spacing w:line="600" w:lineRule="exact"/>
        <w:ind w:firstLine="645"/>
        <w:rPr>
          <w:rFonts w:ascii="黑体" w:eastAsia="黑体"/>
          <w:szCs w:val="32"/>
        </w:rPr>
      </w:pPr>
      <w:r>
        <w:rPr>
          <w:rFonts w:hint="eastAsia" w:ascii="黑体" w:eastAsia="黑体"/>
          <w:szCs w:val="32"/>
        </w:rPr>
        <w:t>第二部分：</w:t>
      </w:r>
      <w:r>
        <w:rPr>
          <w:rFonts w:hint="eastAsia" w:ascii="黑体" w:hAnsi="宋体" w:eastAsia="黑体"/>
          <w:szCs w:val="32"/>
        </w:rPr>
        <w:t>鹿寨县平山镇农业农村服务中心2022年</w:t>
      </w:r>
      <w:r>
        <w:rPr>
          <w:rFonts w:hint="eastAsia" w:ascii="黑体" w:eastAsia="黑体"/>
          <w:szCs w:val="32"/>
        </w:rPr>
        <w:t>单位预算情况说明</w:t>
      </w:r>
    </w:p>
    <w:p>
      <w:pPr>
        <w:tabs>
          <w:tab w:val="center" w:pos="4475"/>
        </w:tabs>
        <w:spacing w:line="600" w:lineRule="exact"/>
        <w:ind w:firstLine="645"/>
        <w:rPr>
          <w:rFonts w:ascii="黑体" w:eastAsia="黑体"/>
          <w:szCs w:val="32"/>
        </w:rPr>
      </w:pPr>
      <w:r>
        <w:rPr>
          <w:rFonts w:hint="eastAsia" w:ascii="黑体" w:eastAsia="黑体"/>
          <w:szCs w:val="32"/>
        </w:rPr>
        <w:t>一、单位收支总体情况说明</w:t>
      </w:r>
    </w:p>
    <w:p>
      <w:pPr>
        <w:spacing w:line="580" w:lineRule="atLeast"/>
        <w:ind w:firstLine="640" w:firstLineChars="200"/>
        <w:rPr>
          <w:rFonts w:ascii="仿宋_GB2312"/>
          <w:szCs w:val="32"/>
        </w:rPr>
      </w:pPr>
      <w:r>
        <w:rPr>
          <w:rFonts w:hint="eastAsia" w:ascii="仿宋_GB2312"/>
          <w:szCs w:val="32"/>
        </w:rPr>
        <w:t>2023年收入总预算220.65万元，同比减少16.85 万元，同比减少7.09 %。</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220.65万元</w:t>
      </w:r>
      <w:r>
        <w:rPr>
          <w:rFonts w:ascii="仿宋_GB2312"/>
          <w:szCs w:val="32"/>
        </w:rPr>
        <w:t>，其中：</w:t>
      </w:r>
    </w:p>
    <w:p>
      <w:pPr>
        <w:spacing w:line="580" w:lineRule="atLeast"/>
        <w:ind w:firstLine="640" w:firstLineChars="200"/>
        <w:rPr>
          <w:rFonts w:ascii="仿宋_GB2312"/>
          <w:szCs w:val="32"/>
        </w:rPr>
      </w:pPr>
      <w:r>
        <w:rPr>
          <w:rFonts w:hint="eastAsia" w:ascii="仿宋_GB2312"/>
          <w:szCs w:val="32"/>
        </w:rPr>
        <w:t>社会保障和就业类科目支出预算37.46 万元，占支出总预算16.98%，同比增加1.38万元，同比增加3.82%</w:t>
      </w:r>
    </w:p>
    <w:p>
      <w:pPr>
        <w:spacing w:line="580" w:lineRule="atLeast"/>
        <w:ind w:firstLine="640" w:firstLineChars="200"/>
        <w:rPr>
          <w:rFonts w:ascii="仿宋_GB2312"/>
          <w:szCs w:val="32"/>
        </w:rPr>
      </w:pPr>
      <w:r>
        <w:rPr>
          <w:rFonts w:hint="eastAsia" w:ascii="仿宋_GB2312"/>
          <w:szCs w:val="32"/>
        </w:rPr>
        <w:t>卫生健康支出类科目支出预算10.12万元，占支出总预算4.59%，同比减少0.57万元，同比减少5.33%；</w:t>
      </w:r>
    </w:p>
    <w:p>
      <w:pPr>
        <w:spacing w:line="580" w:lineRule="atLeast"/>
        <w:ind w:firstLine="640" w:firstLineChars="200"/>
        <w:rPr>
          <w:rFonts w:ascii="仿宋_GB2312"/>
          <w:szCs w:val="32"/>
        </w:rPr>
      </w:pPr>
      <w:r>
        <w:rPr>
          <w:rFonts w:hint="eastAsia" w:ascii="仿宋_GB2312"/>
          <w:szCs w:val="32"/>
        </w:rPr>
        <w:t>农林水支出157.51万元</w:t>
      </w:r>
      <w:r>
        <w:rPr>
          <w:rFonts w:ascii="仿宋_GB2312"/>
          <w:szCs w:val="32"/>
        </w:rPr>
        <w:t>，占支出总预算</w:t>
      </w:r>
      <w:r>
        <w:rPr>
          <w:rFonts w:hint="eastAsia" w:ascii="仿宋_GB2312"/>
          <w:szCs w:val="32"/>
        </w:rPr>
        <w:t>71.38</w:t>
      </w:r>
      <w:r>
        <w:rPr>
          <w:rFonts w:ascii="仿宋_GB2312"/>
          <w:szCs w:val="32"/>
        </w:rPr>
        <w:t>%，</w:t>
      </w:r>
      <w:r>
        <w:rPr>
          <w:rFonts w:hint="eastAsia" w:ascii="仿宋_GB2312"/>
          <w:szCs w:val="32"/>
        </w:rPr>
        <w:t>同</w:t>
      </w:r>
      <w:r>
        <w:rPr>
          <w:rFonts w:ascii="仿宋_GB2312"/>
          <w:szCs w:val="32"/>
        </w:rPr>
        <w:t>同比</w:t>
      </w:r>
      <w:r>
        <w:rPr>
          <w:rFonts w:hint="eastAsia" w:ascii="仿宋_GB2312"/>
          <w:szCs w:val="32"/>
        </w:rPr>
        <w:t>减少16.79</w:t>
      </w:r>
      <w:r>
        <w:rPr>
          <w:rFonts w:ascii="仿宋_GB2312"/>
          <w:szCs w:val="32"/>
        </w:rPr>
        <w:t>万元，同比</w:t>
      </w:r>
      <w:r>
        <w:rPr>
          <w:rFonts w:hint="eastAsia" w:ascii="仿宋_GB2312"/>
          <w:szCs w:val="32"/>
        </w:rPr>
        <w:t>减少9.63</w:t>
      </w:r>
      <w:r>
        <w:rPr>
          <w:rFonts w:ascii="仿宋_GB2312"/>
          <w:szCs w:val="32"/>
        </w:rPr>
        <w:t>%；</w:t>
      </w:r>
    </w:p>
    <w:p>
      <w:pPr>
        <w:spacing w:line="580" w:lineRule="atLeast"/>
        <w:ind w:firstLine="640" w:firstLineChars="200"/>
        <w:rPr>
          <w:rFonts w:ascii="仿宋_GB2312"/>
          <w:szCs w:val="32"/>
        </w:rPr>
      </w:pPr>
      <w:r>
        <w:rPr>
          <w:rFonts w:hint="eastAsia" w:ascii="仿宋_GB2312"/>
          <w:szCs w:val="32"/>
        </w:rPr>
        <w:t>住房保障支出类科目支出预算15.57万元，占支出总预算7.06%， 同比减少0.88万元，同比减少5.35%；</w:t>
      </w:r>
    </w:p>
    <w:p>
      <w:pPr>
        <w:tabs>
          <w:tab w:val="center" w:pos="4475"/>
        </w:tabs>
        <w:spacing w:line="600" w:lineRule="exact"/>
        <w:ind w:firstLine="645"/>
        <w:rPr>
          <w:rFonts w:ascii="黑体" w:eastAsia="黑体"/>
          <w:szCs w:val="32"/>
        </w:rPr>
      </w:pPr>
      <w:r>
        <w:rPr>
          <w:rFonts w:hint="eastAsia" w:ascii="黑体" w:eastAsia="黑体"/>
          <w:szCs w:val="32"/>
        </w:rPr>
        <w:t>二、单位收入总体情况说明</w:t>
      </w:r>
    </w:p>
    <w:p>
      <w:pPr>
        <w:tabs>
          <w:tab w:val="center" w:pos="4475"/>
        </w:tabs>
        <w:spacing w:line="600" w:lineRule="exact"/>
        <w:ind w:firstLine="645"/>
        <w:rPr>
          <w:rFonts w:ascii="黑体" w:eastAsia="黑体"/>
          <w:szCs w:val="32"/>
        </w:rPr>
      </w:pPr>
      <w:r>
        <w:rPr>
          <w:rFonts w:hint="eastAsia" w:ascii="仿宋_GB2312"/>
          <w:szCs w:val="32"/>
        </w:rPr>
        <w:t>2023年收入总预算220.65万元，均为本级一般公共预算拨款；与上年同比减少16.85万元，同比下降7.09%。增减原因：机构改革人员减少。</w:t>
      </w:r>
    </w:p>
    <w:p>
      <w:pPr>
        <w:tabs>
          <w:tab w:val="center" w:pos="4475"/>
        </w:tabs>
        <w:spacing w:line="600" w:lineRule="exact"/>
        <w:ind w:firstLine="645"/>
        <w:rPr>
          <w:rFonts w:ascii="黑体" w:eastAsia="黑体"/>
          <w:szCs w:val="32"/>
        </w:rPr>
      </w:pPr>
      <w:r>
        <w:rPr>
          <w:rFonts w:hint="eastAsia" w:ascii="黑体" w:eastAsia="黑体"/>
          <w:szCs w:val="32"/>
        </w:rPr>
        <w:t>三、单位支出总体情况说明</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220.65万元</w:t>
      </w:r>
      <w:r>
        <w:rPr>
          <w:rFonts w:ascii="仿宋_GB2312"/>
          <w:szCs w:val="32"/>
        </w:rPr>
        <w:t>，其中：</w:t>
      </w:r>
      <w:r>
        <w:rPr>
          <w:rFonts w:hint="eastAsia" w:ascii="仿宋_GB2312"/>
          <w:szCs w:val="32"/>
        </w:rPr>
        <w:t>基本支出220.65 万元，占支出总预算100%，同比减少16.85万元，同比下降7.09%；增减原因:机构改革，人员减少。</w:t>
      </w:r>
    </w:p>
    <w:p>
      <w:pPr>
        <w:tabs>
          <w:tab w:val="center" w:pos="4475"/>
        </w:tabs>
        <w:spacing w:line="600" w:lineRule="exact"/>
        <w:ind w:firstLine="645"/>
        <w:rPr>
          <w:rFonts w:ascii="黑体" w:eastAsia="黑体"/>
          <w:szCs w:val="32"/>
        </w:rPr>
      </w:pPr>
      <w:r>
        <w:rPr>
          <w:rFonts w:hint="eastAsia" w:ascii="黑体" w:eastAsia="黑体"/>
          <w:szCs w:val="32"/>
        </w:rPr>
        <w:t>四、财政拨款收支总体情况说明</w:t>
      </w:r>
    </w:p>
    <w:p>
      <w:pPr>
        <w:tabs>
          <w:tab w:val="center" w:pos="4475"/>
        </w:tabs>
        <w:spacing w:line="600" w:lineRule="exact"/>
        <w:ind w:firstLine="645"/>
        <w:rPr>
          <w:rFonts w:ascii="仿宋_GB2312"/>
          <w:szCs w:val="32"/>
        </w:rPr>
      </w:pPr>
      <w:r>
        <w:rPr>
          <w:rFonts w:hint="eastAsia" w:ascii="仿宋_GB2312"/>
          <w:szCs w:val="32"/>
        </w:rPr>
        <w:t>2023年收入总预算220.65万元，均为本级一般公共预算拨款；与上年同比减少16.85万元，同比下降7.09%。</w:t>
      </w:r>
    </w:p>
    <w:p>
      <w:pPr>
        <w:tabs>
          <w:tab w:val="center" w:pos="4475"/>
        </w:tabs>
        <w:spacing w:line="600" w:lineRule="exact"/>
        <w:ind w:firstLine="645"/>
        <w:rPr>
          <w:rFonts w:ascii="黑体" w:eastAsia="黑体"/>
          <w:szCs w:val="32"/>
        </w:rPr>
      </w:pPr>
      <w:r>
        <w:rPr>
          <w:rFonts w:hint="eastAsia" w:ascii="黑体" w:eastAsia="黑体"/>
          <w:szCs w:val="32"/>
        </w:rPr>
        <w:t>五、一般公共预算支出情况说明</w:t>
      </w:r>
    </w:p>
    <w:p>
      <w:pPr>
        <w:spacing w:line="580" w:lineRule="atLeast"/>
        <w:ind w:firstLine="675" w:firstLineChars="211"/>
        <w:rPr>
          <w:rFonts w:ascii="仿宋_GB2312"/>
          <w:szCs w:val="32"/>
        </w:rPr>
      </w:pPr>
      <w:r>
        <w:rPr>
          <w:rFonts w:ascii="仿宋_GB2312"/>
          <w:szCs w:val="32"/>
        </w:rPr>
        <w:t>20</w:t>
      </w:r>
      <w:r>
        <w:rPr>
          <w:rFonts w:hint="eastAsia" w:ascii="仿宋_GB2312"/>
          <w:szCs w:val="32"/>
        </w:rPr>
        <w:t>23</w:t>
      </w:r>
      <w:r>
        <w:rPr>
          <w:rFonts w:ascii="仿宋_GB2312"/>
          <w:szCs w:val="32"/>
        </w:rPr>
        <w:t>年财政拨款</w:t>
      </w:r>
      <w:r>
        <w:rPr>
          <w:rFonts w:hint="eastAsia" w:ascii="仿宋_GB2312"/>
          <w:szCs w:val="32"/>
        </w:rPr>
        <w:t>预算</w:t>
      </w:r>
      <w:r>
        <w:rPr>
          <w:rFonts w:ascii="仿宋_GB2312"/>
          <w:szCs w:val="32"/>
        </w:rPr>
        <w:t>支出</w:t>
      </w:r>
      <w:r>
        <w:rPr>
          <w:rFonts w:hint="eastAsia" w:ascii="仿宋_GB2312"/>
          <w:szCs w:val="32"/>
        </w:rPr>
        <w:t>220.65</w:t>
      </w:r>
      <w:r>
        <w:rPr>
          <w:rFonts w:ascii="仿宋_GB2312"/>
          <w:szCs w:val="32"/>
        </w:rPr>
        <w:t>万元，其中：基本</w:t>
      </w:r>
      <w:r>
        <w:rPr>
          <w:rFonts w:hint="eastAsia" w:ascii="仿宋_GB2312"/>
          <w:szCs w:val="32"/>
        </w:rPr>
        <w:t>支出220.65</w:t>
      </w:r>
      <w:r>
        <w:rPr>
          <w:rFonts w:ascii="仿宋_GB2312"/>
          <w:szCs w:val="32"/>
        </w:rPr>
        <w:t>万元，项目支出</w:t>
      </w:r>
      <w:r>
        <w:rPr>
          <w:rFonts w:hint="eastAsia" w:ascii="仿宋_GB2312"/>
          <w:szCs w:val="32"/>
        </w:rPr>
        <w:t>0</w:t>
      </w:r>
      <w:r>
        <w:rPr>
          <w:rFonts w:ascii="仿宋_GB2312"/>
          <w:szCs w:val="32"/>
        </w:rPr>
        <w:t>万元。具体支出预算如下</w:t>
      </w:r>
      <w:r>
        <w:rPr>
          <w:rFonts w:hint="eastAsia" w:ascii="仿宋_GB2312"/>
          <w:szCs w:val="32"/>
        </w:rPr>
        <w:t>：</w:t>
      </w:r>
    </w:p>
    <w:p>
      <w:pPr>
        <w:spacing w:line="580" w:lineRule="atLeast"/>
        <w:ind w:firstLine="640" w:firstLineChars="200"/>
        <w:rPr>
          <w:rFonts w:ascii="仿宋_GB2312"/>
          <w:szCs w:val="32"/>
        </w:rPr>
      </w:pPr>
      <w:r>
        <w:rPr>
          <w:rFonts w:ascii="仿宋_GB2312"/>
          <w:szCs w:val="32"/>
        </w:rPr>
        <w:t>1.</w:t>
      </w:r>
      <w:r>
        <w:rPr>
          <w:rFonts w:hint="eastAsia" w:ascii="仿宋_GB2312"/>
          <w:szCs w:val="32"/>
        </w:rPr>
        <w:t>事业运行</w:t>
      </w:r>
      <w:r>
        <w:rPr>
          <w:rFonts w:ascii="仿宋_GB2312"/>
          <w:szCs w:val="32"/>
        </w:rPr>
        <w:t>支出</w:t>
      </w:r>
      <w:r>
        <w:rPr>
          <w:rFonts w:hint="eastAsia" w:ascii="仿宋_GB2312"/>
          <w:szCs w:val="32"/>
        </w:rPr>
        <w:t>157.51</w:t>
      </w:r>
      <w:r>
        <w:rPr>
          <w:rFonts w:ascii="仿宋_GB2312"/>
          <w:szCs w:val="32"/>
        </w:rPr>
        <w:t>万元，其中基本支出</w:t>
      </w:r>
      <w:r>
        <w:rPr>
          <w:rFonts w:hint="eastAsia" w:ascii="仿宋_GB2312"/>
          <w:szCs w:val="32"/>
        </w:rPr>
        <w:t>157.51</w:t>
      </w:r>
      <w:r>
        <w:rPr>
          <w:rFonts w:ascii="仿宋_GB2312"/>
          <w:szCs w:val="32"/>
        </w:rPr>
        <w:t>万元</w:t>
      </w:r>
      <w:r>
        <w:rPr>
          <w:rFonts w:hint="eastAsia" w:ascii="仿宋_GB2312"/>
          <w:szCs w:val="32"/>
        </w:rPr>
        <w:t>，</w:t>
      </w:r>
      <w:r>
        <w:rPr>
          <w:rFonts w:ascii="仿宋_GB2312"/>
          <w:szCs w:val="32"/>
        </w:rPr>
        <w:t>主要用于</w:t>
      </w:r>
      <w:r>
        <w:rPr>
          <w:rFonts w:hint="eastAsia" w:ascii="仿宋_GB2312"/>
          <w:szCs w:val="32"/>
        </w:rPr>
        <w:t>职工工资福利支出； 项目支出 0万元，</w:t>
      </w:r>
      <w:r>
        <w:rPr>
          <w:rFonts w:ascii="仿宋_GB2312"/>
          <w:szCs w:val="32"/>
        </w:rPr>
        <w:t>主要用于</w:t>
      </w:r>
      <w:r>
        <w:rPr>
          <w:rFonts w:hint="eastAsia" w:ascii="仿宋_GB2312"/>
          <w:szCs w:val="32"/>
        </w:rPr>
        <w:t>商品和服务支出。</w:t>
      </w:r>
    </w:p>
    <w:p>
      <w:pPr>
        <w:spacing w:line="580" w:lineRule="atLeast"/>
        <w:ind w:firstLine="640" w:firstLineChars="200"/>
        <w:rPr>
          <w:rFonts w:ascii="仿宋_GB2312"/>
          <w:szCs w:val="32"/>
        </w:rPr>
      </w:pPr>
      <w:r>
        <w:rPr>
          <w:rFonts w:hint="eastAsia" w:ascii="仿宋_GB2312"/>
          <w:szCs w:val="32"/>
        </w:rPr>
        <w:t>2</w:t>
      </w:r>
      <w:r>
        <w:rPr>
          <w:rFonts w:ascii="仿宋_GB2312"/>
          <w:szCs w:val="32"/>
        </w:rPr>
        <w:t>.</w:t>
      </w:r>
      <w:r>
        <w:rPr>
          <w:rFonts w:hint="eastAsia" w:ascii="仿宋_GB2312"/>
          <w:szCs w:val="32"/>
        </w:rPr>
        <w:t>机关事业单位基本养老保险缴费</w:t>
      </w:r>
      <w:r>
        <w:rPr>
          <w:rFonts w:ascii="仿宋_GB2312"/>
          <w:szCs w:val="32"/>
        </w:rPr>
        <w:t>支出</w:t>
      </w:r>
      <w:r>
        <w:rPr>
          <w:rFonts w:hint="eastAsia" w:ascii="仿宋_GB2312"/>
          <w:szCs w:val="32"/>
        </w:rPr>
        <w:t>20.75</w:t>
      </w:r>
      <w:r>
        <w:rPr>
          <w:rFonts w:ascii="仿宋_GB2312"/>
          <w:szCs w:val="32"/>
        </w:rPr>
        <w:t>万元，</w:t>
      </w:r>
      <w:r>
        <w:rPr>
          <w:rFonts w:hint="eastAsia" w:ascii="仿宋_GB2312"/>
          <w:szCs w:val="32"/>
        </w:rPr>
        <w:t>均为基本支出，</w:t>
      </w:r>
      <w:r>
        <w:rPr>
          <w:rFonts w:ascii="仿宋_GB2312"/>
          <w:szCs w:val="32"/>
        </w:rPr>
        <w:t>主要用于</w:t>
      </w:r>
      <w:r>
        <w:rPr>
          <w:rFonts w:hint="eastAsia" w:ascii="仿宋_GB2312"/>
          <w:szCs w:val="32"/>
        </w:rPr>
        <w:t>单位工资福利中职工养老保险缴费支出。</w:t>
      </w:r>
    </w:p>
    <w:p>
      <w:pPr>
        <w:spacing w:line="580" w:lineRule="atLeast"/>
        <w:ind w:firstLine="640" w:firstLineChars="200"/>
        <w:rPr>
          <w:rFonts w:ascii="仿宋_GB2312"/>
          <w:szCs w:val="32"/>
        </w:rPr>
      </w:pPr>
      <w:r>
        <w:rPr>
          <w:rFonts w:hint="eastAsia" w:ascii="仿宋_GB2312"/>
          <w:szCs w:val="32"/>
        </w:rPr>
        <w:t>3</w:t>
      </w:r>
      <w:r>
        <w:rPr>
          <w:rFonts w:ascii="仿宋_GB2312"/>
          <w:szCs w:val="32"/>
        </w:rPr>
        <w:t>.</w:t>
      </w:r>
      <w:r>
        <w:rPr>
          <w:rFonts w:hint="eastAsia" w:ascii="仿宋_GB2312"/>
          <w:szCs w:val="32"/>
        </w:rPr>
        <w:t>机关事业单位职业年金缴费支出10.38</w:t>
      </w:r>
      <w:r>
        <w:rPr>
          <w:rFonts w:ascii="仿宋_GB2312"/>
          <w:szCs w:val="32"/>
        </w:rPr>
        <w:t>万元，</w:t>
      </w:r>
      <w:r>
        <w:rPr>
          <w:rFonts w:hint="eastAsia" w:ascii="仿宋_GB2312"/>
          <w:szCs w:val="32"/>
        </w:rPr>
        <w:t>均为基本支出，</w:t>
      </w:r>
      <w:r>
        <w:rPr>
          <w:rFonts w:ascii="仿宋_GB2312"/>
          <w:szCs w:val="32"/>
        </w:rPr>
        <w:t>主要用于</w:t>
      </w:r>
      <w:r>
        <w:rPr>
          <w:rFonts w:hint="eastAsia" w:ascii="仿宋_GB2312"/>
          <w:szCs w:val="32"/>
        </w:rPr>
        <w:t>单位工资福利中职工职业年金缴费支出。</w:t>
      </w:r>
    </w:p>
    <w:p>
      <w:pPr>
        <w:spacing w:line="580" w:lineRule="atLeast"/>
        <w:ind w:firstLine="640" w:firstLineChars="200"/>
        <w:rPr>
          <w:rFonts w:ascii="仿宋_GB2312"/>
          <w:szCs w:val="32"/>
        </w:rPr>
      </w:pPr>
      <w:r>
        <w:rPr>
          <w:rFonts w:hint="eastAsia" w:ascii="仿宋_GB2312"/>
          <w:szCs w:val="32"/>
        </w:rPr>
        <w:t>4</w:t>
      </w:r>
      <w:r>
        <w:rPr>
          <w:rFonts w:ascii="仿宋_GB2312"/>
          <w:szCs w:val="32"/>
        </w:rPr>
        <w:t>.事业单位医疗支出</w:t>
      </w:r>
      <w:r>
        <w:rPr>
          <w:rFonts w:hint="eastAsia" w:ascii="仿宋_GB2312"/>
          <w:szCs w:val="32"/>
        </w:rPr>
        <w:t>13.29</w:t>
      </w:r>
      <w:r>
        <w:rPr>
          <w:rFonts w:ascii="仿宋_GB2312"/>
          <w:szCs w:val="32"/>
        </w:rPr>
        <w:t>万元，</w:t>
      </w:r>
      <w:r>
        <w:rPr>
          <w:rFonts w:hint="eastAsia" w:ascii="仿宋_GB2312"/>
          <w:szCs w:val="32"/>
        </w:rPr>
        <w:t>均为</w:t>
      </w:r>
      <w:r>
        <w:rPr>
          <w:rFonts w:ascii="仿宋_GB2312"/>
          <w:szCs w:val="32"/>
        </w:rPr>
        <w:t>基本支出。主要用于</w:t>
      </w:r>
      <w:r>
        <w:rPr>
          <w:rFonts w:hint="eastAsia" w:ascii="仿宋_GB2312"/>
          <w:szCs w:val="32"/>
        </w:rPr>
        <w:t>事业单位职工医疗保障支出</w:t>
      </w:r>
      <w:r>
        <w:rPr>
          <w:rFonts w:ascii="仿宋_GB2312"/>
          <w:szCs w:val="32"/>
        </w:rPr>
        <w:t>。</w:t>
      </w:r>
    </w:p>
    <w:p>
      <w:pPr>
        <w:spacing w:line="580" w:lineRule="atLeast"/>
        <w:ind w:firstLine="640" w:firstLineChars="200"/>
        <w:rPr>
          <w:rFonts w:ascii="黑体"/>
          <w:szCs w:val="32"/>
        </w:rPr>
      </w:pPr>
      <w:r>
        <w:rPr>
          <w:rFonts w:hint="eastAsia" w:ascii="仿宋_GB2312"/>
          <w:szCs w:val="32"/>
        </w:rPr>
        <w:t>5</w:t>
      </w:r>
      <w:r>
        <w:rPr>
          <w:rFonts w:ascii="仿宋_GB2312"/>
          <w:szCs w:val="32"/>
        </w:rPr>
        <w:t>.住房公积金支出</w:t>
      </w:r>
      <w:r>
        <w:rPr>
          <w:rFonts w:hint="eastAsia" w:ascii="仿宋_GB2312"/>
          <w:szCs w:val="32"/>
        </w:rPr>
        <w:t>15.57</w:t>
      </w:r>
      <w:r>
        <w:rPr>
          <w:rFonts w:ascii="仿宋_GB2312"/>
          <w:szCs w:val="32"/>
        </w:rPr>
        <w:t>万元，</w:t>
      </w:r>
      <w:r>
        <w:rPr>
          <w:rFonts w:hint="eastAsia" w:ascii="仿宋_GB2312"/>
          <w:szCs w:val="32"/>
        </w:rPr>
        <w:t>均为</w:t>
      </w:r>
      <w:r>
        <w:rPr>
          <w:rFonts w:ascii="仿宋_GB2312"/>
          <w:szCs w:val="32"/>
        </w:rPr>
        <w:t>基本支出。主要用于</w:t>
      </w:r>
      <w:r>
        <w:rPr>
          <w:rFonts w:hint="eastAsia" w:ascii="仿宋_GB2312"/>
          <w:szCs w:val="32"/>
        </w:rPr>
        <w:t>职工福利住房保障。</w:t>
      </w:r>
    </w:p>
    <w:p>
      <w:pPr>
        <w:tabs>
          <w:tab w:val="center" w:pos="4475"/>
        </w:tabs>
        <w:spacing w:line="600" w:lineRule="exact"/>
        <w:ind w:firstLine="645"/>
        <w:rPr>
          <w:rFonts w:ascii="黑体" w:eastAsia="黑体"/>
          <w:szCs w:val="32"/>
        </w:rPr>
      </w:pPr>
      <w:r>
        <w:rPr>
          <w:rFonts w:hint="eastAsia" w:ascii="黑体" w:eastAsia="黑体"/>
          <w:szCs w:val="32"/>
        </w:rPr>
        <w:t>六、一般公共预算基本支出情况说明</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220.65万元</w:t>
      </w:r>
      <w:r>
        <w:rPr>
          <w:rFonts w:ascii="仿宋_GB2312"/>
          <w:szCs w:val="32"/>
        </w:rPr>
        <w:t>，其中：</w:t>
      </w:r>
      <w:r>
        <w:rPr>
          <w:rFonts w:hint="eastAsia" w:ascii="仿宋_GB2312"/>
          <w:szCs w:val="32"/>
        </w:rPr>
        <w:t>基本支出220.65 万元，占支出总预算100%，同比减少16.85万元，同比下降7.09%；增减原因:机构改革人员减少。</w:t>
      </w:r>
      <w:r>
        <w:rPr>
          <w:rFonts w:ascii="仿宋_GB2312"/>
          <w:szCs w:val="32"/>
        </w:rPr>
        <w:t>其中：</w:t>
      </w:r>
    </w:p>
    <w:p>
      <w:pPr>
        <w:spacing w:line="580" w:lineRule="atLeast"/>
        <w:ind w:firstLine="640" w:firstLineChars="200"/>
        <w:rPr>
          <w:rFonts w:ascii="仿宋_GB2312"/>
          <w:szCs w:val="32"/>
        </w:rPr>
      </w:pPr>
      <w:r>
        <w:rPr>
          <w:rFonts w:ascii="仿宋_GB2312"/>
          <w:szCs w:val="32"/>
        </w:rPr>
        <w:t>工资福利支出预算</w:t>
      </w:r>
      <w:r>
        <w:rPr>
          <w:rFonts w:hint="eastAsia" w:ascii="仿宋_GB2312"/>
          <w:szCs w:val="32"/>
        </w:rPr>
        <w:t>190.81万</w:t>
      </w:r>
      <w:r>
        <w:rPr>
          <w:rFonts w:ascii="仿宋_GB2312"/>
          <w:szCs w:val="32"/>
        </w:rPr>
        <w:t>元；占基本支出预算</w:t>
      </w:r>
      <w:r>
        <w:rPr>
          <w:rFonts w:hint="eastAsia" w:ascii="仿宋_GB2312"/>
          <w:szCs w:val="32"/>
        </w:rPr>
        <w:t>86.48</w:t>
      </w:r>
      <w:r>
        <w:rPr>
          <w:rFonts w:ascii="仿宋_GB2312"/>
          <w:szCs w:val="32"/>
        </w:rPr>
        <w:t>%，同比</w:t>
      </w:r>
      <w:r>
        <w:rPr>
          <w:rFonts w:hint="eastAsia" w:ascii="仿宋_GB2312"/>
          <w:szCs w:val="32"/>
        </w:rPr>
        <w:t>减少15.16</w:t>
      </w:r>
      <w:r>
        <w:rPr>
          <w:rFonts w:ascii="仿宋_GB2312"/>
          <w:szCs w:val="32"/>
        </w:rPr>
        <w:t>万元，同比</w:t>
      </w:r>
      <w:r>
        <w:rPr>
          <w:rFonts w:hint="eastAsia" w:ascii="仿宋_GB2312"/>
          <w:szCs w:val="32"/>
        </w:rPr>
        <w:t>减少7.36</w:t>
      </w:r>
      <w:r>
        <w:rPr>
          <w:rFonts w:ascii="仿宋_GB2312"/>
          <w:szCs w:val="32"/>
        </w:rPr>
        <w:t>%。</w:t>
      </w:r>
    </w:p>
    <w:p>
      <w:pPr>
        <w:spacing w:line="580" w:lineRule="atLeast"/>
        <w:ind w:firstLine="640" w:firstLineChars="200"/>
        <w:rPr>
          <w:rFonts w:ascii="仿宋_GB2312"/>
          <w:szCs w:val="32"/>
        </w:rPr>
      </w:pPr>
      <w:r>
        <w:rPr>
          <w:rFonts w:ascii="仿宋_GB2312"/>
          <w:szCs w:val="32"/>
        </w:rPr>
        <w:t>商品和服务支出预算</w:t>
      </w:r>
      <w:r>
        <w:rPr>
          <w:rFonts w:hint="eastAsia" w:ascii="仿宋_GB2312"/>
          <w:szCs w:val="32"/>
        </w:rPr>
        <w:t>23.66</w:t>
      </w:r>
      <w:r>
        <w:rPr>
          <w:rFonts w:ascii="仿宋_GB2312"/>
          <w:szCs w:val="32"/>
        </w:rPr>
        <w:t>万元；占基本支出预算</w:t>
      </w:r>
      <w:r>
        <w:rPr>
          <w:rFonts w:hint="eastAsia" w:ascii="仿宋_GB2312"/>
          <w:szCs w:val="32"/>
        </w:rPr>
        <w:t>10.72</w:t>
      </w:r>
      <w:r>
        <w:rPr>
          <w:rFonts w:ascii="仿宋_GB2312"/>
          <w:szCs w:val="32"/>
        </w:rPr>
        <w:t>%，同比</w:t>
      </w:r>
      <w:r>
        <w:rPr>
          <w:rFonts w:hint="eastAsia" w:ascii="仿宋_GB2312"/>
          <w:szCs w:val="32"/>
        </w:rPr>
        <w:t>减少4.63</w:t>
      </w:r>
      <w:r>
        <w:rPr>
          <w:rFonts w:ascii="仿宋_GB2312"/>
          <w:szCs w:val="32"/>
        </w:rPr>
        <w:t>万元，同比</w:t>
      </w:r>
      <w:r>
        <w:rPr>
          <w:rFonts w:hint="eastAsia" w:ascii="仿宋_GB2312"/>
          <w:szCs w:val="32"/>
        </w:rPr>
        <w:t>减少16.37%</w:t>
      </w:r>
      <w:r>
        <w:rPr>
          <w:rFonts w:ascii="仿宋_GB2312"/>
          <w:szCs w:val="32"/>
        </w:rPr>
        <w:t>。</w:t>
      </w:r>
    </w:p>
    <w:p>
      <w:pPr>
        <w:spacing w:line="580" w:lineRule="atLeast"/>
        <w:ind w:firstLine="640" w:firstLineChars="200"/>
        <w:rPr>
          <w:rFonts w:ascii="仿宋_GB2312"/>
          <w:szCs w:val="32"/>
        </w:rPr>
      </w:pPr>
      <w:r>
        <w:rPr>
          <w:rFonts w:ascii="仿宋_GB2312"/>
          <w:szCs w:val="32"/>
        </w:rPr>
        <w:t>对个人和家庭的补助预算</w:t>
      </w:r>
      <w:r>
        <w:rPr>
          <w:rFonts w:hint="eastAsia" w:ascii="仿宋_GB2312"/>
          <w:szCs w:val="32"/>
        </w:rPr>
        <w:t>6.18</w:t>
      </w:r>
      <w:r>
        <w:rPr>
          <w:rFonts w:ascii="仿宋_GB2312"/>
          <w:szCs w:val="32"/>
        </w:rPr>
        <w:t>万元；占基本支出预算</w:t>
      </w:r>
      <w:r>
        <w:rPr>
          <w:rFonts w:hint="eastAsia" w:ascii="仿宋_GB2312"/>
          <w:szCs w:val="32"/>
        </w:rPr>
        <w:t>2.80%，同比增加2.98万元，同比增加93.12%</w:t>
      </w:r>
      <w:r>
        <w:rPr>
          <w:rFonts w:ascii="仿宋_GB2312"/>
          <w:szCs w:val="32"/>
        </w:rPr>
        <w:t>。</w:t>
      </w:r>
    </w:p>
    <w:p>
      <w:pPr>
        <w:tabs>
          <w:tab w:val="center" w:pos="4475"/>
        </w:tabs>
        <w:spacing w:line="600" w:lineRule="exact"/>
        <w:ind w:firstLine="645"/>
        <w:rPr>
          <w:rFonts w:ascii="仿宋_GB2312" w:hAnsi="宋体"/>
          <w:szCs w:val="32"/>
        </w:rPr>
      </w:pP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七、一般公共预算“三公”经费支出情况说明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w:t>
      </w:r>
      <w:r>
        <w:rPr>
          <w:rFonts w:hint="eastAsia" w:ascii="仿宋_GB2312"/>
        </w:rPr>
        <w:t>2023年一般公共预算</w:t>
      </w:r>
      <w:r>
        <w:rPr>
          <w:rFonts w:hint="eastAsia" w:ascii="仿宋_GB2312"/>
          <w:bCs/>
        </w:rPr>
        <w:t>安排的“三公”经费支出预算3.33万元，同口径比2022年减少1.2万元，下降26.49%，具体如下：</w:t>
      </w:r>
    </w:p>
    <w:p>
      <w:pPr>
        <w:tabs>
          <w:tab w:val="center" w:pos="4475"/>
        </w:tabs>
        <w:spacing w:line="600" w:lineRule="exact"/>
        <w:ind w:firstLine="645"/>
        <w:rPr>
          <w:rFonts w:ascii="仿宋_GB2312" w:hAnsi="Arial" w:cs="Arial"/>
          <w:kern w:val="0"/>
        </w:rPr>
      </w:pPr>
      <w:r>
        <w:rPr>
          <w:rFonts w:hint="eastAsia" w:ascii="仿宋_GB2312"/>
        </w:rPr>
        <w:t>1.因公出国（境）费</w:t>
      </w:r>
      <w:r>
        <w:rPr>
          <w:rFonts w:hint="eastAsia" w:ascii="仿宋_GB2312" w:hAnsi="宋体"/>
          <w:szCs w:val="32"/>
        </w:rPr>
        <w:t>2023年预算安排0万元，比上年相比无增减，与上年持平</w:t>
      </w:r>
      <w:r>
        <w:rPr>
          <w:rFonts w:hint="eastAsia" w:ascii="仿宋_GB2312" w:hAnsi="Arial" w:cs="Arial"/>
          <w:kern w:val="0"/>
        </w:rPr>
        <w:t>。</w:t>
      </w:r>
    </w:p>
    <w:p>
      <w:pPr>
        <w:tabs>
          <w:tab w:val="center" w:pos="4475"/>
        </w:tabs>
        <w:spacing w:line="600" w:lineRule="exact"/>
        <w:ind w:firstLine="645"/>
        <w:rPr>
          <w:rFonts w:ascii="仿宋_GB2312" w:hAnsi="Arial" w:cs="Arial"/>
          <w:kern w:val="0"/>
        </w:rPr>
      </w:pPr>
      <w:r>
        <w:rPr>
          <w:rFonts w:hint="eastAsia" w:ascii="仿宋_GB2312"/>
        </w:rPr>
        <w:t>2.公务接待费</w:t>
      </w:r>
      <w:r>
        <w:rPr>
          <w:rFonts w:hint="eastAsia" w:ascii="仿宋_GB2312" w:hAnsi="宋体"/>
          <w:szCs w:val="32"/>
        </w:rPr>
        <w:t>2023年预算安排0.13万元，比上年减少</w:t>
      </w:r>
      <w:r>
        <w:rPr>
          <w:rFonts w:hint="eastAsia" w:ascii="仿宋_GB2312"/>
          <w:bCs/>
        </w:rPr>
        <w:t>0.30</w:t>
      </w:r>
      <w:r>
        <w:rPr>
          <w:rFonts w:hint="eastAsia" w:ascii="仿宋_GB2312" w:hAnsi="宋体"/>
          <w:szCs w:val="32"/>
        </w:rPr>
        <w:t>万元，下降</w:t>
      </w:r>
      <w:r>
        <w:rPr>
          <w:rFonts w:hint="eastAsia" w:ascii="仿宋_GB2312"/>
          <w:bCs/>
        </w:rPr>
        <w:t>69.76</w:t>
      </w:r>
      <w:r>
        <w:rPr>
          <w:rFonts w:hint="eastAsia" w:ascii="仿宋_GB2312" w:hAnsi="宋体"/>
          <w:szCs w:val="32"/>
        </w:rPr>
        <w:t>%，</w:t>
      </w:r>
      <w:r>
        <w:rPr>
          <w:rFonts w:hint="eastAsia" w:ascii="仿宋_GB2312" w:hAnsi="Arial" w:cs="Arial"/>
          <w:kern w:val="0"/>
        </w:rPr>
        <w:t>减少的主要原因是机构改革，</w:t>
      </w:r>
      <w:r>
        <w:rPr>
          <w:rFonts w:hint="eastAsia" w:ascii="仿宋_GB2312" w:hAnsi="Arial" w:cs="Arial"/>
          <w:kern w:val="0"/>
          <w:lang w:eastAsia="zh-CN"/>
        </w:rPr>
        <w:t>根据要求减少费用</w:t>
      </w:r>
      <w:r>
        <w:rPr>
          <w:rFonts w:hint="eastAsia" w:ascii="仿宋_GB2312" w:hAnsi="Arial" w:cs="Arial"/>
          <w:kern w:val="0"/>
        </w:rPr>
        <w:t>。</w:t>
      </w:r>
    </w:p>
    <w:p>
      <w:pPr>
        <w:tabs>
          <w:tab w:val="center" w:pos="4475"/>
        </w:tabs>
        <w:spacing w:line="600" w:lineRule="exact"/>
        <w:ind w:firstLine="645"/>
        <w:rPr>
          <w:rFonts w:ascii="仿宋_GB2312" w:hAnsi="宋体"/>
          <w:szCs w:val="32"/>
        </w:rPr>
      </w:pPr>
      <w:r>
        <w:rPr>
          <w:rFonts w:hint="eastAsia" w:ascii="仿宋_GB2312"/>
        </w:rPr>
        <w:t>3.公务用车购置及运行费</w:t>
      </w:r>
      <w:r>
        <w:rPr>
          <w:rFonts w:hint="eastAsia" w:ascii="仿宋_GB2312" w:hAnsi="宋体"/>
          <w:szCs w:val="32"/>
        </w:rPr>
        <w:t>2023年预算安排3.2万元，</w:t>
      </w:r>
      <w:r>
        <w:rPr>
          <w:rFonts w:hint="eastAsia" w:ascii="仿宋_GB2312"/>
          <w:szCs w:val="32"/>
        </w:rPr>
        <w:t>同比无增减</w:t>
      </w:r>
      <w:r>
        <w:rPr>
          <w:rFonts w:hint="eastAsia" w:ascii="仿宋_GB2312" w:hAnsi="宋体"/>
          <w:szCs w:val="32"/>
        </w:rPr>
        <w:t>，与上年持平。其中：</w:t>
      </w:r>
    </w:p>
    <w:p>
      <w:pPr>
        <w:tabs>
          <w:tab w:val="center" w:pos="4475"/>
        </w:tabs>
        <w:spacing w:line="600" w:lineRule="exact"/>
        <w:ind w:firstLine="645"/>
        <w:rPr>
          <w:rFonts w:ascii="仿宋_GB2312" w:hAnsi="Arial" w:cs="Arial"/>
          <w:kern w:val="0"/>
        </w:rPr>
      </w:pPr>
      <w:r>
        <w:rPr>
          <w:rFonts w:hint="eastAsia" w:ascii="仿宋_GB2312" w:hAnsi="宋体"/>
          <w:szCs w:val="32"/>
        </w:rPr>
        <w:t>公务用车购置费2023年预算安排0万元，</w:t>
      </w:r>
      <w:r>
        <w:rPr>
          <w:rFonts w:hint="eastAsia" w:ascii="仿宋_GB2312"/>
          <w:szCs w:val="32"/>
        </w:rPr>
        <w:t>同比无增减</w:t>
      </w:r>
      <w:r>
        <w:rPr>
          <w:rFonts w:hint="eastAsia" w:ascii="仿宋_GB2312" w:hAnsi="Arial" w:cs="Arial"/>
          <w:kern w:val="0"/>
        </w:rPr>
        <w:t>；</w:t>
      </w:r>
      <w:r>
        <w:rPr>
          <w:rFonts w:hint="eastAsia" w:ascii="仿宋_GB2312" w:hAnsi="宋体"/>
          <w:szCs w:val="32"/>
        </w:rPr>
        <w:t>与上年持平。</w:t>
      </w:r>
    </w:p>
    <w:p>
      <w:pPr>
        <w:tabs>
          <w:tab w:val="center" w:pos="4475"/>
        </w:tabs>
        <w:spacing w:line="600" w:lineRule="exact"/>
        <w:ind w:firstLine="645"/>
        <w:rPr>
          <w:rFonts w:hint="eastAsia" w:ascii="仿宋_GB2312" w:hAnsi="宋体" w:eastAsia="仿宋_GB2312"/>
          <w:szCs w:val="32"/>
          <w:lang w:eastAsia="zh-CN"/>
        </w:rPr>
      </w:pPr>
      <w:r>
        <w:rPr>
          <w:rFonts w:hint="eastAsia" w:ascii="仿宋_GB2312" w:hAnsi="宋体"/>
          <w:szCs w:val="32"/>
        </w:rPr>
        <w:t>公务用车运行维护费2023年预算安排3.2万元，</w:t>
      </w:r>
      <w:r>
        <w:rPr>
          <w:rFonts w:hint="eastAsia" w:ascii="仿宋_GB2312"/>
          <w:bCs/>
        </w:rPr>
        <w:t>比上年减少0.9万元，同比减少21.95%。</w:t>
      </w:r>
      <w:r>
        <w:rPr>
          <w:rFonts w:hint="eastAsia" w:ascii="仿宋_GB2312" w:hAnsi="Arial" w:cs="Arial"/>
          <w:kern w:val="0"/>
        </w:rPr>
        <w:t>减少的主要原因是机构改革，</w:t>
      </w:r>
      <w:r>
        <w:rPr>
          <w:rFonts w:hint="eastAsia" w:ascii="仿宋_GB2312" w:hAnsi="Arial" w:cs="Arial"/>
          <w:kern w:val="0"/>
          <w:lang w:eastAsia="zh-CN"/>
        </w:rPr>
        <w:t>根据要求减少费用</w:t>
      </w:r>
      <w:r>
        <w:rPr>
          <w:rFonts w:hint="eastAsia" w:ascii="仿宋_GB2312" w:hAnsi="Arial" w:cs="Arial"/>
          <w:kern w:val="0"/>
        </w:rPr>
        <w:t>。</w:t>
      </w:r>
    </w:p>
    <w:p>
      <w:pPr>
        <w:tabs>
          <w:tab w:val="center" w:pos="4475"/>
        </w:tabs>
        <w:spacing w:line="600" w:lineRule="exact"/>
        <w:ind w:firstLine="645"/>
        <w:rPr>
          <w:rFonts w:ascii="黑体" w:eastAsia="黑体"/>
          <w:szCs w:val="32"/>
        </w:rPr>
      </w:pPr>
      <w:r>
        <w:rPr>
          <w:rFonts w:hint="eastAsia" w:ascii="黑体" w:eastAsia="黑体"/>
          <w:szCs w:val="32"/>
        </w:rPr>
        <w:t>八、政府性基金预算支出情况说明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我单位2023年无政府性基金预算。</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九、国有资本经营预算支出情况说明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我单位2023年部门预算无国有资本经营预算。</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十、其他重要事项情况说明</w:t>
      </w:r>
    </w:p>
    <w:p>
      <w:pPr>
        <w:tabs>
          <w:tab w:val="center" w:pos="4475"/>
        </w:tabs>
        <w:spacing w:line="600" w:lineRule="exact"/>
        <w:ind w:firstLine="645"/>
        <w:rPr>
          <w:rFonts w:ascii="黑体" w:eastAsia="黑体"/>
          <w:szCs w:val="32"/>
        </w:rPr>
      </w:pPr>
      <w:r>
        <w:rPr>
          <w:rFonts w:hint="eastAsia" w:ascii="黑体" w:eastAsia="黑体"/>
          <w:szCs w:val="32"/>
        </w:rPr>
        <w:t>（一）</w:t>
      </w:r>
      <w:r>
        <w:rPr>
          <w:rFonts w:hint="eastAsia" w:ascii="黑体" w:eastAsia="黑体"/>
          <w:szCs w:val="32"/>
          <w:lang w:eastAsia="zh-CN"/>
        </w:rPr>
        <w:t>事业</w:t>
      </w:r>
      <w:bookmarkStart w:id="0" w:name="_GoBack"/>
      <w:bookmarkEnd w:id="0"/>
      <w:r>
        <w:rPr>
          <w:rFonts w:hint="eastAsia" w:ascii="黑体" w:eastAsia="黑体"/>
          <w:szCs w:val="32"/>
        </w:rPr>
        <w:t>运行经费安排情况说明</w:t>
      </w:r>
    </w:p>
    <w:p>
      <w:pPr>
        <w:tabs>
          <w:tab w:val="center" w:pos="4475"/>
        </w:tabs>
        <w:spacing w:line="600" w:lineRule="exact"/>
        <w:ind w:firstLine="645"/>
        <w:rPr>
          <w:rFonts w:ascii="仿宋_GB2312" w:hAnsi="宋体"/>
          <w:szCs w:val="32"/>
        </w:rPr>
      </w:pPr>
      <w:r>
        <w:rPr>
          <w:rFonts w:hint="eastAsia" w:ascii="仿宋_GB2312" w:hAnsi="宋体"/>
          <w:szCs w:val="32"/>
        </w:rPr>
        <w:t>2023年事业单位运行经费财政拨款预算23.66万元，较2022年预算</w:t>
      </w:r>
      <w:r>
        <w:rPr>
          <w:rFonts w:ascii="仿宋_GB2312"/>
          <w:szCs w:val="32"/>
        </w:rPr>
        <w:t>同比</w:t>
      </w:r>
      <w:r>
        <w:rPr>
          <w:rFonts w:hint="eastAsia" w:ascii="仿宋_GB2312"/>
          <w:szCs w:val="32"/>
        </w:rPr>
        <w:t>减少4.63万元，同比下降16.37%</w:t>
      </w:r>
      <w:r>
        <w:rPr>
          <w:rFonts w:hint="eastAsia" w:ascii="仿宋_GB2312" w:hAnsi="宋体"/>
          <w:szCs w:val="32"/>
        </w:rPr>
        <w:t>，主要原因是人员减少。</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hAnsi="Arial" w:eastAsia="黑体" w:cs="Arial"/>
          <w:kern w:val="0"/>
        </w:rPr>
      </w:pPr>
      <w:r>
        <w:rPr>
          <w:rFonts w:hint="eastAsia" w:ascii="黑体" w:eastAsia="黑体"/>
          <w:szCs w:val="32"/>
        </w:rPr>
        <w:t>（二）</w:t>
      </w:r>
      <w:r>
        <w:rPr>
          <w:rFonts w:hint="eastAsia" w:ascii="黑体" w:hAnsi="Arial" w:eastAsia="黑体" w:cs="Arial"/>
          <w:kern w:val="0"/>
        </w:rPr>
        <w:t>政府采购预算安排情况说明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我单位2023年政府采购预算总金额0万元。其中：货物类采购0万元、工程类采购0万元、服务类采购0万元。</w:t>
      </w:r>
    </w:p>
    <w:p>
      <w:pPr>
        <w:tabs>
          <w:tab w:val="center" w:pos="4475"/>
        </w:tabs>
        <w:spacing w:line="600" w:lineRule="exact"/>
        <w:ind w:firstLine="645"/>
        <w:rPr>
          <w:rFonts w:ascii="黑体" w:hAnsi="Arial" w:eastAsia="黑体" w:cs="Arial"/>
          <w:kern w:val="0"/>
        </w:rPr>
      </w:pPr>
    </w:p>
    <w:p>
      <w:pPr>
        <w:tabs>
          <w:tab w:val="center" w:pos="4475"/>
        </w:tabs>
        <w:spacing w:line="600" w:lineRule="exact"/>
        <w:ind w:firstLine="645"/>
        <w:rPr>
          <w:rFonts w:ascii="黑体" w:hAnsi="Arial" w:eastAsia="黑体" w:cs="Arial"/>
          <w:kern w:val="0"/>
        </w:rPr>
      </w:pPr>
      <w:r>
        <w:rPr>
          <w:rFonts w:hint="eastAsia" w:ascii="黑体" w:hAnsi="Arial" w:eastAsia="黑体" w:cs="Arial"/>
          <w:kern w:val="0"/>
        </w:rPr>
        <w:t>（三）国有资产占用情况说明</w:t>
      </w:r>
    </w:p>
    <w:p>
      <w:pPr>
        <w:spacing w:line="580" w:lineRule="atLeast"/>
        <w:rPr>
          <w:rFonts w:ascii="黑体" w:hAnsi="Arial" w:cs="Arial"/>
          <w:kern w:val="0"/>
        </w:rPr>
      </w:pPr>
      <w:r>
        <w:rPr>
          <w:rFonts w:hint="eastAsia" w:ascii="仿宋_GB2312"/>
          <w:szCs w:val="32"/>
        </w:rPr>
        <w:t>　　截至2022年12月31日，</w:t>
      </w:r>
      <w:r>
        <w:rPr>
          <w:rFonts w:ascii="仿宋_GB2312"/>
          <w:szCs w:val="32"/>
        </w:rPr>
        <w:t>本部门预算单位占有的国有资产包括</w:t>
      </w:r>
      <w:r>
        <w:rPr>
          <w:rFonts w:hint="eastAsia" w:ascii="仿宋_GB2312"/>
          <w:szCs w:val="32"/>
        </w:rPr>
        <w:t>房屋、办公设备</w:t>
      </w:r>
      <w:r>
        <w:rPr>
          <w:rFonts w:ascii="仿宋_GB2312"/>
          <w:szCs w:val="32"/>
        </w:rPr>
        <w:t>等，总额</w:t>
      </w:r>
      <w:r>
        <w:rPr>
          <w:rFonts w:hint="eastAsia" w:ascii="仿宋_GB2312"/>
          <w:szCs w:val="32"/>
        </w:rPr>
        <w:t>49.03</w:t>
      </w:r>
      <w:r>
        <w:rPr>
          <w:rFonts w:ascii="仿宋_GB2312"/>
          <w:szCs w:val="32"/>
        </w:rPr>
        <w:t>万元，正常使用</w:t>
      </w:r>
      <w:r>
        <w:rPr>
          <w:rFonts w:hint="eastAsia" w:ascii="仿宋_GB2312"/>
          <w:szCs w:val="32"/>
        </w:rPr>
        <w:t>。</w:t>
      </w:r>
    </w:p>
    <w:p>
      <w:pPr>
        <w:tabs>
          <w:tab w:val="center" w:pos="4475"/>
        </w:tabs>
        <w:spacing w:line="600" w:lineRule="exact"/>
        <w:ind w:firstLine="645"/>
        <w:rPr>
          <w:rFonts w:ascii="黑体" w:eastAsia="黑体"/>
          <w:szCs w:val="32"/>
        </w:rPr>
      </w:pPr>
      <w:r>
        <w:rPr>
          <w:rFonts w:hint="eastAsia" w:ascii="黑体" w:eastAsia="黑体"/>
          <w:szCs w:val="32"/>
        </w:rPr>
        <w:t>（四）重点项目预算绩效目标等情况说明</w:t>
      </w:r>
    </w:p>
    <w:p>
      <w:pPr>
        <w:tabs>
          <w:tab w:val="center" w:pos="4475"/>
        </w:tabs>
        <w:spacing w:line="600" w:lineRule="exact"/>
        <w:rPr>
          <w:rFonts w:ascii="宋体" w:hAnsi="宋体" w:eastAsia="宋体"/>
          <w:szCs w:val="32"/>
        </w:rPr>
      </w:pPr>
      <w:r>
        <w:rPr>
          <w:rFonts w:hint="eastAsia" w:ascii="黑体" w:eastAsia="黑体"/>
          <w:szCs w:val="32"/>
        </w:rPr>
        <w:t xml:space="preserve"> </w:t>
      </w:r>
      <w:r>
        <w:rPr>
          <w:rFonts w:ascii="黑体" w:eastAsia="黑体"/>
          <w:szCs w:val="32"/>
        </w:rPr>
        <w:t xml:space="preserve"> </w:t>
      </w:r>
      <w:r>
        <w:rPr>
          <w:rFonts w:ascii="宋体" w:hAnsi="宋体" w:eastAsia="宋体"/>
          <w:szCs w:val="32"/>
        </w:rPr>
        <w:t xml:space="preserve">  </w:t>
      </w:r>
      <w:r>
        <w:rPr>
          <w:rFonts w:hint="eastAsia" w:ascii="宋体" w:hAnsi="宋体" w:eastAsia="宋体"/>
          <w:szCs w:val="32"/>
        </w:rPr>
        <w:t>本年无重点项目预算。</w:t>
      </w:r>
    </w:p>
    <w:p>
      <w:pPr>
        <w:tabs>
          <w:tab w:val="center" w:pos="4475"/>
        </w:tabs>
        <w:spacing w:line="600" w:lineRule="exact"/>
        <w:rPr>
          <w:rFonts w:ascii="宋体" w:hAnsi="宋体" w:eastAsia="宋体"/>
          <w:szCs w:val="32"/>
        </w:rPr>
      </w:pPr>
    </w:p>
    <w:p>
      <w:pPr>
        <w:tabs>
          <w:tab w:val="center" w:pos="4475"/>
        </w:tabs>
        <w:spacing w:line="600" w:lineRule="exact"/>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第三部分：名词解释</w:t>
      </w:r>
    </w:p>
    <w:p>
      <w:pPr>
        <w:ind w:firstLine="640"/>
        <w:rPr>
          <w:rFonts w:ascii="仿宋_GB2312"/>
          <w:color w:val="000000"/>
          <w:szCs w:val="32"/>
        </w:rPr>
      </w:pPr>
      <w:r>
        <w:rPr>
          <w:rFonts w:hint="eastAsia" w:ascii="仿宋_GB2312"/>
          <w:color w:val="000000"/>
          <w:szCs w:val="32"/>
        </w:rPr>
        <w:t xml:space="preserve">一、财政拨款收入：指县本级财政部门当年拨付的资金。 </w:t>
      </w:r>
    </w:p>
    <w:p>
      <w:pPr>
        <w:ind w:firstLine="640" w:firstLineChars="200"/>
        <w:rPr>
          <w:rFonts w:ascii="仿宋_GB2312"/>
          <w:color w:val="000000"/>
          <w:szCs w:val="32"/>
        </w:rPr>
      </w:pPr>
      <w:r>
        <w:rPr>
          <w:rFonts w:hint="eastAsia" w:ascii="仿宋_GB2312"/>
          <w:color w:val="000000"/>
          <w:szCs w:val="32"/>
        </w:rPr>
        <w:t>二、事业收入：指事业单位开展专业业务活动及辅助活动所取得的收入。</w:t>
      </w:r>
    </w:p>
    <w:p>
      <w:pPr>
        <w:ind w:firstLine="640" w:firstLineChars="200"/>
        <w:rPr>
          <w:rFonts w:ascii="仿宋_GB2312"/>
          <w:color w:val="000000"/>
          <w:szCs w:val="32"/>
        </w:rPr>
      </w:pPr>
      <w:r>
        <w:rPr>
          <w:rFonts w:hint="eastAsia" w:ascii="仿宋_GB2312"/>
          <w:color w:val="000000"/>
          <w:szCs w:val="32"/>
        </w:rPr>
        <w:t>三、经营收入：指事业单位在专业业务活动及其辅助活动之外开展非独立核算经营活动取得的收入。</w:t>
      </w:r>
    </w:p>
    <w:p>
      <w:pPr>
        <w:ind w:firstLine="640"/>
        <w:rPr>
          <w:rFonts w:ascii="仿宋_GB2312"/>
          <w:color w:val="000000"/>
          <w:szCs w:val="32"/>
        </w:rPr>
      </w:pPr>
      <w:r>
        <w:rPr>
          <w:rFonts w:hint="eastAsia" w:ascii="仿宋_GB2312"/>
          <w:color w:val="000000"/>
          <w:szCs w:val="32"/>
        </w:rPr>
        <w:t>四、其他收入：指除上述“财政拨款收入”、“事业收入”、“经营收入”等以外的收入。</w:t>
      </w:r>
    </w:p>
    <w:p>
      <w:pPr>
        <w:ind w:firstLine="640" w:firstLineChars="200"/>
        <w:rPr>
          <w:rFonts w:ascii="仿宋_GB2312"/>
          <w:color w:val="000000"/>
          <w:szCs w:val="32"/>
        </w:rPr>
      </w:pPr>
      <w:r>
        <w:rPr>
          <w:rFonts w:hint="eastAsia" w:ascii="仿宋_GB2312"/>
          <w:color w:val="000000"/>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ascii="仿宋_GB2312"/>
          <w:color w:val="000000"/>
          <w:szCs w:val="32"/>
        </w:rPr>
      </w:pPr>
      <w:r>
        <w:rPr>
          <w:rFonts w:hint="eastAsia" w:ascii="仿宋_GB2312"/>
          <w:color w:val="000000"/>
          <w:szCs w:val="32"/>
        </w:rPr>
        <w:t xml:space="preserve">六、年初结转和结余：指以前年度尚未完成、结转到本年 按有关规定继续使用的资金。 </w:t>
      </w:r>
    </w:p>
    <w:p>
      <w:pPr>
        <w:ind w:firstLine="640" w:firstLineChars="200"/>
        <w:rPr>
          <w:rFonts w:ascii="仿宋_GB2312"/>
          <w:color w:val="000000"/>
          <w:szCs w:val="32"/>
        </w:rPr>
      </w:pPr>
      <w:r>
        <w:rPr>
          <w:rFonts w:hint="eastAsia" w:ascii="仿宋_GB2312"/>
          <w:color w:val="000000"/>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color w:val="000000"/>
          <w:szCs w:val="32"/>
        </w:rPr>
      </w:pPr>
      <w:r>
        <w:rPr>
          <w:rFonts w:hint="eastAsia" w:ascii="仿宋_GB2312"/>
          <w:color w:val="000000"/>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color w:val="000000"/>
          <w:szCs w:val="32"/>
        </w:rPr>
      </w:pPr>
      <w:r>
        <w:rPr>
          <w:rFonts w:hint="eastAsia" w:ascii="仿宋_GB2312"/>
          <w:color w:val="000000"/>
          <w:szCs w:val="32"/>
        </w:rPr>
        <w:t xml:space="preserve">九、基本支出：指为保障机构正常运转、完成日常工作任务而发生的人员支出和公用支出。 </w:t>
      </w:r>
    </w:p>
    <w:p>
      <w:pPr>
        <w:ind w:firstLine="640" w:firstLineChars="200"/>
        <w:rPr>
          <w:rFonts w:ascii="仿宋_GB2312"/>
          <w:color w:val="000000"/>
          <w:szCs w:val="32"/>
        </w:rPr>
      </w:pPr>
      <w:r>
        <w:rPr>
          <w:rFonts w:hint="eastAsia" w:ascii="仿宋_GB2312"/>
          <w:color w:val="000000"/>
          <w:szCs w:val="32"/>
        </w:rPr>
        <w:t xml:space="preserve">十、项目支出：指在基本支出之外为完成特定行政任务和事业发展目标所发生的支出。 </w:t>
      </w:r>
    </w:p>
    <w:p>
      <w:pPr>
        <w:ind w:firstLine="640"/>
        <w:rPr>
          <w:rFonts w:ascii="仿宋_GB2312"/>
          <w:color w:val="000000"/>
          <w:szCs w:val="32"/>
        </w:rPr>
      </w:pPr>
      <w:r>
        <w:rPr>
          <w:rFonts w:hint="eastAsia" w:ascii="仿宋_GB2312"/>
          <w:color w:val="000000"/>
          <w:szCs w:val="32"/>
        </w:rPr>
        <w:t>十一、经营支出：指事业单位在专业业务活动及其辅助活动之外开展非独立核算经营活动发生的支出。</w:t>
      </w:r>
    </w:p>
    <w:p>
      <w:pPr>
        <w:ind w:firstLine="640" w:firstLineChars="200"/>
        <w:rPr>
          <w:rFonts w:ascii="仿宋_GB2312"/>
          <w:color w:val="000000"/>
          <w:szCs w:val="32"/>
        </w:rPr>
      </w:pPr>
      <w:r>
        <w:rPr>
          <w:rFonts w:hint="eastAsia" w:ascii="仿宋_GB2312"/>
          <w:color w:val="000000"/>
          <w:szCs w:val="32"/>
        </w:rPr>
        <w:t xml:space="preserve">十二、“三公”经费：纳入县本级财政预决算管理的“三公”经费，是指县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tabs>
          <w:tab w:val="center" w:pos="4475"/>
        </w:tabs>
        <w:snapToGrid w:val="0"/>
        <w:spacing w:line="600" w:lineRule="exact"/>
        <w:rPr>
          <w:rFonts w:ascii="仿宋_GB2312"/>
        </w:rPr>
      </w:pPr>
      <w:r>
        <w:rPr>
          <w:rFonts w:hint="eastAsia" w:ascii="仿宋_GB2312"/>
          <w:color w:val="000000"/>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600" w:lineRule="exact"/>
        <w:ind w:firstLine="645"/>
        <w:rPr>
          <w:rFonts w:ascii="黑体" w:eastAsia="黑体"/>
          <w:szCs w:val="32"/>
        </w:rPr>
      </w:pPr>
      <w:r>
        <w:rPr>
          <w:rFonts w:hint="eastAsia" w:ascii="黑体" w:eastAsia="黑体"/>
          <w:szCs w:val="32"/>
        </w:rPr>
        <w:t>第四部分：平山镇农村农业服务中心</w:t>
      </w:r>
      <w:r>
        <w:rPr>
          <w:rFonts w:hint="eastAsia" w:ascii="黑体" w:hAnsi="宋体" w:eastAsia="黑体"/>
          <w:szCs w:val="32"/>
        </w:rPr>
        <w:t>2023年</w:t>
      </w:r>
      <w:r>
        <w:rPr>
          <w:rFonts w:hint="eastAsia" w:ascii="黑体" w:eastAsia="黑体"/>
          <w:szCs w:val="32"/>
        </w:rPr>
        <w:t>预算公开报表</w:t>
      </w:r>
    </w:p>
    <w:p>
      <w:pPr>
        <w:tabs>
          <w:tab w:val="center" w:pos="4475"/>
        </w:tabs>
        <w:spacing w:line="600" w:lineRule="exact"/>
        <w:ind w:firstLine="645"/>
        <w:rPr>
          <w:rFonts w:ascii="仿宋_GB2312" w:hAnsi="宋体"/>
          <w:szCs w:val="32"/>
        </w:rPr>
      </w:pPr>
      <w:r>
        <w:rPr>
          <w:rFonts w:hint="eastAsia" w:ascii="仿宋_GB2312" w:hAnsi="宋体"/>
          <w:szCs w:val="32"/>
        </w:rPr>
        <w:t>通过“预算管理一体化系统-2023年数据库-报表系统-1.8.1部门预算公开表”进行直接导出，详见附件。</w:t>
      </w:r>
    </w:p>
    <w:p>
      <w:pPr>
        <w:tabs>
          <w:tab w:val="center" w:pos="4475"/>
        </w:tabs>
        <w:spacing w:line="600" w:lineRule="exact"/>
        <w:ind w:firstLine="645"/>
        <w:rPr>
          <w:rFonts w:ascii="仿宋_GB2312" w:hAnsi="宋体"/>
          <w:szCs w:val="32"/>
        </w:rPr>
      </w:pPr>
    </w:p>
    <w:p/>
    <w:sectPr>
      <w:footerReference r:id="rId3" w:type="default"/>
      <w:footerReference r:id="rId4" w:type="even"/>
      <w:pgSz w:w="11906" w:h="16838"/>
      <w:pgMar w:top="1440" w:right="1440" w:bottom="1440" w:left="1440" w:header="851" w:footer="992" w:gutter="0"/>
      <w:pgNumType w:fmt="numberInDash"/>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eastAsia="宋体"/>
        <w:sz w:val="28"/>
      </w:rPr>
    </w:pPr>
    <w:r>
      <w:rPr>
        <w:rStyle w:val="5"/>
        <w:rFonts w:eastAsia="宋体"/>
        <w:sz w:val="28"/>
      </w:rPr>
      <w:fldChar w:fldCharType="begin"/>
    </w:r>
    <w:r>
      <w:rPr>
        <w:rStyle w:val="5"/>
        <w:rFonts w:eastAsia="宋体"/>
        <w:sz w:val="28"/>
      </w:rPr>
      <w:instrText xml:space="preserve">PAGE  </w:instrText>
    </w:r>
    <w:r>
      <w:rPr>
        <w:rStyle w:val="5"/>
        <w:rFonts w:eastAsia="宋体"/>
        <w:sz w:val="28"/>
      </w:rPr>
      <w:fldChar w:fldCharType="separate"/>
    </w:r>
    <w:r>
      <w:rPr>
        <w:rStyle w:val="5"/>
        <w:rFonts w:eastAsia="宋体"/>
        <w:sz w:val="28"/>
      </w:rPr>
      <w:t>- 8 -</w:t>
    </w:r>
    <w:r>
      <w:rPr>
        <w:rStyle w:val="5"/>
        <w:rFonts w:eastAsia="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Y2UxZTU3ZmY4YjcwYWYyMGIxODM2ZTJiNjk1MmQifQ=="/>
  </w:docVars>
  <w:rsids>
    <w:rsidRoot w:val="7A13777C"/>
    <w:rsid w:val="001A6B8A"/>
    <w:rsid w:val="003101D3"/>
    <w:rsid w:val="00387358"/>
    <w:rsid w:val="004A5BB9"/>
    <w:rsid w:val="00660741"/>
    <w:rsid w:val="00B3158F"/>
    <w:rsid w:val="00C61B8A"/>
    <w:rsid w:val="06CF6549"/>
    <w:rsid w:val="7A13777C"/>
    <w:rsid w:val="7C7C5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3020</Words>
  <Characters>3405</Characters>
  <Lines>25</Lines>
  <Paragraphs>7</Paragraphs>
  <TotalTime>2</TotalTime>
  <ScaleCrop>false</ScaleCrop>
  <LinksUpToDate>false</LinksUpToDate>
  <CharactersWithSpaces>3434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2023-02-19T07:00:00Z</dcterms:created>
  <dc:creator>Administrator</dc:creator>
  <cp:lastModifiedBy>Administrator</cp:lastModifiedBy>
  <dcterms:modified xsi:type="dcterms:W3CDTF">2023-03-28T02:49:00Z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B74A4F7F500442A891292C6A08D1A73F</vt:lpwstr>
  </property>
</Properties>
</file>