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903" w:tblpY="479"/>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0" w:hRule="atLeast"/>
        </w:trPr>
        <w:tc>
          <w:tcPr>
            <w:tcW w:w="8423" w:type="dxa"/>
          </w:tcPr>
          <w:p>
            <w:pPr>
              <w:jc w:val="center"/>
              <w:rPr>
                <w:rFonts w:ascii="黑体" w:hAnsi="宋体" w:eastAsia="黑体"/>
                <w:b/>
                <w:bCs/>
                <w:sz w:val="84"/>
                <w:szCs w:val="84"/>
              </w:rPr>
            </w:pPr>
          </w:p>
          <w:p>
            <w:pPr>
              <w:jc w:val="center"/>
              <w:rPr>
                <w:rFonts w:ascii="黑体" w:eastAsia="黑体"/>
                <w:b/>
                <w:sz w:val="84"/>
                <w:szCs w:val="84"/>
              </w:rPr>
            </w:pPr>
            <w:r>
              <w:rPr>
                <w:rFonts w:hint="eastAsia" w:ascii="黑体" w:hAnsi="宋体" w:eastAsia="黑体"/>
                <w:b/>
                <w:bCs/>
                <w:sz w:val="84"/>
                <w:szCs w:val="84"/>
              </w:rPr>
              <w:t>绩效自评</w:t>
            </w:r>
            <w:r>
              <w:rPr>
                <w:rFonts w:hint="eastAsia" w:ascii="黑体" w:eastAsia="黑体"/>
                <w:b/>
                <w:sz w:val="84"/>
                <w:szCs w:val="84"/>
              </w:rPr>
              <w:t>报告</w:t>
            </w:r>
          </w:p>
          <w:p>
            <w:pPr>
              <w:ind w:firstLine="2520" w:firstLineChars="1050"/>
              <w:jc w:val="center"/>
              <w:rPr>
                <w:rFonts w:ascii="仿宋_GB2312" w:eastAsia="仿宋_GB2312"/>
                <w:sz w:val="24"/>
              </w:rPr>
            </w:pPr>
          </w:p>
          <w:p>
            <w:pPr>
              <w:ind w:firstLine="2520" w:firstLineChars="1050"/>
              <w:jc w:val="center"/>
              <w:rPr>
                <w:rFonts w:ascii="仿宋_GB2312" w:eastAsia="仿宋_GB2312"/>
                <w:sz w:val="24"/>
              </w:rPr>
            </w:pPr>
          </w:p>
          <w:p>
            <w:pPr>
              <w:ind w:firstLine="2520" w:firstLineChars="1050"/>
              <w:jc w:val="center"/>
              <w:rPr>
                <w:rFonts w:ascii="仿宋_GB2312" w:eastAsia="仿宋_GB2312"/>
                <w:sz w:val="24"/>
              </w:rPr>
            </w:pPr>
          </w:p>
          <w:p>
            <w:pPr>
              <w:jc w:val="center"/>
              <w:rPr>
                <w:rFonts w:ascii="仿宋_GB2312" w:eastAsia="仿宋_GB2312"/>
                <w:bCs/>
                <w:sz w:val="30"/>
                <w:szCs w:val="30"/>
              </w:rPr>
            </w:pPr>
            <w:r>
              <w:rPr>
                <w:rFonts w:hint="eastAsia" w:ascii="仿宋_GB2312" w:eastAsia="仿宋_GB2312"/>
                <w:sz w:val="30"/>
                <w:szCs w:val="30"/>
              </w:rPr>
              <w:t>资金名称：</w:t>
            </w:r>
            <w:r>
              <w:rPr>
                <w:rFonts w:hint="eastAsia" w:ascii="仿宋_GB2312" w:eastAsia="仿宋_GB2312"/>
                <w:sz w:val="30"/>
                <w:szCs w:val="30"/>
                <w:lang w:val="en-US" w:eastAsia="zh-CN"/>
              </w:rPr>
              <w:t xml:space="preserve"> 鹿寨县</w:t>
            </w:r>
            <w:r>
              <w:rPr>
                <w:rFonts w:hint="eastAsia" w:ascii="仿宋_GB2312" w:eastAsia="仿宋_GB2312"/>
                <w:sz w:val="30"/>
                <w:szCs w:val="30"/>
              </w:rPr>
              <w:t>革命老区转移支付资金</w:t>
            </w:r>
          </w:p>
          <w:p>
            <w:pPr>
              <w:jc w:val="center"/>
              <w:rPr>
                <w:rFonts w:ascii="仿宋_GB2312" w:eastAsia="仿宋_GB2312"/>
                <w:sz w:val="30"/>
                <w:szCs w:val="30"/>
              </w:rPr>
            </w:pPr>
            <w:r>
              <w:rPr>
                <w:rFonts w:hint="eastAsia" w:ascii="仿宋_GB2312" w:eastAsia="仿宋_GB2312"/>
                <w:bCs/>
                <w:sz w:val="30"/>
                <w:szCs w:val="30"/>
              </w:rPr>
              <w:t>（202</w:t>
            </w:r>
            <w:r>
              <w:rPr>
                <w:rFonts w:hint="eastAsia" w:ascii="仿宋_GB2312" w:eastAsia="仿宋_GB2312"/>
                <w:bCs/>
                <w:sz w:val="30"/>
                <w:szCs w:val="30"/>
                <w:lang w:val="en-US" w:eastAsia="zh-CN"/>
              </w:rPr>
              <w:t>2</w:t>
            </w:r>
            <w:r>
              <w:rPr>
                <w:rFonts w:hint="eastAsia" w:ascii="仿宋_GB2312" w:eastAsia="仿宋_GB2312"/>
                <w:sz w:val="30"/>
                <w:szCs w:val="30"/>
              </w:rPr>
              <w:t>年度</w:t>
            </w:r>
            <w:r>
              <w:rPr>
                <w:rFonts w:hint="eastAsia" w:ascii="仿宋_GB2312" w:eastAsia="仿宋_GB2312"/>
                <w:bCs/>
                <w:sz w:val="30"/>
                <w:szCs w:val="30"/>
              </w:rPr>
              <w:t>）</w:t>
            </w:r>
          </w:p>
          <w:p>
            <w:pPr>
              <w:jc w:val="center"/>
              <w:rPr>
                <w:rFonts w:ascii="仿宋_GB2312" w:eastAsia="仿宋_GB2312"/>
                <w:sz w:val="24"/>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Cs/>
                <w:sz w:val="32"/>
                <w:szCs w:val="32"/>
              </w:rPr>
            </w:pPr>
            <w:r>
              <w:rPr>
                <w:rFonts w:hint="eastAsia" w:ascii="仿宋_GB2312" w:eastAsia="仿宋_GB2312"/>
                <w:bCs/>
                <w:sz w:val="32"/>
                <w:szCs w:val="32"/>
                <w:lang w:val="en-US" w:eastAsia="zh-CN"/>
              </w:rPr>
              <w:t>鹿寨县</w:t>
            </w:r>
            <w:r>
              <w:rPr>
                <w:rFonts w:hint="eastAsia" w:ascii="仿宋_GB2312" w:eastAsia="仿宋_GB2312"/>
                <w:bCs/>
                <w:sz w:val="32"/>
                <w:szCs w:val="32"/>
              </w:rPr>
              <w:t>财政局</w:t>
            </w:r>
          </w:p>
          <w:p>
            <w:pPr>
              <w:spacing w:line="560" w:lineRule="exact"/>
              <w:jc w:val="center"/>
              <w:rPr>
                <w:rFonts w:ascii="宋体" w:hAnsi="宋体"/>
                <w:b/>
                <w:bCs/>
                <w:sz w:val="44"/>
                <w:szCs w:val="44"/>
              </w:rPr>
            </w:pP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年</w:t>
            </w:r>
            <w:r>
              <w:rPr>
                <w:rFonts w:hint="eastAsia" w:ascii="仿宋_GB2312" w:eastAsia="仿宋_GB2312"/>
                <w:bCs/>
                <w:sz w:val="32"/>
                <w:szCs w:val="32"/>
                <w:lang w:val="en-US" w:eastAsia="zh-CN"/>
              </w:rPr>
              <w:t>6</w:t>
            </w:r>
            <w:r>
              <w:rPr>
                <w:rFonts w:hint="eastAsia" w:ascii="仿宋_GB2312" w:eastAsia="仿宋_GB2312"/>
                <w:bCs/>
                <w:sz w:val="32"/>
                <w:szCs w:val="32"/>
              </w:rPr>
              <w:t>月</w:t>
            </w:r>
          </w:p>
          <w:p>
            <w:pPr>
              <w:spacing w:line="560" w:lineRule="exact"/>
              <w:jc w:val="center"/>
              <w:rPr>
                <w:rFonts w:ascii="宋体" w:hAnsi="宋体"/>
                <w:b/>
                <w:bCs/>
                <w:sz w:val="44"/>
                <w:szCs w:val="44"/>
              </w:rPr>
            </w:pPr>
          </w:p>
        </w:tc>
      </w:tr>
    </w:tbl>
    <w:p>
      <w:pPr>
        <w:spacing w:line="560" w:lineRule="exact"/>
        <w:ind w:firstLine="883" w:firstLineChars="200"/>
        <w:jc w:val="center"/>
        <w:rPr>
          <w:rFonts w:hint="eastAsia" w:ascii="宋体" w:hAnsi="宋体"/>
          <w:b/>
          <w:bCs/>
          <w:sz w:val="44"/>
          <w:szCs w:val="44"/>
        </w:rPr>
      </w:pPr>
    </w:p>
    <w:p>
      <w:pPr>
        <w:spacing w:line="560" w:lineRule="exact"/>
        <w:rPr>
          <w:rFonts w:ascii="黑体" w:hAnsi="黑体" w:eastAsia="黑体"/>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、转移支付资金管理情况</w:t>
      </w:r>
    </w:p>
    <w:p>
      <w:pPr>
        <w:spacing w:line="560" w:lineRule="exact"/>
        <w:ind w:firstLine="643" w:firstLineChars="200"/>
        <w:rPr>
          <w:rFonts w:hint="eastAsia" w:ascii="仿宋_GB2312" w:hAnsi="黑体" w:eastAsia="仿宋_GB2312"/>
          <w:b/>
          <w:bCs/>
          <w:color w:val="000000"/>
          <w:sz w:val="32"/>
          <w:szCs w:val="32"/>
        </w:rPr>
      </w:pPr>
      <w:r>
        <w:rPr>
          <w:rFonts w:hint="eastAsia" w:ascii="仿宋_GB2312" w:hAnsi="黑体" w:eastAsia="仿宋_GB2312"/>
          <w:b/>
          <w:bCs/>
          <w:color w:val="000000"/>
          <w:sz w:val="32"/>
          <w:szCs w:val="32"/>
        </w:rPr>
        <w:t>（一）转移支付资金制度建设情况</w:t>
      </w:r>
    </w:p>
    <w:p>
      <w:pPr>
        <w:spacing w:line="560" w:lineRule="exact"/>
        <w:ind w:firstLine="640" w:firstLineChars="200"/>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eastAsia="zh-CN"/>
        </w:rPr>
        <w:t>为促进革命老区各项社会事业发展，支持革命老区改善和保障民生，进一步规范革命老区转移支付资金管理，提高资金使用效益，根据财政部《革命老区转移支付资金管理办法》、《广西壮族自治区财政厅关于印发广西壮族自治区革命老区转移支付资金管理办法的通知》（桂财预［2019］104号）等有关规定，结合我县实际，按照自治区要求制定《鹿寨县革命老区转移支付资金管理办法》（鹿财预</w:t>
      </w:r>
      <w:r>
        <w:rPr>
          <w:rFonts w:hint="eastAsia" w:ascii="仿宋_GB2312" w:hAnsi="黑体" w:eastAsia="仿宋_GB2312"/>
          <w:color w:val="000000"/>
          <w:sz w:val="32"/>
          <w:szCs w:val="32"/>
          <w:lang w:val="en-US" w:eastAsia="zh-CN"/>
        </w:rPr>
        <w:t>[2019]14号</w:t>
      </w:r>
      <w:r>
        <w:rPr>
          <w:rFonts w:hint="eastAsia" w:ascii="仿宋_GB2312" w:hAnsi="黑体" w:eastAsia="仿宋_GB2312"/>
          <w:color w:val="000000"/>
          <w:sz w:val="32"/>
          <w:szCs w:val="32"/>
          <w:lang w:eastAsia="zh-CN"/>
        </w:rPr>
        <w:t>），对</w:t>
      </w:r>
      <w:r>
        <w:rPr>
          <w:rFonts w:hint="eastAsia" w:ascii="仿宋_GB2312" w:hAnsi="黑体" w:eastAsia="仿宋_GB2312"/>
          <w:color w:val="000000"/>
          <w:sz w:val="32"/>
          <w:szCs w:val="32"/>
          <w:lang w:val="en-US" w:eastAsia="zh-CN"/>
        </w:rPr>
        <w:t>安排使用及管理革命老区转移支付资金应当遵循突出重点、公开透明、注重实效、强化监督的原则。</w:t>
      </w:r>
    </w:p>
    <w:p>
      <w:pPr>
        <w:numPr>
          <w:ilvl w:val="0"/>
          <w:numId w:val="1"/>
        </w:numPr>
        <w:spacing w:line="560" w:lineRule="exact"/>
        <w:ind w:firstLine="643" w:firstLineChars="200"/>
        <w:rPr>
          <w:rFonts w:hint="eastAsia" w:ascii="仿宋_GB2312" w:hAnsi="黑体" w:eastAsia="仿宋_GB2312"/>
          <w:b/>
          <w:bCs/>
          <w:color w:val="000000"/>
          <w:sz w:val="32"/>
          <w:szCs w:val="32"/>
          <w:lang w:eastAsia="zh-CN"/>
        </w:rPr>
      </w:pPr>
      <w:r>
        <w:rPr>
          <w:rFonts w:hint="eastAsia" w:ascii="仿宋_GB2312" w:hAnsi="黑体" w:eastAsia="仿宋_GB2312"/>
          <w:b/>
          <w:bCs/>
          <w:color w:val="000000"/>
          <w:sz w:val="32"/>
          <w:szCs w:val="32"/>
        </w:rPr>
        <w:t>转移支付资金规模、项目安排、投资总规模等情况</w:t>
      </w:r>
    </w:p>
    <w:p>
      <w:pPr>
        <w:numPr>
          <w:ilvl w:val="0"/>
          <w:numId w:val="0"/>
        </w:numPr>
        <w:spacing w:line="56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2022年我县获革命老区转移支付资金共839万元，安排</w:t>
      </w:r>
      <w:r>
        <w:rPr>
          <w:rFonts w:hint="eastAsia" w:ascii="仿宋_GB2312" w:hAnsi="仿宋_GB2312" w:eastAsia="仿宋_GB2312" w:cs="仿宋_GB2312"/>
          <w:b w:val="0"/>
          <w:bCs w:val="0"/>
          <w:sz w:val="32"/>
          <w:szCs w:val="32"/>
          <w:lang w:val="en-US" w:eastAsia="zh-CN"/>
        </w:rPr>
        <w:t>平山镇红色文化小广场工程240万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平山镇福元寨古炮楼修复工程89万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四排镇白合村寨南屯产业道路工程49.5万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四排镇那当村川岩屯扁石山塘水坝建设工程50万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四排镇泗湖村至大龙桥道路硬化工程70.5万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四排镇四排村汶水屯“美丽村庄”项目100万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四排镇思民村寺村屯涵洞工程30万</w:t>
      </w:r>
      <w:r>
        <w:rPr>
          <w:rFonts w:hint="eastAsia" w:ascii="仿宋_GB2312" w:hAnsi="黑体" w:eastAsia="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四排镇新庆村乡村振兴基础设施提升工程5万</w:t>
      </w:r>
      <w:r>
        <w:rPr>
          <w:rFonts w:hint="eastAsia" w:ascii="仿宋_GB2312" w:hAnsi="黑体" w:eastAsia="仿宋_GB2312"/>
          <w:color w:val="000000"/>
          <w:sz w:val="32"/>
          <w:szCs w:val="32"/>
          <w:lang w:val="en-US" w:eastAsia="zh-CN"/>
        </w:rPr>
        <w:t>；中渡镇福龙村乡村振兴基础设施提升工程30万；中渡镇黄腊村乡村振兴基础设施提升工程20万；鹿寨县党史教育基地（榴江当铺）配套设施工程155万。</w:t>
      </w:r>
    </w:p>
    <w:p>
      <w:pPr>
        <w:numPr>
          <w:ilvl w:val="0"/>
          <w:numId w:val="1"/>
        </w:numPr>
        <w:spacing w:line="560" w:lineRule="exact"/>
        <w:ind w:left="0" w:leftChars="0" w:firstLine="643" w:firstLineChars="200"/>
        <w:rPr>
          <w:rFonts w:hint="eastAsia" w:ascii="仿宋_GB2312" w:hAnsi="黑体" w:eastAsia="仿宋_GB2312"/>
          <w:b/>
          <w:bCs/>
          <w:color w:val="000000"/>
          <w:sz w:val="32"/>
          <w:szCs w:val="32"/>
        </w:rPr>
      </w:pPr>
      <w:r>
        <w:rPr>
          <w:rFonts w:hint="eastAsia" w:ascii="仿宋_GB2312" w:hAnsi="黑体" w:eastAsia="仿宋_GB2312"/>
          <w:b/>
          <w:bCs/>
          <w:color w:val="000000"/>
          <w:sz w:val="32"/>
          <w:szCs w:val="32"/>
        </w:rPr>
        <w:t>转移支付资金使用情况</w:t>
      </w:r>
    </w:p>
    <w:p>
      <w:pPr>
        <w:keepNext w:val="0"/>
        <w:keepLines w:val="0"/>
        <w:pageBreakBefore w:val="0"/>
        <w:numPr>
          <w:ilvl w:val="0"/>
          <w:numId w:val="0"/>
        </w:numPr>
        <w:kinsoku/>
        <w:wordWrap/>
        <w:overflowPunct/>
        <w:topLinePunct w:val="0"/>
        <w:autoSpaceDN/>
        <w:bidi w:val="0"/>
        <w:adjustRightInd/>
        <w:spacing w:line="560" w:lineRule="exact"/>
        <w:ind w:right="0" w:rightChars="0" w:firstLine="640" w:firstLineChars="200"/>
        <w:jc w:val="left"/>
        <w:textAlignment w:val="auto"/>
        <w:rPr>
          <w:rFonts w:hint="default" w:ascii="仿宋_GB2312" w:hAnsi="黑体" w:eastAsia="仿宋_GB2312"/>
          <w:color w:val="000000"/>
          <w:sz w:val="32"/>
          <w:szCs w:val="32"/>
          <w:lang w:val="en-US" w:eastAsia="zh-CN"/>
        </w:rPr>
      </w:pPr>
      <w:r>
        <w:rPr>
          <w:rFonts w:hint="eastAsia" w:ascii="仿宋_GB2312" w:hAnsi="仿宋" w:eastAsia="仿宋_GB2312" w:cs="宋体"/>
          <w:sz w:val="32"/>
          <w:szCs w:val="32"/>
        </w:rPr>
        <w:t>在落实</w:t>
      </w:r>
      <w:r>
        <w:rPr>
          <w:rFonts w:hint="eastAsia" w:ascii="仿宋_GB2312" w:hAnsi="仿宋" w:eastAsia="仿宋_GB2312" w:cs="宋体"/>
          <w:sz w:val="32"/>
          <w:szCs w:val="32"/>
          <w:lang w:eastAsia="zh-CN"/>
        </w:rPr>
        <w:t>项目资金</w:t>
      </w:r>
      <w:r>
        <w:rPr>
          <w:rFonts w:hint="eastAsia" w:ascii="仿宋_GB2312" w:hAnsi="仿宋" w:eastAsia="仿宋_GB2312" w:cs="宋体"/>
          <w:sz w:val="32"/>
          <w:szCs w:val="32"/>
        </w:rPr>
        <w:t>时</w:t>
      </w:r>
      <w:r>
        <w:rPr>
          <w:rFonts w:hint="eastAsia" w:ascii="仿宋_GB2312" w:hAnsi="仿宋" w:eastAsia="仿宋_GB2312" w:cs="宋体"/>
          <w:sz w:val="32"/>
          <w:szCs w:val="32"/>
          <w:lang w:eastAsia="zh-CN"/>
        </w:rPr>
        <w:t>严格依法依规申报、公示公告、政府采购、招投标等工作程序办理，</w:t>
      </w:r>
      <w:r>
        <w:rPr>
          <w:rFonts w:hint="eastAsia" w:ascii="仿宋_GB2312" w:hAnsi="仿宋" w:eastAsia="仿宋_GB2312" w:cs="宋体"/>
          <w:sz w:val="32"/>
          <w:szCs w:val="32"/>
        </w:rPr>
        <w:t>未出现不作为、乱作为、优亲厚友等现象</w:t>
      </w:r>
      <w:r>
        <w:rPr>
          <w:rFonts w:hint="eastAsia" w:ascii="仿宋_GB2312" w:hAnsi="仿宋" w:eastAsia="仿宋_GB2312" w:cs="宋体"/>
          <w:sz w:val="32"/>
          <w:szCs w:val="32"/>
          <w:lang w:eastAsia="zh-CN"/>
        </w:rPr>
        <w:t>，所有项目当年安排当年建设完工并交付使用，当年资金当年使用完毕</w:t>
      </w:r>
      <w:r>
        <w:rPr>
          <w:rFonts w:hint="eastAsia" w:ascii="仿宋_GB2312" w:hAnsi="仿宋" w:eastAsia="仿宋_GB2312" w:cs="宋体"/>
          <w:sz w:val="32"/>
          <w:szCs w:val="32"/>
          <w:lang w:val="en-US" w:eastAsia="zh-CN"/>
        </w:rPr>
        <w:t>。</w:t>
      </w:r>
      <w:r>
        <w:rPr>
          <w:rFonts w:hint="eastAsia" w:ascii="仿宋_GB2312" w:hAnsi="仿宋_GB2312" w:eastAsia="仿宋_GB2312" w:cs="仿宋_GB2312"/>
          <w:sz w:val="32"/>
          <w:szCs w:val="32"/>
        </w:rPr>
        <w:t>我县</w:t>
      </w:r>
      <w:r>
        <w:rPr>
          <w:rFonts w:hint="eastAsia" w:ascii="仿宋_GB2312" w:hAnsi="仿宋" w:eastAsia="仿宋_GB2312" w:cs="宋体"/>
          <w:sz w:val="32"/>
          <w:szCs w:val="32"/>
          <w:lang w:val="en-US" w:eastAsia="zh-CN"/>
        </w:rPr>
        <w:t>革命老区转移支付资金</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范、投向符合规定，各种制度健全，资金产生的经济效益、社会效益明显。</w:t>
      </w:r>
      <w:r>
        <w:rPr>
          <w:rFonts w:hint="eastAsia" w:ascii="仿宋_GB2312" w:hAnsi="仿宋_GB2312" w:eastAsia="仿宋_GB2312" w:cs="仿宋_GB2312"/>
          <w:color w:val="FF0000"/>
          <w:sz w:val="32"/>
          <w:szCs w:val="32"/>
          <w:lang w:val="en-US" w:eastAsia="zh-CN"/>
        </w:rPr>
        <w:t xml:space="preserve"> </w:t>
      </w:r>
      <w:r>
        <w:rPr>
          <w:rFonts w:hint="eastAsia" w:ascii="仿宋_GB2312" w:hAnsi="黑体" w:eastAsia="仿宋_GB2312"/>
          <w:color w:val="auto"/>
          <w:sz w:val="32"/>
          <w:szCs w:val="32"/>
          <w:lang w:eastAsia="zh-CN"/>
        </w:rPr>
        <w:t>截止</w:t>
      </w:r>
      <w:r>
        <w:rPr>
          <w:rFonts w:hint="eastAsia" w:ascii="仿宋_GB2312" w:hAnsi="黑体" w:eastAsia="仿宋_GB2312"/>
          <w:color w:val="auto"/>
          <w:sz w:val="32"/>
          <w:szCs w:val="32"/>
          <w:lang w:val="en-US" w:eastAsia="zh-CN"/>
        </w:rPr>
        <w:t>2022年12月31日，安排的11个项目中10个已完成当年预计工程量，支付率为51%，截至2023年4月30日支付率达51%。</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二、绩效评价指标自评分析</w:t>
      </w:r>
    </w:p>
    <w:p>
      <w:pPr>
        <w:spacing w:line="560" w:lineRule="exact"/>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eastAsia="zh-CN"/>
        </w:rPr>
        <w:t>（一）</w:t>
      </w:r>
      <w:r>
        <w:rPr>
          <w:rFonts w:hint="eastAsia" w:ascii="仿宋_GB2312" w:hAnsi="黑体" w:eastAsia="仿宋_GB2312"/>
          <w:b/>
          <w:bCs/>
          <w:sz w:val="32"/>
          <w:szCs w:val="32"/>
          <w:lang w:val="en-US" w:eastAsia="zh-CN"/>
        </w:rPr>
        <w:t>制度机制建设（满分9分，自评9分）</w:t>
      </w:r>
    </w:p>
    <w:p>
      <w:pPr>
        <w:spacing w:line="560" w:lineRule="exact"/>
        <w:ind w:firstLine="640" w:firstLineChars="200"/>
        <w:rPr>
          <w:rFonts w:hint="eastAsia" w:ascii="仿宋_GB2312" w:hAnsi="黑体" w:eastAsia="仿宋_GB2312"/>
          <w:color w:val="000000"/>
          <w:sz w:val="32"/>
          <w:szCs w:val="32"/>
          <w:lang w:eastAsia="zh-CN"/>
        </w:rPr>
      </w:pPr>
      <w:r>
        <w:rPr>
          <w:rFonts w:hint="eastAsia" w:ascii="仿宋_GB2312" w:hAnsi="黑体" w:eastAsia="仿宋_GB2312"/>
          <w:sz w:val="32"/>
          <w:szCs w:val="32"/>
          <w:lang w:val="en-US" w:eastAsia="zh-CN"/>
        </w:rPr>
        <w:t>我县按照自治区要求制定了</w:t>
      </w:r>
      <w:r>
        <w:rPr>
          <w:rFonts w:hint="eastAsia" w:ascii="仿宋_GB2312" w:hAnsi="黑体" w:eastAsia="仿宋_GB2312"/>
          <w:color w:val="000000"/>
          <w:sz w:val="32"/>
          <w:szCs w:val="32"/>
          <w:lang w:eastAsia="zh-CN"/>
        </w:rPr>
        <w:t>《鹿寨县革命老区转移支付资金管理办法》（鹿财预</w:t>
      </w:r>
      <w:r>
        <w:rPr>
          <w:rFonts w:hint="eastAsia" w:ascii="仿宋_GB2312" w:hAnsi="黑体" w:eastAsia="仿宋_GB2312"/>
          <w:color w:val="000000"/>
          <w:sz w:val="32"/>
          <w:szCs w:val="32"/>
          <w:lang w:val="en-US" w:eastAsia="zh-CN"/>
        </w:rPr>
        <w:t>[2019]14号</w:t>
      </w:r>
      <w:r>
        <w:rPr>
          <w:rFonts w:hint="eastAsia" w:ascii="仿宋_GB2312" w:hAnsi="黑体" w:eastAsia="仿宋_GB2312"/>
          <w:color w:val="000000"/>
          <w:sz w:val="32"/>
          <w:szCs w:val="32"/>
          <w:lang w:eastAsia="zh-CN"/>
        </w:rPr>
        <w:t>），</w:t>
      </w:r>
      <w:r>
        <w:rPr>
          <w:rFonts w:hint="eastAsia" w:ascii="仿宋_GB2312" w:hAnsi="宋体" w:eastAsia="仿宋_GB2312"/>
          <w:bCs/>
          <w:spacing w:val="-8"/>
          <w:sz w:val="32"/>
          <w:szCs w:val="32"/>
          <w:lang w:eastAsia="zh-CN"/>
        </w:rPr>
        <w:t>项目申报经过必要的可行性研究论证、集体决策，由财政部门牵头对项目进行监督检查和绩效评价。</w:t>
      </w:r>
    </w:p>
    <w:p>
      <w:pPr>
        <w:numPr>
          <w:ilvl w:val="0"/>
          <w:numId w:val="2"/>
        </w:numPr>
        <w:spacing w:line="560" w:lineRule="exact"/>
        <w:ind w:left="-10" w:leftChars="0" w:firstLine="640" w:firstLineChars="0"/>
        <w:rPr>
          <w:rFonts w:hint="eastAsia" w:ascii="仿宋_GB2312" w:hAnsi="黑体" w:eastAsia="仿宋_GB2312"/>
          <w:b/>
          <w:bCs/>
          <w:color w:val="000000"/>
          <w:sz w:val="32"/>
          <w:szCs w:val="32"/>
          <w:lang w:val="en-US" w:eastAsia="zh-CN"/>
        </w:rPr>
      </w:pPr>
      <w:r>
        <w:rPr>
          <w:rFonts w:hint="eastAsia" w:ascii="仿宋_GB2312" w:hAnsi="黑体" w:eastAsia="仿宋_GB2312"/>
          <w:b/>
          <w:bCs/>
          <w:color w:val="000000"/>
          <w:sz w:val="32"/>
          <w:szCs w:val="32"/>
          <w:lang w:val="en-US" w:eastAsia="zh-CN"/>
        </w:rPr>
        <w:t>项目管理（</w:t>
      </w:r>
      <w:r>
        <w:rPr>
          <w:rFonts w:hint="eastAsia" w:ascii="仿宋_GB2312" w:hAnsi="黑体" w:eastAsia="仿宋_GB2312"/>
          <w:b/>
          <w:bCs/>
          <w:sz w:val="32"/>
          <w:szCs w:val="32"/>
          <w:lang w:val="en-US" w:eastAsia="zh-CN"/>
        </w:rPr>
        <w:t>满分15分，自评15分</w:t>
      </w:r>
      <w:r>
        <w:rPr>
          <w:rFonts w:hint="eastAsia" w:ascii="仿宋_GB2312" w:hAnsi="黑体" w:eastAsia="仿宋_GB2312"/>
          <w:b/>
          <w:bCs/>
          <w:color w:val="000000"/>
          <w:sz w:val="32"/>
          <w:szCs w:val="32"/>
          <w:lang w:val="en-US" w:eastAsia="zh-CN"/>
        </w:rPr>
        <w:t>）</w:t>
      </w:r>
    </w:p>
    <w:p>
      <w:pPr>
        <w:numPr>
          <w:ilvl w:val="0"/>
          <w:numId w:val="0"/>
        </w:numPr>
        <w:spacing w:line="560" w:lineRule="exact"/>
        <w:ind w:firstLine="640"/>
        <w:rPr>
          <w:rFonts w:hint="default" w:ascii="仿宋_GB2312" w:hAnsi="黑体" w:eastAsia="仿宋_GB2312"/>
          <w:color w:val="000000"/>
          <w:sz w:val="32"/>
          <w:szCs w:val="32"/>
          <w:lang w:val="en-US" w:eastAsia="zh-CN"/>
        </w:rPr>
      </w:pPr>
      <w:r>
        <w:rPr>
          <w:rFonts w:hint="eastAsia" w:ascii="仿宋_GB2312" w:hAnsi="宋体" w:eastAsia="仿宋_GB2312"/>
          <w:bCs/>
          <w:spacing w:val="-8"/>
          <w:sz w:val="32"/>
          <w:szCs w:val="32"/>
          <w:lang w:val="en-US" w:eastAsia="zh-CN"/>
        </w:rPr>
        <w:t>申报项目能及时报同级政府或上级财政部门审定，项目批复后能及时落实到主管部门或项目单位，按照评审、政府采购、合同签订、工程监理、竣工验收等相关程序进行全程管理，建设内容明确、清晰、准确、编制产出、效果、满意度绩效指标。</w:t>
      </w:r>
      <w:r>
        <w:rPr>
          <w:rFonts w:hint="eastAsia" w:ascii="仿宋_GB2312" w:hAnsi="黑体" w:eastAsia="仿宋_GB2312"/>
          <w:color w:val="000000"/>
          <w:sz w:val="32"/>
          <w:szCs w:val="32"/>
          <w:lang w:val="en-US" w:eastAsia="zh-CN"/>
        </w:rPr>
        <w:t>无被上级主管部门应报备不及时通报。</w:t>
      </w:r>
    </w:p>
    <w:p>
      <w:pPr>
        <w:keepNext w:val="0"/>
        <w:keepLines w:val="0"/>
        <w:pageBreakBefore w:val="0"/>
        <w:kinsoku/>
        <w:wordWrap/>
        <w:overflowPunct/>
        <w:topLinePunct w:val="0"/>
        <w:autoSpaceDN/>
        <w:bidi w:val="0"/>
        <w:adjustRightInd/>
        <w:spacing w:line="560" w:lineRule="exact"/>
        <w:ind w:firstLine="611" w:firstLineChars="200"/>
        <w:textAlignment w:val="auto"/>
        <w:rPr>
          <w:rFonts w:hint="eastAsia" w:ascii="仿宋_GB2312" w:hAnsi="宋体" w:eastAsia="仿宋_GB2312"/>
          <w:b/>
          <w:bCs w:val="0"/>
          <w:color w:val="auto"/>
          <w:spacing w:val="-8"/>
          <w:sz w:val="32"/>
          <w:szCs w:val="32"/>
          <w:lang w:val="en-US" w:eastAsia="zh-CN"/>
        </w:rPr>
      </w:pPr>
      <w:bookmarkStart w:id="0" w:name="_GoBack"/>
      <w:r>
        <w:rPr>
          <w:rFonts w:hint="eastAsia" w:ascii="仿宋_GB2312" w:hAnsi="宋体" w:eastAsia="仿宋_GB2312"/>
          <w:b/>
          <w:bCs w:val="0"/>
          <w:color w:val="auto"/>
          <w:spacing w:val="-8"/>
          <w:sz w:val="32"/>
          <w:szCs w:val="32"/>
          <w:lang w:val="en-US" w:eastAsia="zh-CN"/>
        </w:rPr>
        <w:t>（三）资金管理（</w:t>
      </w:r>
      <w:r>
        <w:rPr>
          <w:rFonts w:hint="eastAsia" w:ascii="仿宋_GB2312" w:hAnsi="黑体" w:eastAsia="仿宋_GB2312"/>
          <w:b/>
          <w:bCs w:val="0"/>
          <w:color w:val="auto"/>
          <w:sz w:val="32"/>
          <w:szCs w:val="32"/>
          <w:lang w:val="en-US" w:eastAsia="zh-CN"/>
        </w:rPr>
        <w:t>满分16分，自评13分</w:t>
      </w:r>
      <w:r>
        <w:rPr>
          <w:rFonts w:hint="eastAsia" w:ascii="仿宋_GB2312" w:hAnsi="宋体" w:eastAsia="仿宋_GB2312"/>
          <w:b/>
          <w:bCs w:val="0"/>
          <w:color w:val="auto"/>
          <w:spacing w:val="-8"/>
          <w:sz w:val="32"/>
          <w:szCs w:val="32"/>
          <w:lang w:val="en-US" w:eastAsia="zh-CN"/>
        </w:rPr>
        <w:t>）</w:t>
      </w:r>
    </w:p>
    <w:p>
      <w:pPr>
        <w:numPr>
          <w:ilvl w:val="0"/>
          <w:numId w:val="0"/>
        </w:numPr>
        <w:spacing w:line="560" w:lineRule="exact"/>
        <w:ind w:firstLine="608" w:firstLineChars="200"/>
        <w:rPr>
          <w:rFonts w:hint="default" w:ascii="仿宋_GB2312" w:hAnsi="黑体" w:eastAsia="仿宋_GB2312"/>
          <w:b/>
          <w:bCs/>
          <w:color w:val="auto"/>
          <w:sz w:val="32"/>
          <w:szCs w:val="32"/>
          <w:lang w:val="en-US" w:eastAsia="zh-CN"/>
        </w:rPr>
      </w:pPr>
      <w:r>
        <w:rPr>
          <w:rFonts w:hint="eastAsia" w:ascii="仿宋_GB2312" w:hAnsi="宋体" w:eastAsia="仿宋_GB2312"/>
          <w:bCs/>
          <w:color w:val="auto"/>
          <w:spacing w:val="-8"/>
          <w:sz w:val="32"/>
          <w:szCs w:val="32"/>
          <w:lang w:val="en-US" w:eastAsia="zh-CN"/>
        </w:rPr>
        <w:t>截至当年12月31日我县革命老区转移支付资金支出进度达到51%，资金按照合同约定或项目施工进度拨付到项目单位，资金在转移支付管理办法规定的方向、范围、标准、用途内使用，项目按财务核算管理规定及时、准确核算。</w:t>
      </w:r>
    </w:p>
    <w:bookmarkEnd w:id="0"/>
    <w:p>
      <w:pPr>
        <w:numPr>
          <w:ilvl w:val="0"/>
          <w:numId w:val="0"/>
        </w:numPr>
        <w:spacing w:line="560" w:lineRule="exact"/>
        <w:ind w:left="630" w:leftChars="0"/>
        <w:rPr>
          <w:rFonts w:hint="eastAsia" w:ascii="仿宋_GB2312" w:hAnsi="黑体" w:eastAsia="仿宋_GB2312"/>
          <w:b/>
          <w:bCs/>
          <w:color w:val="auto"/>
          <w:sz w:val="32"/>
          <w:szCs w:val="32"/>
          <w:lang w:val="en-US" w:eastAsia="zh-CN"/>
        </w:rPr>
      </w:pPr>
      <w:r>
        <w:rPr>
          <w:rFonts w:hint="eastAsia" w:ascii="仿宋_GB2312" w:hAnsi="黑体" w:eastAsia="仿宋_GB2312"/>
          <w:b/>
          <w:bCs/>
          <w:color w:val="auto"/>
          <w:sz w:val="32"/>
          <w:szCs w:val="32"/>
          <w:lang w:val="en-US" w:eastAsia="zh-CN"/>
        </w:rPr>
        <w:t>（四）产出（满分30分，自评30分）</w:t>
      </w:r>
    </w:p>
    <w:p>
      <w:pPr>
        <w:numPr>
          <w:ilvl w:val="0"/>
          <w:numId w:val="0"/>
        </w:numPr>
        <w:spacing w:line="560" w:lineRule="exact"/>
        <w:ind w:firstLine="608" w:firstLineChars="200"/>
        <w:rPr>
          <w:rFonts w:hint="eastAsia" w:ascii="仿宋_GB2312" w:hAnsi="宋体" w:eastAsia="仿宋_GB2312"/>
          <w:bCs/>
          <w:color w:val="auto"/>
          <w:spacing w:val="-8"/>
          <w:sz w:val="32"/>
          <w:szCs w:val="32"/>
          <w:lang w:val="en-US" w:eastAsia="zh-CN"/>
        </w:rPr>
      </w:pPr>
      <w:r>
        <w:rPr>
          <w:rFonts w:hint="eastAsia" w:ascii="仿宋_GB2312" w:hAnsi="宋体" w:eastAsia="仿宋_GB2312"/>
          <w:bCs/>
          <w:color w:val="auto"/>
          <w:spacing w:val="-8"/>
          <w:sz w:val="32"/>
          <w:szCs w:val="32"/>
          <w:lang w:val="en-US" w:eastAsia="zh-CN"/>
        </w:rPr>
        <w:t>截至当年12月31日我县项目完成程度按项目个数计算达到91%；截至当年12月31日我县项目完成程度按投资规模计算达</w:t>
      </w:r>
      <w:r>
        <w:rPr>
          <w:rFonts w:hint="eastAsia" w:ascii="仿宋_GB2312" w:hAnsi="宋体" w:eastAsia="仿宋_GB2312"/>
          <w:bCs/>
          <w:color w:val="auto"/>
          <w:spacing w:val="-8"/>
          <w:sz w:val="32"/>
          <w:szCs w:val="32"/>
          <w:highlight w:val="none"/>
          <w:lang w:val="en-US" w:eastAsia="zh-CN"/>
        </w:rPr>
        <w:t>到94%</w:t>
      </w:r>
      <w:r>
        <w:rPr>
          <w:rFonts w:hint="eastAsia" w:ascii="仿宋_GB2312" w:hAnsi="宋体" w:eastAsia="仿宋_GB2312"/>
          <w:bCs/>
          <w:color w:val="auto"/>
          <w:spacing w:val="-8"/>
          <w:sz w:val="32"/>
          <w:szCs w:val="32"/>
          <w:lang w:val="en-US" w:eastAsia="zh-CN"/>
        </w:rPr>
        <w:t>，项目完成计划工程量均验收合格，投资按计划投资额进行。</w:t>
      </w:r>
    </w:p>
    <w:p>
      <w:pPr>
        <w:numPr>
          <w:ilvl w:val="0"/>
          <w:numId w:val="0"/>
        </w:numPr>
        <w:spacing w:line="560" w:lineRule="exact"/>
        <w:ind w:left="630" w:leftChars="0"/>
        <w:rPr>
          <w:rFonts w:hint="eastAsia" w:ascii="仿宋_GB2312" w:hAnsi="黑体" w:eastAsia="仿宋_GB2312"/>
          <w:b/>
          <w:bCs/>
          <w:color w:val="000000"/>
          <w:sz w:val="32"/>
          <w:szCs w:val="32"/>
          <w:lang w:val="en-US" w:eastAsia="zh-CN"/>
        </w:rPr>
      </w:pPr>
      <w:r>
        <w:rPr>
          <w:rFonts w:hint="eastAsia" w:ascii="仿宋_GB2312" w:hAnsi="宋体" w:eastAsia="仿宋_GB2312"/>
          <w:b/>
          <w:bCs w:val="0"/>
          <w:spacing w:val="-8"/>
          <w:sz w:val="32"/>
          <w:szCs w:val="32"/>
          <w:lang w:val="en-US" w:eastAsia="zh-CN"/>
        </w:rPr>
        <w:t>（五）效果</w:t>
      </w:r>
      <w:r>
        <w:rPr>
          <w:rFonts w:hint="eastAsia" w:ascii="仿宋_GB2312" w:hAnsi="黑体" w:eastAsia="仿宋_GB2312"/>
          <w:b/>
          <w:bCs/>
          <w:color w:val="000000"/>
          <w:sz w:val="32"/>
          <w:szCs w:val="32"/>
          <w:lang w:val="en-US" w:eastAsia="zh-CN"/>
        </w:rPr>
        <w:t>（</w:t>
      </w:r>
      <w:r>
        <w:rPr>
          <w:rFonts w:hint="eastAsia" w:ascii="仿宋_GB2312" w:hAnsi="黑体" w:eastAsia="仿宋_GB2312"/>
          <w:b/>
          <w:bCs/>
          <w:sz w:val="32"/>
          <w:szCs w:val="32"/>
          <w:lang w:val="en-US" w:eastAsia="zh-CN"/>
        </w:rPr>
        <w:t>满分30分，自评30分</w:t>
      </w:r>
      <w:r>
        <w:rPr>
          <w:rFonts w:hint="eastAsia" w:ascii="仿宋_GB2312" w:hAnsi="黑体" w:eastAsia="仿宋_GB2312"/>
          <w:b/>
          <w:bCs/>
          <w:color w:val="000000"/>
          <w:sz w:val="32"/>
          <w:szCs w:val="32"/>
          <w:lang w:val="en-US" w:eastAsia="zh-CN"/>
        </w:rPr>
        <w:t>）</w:t>
      </w:r>
    </w:p>
    <w:p>
      <w:pPr>
        <w:keepNext w:val="0"/>
        <w:keepLines w:val="0"/>
        <w:pageBreakBefore w:val="0"/>
        <w:numPr>
          <w:ilvl w:val="0"/>
          <w:numId w:val="0"/>
        </w:numPr>
        <w:kinsoku/>
        <w:wordWrap/>
        <w:overflowPunct/>
        <w:topLinePunct w:val="0"/>
        <w:autoSpaceDN/>
        <w:bidi w:val="0"/>
        <w:adjustRightInd/>
        <w:spacing w:line="560" w:lineRule="exact"/>
        <w:ind w:firstLine="608" w:firstLineChars="200"/>
        <w:textAlignment w:val="auto"/>
        <w:rPr>
          <w:rFonts w:hint="eastAsia" w:ascii="仿宋_GB2312" w:hAnsi="宋体" w:eastAsia="仿宋_GB2312"/>
          <w:bCs/>
          <w:spacing w:val="-8"/>
          <w:sz w:val="32"/>
          <w:szCs w:val="32"/>
          <w:lang w:val="en-US" w:eastAsia="zh-CN"/>
        </w:rPr>
      </w:pPr>
      <w:r>
        <w:rPr>
          <w:rFonts w:hint="eastAsia" w:ascii="仿宋_GB2312" w:hAnsi="宋体" w:eastAsia="仿宋_GB2312"/>
          <w:bCs/>
          <w:spacing w:val="-8"/>
          <w:sz w:val="32"/>
          <w:szCs w:val="32"/>
          <w:lang w:val="en-US" w:eastAsia="zh-CN"/>
        </w:rPr>
        <w:t>项目的投入达到预期政策目标，后续维护运转投入得到保障，建立使用者意见（满意度）反馈机制。</w:t>
      </w:r>
    </w:p>
    <w:p>
      <w:pPr>
        <w:keepNext w:val="0"/>
        <w:keepLines w:val="0"/>
        <w:pageBreakBefore w:val="0"/>
        <w:numPr>
          <w:ilvl w:val="0"/>
          <w:numId w:val="3"/>
        </w:numPr>
        <w:kinsoku/>
        <w:wordWrap/>
        <w:overflowPunct/>
        <w:topLinePunct w:val="0"/>
        <w:autoSpaceDN/>
        <w:bidi w:val="0"/>
        <w:adjustRightInd/>
        <w:spacing w:line="560" w:lineRule="exact"/>
        <w:ind w:firstLine="611" w:firstLineChars="200"/>
        <w:textAlignment w:val="auto"/>
        <w:rPr>
          <w:rFonts w:hint="eastAsia" w:ascii="仿宋_GB2312" w:hAnsi="宋体" w:eastAsia="仿宋_GB2312"/>
          <w:b/>
          <w:bCs w:val="0"/>
          <w:spacing w:val="-8"/>
          <w:sz w:val="32"/>
          <w:szCs w:val="32"/>
          <w:lang w:val="en-US" w:eastAsia="zh-CN"/>
        </w:rPr>
      </w:pPr>
      <w:r>
        <w:rPr>
          <w:rFonts w:hint="eastAsia" w:ascii="仿宋_GB2312" w:hAnsi="宋体" w:eastAsia="仿宋_GB2312"/>
          <w:b/>
          <w:bCs w:val="0"/>
          <w:spacing w:val="-8"/>
          <w:sz w:val="32"/>
          <w:szCs w:val="32"/>
          <w:lang w:val="en-US" w:eastAsia="zh-CN"/>
        </w:rPr>
        <w:t>扣分项</w:t>
      </w:r>
    </w:p>
    <w:p>
      <w:pPr>
        <w:keepNext w:val="0"/>
        <w:keepLines w:val="0"/>
        <w:pageBreakBefore w:val="0"/>
        <w:numPr>
          <w:ilvl w:val="0"/>
          <w:numId w:val="0"/>
        </w:numPr>
        <w:kinsoku/>
        <w:wordWrap/>
        <w:overflowPunct/>
        <w:topLinePunct w:val="0"/>
        <w:autoSpaceDN/>
        <w:bidi w:val="0"/>
        <w:adjustRightInd/>
        <w:spacing w:line="560" w:lineRule="exact"/>
        <w:ind w:firstLine="608" w:firstLineChars="200"/>
        <w:textAlignment w:val="auto"/>
        <w:rPr>
          <w:rFonts w:hint="default" w:ascii="仿宋_GB2312" w:hAnsi="宋体" w:eastAsia="仿宋_GB2312"/>
          <w:b w:val="0"/>
          <w:bCs/>
          <w:spacing w:val="-8"/>
          <w:sz w:val="32"/>
          <w:szCs w:val="32"/>
          <w:lang w:val="en-US" w:eastAsia="zh-CN"/>
        </w:rPr>
      </w:pPr>
      <w:r>
        <w:rPr>
          <w:rFonts w:hint="eastAsia" w:ascii="仿宋_GB2312" w:hAnsi="宋体" w:eastAsia="仿宋_GB2312"/>
          <w:b w:val="0"/>
          <w:bCs/>
          <w:spacing w:val="-8"/>
          <w:sz w:val="32"/>
          <w:szCs w:val="32"/>
          <w:lang w:val="en-US" w:eastAsia="zh-CN"/>
        </w:rPr>
        <w:t>我县无因转移支付项目管理存在重大失误，出现贪污腐败问题或已经被追究刑事责任的；无因项目被上级或本级党委、政府，纪委、财政部门、审计部门书面通报批评的通报。</w:t>
      </w:r>
    </w:p>
    <w:p>
      <w:pPr>
        <w:ind w:firstLine="640" w:firstLineChars="200"/>
        <w:rPr>
          <w:rFonts w:hint="eastAsia" w:ascii="黑体" w:hAnsi="黑体" w:eastAsia="黑体"/>
          <w:sz w:val="32"/>
          <w:szCs w:val="32"/>
        </w:rPr>
      </w:pPr>
      <w:r>
        <w:rPr>
          <w:rFonts w:hint="eastAsia" w:ascii="黑体" w:hAnsi="黑体" w:eastAsia="黑体"/>
          <w:bCs/>
          <w:sz w:val="32"/>
          <w:szCs w:val="32"/>
        </w:rPr>
        <w:t>三、</w:t>
      </w:r>
      <w:r>
        <w:rPr>
          <w:rFonts w:hint="eastAsia" w:ascii="黑体" w:hAnsi="黑体" w:eastAsia="黑体"/>
          <w:sz w:val="32"/>
          <w:szCs w:val="32"/>
        </w:rPr>
        <w:t>主要经验及做法、存在的问题和建议</w:t>
      </w:r>
    </w:p>
    <w:p>
      <w:pPr>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（一）主要经验及做法</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严格项目</w:t>
      </w:r>
      <w:r>
        <w:rPr>
          <w:rFonts w:hint="eastAsia" w:ascii="仿宋_GB2312" w:hAnsi="仿宋_GB2312" w:eastAsia="仿宋_GB2312" w:cs="仿宋_GB2312"/>
          <w:b/>
          <w:bCs/>
          <w:color w:val="000000"/>
          <w:sz w:val="32"/>
          <w:szCs w:val="32"/>
          <w:lang w:eastAsia="zh-CN"/>
        </w:rPr>
        <w:t>申报和公示公告</w:t>
      </w:r>
      <w:r>
        <w:rPr>
          <w:rFonts w:hint="eastAsia" w:ascii="仿宋_GB2312" w:hAnsi="仿宋_GB2312" w:eastAsia="仿宋_GB2312" w:cs="仿宋_GB2312"/>
          <w:b/>
          <w:bCs/>
          <w:color w:val="000000"/>
          <w:sz w:val="32"/>
          <w:szCs w:val="32"/>
        </w:rPr>
        <w:t>程序</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革命老区</w:t>
      </w:r>
      <w:r>
        <w:rPr>
          <w:rFonts w:hint="eastAsia" w:ascii="仿宋_GB2312" w:hAnsi="仿宋_GB2312" w:eastAsia="仿宋_GB2312" w:cs="仿宋_GB2312"/>
          <w:sz w:val="32"/>
          <w:szCs w:val="32"/>
        </w:rPr>
        <w:t>项目的编报采取自下而上的编报程序，由行政村</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老区</w:t>
      </w:r>
      <w:r>
        <w:rPr>
          <w:rFonts w:hint="eastAsia" w:ascii="仿宋_GB2312" w:hAnsi="仿宋_GB2312" w:eastAsia="仿宋_GB2312" w:cs="仿宋_GB2312"/>
          <w:sz w:val="32"/>
          <w:szCs w:val="32"/>
        </w:rPr>
        <w:t>办审核，建立项目库</w:t>
      </w:r>
      <w:r>
        <w:rPr>
          <w:rFonts w:hint="eastAsia" w:ascii="仿宋_GB2312" w:hAnsi="仿宋_GB2312" w:eastAsia="仿宋_GB2312" w:cs="仿宋_GB2312"/>
          <w:sz w:val="32"/>
          <w:szCs w:val="32"/>
          <w:lang w:eastAsia="zh-CN"/>
        </w:rPr>
        <w:t>。我县在项目实施过程中</w:t>
      </w:r>
      <w:r>
        <w:rPr>
          <w:rFonts w:hint="eastAsia" w:ascii="仿宋_GB2312" w:hAnsi="仿宋_GB2312" w:eastAsia="仿宋_GB2312" w:cs="仿宋_GB2312"/>
          <w:sz w:val="32"/>
          <w:szCs w:val="32"/>
        </w:rPr>
        <w:t>严格按照《广西壮族自治区扶贫资金项目公告公示制度实施办法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》（桂扶领发〔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文件要求，将所有</w:t>
      </w:r>
      <w:r>
        <w:rPr>
          <w:rFonts w:hint="eastAsia" w:ascii="仿宋_GB2312" w:hAnsi="仿宋_GB2312" w:eastAsia="仿宋_GB2312" w:cs="仿宋_GB2312"/>
          <w:sz w:val="32"/>
          <w:szCs w:val="32"/>
          <w:lang w:eastAsia="zh-CN"/>
        </w:rPr>
        <w:t>革命老区</w:t>
      </w:r>
      <w:r>
        <w:rPr>
          <w:rFonts w:hint="eastAsia" w:ascii="仿宋_GB2312" w:hAnsi="仿宋_GB2312" w:eastAsia="仿宋_GB2312" w:cs="仿宋_GB2312"/>
          <w:sz w:val="32"/>
          <w:szCs w:val="32"/>
        </w:rPr>
        <w:t>项目资金在县政府门户网站，项目所在地乡镇、行政村和自然村（屯）公开栏公示项目资金使用情况，</w:t>
      </w:r>
      <w:r>
        <w:rPr>
          <w:rFonts w:hint="eastAsia" w:ascii="仿宋_GB2312" w:hAnsi="仿宋_GB2312" w:eastAsia="仿宋_GB2312" w:cs="仿宋_GB2312"/>
          <w:color w:val="000000" w:themeColor="text1"/>
          <w:sz w:val="32"/>
          <w:szCs w:val="32"/>
          <w14:textFill>
            <w14:solidFill>
              <w14:schemeClr w14:val="tx1"/>
            </w14:solidFill>
          </w14:textFill>
        </w:rPr>
        <w:t>增强资金和项目透明度，</w:t>
      </w:r>
      <w:r>
        <w:rPr>
          <w:rFonts w:hint="eastAsia" w:ascii="仿宋_GB2312" w:hAnsi="仿宋_GB2312" w:eastAsia="仿宋_GB2312" w:cs="仿宋_GB2312"/>
          <w:sz w:val="32"/>
          <w:szCs w:val="32"/>
        </w:rPr>
        <w:t>接受社会和群众监督。</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sz w:val="32"/>
          <w:szCs w:val="32"/>
        </w:rPr>
        <w:t>加强监管，</w:t>
      </w:r>
      <w:r>
        <w:rPr>
          <w:rFonts w:hint="eastAsia" w:ascii="仿宋_GB2312" w:hAnsi="仿宋_GB2312" w:eastAsia="仿宋_GB2312" w:cs="仿宋_GB2312"/>
          <w:b/>
          <w:bCs/>
          <w:sz w:val="32"/>
          <w:szCs w:val="32"/>
          <w:lang w:eastAsia="zh-CN"/>
        </w:rPr>
        <w:t>确</w:t>
      </w:r>
      <w:r>
        <w:rPr>
          <w:rFonts w:hint="eastAsia" w:ascii="仿宋_GB2312" w:hAnsi="仿宋_GB2312" w:eastAsia="仿宋_GB2312" w:cs="仿宋_GB2312"/>
          <w:b/>
          <w:bCs/>
          <w:sz w:val="32"/>
          <w:szCs w:val="32"/>
        </w:rPr>
        <w:t>保质量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为了确保项目建设质量，我们依法实行招标确定项目设计单位、监理单位和第三方质量检测单位，对项目进行全过程质量监督；同时建立健全工程质量自检体系，要求施工单位制定明确的岗位质量责任制，对工程质量全过程控制，最终确保了项目质量和资金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工程完工后，由第三方质量检测单位对项目进行竣工验收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sz w:val="32"/>
          <w:szCs w:val="32"/>
          <w:lang w:eastAsia="zh-CN"/>
        </w:rPr>
        <w:t>加强资金监管，确保资金使用安全。</w:t>
      </w:r>
      <w:r>
        <w:rPr>
          <w:rFonts w:hint="eastAsia" w:ascii="仿宋_GB2312" w:hAnsi="仿宋_GB2312" w:eastAsia="仿宋_GB2312" w:cs="仿宋_GB2312"/>
          <w:b w:val="0"/>
          <w:bCs w:val="0"/>
          <w:color w:val="000000"/>
          <w:sz w:val="32"/>
          <w:szCs w:val="32"/>
          <w:lang w:val="en-US" w:eastAsia="zh-CN"/>
        </w:rPr>
        <w:t>基础设施项目</w:t>
      </w:r>
      <w:r>
        <w:rPr>
          <w:rFonts w:hint="eastAsia" w:ascii="仿宋_GB2312" w:hAnsi="仿宋_GB2312" w:eastAsia="仿宋_GB2312" w:cs="仿宋_GB2312"/>
          <w:color w:val="000000" w:themeColor="text1"/>
          <w:sz w:val="32"/>
          <w:szCs w:val="32"/>
          <w14:textFill>
            <w14:solidFill>
              <w14:schemeClr w14:val="tx1"/>
            </w14:solidFill>
          </w14:textFill>
        </w:rPr>
        <w:t>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合同并进场施工后</w:t>
      </w:r>
      <w:r>
        <w:rPr>
          <w:rFonts w:hint="eastAsia" w:ascii="仿宋_GB2312" w:hAnsi="仿宋_GB2312" w:eastAsia="仿宋_GB2312" w:cs="仿宋_GB2312"/>
          <w:b w:val="0"/>
          <w:bCs w:val="0"/>
          <w:color w:val="000000" w:themeColor="text1"/>
          <w:sz w:val="32"/>
          <w:szCs w:val="32"/>
          <w14:textFill>
            <w14:solidFill>
              <w14:schemeClr w14:val="tx1"/>
            </w14:solidFill>
          </w14:textFill>
        </w:rPr>
        <w:t>，工程按进度拨付项目款（付款程序：施工单位申请-监理单位意见-项目股监管人、负责人审批-财务出纳、会计审批-分管领导审批-主要领导审批）。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对所有的项目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按要求</w:t>
      </w:r>
      <w:r>
        <w:rPr>
          <w:rFonts w:hint="eastAsia" w:ascii="仿宋_GB2312" w:hAnsi="仿宋_GB2312" w:eastAsia="仿宋_GB2312" w:cs="仿宋_GB2312"/>
          <w:color w:val="000000" w:themeColor="text1"/>
          <w:sz w:val="32"/>
          <w:szCs w:val="32"/>
          <w14:textFill>
            <w14:solidFill>
              <w14:schemeClr w14:val="tx1"/>
            </w14:solidFill>
          </w14:textFill>
        </w:rPr>
        <w:t>预留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的质量保证金</w:t>
      </w:r>
      <w:r>
        <w:rPr>
          <w:rFonts w:hint="eastAsia" w:ascii="仿宋_GB2312" w:hAnsi="仿宋_GB2312" w:eastAsia="仿宋_GB2312" w:cs="仿宋_GB2312"/>
          <w:color w:val="000000" w:themeColor="text1"/>
          <w:sz w:val="32"/>
          <w:szCs w:val="32"/>
          <w14:textFill>
            <w14:solidFill>
              <w14:schemeClr w14:val="tx1"/>
            </w14:solidFill>
          </w14:textFill>
        </w:rPr>
        <w:t>。项目竣工后，由项目单位申请，会同财政等有关单位组成验收组对项目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初步</w:t>
      </w:r>
      <w:r>
        <w:rPr>
          <w:rFonts w:hint="eastAsia" w:ascii="仿宋_GB2312" w:hAnsi="仿宋_GB2312" w:eastAsia="仿宋_GB2312" w:cs="仿宋_GB2312"/>
          <w:color w:val="000000" w:themeColor="text1"/>
          <w:sz w:val="32"/>
          <w:szCs w:val="32"/>
          <w14:textFill>
            <w14:solidFill>
              <w14:schemeClr w14:val="tx1"/>
            </w14:solidFill>
          </w14:textFill>
        </w:rPr>
        <w:t>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并由</w:t>
      </w:r>
      <w:r>
        <w:rPr>
          <w:rFonts w:hint="eastAsia" w:ascii="仿宋_GB2312" w:hAnsi="仿宋_GB2312" w:eastAsia="仿宋_GB2312" w:cs="仿宋_GB2312"/>
          <w:color w:val="000000"/>
          <w:sz w:val="32"/>
          <w:szCs w:val="32"/>
        </w:rPr>
        <w:t>第三方质量检测单位对项目进行竣工验收，</w:t>
      </w:r>
      <w:r>
        <w:rPr>
          <w:rFonts w:hint="eastAsia" w:ascii="仿宋_GB2312" w:hAnsi="仿宋_GB2312" w:eastAsia="仿宋_GB2312" w:cs="仿宋_GB2312"/>
          <w:color w:val="000000" w:themeColor="text1"/>
          <w:sz w:val="32"/>
          <w:szCs w:val="32"/>
          <w14:textFill>
            <w14:solidFill>
              <w14:schemeClr w14:val="tx1"/>
            </w14:solidFill>
          </w14:textFill>
        </w:rPr>
        <w:t>对验收不合格的项目，一律不拨最后一笔款。</w:t>
      </w:r>
    </w:p>
    <w:p>
      <w:pPr>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资金管理和项目管理中存在的问题</w:t>
      </w:r>
    </w:p>
    <w:p>
      <w:pPr>
        <w:keepNext w:val="0"/>
        <w:keepLines w:val="0"/>
        <w:pageBreakBefore w:val="0"/>
        <w:tabs>
          <w:tab w:val="left" w:pos="6676"/>
          <w:tab w:val="left" w:pos="7416"/>
        </w:tabs>
        <w:kinsoku/>
        <w:wordWrap/>
        <w:overflowPunct/>
        <w:topLinePunct w:val="0"/>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在施工中沿路部份村屯群众不支持，特别是跨乡镇和跨村屯的群众不让地，并提出过高要求，增加工作难度，影响工程进度，造成资金拨付进度缓慢。 </w:t>
      </w:r>
    </w:p>
    <w:p>
      <w:pPr>
        <w:keepNext w:val="0"/>
        <w:keepLines w:val="0"/>
        <w:pageBreakBefore w:val="0"/>
        <w:tabs>
          <w:tab w:val="left" w:pos="6676"/>
          <w:tab w:val="left" w:pos="7416"/>
        </w:tabs>
        <w:kinsoku/>
        <w:wordWrap/>
        <w:overflowPunct/>
        <w:topLinePunct w:val="0"/>
        <w:autoSpaceDN/>
        <w:bidi w:val="0"/>
        <w:adjustRightInd/>
        <w:spacing w:line="560" w:lineRule="exact"/>
        <w:ind w:right="0" w:rightChars="0" w:firstLine="640" w:firstLineChars="200"/>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工作</w:t>
      </w:r>
      <w:r>
        <w:rPr>
          <w:rFonts w:hint="eastAsia" w:ascii="黑体" w:hAnsi="黑体" w:eastAsia="黑体" w:cs="黑体"/>
          <w:b w:val="0"/>
          <w:bCs/>
          <w:color w:val="000000" w:themeColor="text1"/>
          <w:sz w:val="32"/>
          <w:szCs w:val="32"/>
          <w:lang w:eastAsia="zh-CN"/>
          <w14:textFill>
            <w14:solidFill>
              <w14:schemeClr w14:val="tx1"/>
            </w14:solidFill>
          </w14:textFill>
        </w:rPr>
        <w:t>建议</w:t>
      </w:r>
    </w:p>
    <w:p>
      <w:pPr>
        <w:keepNext w:val="0"/>
        <w:keepLines w:val="0"/>
        <w:pageBreakBefore w:val="0"/>
        <w:kinsoku/>
        <w:wordWrap/>
        <w:overflowPunct/>
        <w:topLinePunct w:val="0"/>
        <w:autoSpaceDN/>
        <w:bidi w:val="0"/>
        <w:adjustRightInd/>
        <w:spacing w:line="560" w:lineRule="exact"/>
        <w:ind w:right="0" w:rightChars="0" w:firstLine="640" w:firstLineChars="200"/>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eastAsia="zh-CN"/>
          <w14:textFill>
            <w14:solidFill>
              <w14:schemeClr w14:val="tx1"/>
            </w14:solidFill>
          </w14:textFill>
        </w:rPr>
        <w:t>随着经济社会的发展，人民对美好生活的需求越来越高，但是边远山区交通信息闭塞，生产生活条件相对落后，是制约当地经济社会发展的重要因素之一，由于县级财政紧缺，请上级党委政府多关心多支持边远山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特别是革命老区建设，让老区人民同全国人民一道同步进入小康社会。</w:t>
      </w:r>
    </w:p>
    <w:p>
      <w:pPr>
        <w:keepNext w:val="0"/>
        <w:keepLines w:val="0"/>
        <w:pageBreakBefore w:val="0"/>
        <w:tabs>
          <w:tab w:val="left" w:pos="6676"/>
          <w:tab w:val="left" w:pos="7416"/>
        </w:tabs>
        <w:kinsoku/>
        <w:wordWrap/>
        <w:overflowPunct/>
        <w:topLinePunct w:val="0"/>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spacing w:line="560" w:lineRule="exact"/>
        <w:rPr>
          <w:rFonts w:ascii="黑体" w:hAnsi="黑体" w:eastAsia="黑体"/>
          <w:sz w:val="32"/>
          <w:szCs w:val="32"/>
        </w:rPr>
      </w:pPr>
    </w:p>
    <w:sectPr>
      <w:headerReference r:id="rId4" w:type="first"/>
      <w:headerReference r:id="rId3" w:type="default"/>
      <w:footerReference r:id="rId5" w:type="default"/>
      <w:footerReference r:id="rId6" w:type="even"/>
      <w:pgSz w:w="11906" w:h="16838"/>
      <w:pgMar w:top="1440" w:right="1592" w:bottom="1440" w:left="169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895707"/>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16983"/>
    <w:multiLevelType w:val="singleLevel"/>
    <w:tmpl w:val="EAC16983"/>
    <w:lvl w:ilvl="0" w:tentative="0">
      <w:start w:val="2"/>
      <w:numFmt w:val="chineseCounting"/>
      <w:suff w:val="nothing"/>
      <w:lvlText w:val="（%1）"/>
      <w:lvlJc w:val="left"/>
      <w:rPr>
        <w:rFonts w:hint="eastAsia"/>
      </w:rPr>
    </w:lvl>
  </w:abstractNum>
  <w:abstractNum w:abstractNumId="1">
    <w:nsid w:val="048A51F2"/>
    <w:multiLevelType w:val="singleLevel"/>
    <w:tmpl w:val="048A51F2"/>
    <w:lvl w:ilvl="0" w:tentative="0">
      <w:start w:val="6"/>
      <w:numFmt w:val="chineseCounting"/>
      <w:suff w:val="nothing"/>
      <w:lvlText w:val="（%1）"/>
      <w:lvlJc w:val="left"/>
      <w:rPr>
        <w:rFonts w:hint="eastAsia"/>
      </w:rPr>
    </w:lvl>
  </w:abstractNum>
  <w:abstractNum w:abstractNumId="2">
    <w:nsid w:val="2A75A9BE"/>
    <w:multiLevelType w:val="singleLevel"/>
    <w:tmpl w:val="2A75A9BE"/>
    <w:lvl w:ilvl="0" w:tentative="0">
      <w:start w:val="2"/>
      <w:numFmt w:val="chineseCounting"/>
      <w:suff w:val="nothing"/>
      <w:lvlText w:val="（%1）"/>
      <w:lvlJc w:val="left"/>
      <w:pPr>
        <w:ind w:left="-1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NDViNTM0Y2U1Y2YxNGNjMDUzNzFhZmRjNzVhNTYifQ=="/>
  </w:docVars>
  <w:rsids>
    <w:rsidRoot w:val="00861CD2"/>
    <w:rsid w:val="001170F2"/>
    <w:rsid w:val="001816D6"/>
    <w:rsid w:val="0018671F"/>
    <w:rsid w:val="001E05E0"/>
    <w:rsid w:val="00210CDB"/>
    <w:rsid w:val="002623DE"/>
    <w:rsid w:val="002B456A"/>
    <w:rsid w:val="00334E12"/>
    <w:rsid w:val="003B4197"/>
    <w:rsid w:val="00453F2D"/>
    <w:rsid w:val="004677AD"/>
    <w:rsid w:val="004B5259"/>
    <w:rsid w:val="004B6F7C"/>
    <w:rsid w:val="004E24AD"/>
    <w:rsid w:val="004E4174"/>
    <w:rsid w:val="00537D05"/>
    <w:rsid w:val="005F388A"/>
    <w:rsid w:val="0069541F"/>
    <w:rsid w:val="00757699"/>
    <w:rsid w:val="007617F8"/>
    <w:rsid w:val="007622CF"/>
    <w:rsid w:val="00780C67"/>
    <w:rsid w:val="0081594C"/>
    <w:rsid w:val="00861CD2"/>
    <w:rsid w:val="008E2933"/>
    <w:rsid w:val="009965DF"/>
    <w:rsid w:val="00A67CAF"/>
    <w:rsid w:val="00AA0202"/>
    <w:rsid w:val="00AD7FE2"/>
    <w:rsid w:val="00AE3669"/>
    <w:rsid w:val="00B00075"/>
    <w:rsid w:val="00BF53B7"/>
    <w:rsid w:val="00C10404"/>
    <w:rsid w:val="00C60139"/>
    <w:rsid w:val="00CC0847"/>
    <w:rsid w:val="00E24192"/>
    <w:rsid w:val="00EB6660"/>
    <w:rsid w:val="00F364EB"/>
    <w:rsid w:val="00F61F29"/>
    <w:rsid w:val="00F87D83"/>
    <w:rsid w:val="00F90F77"/>
    <w:rsid w:val="00F95B79"/>
    <w:rsid w:val="04055123"/>
    <w:rsid w:val="05376505"/>
    <w:rsid w:val="05933CBB"/>
    <w:rsid w:val="0DF61999"/>
    <w:rsid w:val="10D966D5"/>
    <w:rsid w:val="125B5E47"/>
    <w:rsid w:val="12911265"/>
    <w:rsid w:val="154B75F6"/>
    <w:rsid w:val="15B53951"/>
    <w:rsid w:val="15C3681A"/>
    <w:rsid w:val="167357F3"/>
    <w:rsid w:val="168E7C01"/>
    <w:rsid w:val="17747D45"/>
    <w:rsid w:val="1AF51BB0"/>
    <w:rsid w:val="1BB915C5"/>
    <w:rsid w:val="1BE96EEF"/>
    <w:rsid w:val="1C07414C"/>
    <w:rsid w:val="1DEF2FA1"/>
    <w:rsid w:val="219C7A82"/>
    <w:rsid w:val="2332333C"/>
    <w:rsid w:val="247A01A3"/>
    <w:rsid w:val="24950A00"/>
    <w:rsid w:val="26472FFB"/>
    <w:rsid w:val="2C2E0266"/>
    <w:rsid w:val="2C443ACE"/>
    <w:rsid w:val="2D03111D"/>
    <w:rsid w:val="2D1B2184"/>
    <w:rsid w:val="2D553F79"/>
    <w:rsid w:val="2FE55CAE"/>
    <w:rsid w:val="313607CA"/>
    <w:rsid w:val="36F909C4"/>
    <w:rsid w:val="373268A7"/>
    <w:rsid w:val="39F001A8"/>
    <w:rsid w:val="3D5F30F1"/>
    <w:rsid w:val="3D6E4C94"/>
    <w:rsid w:val="3DC24EC9"/>
    <w:rsid w:val="3E535BC8"/>
    <w:rsid w:val="3FEA20AB"/>
    <w:rsid w:val="40A8643F"/>
    <w:rsid w:val="42296317"/>
    <w:rsid w:val="42B850ED"/>
    <w:rsid w:val="469B1CFF"/>
    <w:rsid w:val="47C05EE0"/>
    <w:rsid w:val="482569A2"/>
    <w:rsid w:val="48670D37"/>
    <w:rsid w:val="4FE10EDC"/>
    <w:rsid w:val="504F05A1"/>
    <w:rsid w:val="55727A90"/>
    <w:rsid w:val="557315C0"/>
    <w:rsid w:val="55C776C9"/>
    <w:rsid w:val="56845ABF"/>
    <w:rsid w:val="580F76B0"/>
    <w:rsid w:val="590E1448"/>
    <w:rsid w:val="5AA06336"/>
    <w:rsid w:val="60395667"/>
    <w:rsid w:val="6311267F"/>
    <w:rsid w:val="636C365E"/>
    <w:rsid w:val="6516522F"/>
    <w:rsid w:val="65B57A1A"/>
    <w:rsid w:val="65F06FBC"/>
    <w:rsid w:val="6682227E"/>
    <w:rsid w:val="681025C6"/>
    <w:rsid w:val="6A180C94"/>
    <w:rsid w:val="6B30455C"/>
    <w:rsid w:val="6CDC37BE"/>
    <w:rsid w:val="6ECA2E22"/>
    <w:rsid w:val="6ECE19F3"/>
    <w:rsid w:val="6EF52117"/>
    <w:rsid w:val="6FC35504"/>
    <w:rsid w:val="7075449A"/>
    <w:rsid w:val="743D52CE"/>
    <w:rsid w:val="748B42FE"/>
    <w:rsid w:val="75EE2F27"/>
    <w:rsid w:val="773C2B0C"/>
    <w:rsid w:val="775505E1"/>
    <w:rsid w:val="78586E35"/>
    <w:rsid w:val="792522E3"/>
    <w:rsid w:val="79CB33E3"/>
    <w:rsid w:val="7AA9687C"/>
    <w:rsid w:val="7AC4704E"/>
    <w:rsid w:val="7C015C00"/>
    <w:rsid w:val="7EB541A3"/>
    <w:rsid w:val="7F36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2152</Words>
  <Characters>2245</Characters>
  <Lines>22</Lines>
  <Paragraphs>6</Paragraphs>
  <TotalTime>19</TotalTime>
  <ScaleCrop>false</ScaleCrop>
  <LinksUpToDate>false</LinksUpToDate>
  <CharactersWithSpaces>2248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2020-03-16T04:20:00Z</dcterms:created>
  <dc:creator>Sky123.Org</dc:creator>
  <cp:lastModifiedBy>周大龄</cp:lastModifiedBy>
  <cp:lastPrinted>2020-03-18T07:23:00Z</cp:lastPrinted>
  <dcterms:modified xsi:type="dcterms:W3CDTF">2023-06-13T01:54:16Z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816D88D12A99442A803D7B2319D1C30D</vt:lpwstr>
  </property>
</Properties>
</file>