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34A">
      <w:pPr>
        <w:spacing w:line="1000" w:lineRule="exact"/>
        <w:jc w:val="center"/>
        <w:rPr>
          <w:rFonts w:hint="default" w:ascii="Times New Roman" w:hAnsi="Times New Roman" w:eastAsia="方正大标宋简体" w:cs="Times New Roman"/>
          <w:b/>
          <w:bCs/>
          <w:color w:val="FF0000"/>
          <w:sz w:val="72"/>
          <w:szCs w:val="72"/>
        </w:rPr>
      </w:pPr>
    </w:p>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rPr>
      </w:pPr>
      <w:bookmarkStart w:id="0" w:name="_GoBack"/>
      <w:bookmarkEnd w:id="0"/>
    </w:p>
    <w:p w14:paraId="22DC104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关于柳州市鹿寨县新益物资再生利用有限</w:t>
      </w:r>
    </w:p>
    <w:p w14:paraId="51703DA5">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公司年产30000吨废旧塑料生产加工基地</w:t>
      </w:r>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搬迁升级改造项目环境影响报告表的批复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20" w:lineRule="exact"/>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柳州市鹿寨县新益物资再生利用有限公司：</w:t>
      </w:r>
    </w:p>
    <w:p w14:paraId="73DDA0E8">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你单位报来的《年产30000吨废旧塑料生产加工基地搬迁升级改造项目环境影响报告表》收悉。经审查，批复如下：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Fonts w:hint="default" w:ascii="Times New Roman" w:hAnsi="Times New Roman" w:eastAsia="仿宋_GB2312" w:cs="Times New Roman"/>
          <w:sz w:val="32"/>
          <w:szCs w:val="32"/>
          <w:lang w:val="en-US" w:eastAsia="zh-CN"/>
        </w:rPr>
        <w:t>一、柳州市鹿寨县新益物资再生利用有限公司年产30000吨废旧塑料生产加工基地搬迁升级改造项目</w:t>
      </w:r>
      <w:r>
        <w:rPr>
          <w:rStyle w:val="16"/>
          <w:rFonts w:hint="default" w:ascii="Times New Roman" w:hAnsi="Times New Roman" w:eastAsia="仿宋_GB2312" w:cs="Times New Roman"/>
          <w:spacing w:val="8"/>
          <w:sz w:val="32"/>
          <w:szCs w:val="32"/>
          <w:lang w:val="en-US" w:eastAsia="zh-CN" w:bidi="ar-SA"/>
        </w:rPr>
        <w:t>，建设地点位于柳州市鹿寨县鹿寨镇飞鹿大道279号之一 ，项目占地面积约为8100㎡，属于迁建项目，搬迁原厂房内的全部生产线（共七条）并将七条生产线升级改造整合为两条生产线，新增AI光选机、色选机等设备，淘汰部分老旧设备。建成后年产PET瓶片3万吨、瓶盖碎片1500吨、PP/PE塑料片各1500吨，总投资6000万元，其中环保投资60万元。</w:t>
      </w:r>
    </w:p>
    <w:p w14:paraId="2DF30C30">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2411-450223-07-02-439709。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w:t>
      </w:r>
      <w:r>
        <w:rPr>
          <w:rStyle w:val="16"/>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5A479628">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Fonts w:hint="default" w:ascii="Times New Roman" w:hAnsi="Times New Roman" w:eastAsia="仿宋_GB2312" w:cs="Times New Roman"/>
          <w:sz w:val="32"/>
          <w:szCs w:val="32"/>
          <w:lang w:val="en-US" w:eastAsia="zh-CN"/>
        </w:rPr>
      </w:pPr>
      <w:r>
        <w:rPr>
          <w:rStyle w:val="16"/>
          <w:rFonts w:hint="default" w:ascii="Times New Roman" w:hAnsi="Times New Roman" w:eastAsia="仿宋_GB2312" w:cs="Times New Roman"/>
          <w:spacing w:val="8"/>
          <w:sz w:val="32"/>
          <w:szCs w:val="32"/>
          <w:lang w:val="en-US" w:eastAsia="zh-CN" w:bidi="ar-SA"/>
        </w:rPr>
        <w:t>（一）加强仓库密闭管理，严禁原料露天堆放，优先回收高洁净度废塑料，减少异味产生，厂界恶臭浓度需达到《恶臭污染物排放标准》（GB14554-1993）表1二级标准</w:t>
      </w:r>
      <w:r>
        <w:rPr>
          <w:rFonts w:hint="default" w:ascii="Times New Roman" w:hAnsi="Times New Roman" w:eastAsia="仿宋_GB2312" w:cs="Times New Roman"/>
          <w:sz w:val="32"/>
          <w:szCs w:val="32"/>
          <w:lang w:val="en-US" w:eastAsia="zh-CN"/>
        </w:rPr>
        <w:t>。</w:t>
      </w:r>
    </w:p>
    <w:p w14:paraId="19FEF49D">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二）生产废水通过厂区污水处理站“预处理+竖流式沉淀+混凝气浮+厌氧+好氧接触氧化”工艺处理，生活污水通过化粪池处理，生产废水与生活废水处理后达到《污水综合排放标准》（GB8978－1996）三级标准和鹿寨县第二污水处理厂进水水质要求后排入市政污水管网，输送至鹿寨县第二污水处理厂。</w:t>
      </w:r>
    </w:p>
    <w:p w14:paraId="4692D579">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三）合理布局高噪音设备，对噪声源强较大的设备采取有效的隔声降噪减震措施，确保施工期厂界噪声符合《建筑施工场界环境噪声排放标准》（GB12523-2011）限值标准；运营期厂界噪声符合《工业企业厂界环境噪声排放标准》（GB12348-2008）中3类标准。</w:t>
      </w:r>
    </w:p>
    <w:p w14:paraId="5E2EF914">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（四）做好一般固体废物的综合利用和妥善处置工作。一般工业固体废物执行《一般工业固体废物贮存和填埋污染控制标准》，按要求设置相关污染防治设施。</w:t>
      </w:r>
    </w:p>
    <w:p w14:paraId="53295E66">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（五）危险废物的暂存及转运执行《危险废物贮存污染控制标准》（GB18597-2023）的规定设置相关污染防治设施。</w:t>
      </w:r>
    </w:p>
    <w:p w14:paraId="10BF4D82">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Style w:val="16"/>
          <w:rFonts w:hint="default" w:ascii="Times New Roman" w:hAnsi="Times New Roman" w:eastAsia="仿宋_GB2312" w:cs="Times New Roman"/>
          <w:spacing w:val="8"/>
          <w:sz w:val="32"/>
          <w:szCs w:val="32"/>
          <w:lang w:val="en-US" w:eastAsia="zh-CN" w:bidi="ar-SA"/>
        </w:rPr>
        <w:t>（六）按照《环境保护图形标志一排污口(源)》和《排污口规范化整治要求(试行)》有关规定建设规范化的排污口，须按排污许可相关管理要求定期进行监测。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20" w:lineRule="exact"/>
        <w:ind w:firstLine="672" w:firstLineChars="200"/>
        <w:jc w:val="both"/>
        <w:textAlignment w:val="auto"/>
        <w:rPr>
          <w:rFonts w:hint="default" w:ascii="Times New Roman" w:hAnsi="Times New Roman" w:eastAsia="仿宋_GB2312" w:cs="Times New Roman"/>
          <w:sz w:val="32"/>
          <w:szCs w:val="32"/>
        </w:rPr>
      </w:pPr>
      <w:r>
        <w:rPr>
          <w:rStyle w:val="16"/>
          <w:rFonts w:hint="default" w:ascii="Times New Roman" w:hAnsi="Times New Roman" w:eastAsia="仿宋_GB2312" w:cs="Times New Roman"/>
          <w:spacing w:val="8"/>
          <w:sz w:val="32"/>
          <w:szCs w:val="32"/>
          <w:lang w:val="en-US" w:eastAsia="zh-CN" w:bidi="ar-SA"/>
        </w:rPr>
        <w:t>（七）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jc w:val="both"/>
        <w:textAlignment w:val="auto"/>
        <w:rPr>
          <w:rStyle w:val="16"/>
          <w:rFonts w:hint="default" w:ascii="Times New Roman" w:hAnsi="Times New Roman" w:eastAsia="仿宋_GB2312" w:cs="Times New Roman"/>
          <w:spacing w:val="8"/>
          <w:sz w:val="32"/>
          <w:szCs w:val="32"/>
          <w:lang w:val="en-US" w:eastAsia="zh-CN" w:bidi="ar-SA"/>
        </w:rPr>
      </w:pPr>
      <w:r>
        <w:rPr>
          <w:rFonts w:hint="default" w:ascii="Times New Roman" w:hAnsi="Times New Roman" w:eastAsia="仿宋_GB2312" w:cs="Times New Roman"/>
          <w:sz w:val="32"/>
          <w:szCs w:val="32"/>
          <w:lang w:val="en-US" w:eastAsia="zh-CN"/>
        </w:rPr>
        <w:t>三、</w:t>
      </w:r>
      <w:r>
        <w:rPr>
          <w:rStyle w:val="16"/>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环境保护“三同时”制竣工环境保护验收暂行办法》要求实施竣工环境保护验收。</w:t>
      </w:r>
    </w:p>
    <w:p w14:paraId="06E70BD4">
      <w:pPr>
        <w:pStyle w:val="2"/>
        <w:keepNext w:val="0"/>
        <w:keepLines w:val="0"/>
        <w:pageBreakBefore w:val="0"/>
        <w:widowControl/>
        <w:kinsoku/>
        <w:wordWrap/>
        <w:overflowPunct/>
        <w:topLinePunct w:val="0"/>
        <w:autoSpaceDE/>
        <w:autoSpaceDN/>
        <w:bidi w:val="0"/>
        <w:adjustRightInd w:val="0"/>
        <w:snapToGrid w:val="0"/>
        <w:spacing w:line="52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4"/>
        <w:keepNext w:val="0"/>
        <w:keepLines w:val="0"/>
        <w:pageBreakBefore w:val="0"/>
        <w:kinsoku/>
        <w:wordWrap/>
        <w:overflowPunct/>
        <w:topLinePunct w:val="0"/>
        <w:bidi w:val="0"/>
        <w:spacing w:line="520" w:lineRule="exact"/>
        <w:jc w:val="both"/>
        <w:textAlignment w:val="auto"/>
        <w:rPr>
          <w:rFonts w:hint="default" w:ascii="Times New Roman" w:hAnsi="Times New Roman" w:eastAsia="仿宋_GB2312" w:cs="Times New Roman"/>
          <w:sz w:val="32"/>
          <w:szCs w:val="32"/>
        </w:rPr>
      </w:pPr>
    </w:p>
    <w:p w14:paraId="47D37092">
      <w:pPr>
        <w:pStyle w:val="4"/>
        <w:keepNext w:val="0"/>
        <w:keepLines w:val="0"/>
        <w:pageBreakBefore w:val="0"/>
        <w:kinsoku/>
        <w:wordWrap/>
        <w:overflowPunct/>
        <w:topLinePunct w:val="0"/>
        <w:bidi w:val="0"/>
        <w:spacing w:line="520" w:lineRule="exact"/>
        <w:jc w:val="both"/>
        <w:textAlignment w:val="auto"/>
        <w:rPr>
          <w:rFonts w:hint="default" w:ascii="Times New Roman" w:hAnsi="Times New Roman" w:eastAsia="仿宋_GB2312" w:cs="Times New Roman"/>
          <w:sz w:val="32"/>
          <w:szCs w:val="32"/>
        </w:rPr>
      </w:pPr>
    </w:p>
    <w:p w14:paraId="2BAD7705">
      <w:pPr>
        <w:pStyle w:val="18"/>
        <w:keepNext w:val="0"/>
        <w:keepLines w:val="0"/>
        <w:pageBreakBefore w:val="0"/>
        <w:widowControl w:val="0"/>
        <w:kinsoku/>
        <w:wordWrap/>
        <w:overflowPunct/>
        <w:topLinePunct w:val="0"/>
        <w:bidi w:val="0"/>
        <w:snapToGrid/>
        <w:spacing w:line="52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18"/>
        <w:keepNext w:val="0"/>
        <w:keepLines w:val="0"/>
        <w:pageBreakBefore w:val="0"/>
        <w:widowControl w:val="0"/>
        <w:kinsoku/>
        <w:wordWrap/>
        <w:overflowPunct/>
        <w:topLinePunct w:val="0"/>
        <w:bidi w:val="0"/>
        <w:snapToGrid/>
        <w:spacing w:line="52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eastAsia" w:asci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日</w:t>
      </w:r>
    </w:p>
    <w:p w14:paraId="6B5B1D38">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firstLine="640" w:firstLineChars="200"/>
        <w:jc w:val="both"/>
        <w:textAlignment w:val="auto"/>
        <w:rPr>
          <w:rStyle w:val="16"/>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5"/>
        <w:tblpPr w:leftFromText="180" w:rightFromText="180" w:vertAnchor="text" w:horzAnchor="page" w:tblpX="1469" w:tblpY="851"/>
        <w:tblOverlap w:val="never"/>
        <w:tblW w:w="9039" w:type="dxa"/>
        <w:tblInd w:w="0" w:type="dxa"/>
        <w:tblLayout w:type="fixed"/>
        <w:tblCellMar>
          <w:top w:w="0" w:type="dxa"/>
          <w:left w:w="108" w:type="dxa"/>
          <w:bottom w:w="0" w:type="dxa"/>
          <w:right w:w="108" w:type="dxa"/>
        </w:tblCellMar>
      </w:tblPr>
      <w:tblGrid>
        <w:gridCol w:w="4946"/>
        <w:gridCol w:w="4093"/>
      </w:tblGrid>
      <w:tr w14:paraId="65BEBE8D">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18C2B965">
            <w:pPr>
              <w:keepNext w:val="0"/>
              <w:keepLines w:val="0"/>
              <w:pageBreakBefore w:val="0"/>
              <w:widowControl/>
              <w:kinsoku/>
              <w:wordWrap/>
              <w:overflowPunct/>
              <w:topLinePunct w:val="0"/>
              <w:autoSpaceDE w:val="0"/>
              <w:autoSpaceDN w:val="0"/>
              <w:bidi w:val="0"/>
              <w:adjustRightInd/>
              <w:snapToGrid/>
              <w:spacing w:after="0" w:line="52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76B20B0A">
            <w:pPr>
              <w:keepNext w:val="0"/>
              <w:keepLines w:val="0"/>
              <w:pageBreakBefore w:val="0"/>
              <w:widowControl/>
              <w:kinsoku/>
              <w:wordWrap w:val="0"/>
              <w:overflowPunct/>
              <w:topLinePunct w:val="0"/>
              <w:autoSpaceDE w:val="0"/>
              <w:autoSpaceDN w:val="0"/>
              <w:bidi w:val="0"/>
              <w:adjustRightInd/>
              <w:snapToGrid/>
              <w:spacing w:after="0" w:line="52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5</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6</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17</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5E519D8E">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474"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DA52F37"/>
    <w:rsid w:val="13594D07"/>
    <w:rsid w:val="1DF27EBB"/>
    <w:rsid w:val="200F04DE"/>
    <w:rsid w:val="20862B7C"/>
    <w:rsid w:val="219B4C07"/>
    <w:rsid w:val="242816D4"/>
    <w:rsid w:val="2BBF1BD7"/>
    <w:rsid w:val="35967014"/>
    <w:rsid w:val="381A4C7D"/>
    <w:rsid w:val="3A0B18FE"/>
    <w:rsid w:val="44486CEE"/>
    <w:rsid w:val="488209BF"/>
    <w:rsid w:val="49173142"/>
    <w:rsid w:val="495D774B"/>
    <w:rsid w:val="4BE60029"/>
    <w:rsid w:val="4C40214D"/>
    <w:rsid w:val="55D22E84"/>
    <w:rsid w:val="5A7A302D"/>
    <w:rsid w:val="5CF51811"/>
    <w:rsid w:val="61A51D91"/>
    <w:rsid w:val="63A02D3B"/>
    <w:rsid w:val="6E0C075C"/>
    <w:rsid w:val="6FB96264"/>
    <w:rsid w:val="71AF444F"/>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ind w:firstLine="420" w:firstLineChars="200"/>
    </w:pPr>
    <w:rPr>
      <w:rFonts w:ascii="Calibri" w:hAnsi="Calibri" w:eastAsia="等线"/>
      <w:sz w:val="20"/>
      <w:szCs w:val="20"/>
    </w:rPr>
  </w:style>
  <w:style w:type="paragraph" w:styleId="3">
    <w:name w:val="Body Text Indent"/>
    <w:basedOn w:val="1"/>
    <w:next w:val="1"/>
    <w:qFormat/>
    <w:uiPriority w:val="0"/>
    <w:pPr>
      <w:ind w:left="420" w:leftChars="200"/>
    </w:pPr>
  </w:style>
  <w:style w:type="paragraph" w:customStyle="1" w:styleId="4">
    <w:name w:val="报告正文"/>
    <w:basedOn w:val="1"/>
    <w:qFormat/>
    <w:uiPriority w:val="0"/>
    <w:pPr>
      <w:spacing w:line="240" w:lineRule="auto"/>
      <w:ind w:firstLine="488" w:firstLineChars="200"/>
      <w:jc w:val="both"/>
    </w:pPr>
    <w:rPr>
      <w:rFonts w:ascii="宋体" w:hAnsi="宋体"/>
      <w:spacing w:val="8"/>
      <w:sz w:val="24"/>
    </w:rPr>
  </w:style>
  <w:style w:type="paragraph" w:styleId="7">
    <w:name w:val="Normal Indent"/>
    <w:basedOn w:val="1"/>
    <w:next w:val="6"/>
    <w:qFormat/>
    <w:uiPriority w:val="0"/>
    <w:pPr>
      <w:ind w:firstLine="420"/>
    </w:pPr>
    <w:rPr>
      <w:rFonts w:ascii="Calibri" w:hAnsi="Calibri" w:cs="Times New Roman"/>
      <w:szCs w:val="22"/>
    </w:rPr>
  </w:style>
  <w:style w:type="paragraph" w:styleId="8">
    <w:name w:val="Body Text"/>
    <w:basedOn w:val="1"/>
    <w:semiHidden/>
    <w:qFormat/>
    <w:uiPriority w:val="0"/>
    <w:rPr>
      <w:rFonts w:ascii="仿宋" w:hAnsi="仿宋" w:eastAsia="仿宋" w:cs="仿宋"/>
      <w:sz w:val="31"/>
      <w:szCs w:val="31"/>
      <w:lang w:val="en-US" w:eastAsia="en-US" w:bidi="ar-SA"/>
    </w:rPr>
  </w:style>
  <w:style w:type="paragraph" w:styleId="9">
    <w:name w:val="Body Text Indent 2"/>
    <w:basedOn w:val="1"/>
    <w:next w:val="1"/>
    <w:qFormat/>
    <w:uiPriority w:val="0"/>
    <w:pPr>
      <w:spacing w:after="12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4">
    <w:name w:val="Body Text First Indent"/>
    <w:basedOn w:val="8"/>
    <w:next w:val="2"/>
    <w:unhideWhenUsed/>
    <w:qFormat/>
    <w:uiPriority w:val="99"/>
    <w:pPr>
      <w:snapToGrid/>
      <w:spacing w:before="0" w:after="120" w:line="480" w:lineRule="exact"/>
      <w:ind w:right="0" w:firstLine="420" w:firstLineChars="100"/>
      <w:textAlignment w:val="baseline"/>
    </w:pPr>
    <w:rPr>
      <w:kern w:val="2"/>
      <w:sz w:val="24"/>
      <w:szCs w:val="24"/>
    </w:rPr>
  </w:style>
  <w:style w:type="character" w:styleId="17">
    <w:name w:val="Strong"/>
    <w:basedOn w:val="16"/>
    <w:qFormat/>
    <w:uiPriority w:val="0"/>
    <w:rPr>
      <w:b/>
    </w:rPr>
  </w:style>
  <w:style w:type="paragraph" w:customStyle="1" w:styleId="18">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1406</Words>
  <Characters>1530</Characters>
  <Lines>0</Lines>
  <Paragraphs>0</Paragraphs>
  <TotalTime>7</TotalTime>
  <ScaleCrop>false</ScaleCrop>
  <LinksUpToDate>false</LinksUpToDate>
  <CharactersWithSpaces>1544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2025-01-20T02:10:00Z</cp:lastPrinted>
  <dcterms:modified xsi:type="dcterms:W3CDTF">2025-06-17T08:09:34Z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6788B3B00D9D4C59B318C3E3B09E48CB_13</vt:lpwstr>
  </property>
  <property fmtid="{D5CDD505-2E9C-101B-9397-08002B2CF9AE}" pid="4" name="KSOTemplateDocerSaveRecord">
    <vt:lpwstr>eyJoZGlkIjoiNTlkMWFiZjdiYTQ3ZDEzYzQwYThiZDU2NmU5MmM0ZjIiLCJ1c2VySWQiOiIxMTY2MzMxMzYyIn0=</vt:lpwstr>
  </property>
</Properties>
</file>