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434A">
      <w:pPr>
        <w:spacing w:line="1000" w:lineRule="exact"/>
        <w:jc w:val="center"/>
        <w:rPr>
          <w:rFonts w:hint="default" w:ascii="Times New Roman" w:hAnsi="Times New Roman" w:eastAsia="方正大标宋简体" w:cs="Times New Roman"/>
          <w:b/>
          <w:bCs/>
          <w:color w:val="FF0000"/>
          <w:sz w:val="72"/>
          <w:szCs w:val="72"/>
        </w:rPr>
      </w:pPr>
    </w:p>
    <w:p w14:paraId="4D6B8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号</w:t>
      </w:r>
    </w:p>
    <w:p w14:paraId="7D8BE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bookmarkStart w:id="0" w:name="_GoBack"/>
      <w:bookmarkEnd w:id="0"/>
    </w:p>
    <w:p w14:paraId="2F1BDF4E">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柳州市烈火燎原生物质燃料有限公司</w:t>
      </w:r>
      <w:r>
        <w:rPr>
          <w:rFonts w:hint="eastAsia" w:ascii="方正小标宋_GBK" w:hAnsi="方正小标宋_GBK" w:eastAsia="方正小标宋_GBK" w:cs="方正小标宋_GBK"/>
          <w:sz w:val="44"/>
          <w:szCs w:val="44"/>
          <w:lang w:val="en-US" w:eastAsia="zh-CN"/>
        </w:rPr>
        <w:t>机制炭生产建设项目</w:t>
      </w:r>
      <w:r>
        <w:rPr>
          <w:rFonts w:hint="eastAsia" w:ascii="方正小标宋_GBK" w:hAnsi="方正小标宋_GBK" w:eastAsia="方正小标宋_GBK" w:cs="方正小标宋_GBK"/>
          <w:sz w:val="44"/>
          <w:szCs w:val="44"/>
        </w:rPr>
        <w:t>环境影响报告表的批复</w:t>
      </w:r>
    </w:p>
    <w:p w14:paraId="2B9EDE9B">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仿宋_GB2312" w:cs="Times New Roman"/>
          <w:sz w:val="32"/>
          <w:szCs w:val="32"/>
        </w:rPr>
      </w:pPr>
    </w:p>
    <w:p w14:paraId="64CA9A7F">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Style w:val="19"/>
          <w:rFonts w:hint="eastAsia" w:ascii="仿宋" w:hAnsi="仿宋" w:eastAsia="仿宋" w:cs="仿宋"/>
          <w:spacing w:val="8"/>
          <w:sz w:val="32"/>
          <w:szCs w:val="32"/>
          <w:lang w:val="en-US" w:eastAsia="zh-CN" w:bidi="ar-SA"/>
        </w:rPr>
      </w:pPr>
      <w:r>
        <w:rPr>
          <w:rStyle w:val="19"/>
          <w:rFonts w:hint="eastAsia" w:ascii="仿宋" w:hAnsi="仿宋" w:eastAsia="仿宋" w:cs="仿宋"/>
          <w:spacing w:val="8"/>
          <w:sz w:val="32"/>
          <w:szCs w:val="32"/>
          <w:lang w:val="en-US" w:eastAsia="zh-CN" w:bidi="ar-SA"/>
        </w:rPr>
        <w:t>柳州市烈火燎原生物质燃料有限公司：</w:t>
      </w:r>
    </w:p>
    <w:p w14:paraId="73DDA0E8">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仿宋" w:hAnsi="仿宋" w:eastAsia="仿宋" w:cs="仿宋"/>
          <w:spacing w:val="8"/>
          <w:sz w:val="32"/>
          <w:szCs w:val="32"/>
          <w:lang w:val="en-US" w:eastAsia="zh-CN" w:bidi="ar-SA"/>
        </w:rPr>
        <w:t>你单位报来的《机制炭生产建设项目环境影响报告表》收悉。经审查，批复如下：</w:t>
      </w:r>
    </w:p>
    <w:p w14:paraId="0E5F750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9"/>
          <w:rFonts w:hint="eastAsia" w:ascii="仿宋" w:hAnsi="仿宋" w:eastAsia="仿宋" w:cs="仿宋"/>
          <w:spacing w:val="8"/>
          <w:sz w:val="32"/>
          <w:szCs w:val="32"/>
          <w:lang w:val="en-US" w:eastAsia="zh-CN" w:bidi="ar-SA"/>
        </w:rPr>
      </w:pPr>
      <w:r>
        <w:rPr>
          <w:rFonts w:hint="eastAsia" w:ascii="黑体" w:hAnsi="黑体" w:eastAsia="黑体" w:cs="黑体"/>
          <w:sz w:val="32"/>
          <w:szCs w:val="32"/>
          <w:lang w:val="en-US" w:eastAsia="zh-CN"/>
        </w:rPr>
        <w:t>一、</w:t>
      </w:r>
      <w:r>
        <w:rPr>
          <w:rFonts w:hint="eastAsia" w:ascii="仿宋" w:hAnsi="仿宋" w:eastAsia="仿宋" w:cs="仿宋"/>
          <w:sz w:val="32"/>
          <w:szCs w:val="32"/>
          <w:lang w:val="en-US" w:eastAsia="zh-CN"/>
        </w:rPr>
        <w:t>柳州市烈火燎原生物质燃料有限公司机制炭生产建设项目</w:t>
      </w:r>
      <w:r>
        <w:rPr>
          <w:rStyle w:val="19"/>
          <w:rFonts w:hint="eastAsia" w:ascii="仿宋" w:hAnsi="仿宋" w:eastAsia="仿宋" w:cs="仿宋"/>
          <w:spacing w:val="8"/>
          <w:sz w:val="32"/>
          <w:szCs w:val="32"/>
          <w:lang w:val="en-US" w:eastAsia="zh-CN" w:bidi="ar-SA"/>
        </w:rPr>
        <w:t>，建设地点位于广西壮族自治区柳州市鹿寨县导江乡导江村相思屯四组（中心坐标：东经109°41′58.180″，北纬24°15′14.210″），项目占地面积为12000㎡，属于新建项目，主要建设1栋生产厂房（包括4个炭化区、1个原料区、1个成品区及相关环保设施区）、1栋办公楼、1栋宿舍楼等相关配套设施，年产机制炭6000吨。总投资300万元，其中环保投资20万元。</w:t>
      </w:r>
    </w:p>
    <w:p w14:paraId="2DF30C3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仿宋" w:hAnsi="仿宋" w:eastAsia="仿宋" w:cs="仿宋"/>
          <w:spacing w:val="8"/>
          <w:sz w:val="32"/>
          <w:szCs w:val="32"/>
          <w:lang w:val="en-US" w:eastAsia="zh-CN" w:bidi="ar-SA"/>
        </w:rPr>
        <w:t>本项目已在“广西投资项目在线并联审批监管平台”进行了备案登记，项目代码：2502-450223-04-01-465200。从环境影响角度考虑，同意你公司按照报告表所列的建设项目的地点、性质、规模、采取的环境保护对策措施及下述要求进行项目建设。</w:t>
      </w:r>
    </w:p>
    <w:p w14:paraId="1129F1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w:t>
      </w:r>
      <w:r>
        <w:rPr>
          <w:rStyle w:val="19"/>
          <w:rFonts w:hint="eastAsia" w:ascii="仿宋" w:hAnsi="仿宋" w:eastAsia="仿宋" w:cs="仿宋"/>
          <w:spacing w:val="8"/>
          <w:sz w:val="32"/>
          <w:szCs w:val="32"/>
          <w:lang w:val="en-US" w:eastAsia="zh-CN" w:bidi="ar-SA"/>
        </w:rPr>
        <w:t>项目须落实报告表提出的各项环保要求，重点抓好以下环保工作：</w:t>
      </w:r>
    </w:p>
    <w:p w14:paraId="5A479628">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 w:hAnsi="仿宋" w:eastAsia="仿宋" w:cs="仿宋"/>
          <w:sz w:val="32"/>
          <w:szCs w:val="32"/>
          <w:lang w:val="en-US" w:eastAsia="zh-CN"/>
        </w:rPr>
      </w:pPr>
      <w:r>
        <w:rPr>
          <w:rStyle w:val="19"/>
          <w:rFonts w:hint="eastAsia" w:ascii="黑体" w:hAnsi="黑体" w:eastAsia="黑体" w:cs="黑体"/>
          <w:spacing w:val="8"/>
          <w:sz w:val="32"/>
          <w:szCs w:val="32"/>
          <w:lang w:val="en-US" w:eastAsia="zh-CN" w:bidi="ar-SA"/>
        </w:rPr>
        <w:t>（一）</w:t>
      </w:r>
      <w:r>
        <w:rPr>
          <w:rStyle w:val="19"/>
          <w:rFonts w:hint="eastAsia" w:ascii="仿宋" w:hAnsi="仿宋" w:eastAsia="仿宋" w:cs="仿宋"/>
          <w:spacing w:val="8"/>
          <w:sz w:val="32"/>
          <w:szCs w:val="32"/>
          <w:lang w:val="en-US" w:eastAsia="zh-CN" w:bidi="ar-SA"/>
        </w:rPr>
        <w:t>筛分、烘干、粉碎、炭化、燃烧炉燃烧供热产生的颗粒物、SO₂、NOx、非甲烷总烃通过“三级旋风除尘+喷淋塔”处理后，通过16米高DA001排气筒排放，执行《大气污染物综合排放标准》（GB16297-1996）中表2二级标准</w:t>
      </w:r>
      <w:r>
        <w:rPr>
          <w:rFonts w:hint="eastAsia" w:ascii="仿宋" w:hAnsi="仿宋" w:eastAsia="仿宋" w:cs="仿宋"/>
          <w:sz w:val="32"/>
          <w:szCs w:val="32"/>
          <w:lang w:val="en-US" w:eastAsia="zh-CN"/>
        </w:rPr>
        <w:t>。</w:t>
      </w:r>
    </w:p>
    <w:p w14:paraId="37EA269A">
      <w:pPr>
        <w:pStyle w:val="16"/>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lang w:val="en-US" w:eastAsia="zh-CN" w:bidi="ar-SA"/>
        </w:rPr>
      </w:pPr>
      <w:r>
        <w:rPr>
          <w:rFonts w:hint="eastAsia" w:ascii="华文楷体" w:hAnsi="华文楷体" w:eastAsia="华文楷体" w:cs="华文楷体"/>
          <w:sz w:val="32"/>
          <w:szCs w:val="32"/>
          <w:lang w:val="en-US" w:eastAsia="zh-CN" w:bidi="ar-SA"/>
        </w:rPr>
        <w:t>（二）</w:t>
      </w:r>
      <w:r>
        <w:rPr>
          <w:rFonts w:hint="eastAsia" w:ascii="仿宋" w:hAnsi="仿宋" w:eastAsia="仿宋" w:cs="仿宋"/>
          <w:sz w:val="32"/>
          <w:szCs w:val="32"/>
          <w:lang w:val="en-US" w:eastAsia="zh-CN" w:bidi="ar-SA"/>
        </w:rPr>
        <w:t>木煤气、木醋液燃烧产生的SO₂、NOx、</w:t>
      </w:r>
      <w:r>
        <w:rPr>
          <w:rStyle w:val="19"/>
          <w:rFonts w:hint="eastAsia" w:ascii="仿宋" w:hAnsi="仿宋" w:eastAsia="仿宋" w:cs="仿宋"/>
          <w:spacing w:val="8"/>
          <w:sz w:val="32"/>
          <w:szCs w:val="32"/>
          <w:lang w:val="en-US" w:eastAsia="zh-CN" w:bidi="ar-SA"/>
        </w:rPr>
        <w:t>非甲烷总烃</w:t>
      </w:r>
      <w:r>
        <w:rPr>
          <w:rFonts w:hint="eastAsia" w:ascii="仿宋" w:hAnsi="仿宋" w:eastAsia="仿宋" w:cs="仿宋"/>
          <w:sz w:val="32"/>
          <w:szCs w:val="32"/>
          <w:lang w:val="en-US" w:eastAsia="zh-CN" w:bidi="ar-SA"/>
        </w:rPr>
        <w:t>通过</w:t>
      </w:r>
      <w:r>
        <w:rPr>
          <w:rStyle w:val="19"/>
          <w:rFonts w:hint="eastAsia" w:ascii="仿宋" w:hAnsi="仿宋" w:eastAsia="仿宋" w:cs="仿宋"/>
          <w:spacing w:val="8"/>
          <w:sz w:val="32"/>
          <w:szCs w:val="32"/>
          <w:lang w:val="en-US" w:eastAsia="zh-CN" w:bidi="ar-SA"/>
        </w:rPr>
        <w:t>16米高DA002排气筒排放，分别执行《工业炉窑大气污染物排放标准》（GB9078-1996）、《大气污染物综合排放标准》（GB16297-1996）中表2二级标准</w:t>
      </w:r>
      <w:r>
        <w:rPr>
          <w:rFonts w:hint="eastAsia" w:ascii="仿宋" w:hAnsi="仿宋" w:eastAsia="仿宋" w:cs="仿宋"/>
          <w:sz w:val="32"/>
          <w:szCs w:val="32"/>
          <w:lang w:val="en-US" w:eastAsia="zh-CN" w:bidi="ar-SA"/>
        </w:rPr>
        <w:t>。</w:t>
      </w:r>
    </w:p>
    <w:p w14:paraId="4EC6D176">
      <w:pPr>
        <w:pStyle w:val="17"/>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default" w:ascii="仿宋" w:hAnsi="仿宋" w:eastAsia="仿宋" w:cs="仿宋"/>
          <w:sz w:val="32"/>
          <w:szCs w:val="32"/>
          <w:lang w:val="en-US" w:eastAsia="zh-CN" w:bidi="ar-SA"/>
        </w:rPr>
      </w:pPr>
      <w:r>
        <w:rPr>
          <w:rFonts w:hint="eastAsia" w:ascii="华文楷体" w:hAnsi="华文楷体" w:eastAsia="华文楷体" w:cs="华文楷体"/>
          <w:sz w:val="32"/>
          <w:szCs w:val="32"/>
          <w:lang w:val="en-US" w:eastAsia="zh-CN" w:bidi="ar-SA"/>
        </w:rPr>
        <w:t>（三）</w:t>
      </w:r>
      <w:r>
        <w:rPr>
          <w:rFonts w:hint="eastAsia" w:ascii="仿宋" w:hAnsi="仿宋" w:eastAsia="仿宋" w:cs="仿宋"/>
          <w:sz w:val="32"/>
          <w:szCs w:val="32"/>
          <w:lang w:val="en-US" w:eastAsia="zh-CN" w:bidi="ar-SA"/>
        </w:rPr>
        <w:t>采用封闭车间、洒水抑尘、围挡等措施，降低无组织废气排放，厂界颗粒物、非甲烷总烃执行《大气污染物综合排放标准》（GB16297-1996）中表2无组织排放限值，臭气浓度执行《恶臭污染物排放标准》（GB14554-93）表1排放限值；生产厂房外排放非甲烷总烃执行《挥发性有机物无组织排放控制标准》（GB37822-2019）中表A.1排放限值。</w:t>
      </w:r>
    </w:p>
    <w:p w14:paraId="2A5DCF64">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华文楷体" w:hAnsi="华文楷体" w:eastAsia="华文楷体" w:cs="华文楷体"/>
          <w:spacing w:val="8"/>
          <w:sz w:val="32"/>
          <w:szCs w:val="32"/>
          <w:lang w:val="en-US" w:eastAsia="zh-CN" w:bidi="ar-SA"/>
        </w:rPr>
        <w:t>（四）</w:t>
      </w:r>
      <w:r>
        <w:rPr>
          <w:rStyle w:val="19"/>
          <w:rFonts w:hint="eastAsia" w:ascii="仿宋" w:hAnsi="仿宋" w:eastAsia="仿宋" w:cs="仿宋"/>
          <w:spacing w:val="8"/>
          <w:sz w:val="32"/>
          <w:szCs w:val="32"/>
          <w:lang w:val="en-US" w:eastAsia="zh-CN" w:bidi="ar-SA"/>
        </w:rPr>
        <w:t>喷淋塔废水通过3个8m</w:t>
      </w:r>
      <w:r>
        <w:rPr>
          <w:rStyle w:val="19"/>
          <w:rFonts w:hint="eastAsia" w:ascii="仿宋" w:hAnsi="仿宋" w:eastAsia="仿宋" w:cs="仿宋"/>
          <w:spacing w:val="8"/>
          <w:sz w:val="32"/>
          <w:szCs w:val="32"/>
          <w:vertAlign w:val="superscript"/>
          <w:lang w:val="en-US" w:eastAsia="zh-CN" w:bidi="ar-SA"/>
        </w:rPr>
        <w:t>3</w:t>
      </w:r>
      <w:r>
        <w:rPr>
          <w:rStyle w:val="19"/>
          <w:rFonts w:hint="eastAsia" w:ascii="仿宋" w:hAnsi="仿宋" w:eastAsia="仿宋" w:cs="仿宋"/>
          <w:spacing w:val="8"/>
          <w:sz w:val="32"/>
          <w:szCs w:val="32"/>
          <w:lang w:val="en-US" w:eastAsia="zh-CN" w:bidi="ar-SA"/>
        </w:rPr>
        <w:t>循环水池循环使用，生产废水不外排；生活污水经化粪池处理，全部用于周边甘蔗地、桉树林施肥。</w:t>
      </w:r>
    </w:p>
    <w:p w14:paraId="4692D579">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华文楷体" w:hAnsi="华文楷体" w:eastAsia="华文楷体" w:cs="华文楷体"/>
          <w:spacing w:val="8"/>
          <w:sz w:val="32"/>
          <w:szCs w:val="32"/>
          <w:lang w:val="en-US" w:eastAsia="zh-CN" w:bidi="ar-SA"/>
        </w:rPr>
        <w:t>（五）</w:t>
      </w:r>
      <w:r>
        <w:rPr>
          <w:rStyle w:val="19"/>
          <w:rFonts w:hint="eastAsia" w:ascii="仿宋" w:hAnsi="仿宋" w:eastAsia="仿宋" w:cs="仿宋"/>
          <w:spacing w:val="8"/>
          <w:sz w:val="32"/>
          <w:szCs w:val="32"/>
          <w:lang w:val="en-US" w:eastAsia="zh-CN" w:bidi="ar-SA"/>
        </w:rPr>
        <w:t>合理布局高噪音设备，对噪声源强较大的设备采取有效的隔声降噪减震措施，运营期厂界噪声符合《工业企业厂界环境噪声排放标准》（GB12348-2008）中2类标准。</w:t>
      </w:r>
    </w:p>
    <w:p w14:paraId="5E2EF914">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华文楷体" w:hAnsi="华文楷体" w:eastAsia="华文楷体" w:cs="华文楷体"/>
          <w:spacing w:val="8"/>
          <w:sz w:val="32"/>
          <w:szCs w:val="32"/>
          <w:lang w:val="en-US" w:eastAsia="zh-CN" w:bidi="ar-SA"/>
        </w:rPr>
        <w:t>（六）</w:t>
      </w:r>
      <w:r>
        <w:rPr>
          <w:rStyle w:val="19"/>
          <w:rFonts w:hint="eastAsia" w:ascii="仿宋" w:hAnsi="仿宋" w:eastAsia="仿宋" w:cs="仿宋"/>
          <w:spacing w:val="8"/>
          <w:sz w:val="32"/>
          <w:szCs w:val="32"/>
          <w:lang w:val="en-US" w:eastAsia="zh-CN" w:bidi="ar-SA"/>
        </w:rPr>
        <w:t>做好一般固体废物的综合利用和妥善处置工作。按照《一般工业固体废物贮存和填埋污染控制标准》（GB18599-2020）要求设置相关污染防治设施。</w:t>
      </w:r>
    </w:p>
    <w:p w14:paraId="53295E66">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华文楷体" w:hAnsi="华文楷体" w:eastAsia="华文楷体" w:cs="华文楷体"/>
          <w:spacing w:val="8"/>
          <w:sz w:val="32"/>
          <w:szCs w:val="32"/>
          <w:lang w:val="en-US" w:eastAsia="zh-CN" w:bidi="ar-SA"/>
        </w:rPr>
        <w:t>（七）</w:t>
      </w:r>
      <w:r>
        <w:rPr>
          <w:rStyle w:val="19"/>
          <w:rFonts w:hint="eastAsia" w:ascii="仿宋" w:hAnsi="仿宋" w:eastAsia="仿宋" w:cs="仿宋"/>
          <w:spacing w:val="8"/>
          <w:sz w:val="32"/>
          <w:szCs w:val="32"/>
          <w:lang w:val="en-US" w:eastAsia="zh-CN" w:bidi="ar-SA"/>
        </w:rPr>
        <w:t>危险废物的暂存及转运执行《危险废物贮存污染控制标准》（GB18597-2023）的规定设置相关污染防治设施。</w:t>
      </w:r>
    </w:p>
    <w:p w14:paraId="10BF4D82">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9"/>
          <w:rFonts w:hint="eastAsia" w:ascii="仿宋" w:hAnsi="仿宋" w:eastAsia="仿宋" w:cs="仿宋"/>
          <w:spacing w:val="8"/>
          <w:sz w:val="32"/>
          <w:szCs w:val="32"/>
          <w:lang w:val="en-US" w:eastAsia="zh-CN" w:bidi="ar-SA"/>
        </w:rPr>
      </w:pPr>
      <w:r>
        <w:rPr>
          <w:rStyle w:val="19"/>
          <w:rFonts w:hint="eastAsia" w:ascii="华文楷体" w:hAnsi="华文楷体" w:eastAsia="华文楷体" w:cs="华文楷体"/>
          <w:spacing w:val="8"/>
          <w:sz w:val="32"/>
          <w:szCs w:val="32"/>
          <w:lang w:val="en-US" w:eastAsia="zh-CN" w:bidi="ar-SA"/>
        </w:rPr>
        <w:t>（八）</w:t>
      </w:r>
      <w:r>
        <w:rPr>
          <w:rStyle w:val="19"/>
          <w:rFonts w:hint="eastAsia" w:ascii="仿宋" w:hAnsi="仿宋" w:eastAsia="仿宋" w:cs="仿宋"/>
          <w:spacing w:val="8"/>
          <w:sz w:val="32"/>
          <w:szCs w:val="32"/>
          <w:lang w:val="en-US" w:eastAsia="zh-CN" w:bidi="ar-SA"/>
        </w:rPr>
        <w:t>按照《环境保护图形标志一排污口(源)》和《排污口规范化整治要求(试行)》有关规定建设规范化的排污口，须按排污许可相关管理要求定期进行监测。</w:t>
      </w:r>
    </w:p>
    <w:p w14:paraId="0A5C85A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 w:hAnsi="仿宋" w:eastAsia="仿宋" w:cs="仿宋"/>
          <w:sz w:val="32"/>
          <w:szCs w:val="32"/>
        </w:rPr>
      </w:pPr>
      <w:r>
        <w:rPr>
          <w:rStyle w:val="19"/>
          <w:rFonts w:hint="eastAsia" w:ascii="华文楷体" w:hAnsi="华文楷体" w:eastAsia="华文楷体" w:cs="华文楷体"/>
          <w:spacing w:val="8"/>
          <w:sz w:val="32"/>
          <w:szCs w:val="32"/>
          <w:lang w:val="en-US" w:eastAsia="zh-CN" w:bidi="ar-SA"/>
        </w:rPr>
        <w:t>（九）</w:t>
      </w:r>
      <w:r>
        <w:rPr>
          <w:rStyle w:val="19"/>
          <w:rFonts w:hint="eastAsia" w:ascii="仿宋" w:hAnsi="仿宋" w:eastAsia="仿宋" w:cs="仿宋"/>
          <w:spacing w:val="8"/>
          <w:sz w:val="32"/>
          <w:szCs w:val="32"/>
          <w:lang w:val="en-US" w:eastAsia="zh-CN" w:bidi="ar-SA"/>
        </w:rPr>
        <w:t>按照《关于印发〈企业事业单位突发环境事件应急预案备案管理办法(试行)〉的通知》(环发〔2015〕4号)等相关要求，制定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p>
    <w:p w14:paraId="0807C96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9"/>
          <w:rFonts w:hint="eastAsia" w:ascii="仿宋" w:hAnsi="仿宋" w:eastAsia="仿宋" w:cs="仿宋"/>
          <w:spacing w:val="8"/>
          <w:sz w:val="32"/>
          <w:szCs w:val="32"/>
          <w:lang w:val="en-US" w:eastAsia="zh-CN" w:bidi="ar-SA"/>
        </w:rPr>
      </w:pPr>
      <w:r>
        <w:rPr>
          <w:rFonts w:hint="eastAsia" w:ascii="黑体" w:hAnsi="黑体" w:eastAsia="黑体" w:cs="黑体"/>
          <w:sz w:val="32"/>
          <w:szCs w:val="32"/>
          <w:lang w:val="en-US" w:eastAsia="zh-CN"/>
        </w:rPr>
        <w:t>三、</w:t>
      </w:r>
      <w:r>
        <w:rPr>
          <w:rStyle w:val="19"/>
          <w:rFonts w:hint="eastAsia" w:ascii="仿宋" w:hAnsi="仿宋" w:eastAsia="仿宋" w:cs="仿宋"/>
          <w:spacing w:val="8"/>
          <w:sz w:val="32"/>
          <w:szCs w:val="32"/>
          <w:lang w:val="en-US" w:eastAsia="zh-CN" w:bidi="ar-SA"/>
        </w:rPr>
        <w:t>该项目建设必须严格执行环境保护设施与主体工程同时设计、同时施工、同时投产使用的</w:t>
      </w:r>
      <w:r>
        <w:rPr>
          <w:rStyle w:val="19"/>
          <w:rFonts w:hint="eastAsia" w:ascii="Times New Roman" w:hAnsi="Times New Roman" w:eastAsia="仿宋_GB2312" w:cs="Times New Roman"/>
          <w:spacing w:val="8"/>
          <w:sz w:val="32"/>
          <w:szCs w:val="32"/>
          <w:lang w:val="en-US" w:eastAsia="zh-CN" w:bidi="ar-SA"/>
        </w:rPr>
        <w:t>环境保护“三同时”制度</w:t>
      </w:r>
      <w:r>
        <w:rPr>
          <w:rStyle w:val="19"/>
          <w:rFonts w:hint="eastAsia" w:ascii="仿宋" w:hAnsi="仿宋" w:eastAsia="仿宋" w:cs="仿宋"/>
          <w:spacing w:val="8"/>
          <w:sz w:val="32"/>
          <w:szCs w:val="32"/>
          <w:lang w:val="en-US" w:eastAsia="zh-CN" w:bidi="ar-SA"/>
        </w:rPr>
        <w:t>，落实各项环境保护措施。工程建成后，须按《建设项目环境保护“三同时”制竣工环境保护验收暂行办法》要求实施竣工环境保护验收。</w:t>
      </w:r>
    </w:p>
    <w:p w14:paraId="06E70BD4">
      <w:pPr>
        <w:pStyle w:val="16"/>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eastAsia" w:ascii="黑体" w:hAnsi="黑体" w:eastAsia="黑体" w:cs="黑体"/>
          <w:sz w:val="32"/>
          <w:szCs w:val="32"/>
        </w:rPr>
        <w:t>四、</w:t>
      </w:r>
      <w:r>
        <w:rPr>
          <w:rFonts w:hint="eastAsia" w:ascii="仿宋" w:hAnsi="仿宋" w:eastAsia="仿宋" w:cs="仿宋"/>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F5AB403">
      <w:pPr>
        <w:pStyle w:val="17"/>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47D37092">
      <w:pPr>
        <w:pStyle w:val="17"/>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2BAD7705">
      <w:pPr>
        <w:pStyle w:val="21"/>
        <w:keepNext w:val="0"/>
        <w:keepLines w:val="0"/>
        <w:pageBreakBefore w:val="0"/>
        <w:widowControl w:val="0"/>
        <w:kinsoku/>
        <w:wordWrap/>
        <w:overflowPunct/>
        <w:topLinePunct w:val="0"/>
        <w:bidi w:val="0"/>
        <w:snapToGrid/>
        <w:spacing w:line="560" w:lineRule="exact"/>
        <w:ind w:firstLine="5440" w:firstLineChars="17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鹿寨县行政审批局</w:t>
      </w:r>
    </w:p>
    <w:p w14:paraId="2B3F55A2">
      <w:pPr>
        <w:pStyle w:val="21"/>
        <w:keepNext w:val="0"/>
        <w:keepLines w:val="0"/>
        <w:pageBreakBefore w:val="0"/>
        <w:widowControl w:val="0"/>
        <w:kinsoku/>
        <w:wordWrap/>
        <w:overflowPunct/>
        <w:topLinePunct w:val="0"/>
        <w:bidi w:val="0"/>
        <w:snapToGrid/>
        <w:spacing w:line="560" w:lineRule="exact"/>
        <w:ind w:firstLine="5760" w:firstLineChars="18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w:t>
      </w:r>
      <w:r>
        <w:rPr>
          <w:rFonts w:hint="eastAsia" w:asci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月</w:t>
      </w:r>
      <w:r>
        <w:rPr>
          <w:rFonts w:hint="eastAsia" w:asci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日</w:t>
      </w:r>
    </w:p>
    <w:p w14:paraId="6B5B1D38">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9"/>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（此件公开发布）</w:t>
      </w:r>
    </w:p>
    <w:tbl>
      <w:tblPr>
        <w:tblStyle w:val="18"/>
        <w:tblpPr w:leftFromText="180" w:rightFromText="180" w:vertAnchor="text" w:horzAnchor="page" w:tblpX="1477" w:tblpY="8326"/>
        <w:tblOverlap w:val="never"/>
        <w:tblW w:w="9039" w:type="dxa"/>
        <w:tblInd w:w="0" w:type="dxa"/>
        <w:tblLayout w:type="fixed"/>
        <w:tblCellMar>
          <w:top w:w="0" w:type="dxa"/>
          <w:left w:w="108" w:type="dxa"/>
          <w:bottom w:w="0" w:type="dxa"/>
          <w:right w:w="108" w:type="dxa"/>
        </w:tblCellMar>
      </w:tblPr>
      <w:tblGrid>
        <w:gridCol w:w="4946"/>
        <w:gridCol w:w="4093"/>
      </w:tblGrid>
      <w:tr w14:paraId="0B393111">
        <w:tblPrEx>
          <w:tblCellMar>
            <w:top w:w="0" w:type="dxa"/>
            <w:left w:w="108" w:type="dxa"/>
            <w:bottom w:w="0" w:type="dxa"/>
            <w:right w:w="108" w:type="dxa"/>
          </w:tblCellMar>
        </w:tblPrEx>
        <w:trPr>
          <w:trHeight w:val="690" w:hRule="exact"/>
        </w:trPr>
        <w:tc>
          <w:tcPr>
            <w:tcW w:w="4946" w:type="dxa"/>
            <w:tcBorders>
              <w:top w:val="single" w:color="000000" w:sz="4" w:space="0"/>
              <w:bottom w:val="single" w:color="000000" w:sz="4" w:space="0"/>
            </w:tcBorders>
            <w:tcMar>
              <w:left w:w="0" w:type="dxa"/>
              <w:right w:w="0" w:type="dxa"/>
            </w:tcMar>
          </w:tcPr>
          <w:p w14:paraId="630CBCC4">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320" w:firstLineChars="1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i w:val="0"/>
                <w:color w:val="auto"/>
                <w:sz w:val="32"/>
                <w:szCs w:val="32"/>
                <w:highlight w:val="none"/>
                <w:lang w:eastAsia="zh-CN"/>
              </w:rPr>
              <w:t>鹿寨县</w:t>
            </w:r>
            <w:r>
              <w:rPr>
                <w:rFonts w:hint="default" w:ascii="Times New Roman" w:hAnsi="Times New Roman" w:eastAsia="仿宋_GB2312" w:cs="Times New Roman"/>
                <w:b w:val="0"/>
                <w:i w:val="0"/>
                <w:color w:val="auto"/>
                <w:sz w:val="32"/>
                <w:szCs w:val="32"/>
                <w:highlight w:val="none"/>
                <w:lang w:val="en-US" w:eastAsia="zh-CN"/>
              </w:rPr>
              <w:t>行政审批局</w:t>
            </w:r>
          </w:p>
        </w:tc>
        <w:tc>
          <w:tcPr>
            <w:tcW w:w="4093" w:type="dxa"/>
            <w:tcBorders>
              <w:top w:val="single" w:color="000000" w:sz="4" w:space="0"/>
              <w:bottom w:val="single" w:color="000000" w:sz="4" w:space="0"/>
            </w:tcBorders>
            <w:tcMar>
              <w:left w:w="0" w:type="dxa"/>
              <w:right w:w="0" w:type="dxa"/>
            </w:tcMar>
          </w:tcPr>
          <w:p w14:paraId="4336D1EC">
            <w:pPr>
              <w:keepNext w:val="0"/>
              <w:keepLines w:val="0"/>
              <w:pageBreakBefore w:val="0"/>
              <w:widowControl/>
              <w:kinsoku/>
              <w:wordWrap w:val="0"/>
              <w:overflowPunct/>
              <w:topLinePunct w:val="0"/>
              <w:autoSpaceDE w:val="0"/>
              <w:autoSpaceDN w:val="0"/>
              <w:bidi w:val="0"/>
              <w:adjustRightInd/>
              <w:snapToGrid/>
              <w:spacing w:after="0" w:line="560" w:lineRule="exact"/>
              <w:ind w:left="0" w:leftChars="0" w:right="0" w:firstLine="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i w:val="0"/>
                <w:color w:val="auto"/>
                <w:sz w:val="32"/>
                <w:szCs w:val="32"/>
                <w:highlight w:val="none"/>
                <w:lang w:val="en-US" w:eastAsia="zh-CN"/>
              </w:rPr>
              <w:t xml:space="preserve">     </w:t>
            </w:r>
            <w:r>
              <w:rPr>
                <w:rFonts w:hint="eastAsia" w:ascii="Times New Roman" w:hAnsi="Times New Roman" w:eastAsia="仿宋_GB2312" w:cs="Times New Roman"/>
                <w:b w:val="0"/>
                <w:i w:val="0"/>
                <w:color w:val="auto"/>
                <w:sz w:val="32"/>
                <w:szCs w:val="32"/>
                <w:highlight w:val="none"/>
                <w:lang w:val="en-US" w:eastAsia="zh-CN"/>
              </w:rPr>
              <w:t xml:space="preserve">  </w:t>
            </w:r>
            <w:r>
              <w:rPr>
                <w:rFonts w:hint="default" w:ascii="Times New Roman" w:hAnsi="Times New Roman" w:eastAsia="仿宋_GB2312" w:cs="Times New Roman"/>
                <w:b w:val="0"/>
                <w:i w:val="0"/>
                <w:color w:val="auto"/>
                <w:sz w:val="32"/>
                <w:szCs w:val="32"/>
                <w:highlight w:val="none"/>
              </w:rPr>
              <w:t>202</w:t>
            </w:r>
            <w:r>
              <w:rPr>
                <w:rFonts w:hint="default" w:ascii="Times New Roman" w:hAnsi="Times New Roman" w:eastAsia="仿宋_GB2312" w:cs="Times New Roman"/>
                <w:b w:val="0"/>
                <w:i w:val="0"/>
                <w:color w:val="auto"/>
                <w:sz w:val="32"/>
                <w:szCs w:val="32"/>
                <w:highlight w:val="none"/>
                <w:lang w:val="en-US" w:eastAsia="zh-CN"/>
              </w:rPr>
              <w:t>5</w:t>
            </w:r>
            <w:r>
              <w:rPr>
                <w:rFonts w:hint="default" w:ascii="Times New Roman" w:hAnsi="Times New Roman" w:eastAsia="仿宋_GB2312" w:cs="Times New Roman"/>
                <w:b w:val="0"/>
                <w:i w:val="0"/>
                <w:color w:val="auto"/>
                <w:sz w:val="32"/>
                <w:szCs w:val="32"/>
                <w:highlight w:val="none"/>
              </w:rPr>
              <w:t>年</w:t>
            </w:r>
            <w:r>
              <w:rPr>
                <w:rFonts w:hint="eastAsia" w:ascii="Times New Roman" w:hAnsi="Times New Roman" w:eastAsia="仿宋_GB2312" w:cs="Times New Roman"/>
                <w:b w:val="0"/>
                <w:i w:val="0"/>
                <w:color w:val="auto"/>
                <w:sz w:val="32"/>
                <w:szCs w:val="32"/>
                <w:highlight w:val="none"/>
                <w:lang w:val="en-US" w:eastAsia="zh-CN"/>
              </w:rPr>
              <w:t>7</w:t>
            </w:r>
            <w:r>
              <w:rPr>
                <w:rFonts w:hint="default" w:ascii="Times New Roman" w:hAnsi="Times New Roman" w:eastAsia="仿宋_GB2312" w:cs="Times New Roman"/>
                <w:b w:val="0"/>
                <w:i w:val="0"/>
                <w:color w:val="auto"/>
                <w:sz w:val="32"/>
                <w:szCs w:val="32"/>
                <w:highlight w:val="none"/>
              </w:rPr>
              <w:t>月</w:t>
            </w:r>
            <w:r>
              <w:rPr>
                <w:rFonts w:hint="eastAsia" w:ascii="Times New Roman" w:hAnsi="Times New Roman" w:eastAsia="仿宋_GB2312" w:cs="Times New Roman"/>
                <w:b w:val="0"/>
                <w:i w:val="0"/>
                <w:color w:val="auto"/>
                <w:sz w:val="32"/>
                <w:szCs w:val="32"/>
                <w:highlight w:val="none"/>
                <w:lang w:val="en-US" w:eastAsia="zh-CN"/>
              </w:rPr>
              <w:t>3</w:t>
            </w:r>
            <w:r>
              <w:rPr>
                <w:rFonts w:hint="default" w:ascii="Times New Roman" w:hAnsi="Times New Roman" w:eastAsia="仿宋_GB2312" w:cs="Times New Roman"/>
                <w:b w:val="0"/>
                <w:i w:val="0"/>
                <w:color w:val="auto"/>
                <w:sz w:val="32"/>
                <w:szCs w:val="32"/>
                <w:highlight w:val="none"/>
              </w:rPr>
              <w:t>日印发</w:t>
            </w:r>
            <w:r>
              <w:rPr>
                <w:rFonts w:hint="default" w:ascii="Times New Roman" w:hAnsi="Times New Roman" w:eastAsia="仿宋_GB2312" w:cs="Times New Roman"/>
                <w:b w:val="0"/>
                <w:i w:val="0"/>
                <w:color w:val="auto"/>
                <w:sz w:val="32"/>
                <w:szCs w:val="32"/>
                <w:highlight w:val="none"/>
                <w:lang w:val="en-US" w:eastAsia="zh-CN"/>
              </w:rPr>
              <w:t xml:space="preserve"> </w:t>
            </w:r>
          </w:p>
        </w:tc>
      </w:tr>
    </w:tbl>
    <w:p w14:paraId="0589F2BF">
      <w:pPr>
        <w:keepNext w:val="0"/>
        <w:keepLines w:val="0"/>
        <w:pageBreakBefore w:val="0"/>
        <w:tabs>
          <w:tab w:val="left" w:pos="624"/>
        </w:tabs>
        <w:kinsoku/>
        <w:overflowPunct/>
        <w:topLinePunct w:val="0"/>
        <w:bidi w:val="0"/>
        <w:spacing w:line="520" w:lineRule="exact"/>
        <w:jc w:val="both"/>
        <w:textAlignment w:val="auto"/>
        <w:rPr>
          <w:rFonts w:hint="default" w:ascii="Times New Roman" w:hAnsi="Times New Roman" w:eastAsia="仿宋_GB2312" w:cs="Times New Roman"/>
          <w:sz w:val="32"/>
          <w:szCs w:val="32"/>
        </w:rPr>
      </w:pPr>
    </w:p>
    <w:sectPr>
      <w:footerReference r:id="rId5" w:type="default"/>
      <w:pgSz w:w="11906" w:h="16838"/>
      <w:pgMar w:top="1701" w:right="1474"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7E7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E5D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9E5D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209BF"/>
    <w:rsid w:val="02914BAC"/>
    <w:rsid w:val="0DA52F37"/>
    <w:rsid w:val="13594D07"/>
    <w:rsid w:val="1384585E"/>
    <w:rsid w:val="1DF27EBB"/>
    <w:rsid w:val="20862B7C"/>
    <w:rsid w:val="219B4C07"/>
    <w:rsid w:val="2B0D0043"/>
    <w:rsid w:val="2BBF1BD7"/>
    <w:rsid w:val="381A4C7D"/>
    <w:rsid w:val="3C7A301F"/>
    <w:rsid w:val="488209BF"/>
    <w:rsid w:val="49173142"/>
    <w:rsid w:val="495D774B"/>
    <w:rsid w:val="4BE60029"/>
    <w:rsid w:val="4C40214D"/>
    <w:rsid w:val="55D22E84"/>
    <w:rsid w:val="59083627"/>
    <w:rsid w:val="5A7A302D"/>
    <w:rsid w:val="5CF51811"/>
    <w:rsid w:val="63A02D3B"/>
    <w:rsid w:val="6DA47D75"/>
    <w:rsid w:val="6E0C075C"/>
    <w:rsid w:val="6FB96264"/>
    <w:rsid w:val="6FDA261A"/>
    <w:rsid w:val="71AF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7">
    <w:name w:val="Normal Indent"/>
    <w:basedOn w:val="1"/>
    <w:next w:val="6"/>
    <w:qFormat/>
    <w:uiPriority w:val="0"/>
    <w:pPr>
      <w:ind w:firstLine="420"/>
    </w:pPr>
    <w:rPr>
      <w:rFonts w:ascii="Calibri" w:hAnsi="Calibri" w:cs="Times New Roman"/>
      <w:szCs w:val="22"/>
    </w:rPr>
  </w:style>
  <w:style w:type="paragraph" w:styleId="8">
    <w:name w:val="Body Text"/>
    <w:basedOn w:val="1"/>
    <w:semiHidden/>
    <w:qFormat/>
    <w:uiPriority w:val="0"/>
    <w:rPr>
      <w:rFonts w:ascii="仿宋" w:hAnsi="仿宋" w:eastAsia="仿宋" w:cs="仿宋"/>
      <w:sz w:val="31"/>
      <w:szCs w:val="31"/>
      <w:lang w:val="en-US" w:eastAsia="en-US" w:bidi="ar-SA"/>
    </w:rPr>
  </w:style>
  <w:style w:type="paragraph" w:styleId="9">
    <w:name w:val="Body Text Indent"/>
    <w:basedOn w:val="1"/>
    <w:next w:val="1"/>
    <w:qFormat/>
    <w:uiPriority w:val="0"/>
    <w:pPr>
      <w:ind w:left="420" w:leftChars="200"/>
    </w:pPr>
  </w:style>
  <w:style w:type="paragraph" w:styleId="10">
    <w:name w:val="Body Text Indent 2"/>
    <w:basedOn w:val="1"/>
    <w:next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8"/>
    <w:next w:val="16"/>
    <w:unhideWhenUsed/>
    <w:qFormat/>
    <w:uiPriority w:val="99"/>
    <w:pPr>
      <w:snapToGrid/>
      <w:spacing w:before="0" w:after="120" w:line="480" w:lineRule="exact"/>
      <w:ind w:right="0" w:firstLine="420" w:firstLineChars="100"/>
      <w:textAlignment w:val="baseline"/>
    </w:pPr>
    <w:rPr>
      <w:kern w:val="2"/>
      <w:sz w:val="24"/>
      <w:szCs w:val="24"/>
    </w:rPr>
  </w:style>
  <w:style w:type="paragraph" w:styleId="16">
    <w:name w:val="Body Text First Indent 2"/>
    <w:basedOn w:val="9"/>
    <w:next w:val="17"/>
    <w:qFormat/>
    <w:uiPriority w:val="0"/>
    <w:pPr>
      <w:spacing w:after="120"/>
      <w:ind w:firstLine="420" w:firstLineChars="200"/>
    </w:pPr>
    <w:rPr>
      <w:rFonts w:ascii="Calibri" w:hAnsi="Calibri" w:eastAsia="等线"/>
      <w:sz w:val="20"/>
      <w:szCs w:val="20"/>
    </w:rPr>
  </w:style>
  <w:style w:type="paragraph" w:customStyle="1" w:styleId="17">
    <w:name w:val="报告正文"/>
    <w:basedOn w:val="1"/>
    <w:qFormat/>
    <w:uiPriority w:val="0"/>
    <w:pPr>
      <w:spacing w:line="240" w:lineRule="auto"/>
      <w:ind w:firstLine="488" w:firstLineChars="200"/>
      <w:jc w:val="both"/>
    </w:pPr>
    <w:rPr>
      <w:rFonts w:ascii="宋体" w:hAnsi="宋体"/>
      <w:spacing w:val="8"/>
      <w:sz w:val="24"/>
    </w:rPr>
  </w:style>
  <w:style w:type="character" w:styleId="20">
    <w:name w:val="Strong"/>
    <w:basedOn w:val="19"/>
    <w:qFormat/>
    <w:uiPriority w:val="0"/>
    <w:rPr>
      <w:b/>
    </w:rPr>
  </w:style>
  <w:style w:type="paragraph" w:customStyle="1" w:styleId="21">
    <w:name w:val="Default1"/>
    <w:qFormat/>
    <w:uiPriority w:val="99"/>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1502</Words>
  <Characters>1679</Characters>
  <Lines>0</Lines>
  <Paragraphs>0</Paragraphs>
  <TotalTime>203</TotalTime>
  <ScaleCrop>false</ScaleCrop>
  <LinksUpToDate>false</LinksUpToDate>
  <CharactersWithSpaces>1694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2024-09-23T01:33:00Z</dcterms:created>
  <dc:creator>◆ｋ.尐綯氣.</dc:creator>
  <cp:lastModifiedBy>杨柳凝妆</cp:lastModifiedBy>
  <cp:lastPrinted>2025-07-03T02:20:00Z</cp:lastPrinted>
  <dcterms:modified xsi:type="dcterms:W3CDTF">2025-07-03T07:03:36Z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4CE824D80BAD4CE2983E3D7381194267_13</vt:lpwstr>
  </property>
  <property fmtid="{D5CDD505-2E9C-101B-9397-08002B2CF9AE}" pid="4" name="KSOTemplateDocerSaveRecord">
    <vt:lpwstr>eyJoZGlkIjoiNTlkMWFiZjdiYTQ3ZDEzYzQwYThiZDU2NmU5MmM0ZjIiLCJ1c2VySWQiOiIxMTY2MzMxMzYyIn0=</vt:lpwstr>
  </property>
</Properties>
</file>