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0434A">
      <w:pPr>
        <w:spacing w:line="1000" w:lineRule="exact"/>
        <w:jc w:val="center"/>
        <w:rPr>
          <w:rFonts w:hint="default" w:ascii="Times New Roman" w:hAnsi="Times New Roman" w:eastAsia="方正大标宋简体" w:cs="Times New Roman"/>
          <w:b/>
          <w:bCs/>
          <w:color w:val="FF0000"/>
          <w:sz w:val="72"/>
          <w:szCs w:val="72"/>
        </w:rPr>
      </w:pPr>
    </w:p>
    <w:p w14:paraId="4D6B8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鹿审环批复〔202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号</w:t>
      </w:r>
    </w:p>
    <w:p w14:paraId="7D8BE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</w:rPr>
      </w:pPr>
      <w:bookmarkStart w:id="1" w:name="_GoBack"/>
      <w:bookmarkEnd w:id="1"/>
    </w:p>
    <w:p w14:paraId="78880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bookmarkStart w:id="0" w:name="_Hlk20009444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广西晶钻新材料科技有限公司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年产2000吨功能型珠光效应材料项目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环境影响报告</w:t>
      </w:r>
    </w:p>
    <w:p w14:paraId="2F1BDF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表的批复</w:t>
      </w:r>
    </w:p>
    <w:p w14:paraId="2B9EDE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4CA9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  <w:t>广西晶钻新材料科技有限公司：</w:t>
      </w:r>
    </w:p>
    <w:p w14:paraId="73DDA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  <w:t>你单位报来的《广西晶钻新材料科技有限公司年产2000吨功能型珠光效应材料项目环境影响报告表》收悉。经审查，批复如下：</w:t>
      </w:r>
    </w:p>
    <w:p w14:paraId="0E5F7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  <w:t>广西晶钻新材料科技有限公司年产2000吨功能型珠光效应材料项目，建设地点位于广西柳州市鹿寨县鹿寨镇飞鹿大道279号37栋（一层、二层）（中心坐标：东经109°42′24.137″，北纬24°26′55.329″），项目总用地面积为5121.83㎡，属于新建项目，项目租用鹿寨县中小科技企业创业孵化基地已建成的37#标准厂房1层作为生产车间（包括珠光材料半成品区、筛粉室、混粉上料区、混粉放料区、包装区、包材存放区、绕膜区、出库区）、一般固体废物暂存间及危险废物暂存间等，于1</w:t>
      </w:r>
      <w:r>
        <w:rPr>
          <w:rStyle w:val="18"/>
          <w:rFonts w:hint="default" w:ascii="Arial" w:hAnsi="Arial" w:eastAsia="仿宋" w:cs="Arial"/>
          <w:spacing w:val="8"/>
          <w:sz w:val="32"/>
          <w:szCs w:val="32"/>
          <w:lang w:val="en-US" w:eastAsia="zh-CN" w:bidi="ar-SA"/>
        </w:rPr>
        <w:t>~</w:t>
      </w:r>
      <w:r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  <w:t>2层之间夹层设置综合办公区、会议室、检验实验室、样品室等，2层作为原料及成品仓库，同时建设车间给排水、供电、电讯、消防、环保等配套设施工程。建成后年产2000吨珠光颜料，总投资3000万元，其中环保投资110万元。</w:t>
      </w:r>
    </w:p>
    <w:p w14:paraId="2DF30C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  <w:t>本项目已在“广西投资项目在线并联审批监管平台”进行了备案登记，项目代码：2507-450223-04-01-940932。从环境影响角度考虑，同意你公司按照报告表所列的建设项目的地点、性质、规模、采取的环境保护对策措施及下述要求进行项目建设。</w:t>
      </w:r>
    </w:p>
    <w:p w14:paraId="1129F1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  <w:t>项目须落实报告表提出的各项环保要求，重点抓好以下环保工作：</w:t>
      </w:r>
    </w:p>
    <w:p w14:paraId="1FB1F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（一）</w:t>
      </w:r>
      <w:r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  <w:t>做好施工期扬尘防治工作，通过洒水抑尘等措施以减轻污染。施工期扬尘执行《大气污染物综合排放标准》（GB16297-1996）无组织排放限值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19FEF4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（二）</w:t>
      </w:r>
      <w:r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  <w:t>运营期筛粉、混粉下料、包装工序产生的粉尘均经过集气罩+布袋除尘器处理后无组织排放，需确保厂界颗粒物无组织排放达到《大气污染物综合排放标准》（GB16297-1996）无组织排放限值，不得使周边环境保护对象空气质量低于《环境空气质量标准》（GB3095-2012）及其修改单二级标准。</w:t>
      </w:r>
    </w:p>
    <w:p w14:paraId="38DE66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default" w:ascii="仿宋" w:hAnsi="仿宋" w:eastAsia="仿宋" w:cs="仿宋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（三）</w:t>
      </w:r>
      <w:r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  <w:t>项目不产生生产废水；生活废水经化粪池预处理达《污水综合排放标准》（GB 8978-1996）三级标准后，排入鹿寨县第二污水处理厂。</w:t>
      </w:r>
    </w:p>
    <w:p w14:paraId="5E2EF9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（四）</w:t>
      </w:r>
      <w:r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  <w:t>合理布局高噪音设备，对噪声源强较大的设备采取有效的隔声降噪减震措施，确保运营期厂界噪声符合《工业企业厂界环境噪声排放标准》（GB12348-2008）中3类标准。</w:t>
      </w:r>
    </w:p>
    <w:p w14:paraId="752369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（五）</w:t>
      </w:r>
      <w:r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  <w:t>做好一般固体废物的综合利用和妥善处置工作。一般工业固体废物执行《一般工业固体废物贮存和填埋污染控制标准》，按要求设置相关污染防治设施。</w:t>
      </w:r>
    </w:p>
    <w:p w14:paraId="2792B2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（六）</w:t>
      </w:r>
      <w:r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  <w:t>危险废物的暂存及转运执行《危险废物贮存污染控制标准》（GB18597-2023）的规定设置相关污染防治设施。</w:t>
      </w:r>
    </w:p>
    <w:p w14:paraId="18D3B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（七）</w:t>
      </w:r>
      <w:r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  <w:t>按照《环境保护图形标志一排污口(源)》和《排污口规范化整治要求(试行)》有关规定建设规范化的排污口，须按排污许可相关管理要求定期进行监测。</w:t>
      </w:r>
    </w:p>
    <w:p w14:paraId="0A5C85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（八）</w:t>
      </w:r>
      <w:r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  <w:t>按照《关于印发〈企业事业单位突发环境事件应急预案备案管理办法(试行)〉的通知》(环发〔2015〕4号)等相关要求，制定应急预案，配备相应的应急保障物资，落实环境风险防范措施，定期进行应急演练。建立健全施工、运行期环保管理制度，加强环境管理，制定并落实环境保护规章制度，确保环保措施的有效落实，环保设施的正常运转以及各项污染物稳定达标排放。</w:t>
      </w:r>
    </w:p>
    <w:p w14:paraId="0807C9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Style w:val="18"/>
          <w:rFonts w:hint="default" w:ascii="仿宋" w:hAnsi="仿宋" w:eastAsia="仿宋" w:cs="仿宋"/>
          <w:spacing w:val="8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  <w:t>该项目建设必须严格执行环境保护设施与主体工程同时设计、同时施工、同时投产使用的</w:t>
      </w:r>
      <w:r>
        <w:rPr>
          <w:rStyle w:val="18"/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环境保护“三同时”制度</w:t>
      </w:r>
      <w:r>
        <w:rPr>
          <w:rStyle w:val="18"/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  <w:t>，落实各项环境保护措施。工程建成后，须按《建设项目环境保护“三同时”制竣工环境保护验收暂行办法》要求实施竣工环境保护验收。未经验收，不得擅自投产。</w:t>
      </w:r>
    </w:p>
    <w:p w14:paraId="06E70BD4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 w14:paraId="4F5AB403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D37092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BAD7705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鹿寨县行政审批局</w:t>
      </w:r>
    </w:p>
    <w:p w14:paraId="2B3F55A2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</w:p>
    <w:p w14:paraId="6B5B1D3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（此件公开发布）</w:t>
      </w:r>
    </w:p>
    <w:tbl>
      <w:tblPr>
        <w:tblStyle w:val="16"/>
        <w:tblpPr w:leftFromText="180" w:rightFromText="180" w:vertAnchor="text" w:horzAnchor="page" w:tblpX="1439" w:tblpY="7751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6"/>
        <w:gridCol w:w="4093"/>
      </w:tblGrid>
      <w:tr w14:paraId="3B4E7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4946" w:type="dxa"/>
            <w:tcBorders>
              <w:top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1E7E0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eastAsia="zh-CN"/>
              </w:rPr>
              <w:t>鹿寨县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行政审批局</w:t>
            </w:r>
          </w:p>
        </w:tc>
        <w:tc>
          <w:tcPr>
            <w:tcW w:w="4093" w:type="dxa"/>
            <w:tcBorders>
              <w:top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222F66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日印发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</w:tbl>
    <w:p w14:paraId="39FC5284">
      <w:pPr>
        <w:keepNext w:val="0"/>
        <w:keepLines w:val="0"/>
        <w:pageBreakBefore w:val="0"/>
        <w:tabs>
          <w:tab w:val="left" w:pos="624"/>
        </w:tabs>
        <w:kinsoku/>
        <w:overflowPunct/>
        <w:topLinePunct w:val="0"/>
        <w:bidi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6" w:h="16838"/>
      <w:pgMar w:top="1701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07E7B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9E5D8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D9E5D8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209BF"/>
    <w:rsid w:val="0CF03F1F"/>
    <w:rsid w:val="0DA52F37"/>
    <w:rsid w:val="13594D07"/>
    <w:rsid w:val="16120CDA"/>
    <w:rsid w:val="1DF27EBB"/>
    <w:rsid w:val="200F04DE"/>
    <w:rsid w:val="20862B7C"/>
    <w:rsid w:val="219B4C07"/>
    <w:rsid w:val="242816D4"/>
    <w:rsid w:val="24731667"/>
    <w:rsid w:val="2BBF1BD7"/>
    <w:rsid w:val="381A4C7D"/>
    <w:rsid w:val="3A0B18FE"/>
    <w:rsid w:val="46AD555B"/>
    <w:rsid w:val="488209BF"/>
    <w:rsid w:val="49173142"/>
    <w:rsid w:val="495D774B"/>
    <w:rsid w:val="49CB465C"/>
    <w:rsid w:val="4BE60029"/>
    <w:rsid w:val="4C40214D"/>
    <w:rsid w:val="55D22E84"/>
    <w:rsid w:val="5A7A302D"/>
    <w:rsid w:val="5CF51811"/>
    <w:rsid w:val="63A02D3B"/>
    <w:rsid w:val="655E6422"/>
    <w:rsid w:val="6E0C075C"/>
    <w:rsid w:val="6FB96264"/>
    <w:rsid w:val="71AF444F"/>
    <w:rsid w:val="7B365EB0"/>
    <w:rsid w:val="7C63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240" w:lineRule="auto"/>
      <w:ind w:firstLine="0" w:firstLineChars="0"/>
      <w:outlineLvl w:val="3"/>
    </w:pPr>
    <w:rPr>
      <w:rFonts w:ascii="Arial" w:hAnsi="Arial" w:eastAsia="黑体"/>
      <w:b/>
      <w:bCs/>
      <w:szCs w:val="28"/>
    </w:rPr>
  </w:style>
  <w:style w:type="character" w:default="1" w:styleId="18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111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Cs w:val="20"/>
    </w:rPr>
  </w:style>
  <w:style w:type="paragraph" w:styleId="5">
    <w:name w:val="Normal Indent"/>
    <w:basedOn w:val="1"/>
    <w:next w:val="4"/>
    <w:qFormat/>
    <w:uiPriority w:val="0"/>
    <w:pPr>
      <w:ind w:firstLine="420"/>
    </w:pPr>
    <w:rPr>
      <w:rFonts w:ascii="Calibri" w:hAnsi="Calibri" w:cs="Times New Roman"/>
      <w:szCs w:val="22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Body Text Indent"/>
    <w:basedOn w:val="1"/>
    <w:next w:val="1"/>
    <w:qFormat/>
    <w:uiPriority w:val="0"/>
    <w:pPr>
      <w:ind w:left="420" w:leftChars="200"/>
    </w:pPr>
  </w:style>
  <w:style w:type="paragraph" w:styleId="8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3">
    <w:name w:val="Body Text First Indent"/>
    <w:basedOn w:val="6"/>
    <w:next w:val="14"/>
    <w:unhideWhenUsed/>
    <w:qFormat/>
    <w:uiPriority w:val="99"/>
    <w:pPr>
      <w:snapToGrid/>
      <w:spacing w:before="0" w:after="120" w:line="480" w:lineRule="exact"/>
      <w:ind w:right="0" w:firstLine="420" w:firstLineChars="100"/>
      <w:textAlignment w:val="baseline"/>
    </w:pPr>
    <w:rPr>
      <w:kern w:val="2"/>
      <w:sz w:val="24"/>
      <w:szCs w:val="24"/>
    </w:rPr>
  </w:style>
  <w:style w:type="paragraph" w:styleId="14">
    <w:name w:val="Body Text First Indent 2"/>
    <w:basedOn w:val="7"/>
    <w:next w:val="15"/>
    <w:qFormat/>
    <w:uiPriority w:val="0"/>
    <w:pPr>
      <w:spacing w:after="120"/>
      <w:ind w:firstLine="420" w:firstLineChars="200"/>
    </w:pPr>
    <w:rPr>
      <w:rFonts w:ascii="Calibri" w:hAnsi="Calibri" w:eastAsia="等线"/>
      <w:sz w:val="20"/>
      <w:szCs w:val="20"/>
    </w:rPr>
  </w:style>
  <w:style w:type="paragraph" w:customStyle="1" w:styleId="15">
    <w:name w:val="报告正文"/>
    <w:basedOn w:val="1"/>
    <w:qFormat/>
    <w:uiPriority w:val="0"/>
    <w:pPr>
      <w:spacing w:line="240" w:lineRule="auto"/>
      <w:ind w:firstLine="488" w:firstLineChars="200"/>
      <w:jc w:val="both"/>
    </w:pPr>
    <w:rPr>
      <w:rFonts w:ascii="宋体" w:hAnsi="宋体"/>
      <w:spacing w:val="8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paragraph" w:customStyle="1" w:styleId="20">
    <w:name w:val="Default1"/>
    <w:qFormat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748</Words>
  <Characters>852</Characters>
  <Lines>0</Lines>
  <Paragraphs>0</Paragraphs>
  <TotalTime>7</TotalTime>
  <ScaleCrop>false</ScaleCrop>
  <LinksUpToDate>false</LinksUpToDate>
  <CharactersWithSpaces>859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2024-09-23T01:33:00Z</dcterms:created>
  <dc:creator>◆ｋ.尐綯氣.</dc:creator>
  <cp:lastModifiedBy>杨柳凝妆</cp:lastModifiedBy>
  <cp:lastPrinted>2025-01-20T02:10:00Z</cp:lastPrinted>
  <dcterms:modified xsi:type="dcterms:W3CDTF">2025-08-25T07:50:38Z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7FD342E6FCD3431B977D20E92FFCF7CD_13</vt:lpwstr>
  </property>
  <property fmtid="{D5CDD505-2E9C-101B-9397-08002B2CF9AE}" pid="4" name="KSOTemplateDocerSaveRecord">
    <vt:lpwstr>eyJoZGlkIjoiNTlkMWFiZjdiYTQ3ZDEzYzQwYThiZDU2NmU5MmM0ZjIiLCJ1c2VySWQiOiIxMTY2MzMxMzYyIn0=</vt:lpwstr>
  </property>
</Properties>
</file>