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434A">
      <w:pPr>
        <w:spacing w:line="1000" w:lineRule="exact"/>
        <w:jc w:val="center"/>
        <w:rPr>
          <w:rFonts w:hint="default" w:ascii="Times New Roman" w:hAnsi="Times New Roman" w:eastAsia="方正大标宋简体" w:cs="Times New Roman"/>
          <w:b/>
          <w:bCs/>
          <w:color w:val="FF0000"/>
          <w:sz w:val="72"/>
          <w:szCs w:val="72"/>
        </w:rPr>
      </w:pPr>
      <w:r>
        <w:rPr>
          <w:rFonts w:hint="default" w:ascii="Times New Roman" w:hAnsi="Times New Roman" w:eastAsia="方正大标宋简体" w:cs="Times New Roman"/>
          <w:b/>
          <w:bCs/>
          <w:color w:val="FF0000"/>
          <w:sz w:val="72"/>
          <w:szCs w:val="72"/>
        </w:rPr>
        <w:t>鹿 寨</w:t>
      </w:r>
      <w:r>
        <w:rPr>
          <w:rFonts w:hint="eastAsia" w:ascii="Times New Roman" w:hAnsi="Times New Roman" w:eastAsia="方正大标宋简体" w:cs="Times New Roman"/>
          <w:b/>
          <w:bCs/>
          <w:color w:val="FF0000"/>
          <w:sz w:val="72"/>
          <w:szCs w:val="72"/>
          <w:lang w:val="en-US" w:eastAsia="zh-CN"/>
        </w:rPr>
        <w:t xml:space="preserve"> </w:t>
      </w:r>
      <w:r>
        <w:rPr>
          <w:rFonts w:hint="default" w:ascii="Times New Roman" w:hAnsi="Times New Roman" w:eastAsia="方正大标宋简体" w:cs="Times New Roman"/>
          <w:b/>
          <w:bCs/>
          <w:color w:val="FF0000"/>
          <w:sz w:val="72"/>
          <w:szCs w:val="72"/>
        </w:rPr>
        <w:t>县 行 政 审 批 局</w:t>
      </w:r>
    </w:p>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r>
        <w:rPr>
          <w:rFonts w:hint="eastAsia" w:ascii="方正小标宋_GBK" w:hAnsi="方正小标宋_GBK" w:eastAsia="方正小标宋_GBK" w:cs="方正小标宋_GBK"/>
          <w:color w:val="auto"/>
          <w:sz w:val="44"/>
          <w:szCs w:val="44"/>
        </w:rPr>
        <mc:AlternateContent>
          <mc:Choice Requires="wps">
            <w:drawing>
              <wp:anchor distT="0" distB="0" distL="114300" distR="114300" simplePos="0" relativeHeight="251659264" behindDoc="0" locked="0" layoutInCell="1" allowOverlap="1">
                <wp:simplePos x="0" y="0"/>
                <wp:positionH relativeFrom="page">
                  <wp:posOffset>694055</wp:posOffset>
                </wp:positionH>
                <wp:positionV relativeFrom="margin">
                  <wp:posOffset>1278890</wp:posOffset>
                </wp:positionV>
                <wp:extent cx="6120130" cy="635"/>
                <wp:effectExtent l="0" t="28575" r="13970" b="46990"/>
                <wp:wrapSquare wrapText="bothSides"/>
                <wp:docPr id="2" name="直接连接符 2"/>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4.65pt;margin-top:100.7pt;height:0.05pt;width:481.9pt;mso-position-horizontal-relative:page;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zHqJNYAAAAMAQAADwAAAAAAAAABACAAAAAiAAAAZHJzL2Rvd25yZXYueG1sUEsB&#10;AhQAFAAAAAgAh07iQLBtWm33AQAA7wMAAA4AAAAAAAAAAQAgAAAAJQEAAGRycy9lMm9Eb2MueG1s&#10;UEsFBgAAAAAGAAYAWQEAAI4FAAAAAA==&#10;">
                <v:fill on="f" focussize="0,0"/>
                <v:stroke weight="4.5pt" color="#FF0000" linestyle="thickThin" joinstyle="round"/>
                <v:imagedata o:title=""/>
                <o:lock v:ext="edit" aspectratio="f"/>
                <w10:wrap type="square"/>
              </v:line>
            </w:pict>
          </mc:Fallback>
        </mc:AlternateContent>
      </w:r>
    </w:p>
    <w:p w14:paraId="65BD1F19">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广西金信环保科技有限公司鹿寨县200m3/d化粪池污水处理项目</w:t>
      </w:r>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Style w:val="17"/>
          <w:rFonts w:hint="default" w:ascii="Times New Roman" w:hAnsi="Times New Roman" w:eastAsia="仿宋_GB2312" w:cs="Times New Roman"/>
          <w:spacing w:val="8"/>
          <w:sz w:val="32"/>
          <w:szCs w:val="32"/>
          <w:lang w:val="en-US" w:eastAsia="zh-CN" w:bidi="ar-SA"/>
        </w:rPr>
      </w:pPr>
      <w:r>
        <w:rPr>
          <w:rFonts w:hint="default" w:ascii="Times New Roman" w:hAnsi="Times New Roman" w:eastAsia="仿宋_GB2312" w:cs="Times New Roman"/>
          <w:sz w:val="32"/>
          <w:szCs w:val="32"/>
          <w:lang w:val="en-US" w:eastAsia="zh-CN"/>
        </w:rPr>
        <w:t>广西金信环保科技有限公司</w:t>
      </w:r>
      <w:r>
        <w:rPr>
          <w:rStyle w:val="17"/>
          <w:rFonts w:hint="default" w:ascii="Times New Roman" w:hAnsi="Times New Roman" w:eastAsia="仿宋_GB2312" w:cs="Times New Roman"/>
          <w:spacing w:val="8"/>
          <w:sz w:val="32"/>
          <w:szCs w:val="32"/>
          <w:lang w:val="en-US" w:eastAsia="zh-CN" w:bidi="ar-SA"/>
        </w:rPr>
        <w:t>：</w:t>
      </w:r>
      <w:bookmarkStart w:id="0" w:name="_GoBack"/>
      <w:bookmarkEnd w:id="0"/>
    </w:p>
    <w:p w14:paraId="73DDA0E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你单位报来的《广西金信环保科技有限公司鹿寨县200m3/d化粪池污水处理项目环境影响报告表》收悉。经审查，批复如下：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一、</w:t>
      </w:r>
      <w:r>
        <w:rPr>
          <w:rFonts w:hint="default" w:ascii="Times New Roman" w:hAnsi="Times New Roman" w:eastAsia="仿宋_GB2312" w:cs="Times New Roman"/>
          <w:sz w:val="32"/>
          <w:szCs w:val="32"/>
          <w:lang w:val="en-US" w:eastAsia="zh-CN"/>
        </w:rPr>
        <w:t>广西金信环保科技有限公司鹿寨县200m3/d化粪池污水处理项目</w:t>
      </w:r>
      <w:r>
        <w:rPr>
          <w:rStyle w:val="17"/>
          <w:rFonts w:hint="default" w:ascii="Times New Roman" w:hAnsi="Times New Roman" w:eastAsia="仿宋_GB2312" w:cs="Times New Roman"/>
          <w:spacing w:val="8"/>
          <w:sz w:val="32"/>
          <w:szCs w:val="32"/>
          <w:lang w:val="en-US" w:eastAsia="zh-CN" w:bidi="ar-SA"/>
        </w:rPr>
        <w:t>，建设地点位于柳州市鹿寨县新柳大道鹿寨第二污水处理厂北侧（中心坐标：东经109°39′51.312″，北纬24°25′22.894″），项目总用地面积为1822.5㎡，属于新建项目，建设日处理规模200m3/d化粪池污水的污水处理站，主要服务周边20公里范围内居民区、商业区化粪池及管网的应急清掏需求。总投资500万元，其中环保投资500万元。</w:t>
      </w:r>
    </w:p>
    <w:p w14:paraId="2DF30C3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2504-450223-89-02-972840。从环境影响角度考虑，同意你公司按照报告表所列的建设项目的地点、性质、规模、采取的环境保护对策措施及下述要求进行项目建设。</w:t>
      </w:r>
    </w:p>
    <w:p w14:paraId="1129F1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Style w:val="17"/>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1FB1F72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lang w:val="en-US" w:eastAsia="zh-CN"/>
        </w:rPr>
      </w:pPr>
      <w:r>
        <w:rPr>
          <w:rStyle w:val="17"/>
          <w:rFonts w:hint="default" w:ascii="Times New Roman" w:hAnsi="Times New Roman" w:eastAsia="仿宋_GB2312" w:cs="Times New Roman"/>
          <w:spacing w:val="8"/>
          <w:sz w:val="32"/>
          <w:szCs w:val="32"/>
          <w:lang w:val="en-US" w:eastAsia="zh-CN" w:bidi="ar-SA"/>
        </w:rPr>
        <w:t>（一）做好施工期扬尘防治工作，通过围挡覆盖、洒水抑尘、车辆冲洗等措施以减轻污染。施工期扬尘执行《大气污染物综合排放标准》（GB16297-1996）无组织排放限值</w:t>
      </w:r>
      <w:r>
        <w:rPr>
          <w:rFonts w:hint="default" w:ascii="Times New Roman" w:hAnsi="Times New Roman" w:eastAsia="仿宋_GB2312" w:cs="Times New Roman"/>
          <w:sz w:val="32"/>
          <w:szCs w:val="32"/>
          <w:lang w:val="en-US" w:eastAsia="zh-CN"/>
        </w:rPr>
        <w:t>。</w:t>
      </w:r>
    </w:p>
    <w:p w14:paraId="19FEF49D">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（二）恶臭气体通过集气管道收集至碱洗塔处理后通过15m高DA001排气筒达标排放，执行《恶臭污染物排放标准》（GB 14554-93）表2限值。</w:t>
      </w:r>
    </w:p>
    <w:p w14:paraId="521DE432">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（三）强化污泥脱水房等区域密闭措施，确保厂界恶臭气体达到《恶臭污染物排放标准》（GB 14554-93）表1限值。</w:t>
      </w:r>
    </w:p>
    <w:p w14:paraId="38DE6626">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（四）全厂废水（含生活污水、设备冲洗水、喷淋废水等）经厂区“筛网和机械格栅+调节池+AA/O池+沉淀池”工艺处理，达到《污水排入城镇下水道水质标准》（GB/T 31962-2015）B级标准和鹿寨县城第二污水处理厂的接纳标准后排入鹿寨县城第二污水处理厂。</w:t>
      </w:r>
    </w:p>
    <w:p w14:paraId="5E2EF914">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五）合理布局高噪音设备，对噪声源强较大的设备采取有效的隔声降噪减震措施，确保施工期厂界噪声符合《建筑施工场界环境噪声排放标准》（GB12523-2011）限值标准，运营期厂界噪声符合《工业企业厂界环境噪声排放标准》（GB12348-2008）中2类标准。</w:t>
      </w:r>
    </w:p>
    <w:p w14:paraId="3A290F3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（六）做好一般固体废物的综合利用和妥善处置工作。一般工业固体废物执行《一般工业固体废物贮存和填埋污染控制标准》，按要求设置相关污染防治设施。</w:t>
      </w:r>
    </w:p>
    <w:p w14:paraId="2792B23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（七）危险废物的暂存及转运执行《危险废物贮存污染控制标准》（GB18597-2023）的规定设置相关污染防治设施。</w:t>
      </w:r>
    </w:p>
    <w:p w14:paraId="1168C2EE">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（八）根据《环境影响评价技术导则 地下水环境》（HJ610-2016）要求，厂区划分重点防渗区、一般防渗区和简单防渗区，落实分区防渗措施技术要求。</w:t>
      </w:r>
    </w:p>
    <w:p w14:paraId="18D3B5B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（九）按照《环境保护图形标志一排污口(源)》和《排污口规范化整治要求(试行)》有关规定建设规范化的排污口，须按排污许可相关管理要求定期进行监测。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rPr>
      </w:pPr>
      <w:r>
        <w:rPr>
          <w:rStyle w:val="17"/>
          <w:rFonts w:hint="default" w:ascii="Times New Roman" w:hAnsi="Times New Roman" w:eastAsia="仿宋_GB2312" w:cs="Times New Roman"/>
          <w:spacing w:val="8"/>
          <w:sz w:val="32"/>
          <w:szCs w:val="32"/>
          <w:lang w:val="en-US" w:eastAsia="zh-CN" w:bidi="ar-SA"/>
        </w:rPr>
        <w:t>（十）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三、</w:t>
      </w:r>
      <w:r>
        <w:rPr>
          <w:rStyle w:val="17"/>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环境保护“三同时”制竣工环境保护验收暂行办法》要求实施竣工环境保护验收。未经验收，不得擅自投产。</w:t>
      </w:r>
    </w:p>
    <w:p w14:paraId="06E70BD4">
      <w:pPr>
        <w:pStyle w:val="13"/>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黑体" w:hAnsi="黑体" w:eastAsia="黑体" w:cs="黑体"/>
          <w:sz w:val="32"/>
          <w:szCs w:val="32"/>
        </w:rPr>
        <w:t>四、</w:t>
      </w:r>
      <w:r>
        <w:rPr>
          <w:rFonts w:hint="default" w:ascii="Times New Roman" w:hAnsi="Times New Roman" w:eastAsia="仿宋_GB2312" w:cs="Times New Roman"/>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47D37092">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20"/>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20"/>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日</w:t>
      </w:r>
    </w:p>
    <w:p w14:paraId="6B5B1D3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7"/>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5"/>
        <w:tblpPr w:leftFromText="180" w:rightFromText="180" w:vertAnchor="text" w:horzAnchor="page" w:tblpX="1402" w:tblpY="6571"/>
        <w:tblOverlap w:val="never"/>
        <w:tblW w:w="9039" w:type="dxa"/>
        <w:tblInd w:w="0" w:type="dxa"/>
        <w:tblLayout w:type="fixed"/>
        <w:tblCellMar>
          <w:top w:w="0" w:type="dxa"/>
          <w:left w:w="108" w:type="dxa"/>
          <w:bottom w:w="0" w:type="dxa"/>
          <w:right w:w="108" w:type="dxa"/>
        </w:tblCellMar>
      </w:tblPr>
      <w:tblGrid>
        <w:gridCol w:w="4946"/>
        <w:gridCol w:w="4093"/>
      </w:tblGrid>
      <w:tr w14:paraId="7B6CF961">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2CA7FAEA">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0857998D">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default" w:ascii="Times New Roman" w:hAnsi="Times New Roman" w:eastAsia="仿宋_GB2312" w:cs="Times New Roman"/>
                <w:b w:val="0"/>
                <w:i w:val="0"/>
                <w:color w:val="auto"/>
                <w:sz w:val="32"/>
                <w:szCs w:val="32"/>
                <w:highlight w:val="none"/>
                <w:lang w:val="en-US" w:eastAsia="zh-CN"/>
              </w:rPr>
              <w:t>5</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9</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10</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29E089CE">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4E968F6"/>
    <w:rsid w:val="07E378DF"/>
    <w:rsid w:val="0CF03F1F"/>
    <w:rsid w:val="0DA52F37"/>
    <w:rsid w:val="13594D07"/>
    <w:rsid w:val="13DC573D"/>
    <w:rsid w:val="16120CDA"/>
    <w:rsid w:val="1DF27EBB"/>
    <w:rsid w:val="200F04DE"/>
    <w:rsid w:val="20862B7C"/>
    <w:rsid w:val="219B4C07"/>
    <w:rsid w:val="242816D4"/>
    <w:rsid w:val="24731667"/>
    <w:rsid w:val="2BBF1BD7"/>
    <w:rsid w:val="381A4C7D"/>
    <w:rsid w:val="3A0B18FE"/>
    <w:rsid w:val="488209BF"/>
    <w:rsid w:val="49173142"/>
    <w:rsid w:val="495D774B"/>
    <w:rsid w:val="49CB465C"/>
    <w:rsid w:val="4BE60029"/>
    <w:rsid w:val="4C40214D"/>
    <w:rsid w:val="4D1A7EFD"/>
    <w:rsid w:val="4E1600AB"/>
    <w:rsid w:val="55D22E84"/>
    <w:rsid w:val="5A7A302D"/>
    <w:rsid w:val="5CF51811"/>
    <w:rsid w:val="63A02D3B"/>
    <w:rsid w:val="655E6422"/>
    <w:rsid w:val="6E0C075C"/>
    <w:rsid w:val="6FB96264"/>
    <w:rsid w:val="71AF444F"/>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3"/>
    <w:qFormat/>
    <w:uiPriority w:val="0"/>
    <w:pPr>
      <w:ind w:firstLine="420"/>
    </w:pPr>
    <w:rPr>
      <w:rFonts w:ascii="Calibri" w:hAnsi="Calibri" w:cs="Times New Roman"/>
      <w:szCs w:val="22"/>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ind w:left="420" w:leftChars="200"/>
    </w:p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5"/>
    <w:next w:val="13"/>
    <w:unhideWhenUsed/>
    <w:qFormat/>
    <w:uiPriority w:val="99"/>
    <w:pPr>
      <w:snapToGrid/>
      <w:spacing w:before="0" w:after="120" w:line="480" w:lineRule="exact"/>
      <w:ind w:right="0" w:firstLine="420" w:firstLineChars="100"/>
      <w:textAlignment w:val="baseline"/>
    </w:pPr>
    <w:rPr>
      <w:kern w:val="2"/>
      <w:sz w:val="24"/>
      <w:szCs w:val="24"/>
    </w:rPr>
  </w:style>
  <w:style w:type="paragraph" w:styleId="13">
    <w:name w:val="Body Text First Indent 2"/>
    <w:basedOn w:val="6"/>
    <w:next w:val="14"/>
    <w:qFormat/>
    <w:uiPriority w:val="0"/>
    <w:pPr>
      <w:spacing w:after="120"/>
      <w:ind w:firstLine="420" w:firstLineChars="200"/>
    </w:pPr>
    <w:rPr>
      <w:rFonts w:ascii="Calibri" w:hAnsi="Calibri" w:eastAsia="等线"/>
      <w:sz w:val="20"/>
      <w:szCs w:val="20"/>
    </w:rPr>
  </w:style>
  <w:style w:type="paragraph" w:customStyle="1" w:styleId="14">
    <w:name w:val="报告正文"/>
    <w:basedOn w:val="1"/>
    <w:qFormat/>
    <w:uiPriority w:val="0"/>
    <w:pPr>
      <w:spacing w:line="240" w:lineRule="auto"/>
      <w:ind w:firstLine="488" w:firstLineChars="200"/>
      <w:jc w:val="both"/>
    </w:pPr>
    <w:rPr>
      <w:rFonts w:ascii="宋体" w:hAnsi="宋体"/>
      <w:spacing w:val="8"/>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11111"/>
    <w:basedOn w:val="1"/>
    <w:next w:val="1"/>
    <w:qFormat/>
    <w:uiPriority w:val="0"/>
    <w:pPr>
      <w:spacing w:line="360" w:lineRule="auto"/>
      <w:ind w:firstLine="200" w:firstLineChars="200"/>
    </w:pPr>
    <w:rPr>
      <w:rFonts w:ascii="宋体" w:hAnsi="宋体" w:cs="宋体"/>
      <w:szCs w:val="20"/>
    </w:rPr>
  </w:style>
  <w:style w:type="paragraph" w:customStyle="1" w:styleId="20">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1520</Words>
  <Characters>1695</Characters>
  <Lines>0</Lines>
  <Paragraphs>0</Paragraphs>
  <TotalTime>33</TotalTime>
  <ScaleCrop>false</ScaleCrop>
  <LinksUpToDate>false</LinksUpToDate>
  <CharactersWithSpaces>1720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◆ｋ.尐綯氣.</cp:lastModifiedBy>
  <cp:lastPrinted>2025-01-20T02:10:00Z</cp:lastPrinted>
  <dcterms:modified xsi:type="dcterms:W3CDTF">2025-09-08T02:16:40Z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630D1F4AC28043A1B3AF974A42EF28FF_13</vt:lpwstr>
  </property>
  <property fmtid="{D5CDD505-2E9C-101B-9397-08002B2CF9AE}" pid="4" name="KSOTemplateDocerSaveRecord">
    <vt:lpwstr>eyJoZGlkIjoiMGRjMjA5MWY5Y2VmNzU4ZDRkYjQzZGViODlmNjZiMTAiLCJ1c2VySWQiOiIxNTQyNTQzNjY4In0=</vt:lpwstr>
  </property>
</Properties>
</file>