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0434A">
      <w:pPr>
        <w:spacing w:line="1000" w:lineRule="exact"/>
        <w:jc w:val="center"/>
        <w:rPr>
          <w:rFonts w:hint="default" w:ascii="Times New Roman" w:hAnsi="Times New Roman" w:eastAsia="方正大标宋简体" w:cs="Times New Roman"/>
          <w:b/>
          <w:bCs/>
          <w:color w:val="FF0000"/>
          <w:sz w:val="72"/>
          <w:szCs w:val="72"/>
        </w:rPr>
      </w:pPr>
      <w:r>
        <w:rPr>
          <w:rFonts w:hint="default" w:ascii="Times New Roman" w:hAnsi="Times New Roman" w:eastAsia="方正大标宋简体" w:cs="Times New Roman"/>
          <w:b/>
          <w:bCs/>
          <w:color w:val="FF0000"/>
          <w:sz w:val="72"/>
          <w:szCs w:val="72"/>
        </w:rPr>
        <w:t>鹿 寨</w:t>
      </w:r>
      <w:r>
        <w:rPr>
          <w:rFonts w:hint="eastAsia" w:ascii="Times New Roman" w:hAnsi="Times New Roman" w:eastAsia="方正大标宋简体" w:cs="Times New Roman"/>
          <w:b/>
          <w:bCs/>
          <w:color w:val="FF0000"/>
          <w:sz w:val="72"/>
          <w:szCs w:val="72"/>
          <w:lang w:val="en-US" w:eastAsia="zh-CN"/>
        </w:rPr>
        <w:t xml:space="preserve"> </w:t>
      </w:r>
      <w:r>
        <w:rPr>
          <w:rFonts w:hint="default" w:ascii="Times New Roman" w:hAnsi="Times New Roman" w:eastAsia="方正大标宋简体" w:cs="Times New Roman"/>
          <w:b/>
          <w:bCs/>
          <w:color w:val="FF0000"/>
          <w:sz w:val="72"/>
          <w:szCs w:val="72"/>
        </w:rPr>
        <w:t>县 行 政 审 批 局</w:t>
      </w:r>
    </w:p>
    <w:p w14:paraId="4D6B8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鹿审环批复〔202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号</w:t>
      </w:r>
    </w:p>
    <w:p w14:paraId="7D8BE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694055</wp:posOffset>
                </wp:positionH>
                <wp:positionV relativeFrom="margin">
                  <wp:posOffset>1278890</wp:posOffset>
                </wp:positionV>
                <wp:extent cx="6120130" cy="635"/>
                <wp:effectExtent l="0" t="28575" r="13970" b="46990"/>
                <wp:wrapSquare wrapText="bothSides"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635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.65pt;margin-top:100.7pt;height:0.05pt;width:481.9pt;mso-position-horizontal-relative:page;mso-position-vertical-relative:margin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PzHqJNYAAAAMAQAADwAAAAAAAAABACAAAAAiAAAAZHJzL2Rvd25yZXYueG1sUEsB&#10;AhQAFAAAAAgAh07iQLBtWm33AQAA7wMAAA4AAAAAAAAAAQAgAAAAJQEAAGRycy9lMm9Eb2MueG1s&#10;UEsFBgAAAAAGAAYAWQEAAI4FAAAAAA==&#10;">
                <v:fill on="f" focussize="0,0"/>
                <v:stroke weight="4.5pt" color="#FF0000" linestyle="thickThin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365F3C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鹿寨县林燊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木业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有限公司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碳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粉加工项目</w:t>
      </w:r>
    </w:p>
    <w:p w14:paraId="2F1BDF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环境影响报告表的批复</w:t>
      </w:r>
      <w:bookmarkStart w:id="0" w:name="_GoBack"/>
      <w:bookmarkEnd w:id="0"/>
    </w:p>
    <w:p w14:paraId="2B9EDE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4CA9A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Style w:val="18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8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鹿寨县林燊木业有限公司：</w:t>
      </w:r>
    </w:p>
    <w:p w14:paraId="73DDA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8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8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你单位报来的《鹿寨县林燊木业有限公司碳粉加工项目环境影响报告表》收悉。经审查，批复如下：</w:t>
      </w:r>
    </w:p>
    <w:p w14:paraId="0E5F75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Style w:val="18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Style w:val="18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鹿寨县林燊木业有限公司碳粉加工项目，建设地点位于广西壮族自治区柳州市鹿寨县鹿寨镇龙田村巴敢屯（中心坐标：东经109°47′41.838″，北纬24°28′35.086″），项目总用地面积为9949㎡，属于新建项目，租用广西鹿寨县源顺木业有限公司现有厂房，建设一条碳粉生产线，配套废气处理设施、事故应急池等，年产碳粉3600吨，木醋液4203.675吨。总投资400万元，其中环保投资20万元。</w:t>
      </w:r>
    </w:p>
    <w:p w14:paraId="2DF30C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8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8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本项目已在“广西投资项目在线并联审批监管平台”进行了备案登记，项目代码：2401-450223-04-01-385289。从环境影响角度考虑，同意你公司按照报告表所列的建设项目的地点、性质、规模、采取的环境保护对策措施及下述要求进行项目建设。</w:t>
      </w:r>
    </w:p>
    <w:p w14:paraId="1129F1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Style w:val="18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项目须落实报告表提出的各项环保要求，重点抓好以下环保工作：</w:t>
      </w:r>
    </w:p>
    <w:p w14:paraId="1FB1F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Style w:val="18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（一）</w:t>
      </w:r>
      <w:r>
        <w:rPr>
          <w:rStyle w:val="18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炭化热解气通入焚烧炉作为燃料使用，烘干废气须经布袋除尘器+两级活性炭处理。确保颗粒物、二氧化硫、氮氧化物、非甲烷总烃排放浓度和速率以及烟气黑度符合《大气污染物综合排放标准》（GB16297-1996）表2限值、《工业炉窑大气污染物排放标准》（GB9078-1996）后通过15米高DA001排气筒排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19FEF4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8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8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（二）</w:t>
      </w:r>
      <w:r>
        <w:rPr>
          <w:rStyle w:val="18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磨粉废气须经布袋除尘器处理，颗粒物排放浓度和速率满足《大气污染物综合排放标准》（GB16297-1996）表2限值后通过15米高DA002排气筒排放。</w:t>
      </w:r>
    </w:p>
    <w:p w14:paraId="521DE4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8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8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（三）</w:t>
      </w:r>
      <w:r>
        <w:rPr>
          <w:rStyle w:val="18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原料堆场须设置围挡及顶棚，定期洒水抑尘，车间通风，确保厂界颗粒物浓度符合《大气污染物综合排放标准》（GB16297-1996）表2无组织排放监控浓度限值。</w:t>
      </w:r>
    </w:p>
    <w:p w14:paraId="38DE66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8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8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（四）</w:t>
      </w:r>
      <w:r>
        <w:rPr>
          <w:rStyle w:val="18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项目不产生生产废水，生活污水经化粪池处理后达到《农田灌溉水质标准》（GB5084-2021）后用于周边农田施肥。</w:t>
      </w:r>
    </w:p>
    <w:p w14:paraId="5E2EF9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8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8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（五）</w:t>
      </w:r>
      <w:r>
        <w:rPr>
          <w:rStyle w:val="18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合理布局高噪音设备，对噪声源强较大的设备采取有效的隔声降噪减震措施，运营期厂界噪声符合《工业企业厂界环境噪声排放标准》（GB12348-2008）中2类标准。</w:t>
      </w:r>
    </w:p>
    <w:p w14:paraId="752369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8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8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（六）</w:t>
      </w:r>
      <w:r>
        <w:rPr>
          <w:rStyle w:val="18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做好一般固体废物的综合利用和妥善处置工作。一般工业固体废物执行《一般工业固体废物贮存和填埋污染控制标准》，按要求设置相关污染防治设施。</w:t>
      </w:r>
    </w:p>
    <w:p w14:paraId="2792B2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8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8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（七）</w:t>
      </w:r>
      <w:r>
        <w:rPr>
          <w:rStyle w:val="18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废活性炭由有资质的单位更换带走处置，不在厂内储存。</w:t>
      </w:r>
    </w:p>
    <w:p w14:paraId="18D3B5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8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8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（八）</w:t>
      </w:r>
      <w:r>
        <w:rPr>
          <w:rStyle w:val="18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按照《环境保护图形标志一排污口(源)》和《排污口规范化整治要求(试行)》有关规定建设规范化的排污口，须按排污许可相关管理要求定期进行监测。</w:t>
      </w:r>
    </w:p>
    <w:p w14:paraId="0A5C85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8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（九）</w:t>
      </w:r>
      <w:r>
        <w:rPr>
          <w:rStyle w:val="18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按照《关于印发〈企业事业单位突发环境事件应急预案备案管理办法(试行)〉的通知》(环发〔2015〕4号)等相关要求，制定应急预案，配备相应的应急保障物资，落实环境风险防范措施，定期进行应急演练。建立健全施工、运行期环保管理制度，加强环境管理，制定并落实环境保护规章制度，确保环保措施的有效落实，环保设施的正常运转以及各项污染物稳定达标排放。</w:t>
      </w:r>
    </w:p>
    <w:p w14:paraId="0807C9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Style w:val="18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Style w:val="18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该项目建设必须严格执行环境保护设施与主体工程同时设计、同时施工、同时投产使用的环境保护“三同时”制度，落实各项环境保护措施。工程建成后，须按《建设项目环境保护“三同时”制竣工环境保护验收暂行办法》要求实施竣工环境保护验收。未经验收，不得擅自投产。</w:t>
      </w:r>
    </w:p>
    <w:p w14:paraId="06E70BD4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项目的性质、规模、地点、采用的生产工艺或者防治污染、防止生态破坏的措施发生重大变动的，建设单位应当重新报批建设项目的环境影响评价文件。建设项目的环境影响评价文件自批准之日起超过五年，方决定该项目开工建设的，其环境影响评价文件应当报我局重新审核同意后方可建设。</w:t>
      </w:r>
    </w:p>
    <w:p w14:paraId="4F5AB403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7D37092"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AD7705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鹿寨县行政审批局</w:t>
      </w:r>
    </w:p>
    <w:p w14:paraId="2B3F55A2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</w:t>
      </w:r>
    </w:p>
    <w:p w14:paraId="6B5B1D38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Style w:val="18"/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（此件公开发布）</w:t>
      </w:r>
    </w:p>
    <w:tbl>
      <w:tblPr>
        <w:tblStyle w:val="16"/>
        <w:tblpPr w:leftFromText="180" w:rightFromText="180" w:vertAnchor="text" w:horzAnchor="page" w:tblpX="1484" w:tblpY="7914"/>
        <w:tblOverlap w:val="never"/>
        <w:tblW w:w="90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6"/>
        <w:gridCol w:w="4093"/>
      </w:tblGrid>
      <w:tr w14:paraId="344D3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4946" w:type="dxa"/>
            <w:tcBorders>
              <w:top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</w:tcPr>
          <w:p w14:paraId="087EF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60" w:lineRule="exact"/>
              <w:ind w:left="0" w:leftChars="0" w:right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eastAsia="zh-CN"/>
              </w:rPr>
              <w:t>鹿寨县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行政审批局</w:t>
            </w:r>
          </w:p>
        </w:tc>
        <w:tc>
          <w:tcPr>
            <w:tcW w:w="4093" w:type="dxa"/>
            <w:tcBorders>
              <w:top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</w:tcPr>
          <w:p w14:paraId="3E57604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60" w:lineRule="exact"/>
              <w:ind w:left="0" w:leftChars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日印发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</w:tc>
      </w:tr>
    </w:tbl>
    <w:p w14:paraId="6315BD55">
      <w:pPr>
        <w:keepNext w:val="0"/>
        <w:keepLines w:val="0"/>
        <w:pageBreakBefore w:val="0"/>
        <w:tabs>
          <w:tab w:val="left" w:pos="624"/>
        </w:tabs>
        <w:kinsoku/>
        <w:overflowPunct/>
        <w:topLinePunct w:val="0"/>
        <w:bidi w:val="0"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5" w:type="default"/>
      <w:pgSz w:w="11906" w:h="16838"/>
      <w:pgMar w:top="2098" w:right="1474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正圆 55简">
    <w:panose1 w:val="00020600040101010101"/>
    <w:charset w:val="86"/>
    <w:family w:val="auto"/>
    <w:pitch w:val="default"/>
    <w:sig w:usb0="A00002BF" w:usb1="0AC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07E7B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D9E5D8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D9E5D8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209BF"/>
    <w:rsid w:val="07E378DF"/>
    <w:rsid w:val="0CF03F1F"/>
    <w:rsid w:val="0DA52F37"/>
    <w:rsid w:val="13594D07"/>
    <w:rsid w:val="13DC573D"/>
    <w:rsid w:val="16120CDA"/>
    <w:rsid w:val="1DF27EBB"/>
    <w:rsid w:val="200F04DE"/>
    <w:rsid w:val="20862B7C"/>
    <w:rsid w:val="219B4C07"/>
    <w:rsid w:val="242816D4"/>
    <w:rsid w:val="24731667"/>
    <w:rsid w:val="299F0D59"/>
    <w:rsid w:val="2BBF1BD7"/>
    <w:rsid w:val="381A4C7D"/>
    <w:rsid w:val="3A0B18FE"/>
    <w:rsid w:val="3B3C6F4C"/>
    <w:rsid w:val="488209BF"/>
    <w:rsid w:val="49173142"/>
    <w:rsid w:val="495D774B"/>
    <w:rsid w:val="49CB465C"/>
    <w:rsid w:val="4BE60029"/>
    <w:rsid w:val="4C40214D"/>
    <w:rsid w:val="55D22E84"/>
    <w:rsid w:val="5A7A302D"/>
    <w:rsid w:val="5CF51811"/>
    <w:rsid w:val="63A02D3B"/>
    <w:rsid w:val="655E6422"/>
    <w:rsid w:val="6E0C075C"/>
    <w:rsid w:val="6F8810DD"/>
    <w:rsid w:val="6FB96264"/>
    <w:rsid w:val="71AF444F"/>
    <w:rsid w:val="76C27081"/>
    <w:rsid w:val="7B36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qFormat/>
    <w:uiPriority w:val="0"/>
    <w:pPr>
      <w:keepNext/>
      <w:keepLines/>
      <w:spacing w:line="240" w:lineRule="auto"/>
      <w:ind w:firstLine="0" w:firstLineChars="0"/>
      <w:outlineLvl w:val="3"/>
    </w:pPr>
    <w:rPr>
      <w:rFonts w:ascii="Arial" w:hAnsi="Arial" w:eastAsia="黑体"/>
      <w:b/>
      <w:bCs/>
      <w:szCs w:val="28"/>
    </w:rPr>
  </w:style>
  <w:style w:type="character" w:default="1" w:styleId="18">
    <w:name w:val="Default Paragraph Font"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1111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Cs w:val="20"/>
    </w:rPr>
  </w:style>
  <w:style w:type="paragraph" w:styleId="5">
    <w:name w:val="Normal Indent"/>
    <w:basedOn w:val="1"/>
    <w:next w:val="4"/>
    <w:qFormat/>
    <w:uiPriority w:val="0"/>
    <w:pPr>
      <w:ind w:firstLine="420"/>
    </w:pPr>
    <w:rPr>
      <w:rFonts w:ascii="Calibri" w:hAnsi="Calibri" w:cs="Times New Roman"/>
      <w:szCs w:val="22"/>
    </w:r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7">
    <w:name w:val="Body Text Indent"/>
    <w:basedOn w:val="1"/>
    <w:next w:val="1"/>
    <w:qFormat/>
    <w:uiPriority w:val="0"/>
    <w:pPr>
      <w:ind w:left="420" w:leftChars="200"/>
    </w:pPr>
  </w:style>
  <w:style w:type="paragraph" w:styleId="8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3">
    <w:name w:val="Body Text First Indent"/>
    <w:basedOn w:val="6"/>
    <w:next w:val="14"/>
    <w:unhideWhenUsed/>
    <w:qFormat/>
    <w:uiPriority w:val="99"/>
    <w:pPr>
      <w:snapToGrid/>
      <w:spacing w:before="0" w:after="120" w:line="480" w:lineRule="exact"/>
      <w:ind w:right="0" w:firstLine="420" w:firstLineChars="100"/>
      <w:textAlignment w:val="baseline"/>
    </w:pPr>
    <w:rPr>
      <w:kern w:val="2"/>
      <w:sz w:val="24"/>
      <w:szCs w:val="24"/>
    </w:rPr>
  </w:style>
  <w:style w:type="paragraph" w:styleId="14">
    <w:name w:val="Body Text First Indent 2"/>
    <w:basedOn w:val="7"/>
    <w:next w:val="15"/>
    <w:qFormat/>
    <w:uiPriority w:val="0"/>
    <w:pPr>
      <w:spacing w:after="120"/>
      <w:ind w:firstLine="420" w:firstLineChars="200"/>
    </w:pPr>
    <w:rPr>
      <w:rFonts w:ascii="Calibri" w:hAnsi="Calibri" w:eastAsia="等线"/>
      <w:sz w:val="20"/>
      <w:szCs w:val="20"/>
    </w:rPr>
  </w:style>
  <w:style w:type="paragraph" w:customStyle="1" w:styleId="15">
    <w:name w:val="报告正文"/>
    <w:basedOn w:val="1"/>
    <w:qFormat/>
    <w:uiPriority w:val="0"/>
    <w:pPr>
      <w:spacing w:line="240" w:lineRule="auto"/>
      <w:ind w:firstLine="488" w:firstLineChars="200"/>
      <w:jc w:val="both"/>
    </w:pPr>
    <w:rPr>
      <w:rFonts w:ascii="宋体" w:hAnsi="宋体"/>
      <w:spacing w:val="8"/>
      <w:sz w:val="24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paragraph" w:customStyle="1" w:styleId="20">
    <w:name w:val="Default1"/>
    <w:qFormat/>
    <w:uiPriority w:val="99"/>
    <w:pPr>
      <w:widowControl w:val="0"/>
      <w:autoSpaceDE w:val="0"/>
      <w:autoSpaceDN w:val="0"/>
      <w:adjustRightInd w:val="0"/>
      <w:spacing w:line="360" w:lineRule="auto"/>
      <w:jc w:val="both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1408</Words>
  <Characters>1548</Characters>
  <Lines>0</Lines>
  <Paragraphs>0</Paragraphs>
  <TotalTime>15</TotalTime>
  <ScaleCrop>false</ScaleCrop>
  <LinksUpToDate>false</LinksUpToDate>
  <CharactersWithSpaces>1569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2024-09-23T01:33:00Z</dcterms:created>
  <dc:creator>◆ｋ.尐綯氣.</dc:creator>
  <cp:lastModifiedBy>◆ｋ.尐綯氣.</cp:lastModifiedBy>
  <cp:lastPrinted>2025-01-20T02:10:00Z</cp:lastPrinted>
  <dcterms:modified xsi:type="dcterms:W3CDTF">2025-09-18T07:49:06Z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68DF92C4D20942ADA6BDD7F60A9811D4_13</vt:lpwstr>
  </property>
  <property fmtid="{D5CDD505-2E9C-101B-9397-08002B2CF9AE}" pid="4" name="KSOTemplateDocerSaveRecord">
    <vt:lpwstr>eyJoZGlkIjoiMGRjMjA5MWY5Y2VmNzU4ZDRkYjQzZGViODlmNjZiMTAiLCJ1c2VySWQiOiIxNTQyNTQzNjY4In0=</vt:lpwstr>
  </property>
</Properties>
</file>