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0434A">
      <w:pPr>
        <w:spacing w:line="1000" w:lineRule="exact"/>
        <w:jc w:val="center"/>
        <w:rPr>
          <w:rFonts w:hint="default" w:ascii="Times New Roman" w:hAnsi="Times New Roman" w:eastAsia="方正大标宋简体" w:cs="Times New Roman"/>
          <w:b/>
          <w:bCs/>
          <w:color w:val="FF0000"/>
          <w:sz w:val="72"/>
          <w:szCs w:val="72"/>
        </w:rPr>
      </w:pPr>
    </w:p>
    <w:p w14:paraId="4D6B8B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鹿审环批复〔202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号</w:t>
      </w:r>
    </w:p>
    <w:p w14:paraId="7D8BE9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rPr>
      </w:pPr>
      <w:bookmarkStart w:id="0" w:name="_GoBack"/>
      <w:bookmarkEnd w:id="0"/>
    </w:p>
    <w:p w14:paraId="2F1BDF4E">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关于广西鹿寨县华光机械制造有限责任公司技术改造项目环境影响报告表的批复</w:t>
      </w:r>
    </w:p>
    <w:p w14:paraId="2B9EDE9B">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default" w:ascii="Times New Roman" w:hAnsi="Times New Roman" w:eastAsia="仿宋_GB2312" w:cs="Times New Roman"/>
          <w:sz w:val="32"/>
          <w:szCs w:val="32"/>
        </w:rPr>
      </w:pPr>
    </w:p>
    <w:p w14:paraId="64CA9A7F">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广西鹿寨县华光机械制造有限责任公司：</w:t>
      </w:r>
    </w:p>
    <w:p w14:paraId="73DDA0E8">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你单位报来的《广西鹿寨县华光机械制造有限责任公司技术改造项目环境影响报告表》收悉。经审查，批复如下：</w:t>
      </w:r>
    </w:p>
    <w:p w14:paraId="0E5F750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Fonts w:hint="eastAsia" w:ascii="黑体" w:hAnsi="黑体" w:eastAsia="黑体" w:cs="黑体"/>
          <w:sz w:val="32"/>
          <w:szCs w:val="32"/>
          <w:lang w:val="en-US" w:eastAsia="zh-CN"/>
        </w:rPr>
        <w:t>一、</w:t>
      </w:r>
      <w:r>
        <w:rPr>
          <w:rStyle w:val="17"/>
          <w:rFonts w:hint="default" w:ascii="Times New Roman" w:hAnsi="Times New Roman" w:eastAsia="仿宋_GB2312" w:cs="Times New Roman"/>
          <w:spacing w:val="8"/>
          <w:sz w:val="32"/>
          <w:szCs w:val="32"/>
          <w:lang w:val="en-US" w:eastAsia="zh-CN" w:bidi="ar-SA"/>
        </w:rPr>
        <w:t>广西鹿寨县华光机械制造有限责任公司技术改造项目，建设地点位于广西壮族自治区柳州市鹿寨县建中西路县机械厂旁（中心坐标：东经109°43′37.041″，北纬24°28′40.721″），项目总用地面积为9711㎡，属于技术改造项目，主要利用原有厂房，对现有生产线进行技改，增设1间喷漆车间、1间烤房，配置1套喷涂系统及配套2套环保工程，增加喷漆、喷粉及固化工艺，完善抛丸及浇注废气处理设施，技术改造完生产产能不变。总投资60万元，其中环保投资30万元。</w:t>
      </w:r>
    </w:p>
    <w:p w14:paraId="2DF30C3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本项目已在“广西投资项目在线并联审批监管平台”进行了备案登记，项目代码：2506-450223-07-01-405404。从环境影响角度考虑，同意你公司按照报告表所列的建设项目的地点、性质、规模、采取的环境保护对策措施及下述要求进行项目建设。</w:t>
      </w:r>
    </w:p>
    <w:p w14:paraId="1129F13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w:t>
      </w:r>
      <w:r>
        <w:rPr>
          <w:rStyle w:val="17"/>
          <w:rFonts w:hint="default" w:ascii="Times New Roman" w:hAnsi="Times New Roman" w:eastAsia="仿宋_GB2312" w:cs="Times New Roman"/>
          <w:spacing w:val="8"/>
          <w:sz w:val="32"/>
          <w:szCs w:val="32"/>
          <w:lang w:val="en-US" w:eastAsia="zh-CN" w:bidi="ar-SA"/>
        </w:rPr>
        <w:t>项目须落实报告表提出的各项环保要求，重点抓好以下环保工作：</w:t>
      </w:r>
    </w:p>
    <w:p w14:paraId="1FB1F72F">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Fonts w:hint="default" w:ascii="Times New Roman" w:hAnsi="Times New Roman" w:eastAsia="仿宋_GB2312" w:cs="Times New Roman"/>
          <w:sz w:val="32"/>
          <w:szCs w:val="32"/>
          <w:lang w:val="en-US" w:eastAsia="zh-CN"/>
        </w:rPr>
      </w:pPr>
      <w:r>
        <w:rPr>
          <w:rStyle w:val="17"/>
          <w:rFonts w:hint="eastAsia" w:ascii="华文楷体" w:hAnsi="华文楷体" w:eastAsia="华文楷体" w:cs="华文楷体"/>
          <w:spacing w:val="8"/>
          <w:sz w:val="32"/>
          <w:szCs w:val="32"/>
          <w:lang w:val="en-US" w:eastAsia="zh-CN" w:bidi="ar-SA"/>
        </w:rPr>
        <w:t>（一）</w:t>
      </w:r>
      <w:r>
        <w:rPr>
          <w:rStyle w:val="17"/>
          <w:rFonts w:hint="default" w:ascii="Times New Roman" w:hAnsi="Times New Roman" w:eastAsia="仿宋_GB2312" w:cs="Times New Roman"/>
          <w:spacing w:val="8"/>
          <w:sz w:val="32"/>
          <w:szCs w:val="32"/>
          <w:lang w:val="en-US" w:eastAsia="zh-CN" w:bidi="ar-SA"/>
        </w:rPr>
        <w:t>抛丸废气经脉冲布袋除尘器处理，通过DA003排气筒排放；浇注废气经布袋除尘器+二级活性炭吸附处理，通过DA004排气筒排放。有组织排放的颗粒物执行《铸造工业大气污染物排放标准》（GB 39726-2020）表1大气污染物排放限值；有组织排放的非甲烷总烃执行《大气污染物综合排放标准》（GB16297-1996）表2中最高允许排放浓度及二级最高允许排放速率限值要求。</w:t>
      </w:r>
    </w:p>
    <w:p w14:paraId="3085A3D1">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（二）</w:t>
      </w:r>
      <w:r>
        <w:rPr>
          <w:rStyle w:val="17"/>
          <w:rFonts w:hint="default" w:ascii="Times New Roman" w:hAnsi="Times New Roman" w:eastAsia="仿宋_GB2312" w:cs="Times New Roman"/>
          <w:spacing w:val="8"/>
          <w:sz w:val="32"/>
          <w:szCs w:val="32"/>
          <w:lang w:val="en-US" w:eastAsia="zh-CN" w:bidi="ar-SA"/>
        </w:rPr>
        <w:t>喷漆、喷粉工序需在密闭负压车间进行，喷漆废气经水帘预处理后与喷粉烘烤废气、晾干废气一起经二级活性炭吸附处理，通过DA005排气筒排放；喷粉废气经布袋除尘器处理后，通过DA006排气筒排放。有组织排放的颗粒物、非甲烷总烃执行《铸造工业大气污染物排放标准》（GB 39726-2020）表 1 大气污染物排放限值。</w:t>
      </w:r>
    </w:p>
    <w:p w14:paraId="42668BB2">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（三）</w:t>
      </w:r>
      <w:r>
        <w:rPr>
          <w:rStyle w:val="17"/>
          <w:rFonts w:hint="default" w:ascii="Times New Roman" w:hAnsi="Times New Roman" w:eastAsia="仿宋_GB2312" w:cs="Times New Roman"/>
          <w:spacing w:val="8"/>
          <w:sz w:val="32"/>
          <w:szCs w:val="32"/>
          <w:lang w:val="en-US" w:eastAsia="zh-CN" w:bidi="ar-SA"/>
        </w:rPr>
        <w:t>项目厂界无组织排放的颗粒物、非甲烷总烃执行《大气污染物综合排放标准》（GB16297-1996）表2中无组织排放监控浓度限值要求；厂区内颗粒物、非甲烷总烃无组织排放监控点浓度执行《铸造工业大气污染物排放标准》（GB 39726-2020）表A.1规定的限值。</w:t>
      </w:r>
    </w:p>
    <w:p w14:paraId="38DE6626">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（四）</w:t>
      </w:r>
      <w:r>
        <w:rPr>
          <w:rStyle w:val="17"/>
          <w:rFonts w:hint="default" w:ascii="Times New Roman" w:hAnsi="Times New Roman" w:eastAsia="仿宋_GB2312" w:cs="Times New Roman"/>
          <w:spacing w:val="8"/>
          <w:sz w:val="32"/>
          <w:szCs w:val="32"/>
          <w:lang w:val="en-US" w:eastAsia="zh-CN" w:bidi="ar-SA"/>
        </w:rPr>
        <w:t>项目生产废水经絮凝剂沉淀过滤后循环使用，不外排；生活污水经化粪池处理后通过市政污水管网输送至鹿寨县城第二污水处理厂处理。</w:t>
      </w:r>
    </w:p>
    <w:p w14:paraId="5E2EF914">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（五）</w:t>
      </w:r>
      <w:r>
        <w:rPr>
          <w:rStyle w:val="17"/>
          <w:rFonts w:hint="default" w:ascii="Times New Roman" w:hAnsi="Times New Roman" w:eastAsia="仿宋_GB2312" w:cs="Times New Roman"/>
          <w:spacing w:val="8"/>
          <w:sz w:val="32"/>
          <w:szCs w:val="32"/>
          <w:lang w:val="en-US" w:eastAsia="zh-CN" w:bidi="ar-SA"/>
        </w:rPr>
        <w:t>合理布局高噪音设备，对噪声源强较大的设备采取有效的隔声降噪减震措施，运营期厂界噪声符合《工业企业厂界环境噪声排放标准》（GB12348-2008）中3类标准。</w:t>
      </w:r>
    </w:p>
    <w:p w14:paraId="7132A62B">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（六）</w:t>
      </w:r>
      <w:r>
        <w:rPr>
          <w:rStyle w:val="17"/>
          <w:rFonts w:hint="default" w:ascii="Times New Roman" w:hAnsi="Times New Roman" w:eastAsia="仿宋_GB2312" w:cs="Times New Roman"/>
          <w:spacing w:val="8"/>
          <w:sz w:val="32"/>
          <w:szCs w:val="32"/>
          <w:lang w:val="en-US" w:eastAsia="zh-CN" w:bidi="ar-SA"/>
        </w:rPr>
        <w:t>危废暂存间、仓库、喷涂车间、水帘喷淋设施地面分别按照《环境影响评价技术导则-地下水环境》（HJ610-2016）中重点防渗区、一般防渗区的防渗要求采取相应的防腐防渗措施。</w:t>
      </w:r>
    </w:p>
    <w:p w14:paraId="7523695F">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（七）</w:t>
      </w:r>
      <w:r>
        <w:rPr>
          <w:rStyle w:val="17"/>
          <w:rFonts w:hint="default" w:ascii="Times New Roman" w:hAnsi="Times New Roman" w:eastAsia="仿宋_GB2312" w:cs="Times New Roman"/>
          <w:spacing w:val="8"/>
          <w:sz w:val="32"/>
          <w:szCs w:val="32"/>
          <w:lang w:val="en-US" w:eastAsia="zh-CN" w:bidi="ar-SA"/>
        </w:rPr>
        <w:t>做好一般固体废物的综合利用和妥善处置工作。一般工业固体废物执行《一般工业固体废物贮存和填埋污染控制标准》（GB18599-2020），按要求设置相关污染防治设施。</w:t>
      </w:r>
    </w:p>
    <w:p w14:paraId="2792B239">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（八）</w:t>
      </w:r>
      <w:r>
        <w:rPr>
          <w:rStyle w:val="17"/>
          <w:rFonts w:hint="default" w:ascii="Times New Roman" w:hAnsi="Times New Roman" w:eastAsia="仿宋_GB2312" w:cs="Times New Roman"/>
          <w:spacing w:val="8"/>
          <w:sz w:val="32"/>
          <w:szCs w:val="32"/>
          <w:lang w:val="en-US" w:eastAsia="zh-CN" w:bidi="ar-SA"/>
        </w:rPr>
        <w:t>危险废物的暂存及转运执行《危险废物贮存污染控制标准》（GB18597-2023）的规定设置相关污染防治设施。</w:t>
      </w:r>
    </w:p>
    <w:p w14:paraId="18D3B5B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（九）</w:t>
      </w:r>
      <w:r>
        <w:rPr>
          <w:rStyle w:val="17"/>
          <w:rFonts w:hint="default" w:ascii="Times New Roman" w:hAnsi="Times New Roman" w:eastAsia="仿宋_GB2312" w:cs="Times New Roman"/>
          <w:spacing w:val="8"/>
          <w:sz w:val="32"/>
          <w:szCs w:val="32"/>
          <w:lang w:val="en-US" w:eastAsia="zh-CN" w:bidi="ar-SA"/>
        </w:rPr>
        <w:t>按照《环境保护图形标志一排污口(源)》和《排污口规范化整治要求(试行)》有关规定建设规范化的排污口，须按排污许可相关管理要求定期进行监测。</w:t>
      </w:r>
    </w:p>
    <w:p w14:paraId="0A5C85A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Fonts w:hint="default" w:ascii="Times New Roman" w:hAnsi="Times New Roman" w:eastAsia="仿宋_GB2312" w:cs="Times New Roman"/>
          <w:sz w:val="32"/>
          <w:szCs w:val="32"/>
        </w:rPr>
      </w:pPr>
      <w:r>
        <w:rPr>
          <w:rStyle w:val="17"/>
          <w:rFonts w:hint="eastAsia" w:ascii="华文楷体" w:hAnsi="华文楷体" w:eastAsia="华文楷体" w:cs="华文楷体"/>
          <w:spacing w:val="8"/>
          <w:sz w:val="32"/>
          <w:szCs w:val="32"/>
          <w:lang w:val="en-US" w:eastAsia="zh-CN" w:bidi="ar-SA"/>
        </w:rPr>
        <w:t>（十）</w:t>
      </w:r>
      <w:r>
        <w:rPr>
          <w:rStyle w:val="17"/>
          <w:rFonts w:hint="default" w:ascii="Times New Roman" w:hAnsi="Times New Roman" w:eastAsia="仿宋_GB2312" w:cs="Times New Roman"/>
          <w:spacing w:val="8"/>
          <w:sz w:val="32"/>
          <w:szCs w:val="32"/>
          <w:lang w:val="en-US" w:eastAsia="zh-CN" w:bidi="ar-SA"/>
        </w:rPr>
        <w:t>按照《关于印发〈企业事业单位突发环境事件应急预案备案管理办法(试行)〉的通知》(环发〔2015〕4号)等相关要求，制定应急预案，配备相应的应急保障物资，落实环境风险防范措施，定期进行应急演练。建立健全施工、运行期环保管理制度，加强环境管理，制定并落实环境保护规章制度，确保环保措施的有效落实，环保设施的正常运转以及各项污染物稳定达标排放。</w:t>
      </w:r>
    </w:p>
    <w:p w14:paraId="0807C96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Fonts w:hint="eastAsia" w:ascii="黑体" w:hAnsi="黑体" w:eastAsia="黑体" w:cs="黑体"/>
          <w:sz w:val="32"/>
          <w:szCs w:val="32"/>
          <w:lang w:val="en-US" w:eastAsia="zh-CN"/>
        </w:rPr>
        <w:t>三、</w:t>
      </w:r>
      <w:r>
        <w:rPr>
          <w:rStyle w:val="17"/>
          <w:rFonts w:hint="default" w:ascii="Times New Roman" w:hAnsi="Times New Roman" w:eastAsia="仿宋_GB2312" w:cs="Times New Roman"/>
          <w:spacing w:val="8"/>
          <w:sz w:val="32"/>
          <w:szCs w:val="32"/>
          <w:lang w:val="en-US" w:eastAsia="zh-CN" w:bidi="ar-SA"/>
        </w:rPr>
        <w:t>该项目建设必须严格执行环境保护设施与主体工程同时设计、同时施工、同时投产使用的环境保护“三同时”制度，落实各项环境保护措施。工程建成后，须按《建设项目环境保护“三同时”制竣工环境保护验收暂行办法》要求实施竣工环境保护验收。未经验收，不得擅自投产。</w:t>
      </w:r>
    </w:p>
    <w:p w14:paraId="06E70BD4">
      <w:pPr>
        <w:pStyle w:val="13"/>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eastAsia" w:ascii="黑体" w:hAnsi="黑体" w:eastAsia="黑体" w:cs="黑体"/>
          <w:sz w:val="32"/>
          <w:szCs w:val="32"/>
        </w:rPr>
        <w:t>四、</w:t>
      </w:r>
      <w:r>
        <w:rPr>
          <w:rFonts w:hint="default" w:ascii="Times New Roman" w:hAnsi="Times New Roman" w:eastAsia="仿宋_GB2312" w:cs="Times New Roman"/>
          <w:sz w:val="32"/>
          <w:szCs w:val="32"/>
        </w:rPr>
        <w:t>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F5AB403">
      <w:pPr>
        <w:pStyle w:val="14"/>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14:paraId="47D37092">
      <w:pPr>
        <w:pStyle w:val="14"/>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14:paraId="2BAD7705">
      <w:pPr>
        <w:pStyle w:val="20"/>
        <w:keepNext w:val="0"/>
        <w:keepLines w:val="0"/>
        <w:pageBreakBefore w:val="0"/>
        <w:widowControl w:val="0"/>
        <w:kinsoku/>
        <w:wordWrap/>
        <w:overflowPunct/>
        <w:topLinePunct w:val="0"/>
        <w:bidi w:val="0"/>
        <w:snapToGrid/>
        <w:spacing w:line="560" w:lineRule="exact"/>
        <w:ind w:firstLine="5440" w:firstLineChars="17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鹿寨县行政审批局</w:t>
      </w:r>
    </w:p>
    <w:p w14:paraId="2B3F55A2">
      <w:pPr>
        <w:pStyle w:val="20"/>
        <w:keepNext w:val="0"/>
        <w:keepLines w:val="0"/>
        <w:pageBreakBefore w:val="0"/>
        <w:widowControl w:val="0"/>
        <w:kinsoku/>
        <w:wordWrap/>
        <w:overflowPunct/>
        <w:topLinePunct w:val="0"/>
        <w:bidi w:val="0"/>
        <w:snapToGrid/>
        <w:spacing w:line="560" w:lineRule="exact"/>
        <w:ind w:firstLine="5760" w:firstLineChars="18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日</w:t>
      </w:r>
    </w:p>
    <w:p w14:paraId="6B5B1D38">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7"/>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val="en-US" w:eastAsia="zh-CN"/>
        </w:rPr>
        <w:t>（此件公开发布）</w:t>
      </w:r>
    </w:p>
    <w:tbl>
      <w:tblPr>
        <w:tblStyle w:val="15"/>
        <w:tblpPr w:leftFromText="180" w:rightFromText="180" w:vertAnchor="text" w:horzAnchor="page" w:tblpX="1409" w:tblpY="2756"/>
        <w:tblOverlap w:val="never"/>
        <w:tblW w:w="9039" w:type="dxa"/>
        <w:tblInd w:w="0" w:type="dxa"/>
        <w:tblLayout w:type="fixed"/>
        <w:tblCellMar>
          <w:top w:w="0" w:type="dxa"/>
          <w:left w:w="108" w:type="dxa"/>
          <w:bottom w:w="0" w:type="dxa"/>
          <w:right w:w="108" w:type="dxa"/>
        </w:tblCellMar>
      </w:tblPr>
      <w:tblGrid>
        <w:gridCol w:w="4946"/>
        <w:gridCol w:w="4093"/>
      </w:tblGrid>
      <w:tr w14:paraId="5F8B5CAC">
        <w:tblPrEx>
          <w:tblCellMar>
            <w:top w:w="0" w:type="dxa"/>
            <w:left w:w="108" w:type="dxa"/>
            <w:bottom w:w="0" w:type="dxa"/>
            <w:right w:w="108" w:type="dxa"/>
          </w:tblCellMar>
        </w:tblPrEx>
        <w:trPr>
          <w:trHeight w:val="690" w:hRule="exact"/>
        </w:trPr>
        <w:tc>
          <w:tcPr>
            <w:tcW w:w="4946" w:type="dxa"/>
            <w:tcBorders>
              <w:top w:val="single" w:color="000000" w:sz="4" w:space="0"/>
              <w:bottom w:val="single" w:color="000000" w:sz="4" w:space="0"/>
            </w:tcBorders>
            <w:tcMar>
              <w:left w:w="0" w:type="dxa"/>
              <w:right w:w="0" w:type="dxa"/>
            </w:tcMar>
          </w:tcPr>
          <w:p w14:paraId="30DBCAE4">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320" w:firstLineChars="1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i w:val="0"/>
                <w:color w:val="auto"/>
                <w:sz w:val="32"/>
                <w:szCs w:val="32"/>
                <w:highlight w:val="none"/>
                <w:lang w:eastAsia="zh-CN"/>
              </w:rPr>
              <w:t>鹿寨县</w:t>
            </w:r>
            <w:r>
              <w:rPr>
                <w:rFonts w:hint="default" w:ascii="Times New Roman" w:hAnsi="Times New Roman" w:eastAsia="仿宋_GB2312" w:cs="Times New Roman"/>
                <w:b w:val="0"/>
                <w:i w:val="0"/>
                <w:color w:val="auto"/>
                <w:sz w:val="32"/>
                <w:szCs w:val="32"/>
                <w:highlight w:val="none"/>
                <w:lang w:val="en-US" w:eastAsia="zh-CN"/>
              </w:rPr>
              <w:t>行政审批局</w:t>
            </w:r>
          </w:p>
        </w:tc>
        <w:tc>
          <w:tcPr>
            <w:tcW w:w="4093" w:type="dxa"/>
            <w:tcBorders>
              <w:top w:val="single" w:color="000000" w:sz="4" w:space="0"/>
              <w:bottom w:val="single" w:color="000000" w:sz="4" w:space="0"/>
            </w:tcBorders>
            <w:tcMar>
              <w:left w:w="0" w:type="dxa"/>
              <w:right w:w="0" w:type="dxa"/>
            </w:tcMar>
          </w:tcPr>
          <w:p w14:paraId="50833ADA">
            <w:pPr>
              <w:keepNext w:val="0"/>
              <w:keepLines w:val="0"/>
              <w:pageBreakBefore w:val="0"/>
              <w:widowControl/>
              <w:kinsoku/>
              <w:wordWrap w:val="0"/>
              <w:overflowPunct/>
              <w:topLinePunct w:val="0"/>
              <w:autoSpaceDE w:val="0"/>
              <w:autoSpaceDN w:val="0"/>
              <w:bidi w:val="0"/>
              <w:adjustRightInd/>
              <w:snapToGrid/>
              <w:spacing w:after="0" w:line="560" w:lineRule="exact"/>
              <w:ind w:left="0" w:leftChars="0" w:right="0" w:firstLine="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i w:val="0"/>
                <w:color w:val="auto"/>
                <w:sz w:val="32"/>
                <w:szCs w:val="32"/>
                <w:highlight w:val="none"/>
                <w:lang w:val="en-US" w:eastAsia="zh-CN"/>
              </w:rPr>
              <w:t xml:space="preserve">     </w:t>
            </w:r>
            <w:r>
              <w:rPr>
                <w:rFonts w:hint="default" w:ascii="Times New Roman" w:hAnsi="Times New Roman" w:eastAsia="仿宋_GB2312" w:cs="Times New Roman"/>
                <w:b w:val="0"/>
                <w:i w:val="0"/>
                <w:color w:val="auto"/>
                <w:sz w:val="32"/>
                <w:szCs w:val="32"/>
                <w:highlight w:val="none"/>
              </w:rPr>
              <w:t>202</w:t>
            </w:r>
            <w:r>
              <w:rPr>
                <w:rFonts w:hint="default" w:ascii="Times New Roman" w:hAnsi="Times New Roman" w:eastAsia="仿宋_GB2312" w:cs="Times New Roman"/>
                <w:b w:val="0"/>
                <w:i w:val="0"/>
                <w:color w:val="auto"/>
                <w:sz w:val="32"/>
                <w:szCs w:val="32"/>
                <w:highlight w:val="none"/>
                <w:lang w:val="en-US" w:eastAsia="zh-CN"/>
              </w:rPr>
              <w:t>5</w:t>
            </w:r>
            <w:r>
              <w:rPr>
                <w:rFonts w:hint="default" w:ascii="Times New Roman" w:hAnsi="Times New Roman" w:eastAsia="仿宋_GB2312" w:cs="Times New Roman"/>
                <w:b w:val="0"/>
                <w:i w:val="0"/>
                <w:color w:val="auto"/>
                <w:sz w:val="32"/>
                <w:szCs w:val="32"/>
                <w:highlight w:val="none"/>
              </w:rPr>
              <w:t>年</w:t>
            </w:r>
            <w:r>
              <w:rPr>
                <w:rFonts w:hint="eastAsia" w:ascii="Times New Roman" w:hAnsi="Times New Roman" w:eastAsia="仿宋_GB2312" w:cs="Times New Roman"/>
                <w:b w:val="0"/>
                <w:i w:val="0"/>
                <w:color w:val="auto"/>
                <w:sz w:val="32"/>
                <w:szCs w:val="32"/>
                <w:highlight w:val="none"/>
                <w:lang w:val="en-US" w:eastAsia="zh-CN"/>
              </w:rPr>
              <w:t>10</w:t>
            </w:r>
            <w:r>
              <w:rPr>
                <w:rFonts w:hint="default" w:ascii="Times New Roman" w:hAnsi="Times New Roman" w:eastAsia="仿宋_GB2312" w:cs="Times New Roman"/>
                <w:b w:val="0"/>
                <w:i w:val="0"/>
                <w:color w:val="auto"/>
                <w:sz w:val="32"/>
                <w:szCs w:val="32"/>
                <w:highlight w:val="none"/>
              </w:rPr>
              <w:t>月</w:t>
            </w:r>
            <w:r>
              <w:rPr>
                <w:rFonts w:hint="eastAsia" w:ascii="Times New Roman" w:hAnsi="Times New Roman" w:eastAsia="仿宋_GB2312" w:cs="Times New Roman"/>
                <w:b w:val="0"/>
                <w:i w:val="0"/>
                <w:color w:val="auto"/>
                <w:sz w:val="32"/>
                <w:szCs w:val="32"/>
                <w:highlight w:val="none"/>
                <w:lang w:val="en-US" w:eastAsia="zh-CN"/>
              </w:rPr>
              <w:t>20</w:t>
            </w:r>
            <w:r>
              <w:rPr>
                <w:rFonts w:hint="default" w:ascii="Times New Roman" w:hAnsi="Times New Roman" w:eastAsia="仿宋_GB2312" w:cs="Times New Roman"/>
                <w:b w:val="0"/>
                <w:i w:val="0"/>
                <w:color w:val="auto"/>
                <w:sz w:val="32"/>
                <w:szCs w:val="32"/>
                <w:highlight w:val="none"/>
              </w:rPr>
              <w:t>日印发</w:t>
            </w:r>
            <w:r>
              <w:rPr>
                <w:rFonts w:hint="default" w:ascii="Times New Roman" w:hAnsi="Times New Roman" w:eastAsia="仿宋_GB2312" w:cs="Times New Roman"/>
                <w:b w:val="0"/>
                <w:i w:val="0"/>
                <w:color w:val="auto"/>
                <w:sz w:val="32"/>
                <w:szCs w:val="32"/>
                <w:highlight w:val="none"/>
                <w:lang w:val="en-US" w:eastAsia="zh-CN"/>
              </w:rPr>
              <w:t xml:space="preserve"> </w:t>
            </w:r>
          </w:p>
        </w:tc>
      </w:tr>
    </w:tbl>
    <w:p w14:paraId="26B57E17">
      <w:pPr>
        <w:keepNext w:val="0"/>
        <w:keepLines w:val="0"/>
        <w:pageBreakBefore w:val="0"/>
        <w:tabs>
          <w:tab w:val="left" w:pos="624"/>
        </w:tabs>
        <w:kinsoku/>
        <w:overflowPunct/>
        <w:topLinePunct w:val="0"/>
        <w:bidi w:val="0"/>
        <w:spacing w:line="520" w:lineRule="exact"/>
        <w:jc w:val="both"/>
        <w:textAlignment w:val="auto"/>
        <w:rPr>
          <w:rFonts w:hint="default" w:ascii="Times New Roman" w:hAnsi="Times New Roman" w:eastAsia="仿宋_GB2312" w:cs="Times New Roman"/>
          <w:sz w:val="32"/>
          <w:szCs w:val="32"/>
        </w:rPr>
      </w:pPr>
    </w:p>
    <w:sectPr>
      <w:footerReference r:id="rId5" w:type="default"/>
      <w:pgSz w:w="11906" w:h="16838"/>
      <w:pgMar w:top="1701" w:right="1587" w:bottom="1587"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07E7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9E5D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D9E5D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209BF"/>
    <w:rsid w:val="01BD4437"/>
    <w:rsid w:val="0298354F"/>
    <w:rsid w:val="03A23C2B"/>
    <w:rsid w:val="07E378DF"/>
    <w:rsid w:val="0CF03F1F"/>
    <w:rsid w:val="0DA52F37"/>
    <w:rsid w:val="110428E2"/>
    <w:rsid w:val="13594D07"/>
    <w:rsid w:val="13DC573D"/>
    <w:rsid w:val="16120CDA"/>
    <w:rsid w:val="1C83383D"/>
    <w:rsid w:val="1DF27EBB"/>
    <w:rsid w:val="200F04DE"/>
    <w:rsid w:val="20862B7C"/>
    <w:rsid w:val="20D2374C"/>
    <w:rsid w:val="219B4C07"/>
    <w:rsid w:val="242816D4"/>
    <w:rsid w:val="24731667"/>
    <w:rsid w:val="24F36FDC"/>
    <w:rsid w:val="2BBF1BD7"/>
    <w:rsid w:val="381A4C7D"/>
    <w:rsid w:val="38824EA7"/>
    <w:rsid w:val="3A0B18FE"/>
    <w:rsid w:val="3C9C73FE"/>
    <w:rsid w:val="3DA95824"/>
    <w:rsid w:val="44DC0B83"/>
    <w:rsid w:val="460162DC"/>
    <w:rsid w:val="488209BF"/>
    <w:rsid w:val="49173142"/>
    <w:rsid w:val="495D774B"/>
    <w:rsid w:val="49CB465C"/>
    <w:rsid w:val="4BE60029"/>
    <w:rsid w:val="4C40214D"/>
    <w:rsid w:val="4D1A7EFD"/>
    <w:rsid w:val="55D22E84"/>
    <w:rsid w:val="59FB09AB"/>
    <w:rsid w:val="5A7A302D"/>
    <w:rsid w:val="5C0B515B"/>
    <w:rsid w:val="5CF51811"/>
    <w:rsid w:val="63A02D3B"/>
    <w:rsid w:val="655E6422"/>
    <w:rsid w:val="68A679DC"/>
    <w:rsid w:val="6DC40EE1"/>
    <w:rsid w:val="6E0C075C"/>
    <w:rsid w:val="6FB96264"/>
    <w:rsid w:val="71AF444F"/>
    <w:rsid w:val="7B365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qFormat/>
    <w:uiPriority w:val="0"/>
    <w:pPr>
      <w:keepNext/>
      <w:keepLines/>
      <w:spacing w:line="240" w:lineRule="auto"/>
      <w:ind w:firstLine="0" w:firstLineChars="0"/>
      <w:outlineLvl w:val="3"/>
    </w:pPr>
    <w:rPr>
      <w:rFonts w:ascii="Arial" w:hAnsi="Arial" w:eastAsia="黑体"/>
      <w:b/>
      <w:bCs/>
      <w:szCs w:val="28"/>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3"/>
    <w:qFormat/>
    <w:uiPriority w:val="0"/>
    <w:pPr>
      <w:ind w:firstLine="420"/>
    </w:pPr>
    <w:rPr>
      <w:rFonts w:ascii="Calibri" w:hAnsi="Calibri" w:cs="Times New Roman"/>
      <w:szCs w:val="22"/>
    </w:r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basedOn w:val="1"/>
    <w:next w:val="1"/>
    <w:qFormat/>
    <w:uiPriority w:val="0"/>
    <w:pPr>
      <w:ind w:left="420" w:leftChars="200"/>
    </w:pPr>
  </w:style>
  <w:style w:type="paragraph" w:styleId="7">
    <w:name w:val="Body Text Indent 2"/>
    <w:basedOn w:val="1"/>
    <w:next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2">
    <w:name w:val="Body Text First Indent"/>
    <w:basedOn w:val="5"/>
    <w:next w:val="13"/>
    <w:unhideWhenUsed/>
    <w:qFormat/>
    <w:uiPriority w:val="99"/>
    <w:pPr>
      <w:snapToGrid/>
      <w:spacing w:before="0" w:after="120" w:line="480" w:lineRule="exact"/>
      <w:ind w:right="0" w:firstLine="420" w:firstLineChars="100"/>
      <w:textAlignment w:val="baseline"/>
    </w:pPr>
    <w:rPr>
      <w:kern w:val="2"/>
      <w:sz w:val="24"/>
      <w:szCs w:val="24"/>
    </w:rPr>
  </w:style>
  <w:style w:type="paragraph" w:styleId="13">
    <w:name w:val="Body Text First Indent 2"/>
    <w:basedOn w:val="6"/>
    <w:next w:val="14"/>
    <w:qFormat/>
    <w:uiPriority w:val="0"/>
    <w:pPr>
      <w:spacing w:after="120"/>
      <w:ind w:firstLine="420" w:firstLineChars="200"/>
    </w:pPr>
    <w:rPr>
      <w:rFonts w:ascii="Calibri" w:hAnsi="Calibri" w:eastAsia="等线"/>
      <w:sz w:val="20"/>
      <w:szCs w:val="20"/>
    </w:rPr>
  </w:style>
  <w:style w:type="paragraph" w:customStyle="1" w:styleId="14">
    <w:name w:val="报告正文"/>
    <w:basedOn w:val="1"/>
    <w:qFormat/>
    <w:uiPriority w:val="0"/>
    <w:pPr>
      <w:spacing w:line="240" w:lineRule="auto"/>
      <w:ind w:firstLine="488" w:firstLineChars="200"/>
      <w:jc w:val="both"/>
    </w:pPr>
    <w:rPr>
      <w:rFonts w:ascii="宋体" w:hAnsi="宋体"/>
      <w:spacing w:val="8"/>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11111"/>
    <w:basedOn w:val="1"/>
    <w:next w:val="1"/>
    <w:qFormat/>
    <w:uiPriority w:val="0"/>
    <w:pPr>
      <w:spacing w:line="360" w:lineRule="auto"/>
      <w:ind w:firstLine="200" w:firstLineChars="200"/>
    </w:pPr>
    <w:rPr>
      <w:rFonts w:ascii="宋体" w:hAnsi="宋体" w:cs="宋体"/>
      <w:szCs w:val="20"/>
    </w:rPr>
  </w:style>
  <w:style w:type="paragraph" w:customStyle="1" w:styleId="20">
    <w:name w:val="Default1"/>
    <w:qFormat/>
    <w:uiPriority w:val="99"/>
    <w:pPr>
      <w:widowControl w:val="0"/>
      <w:autoSpaceDE w:val="0"/>
      <w:autoSpaceDN w:val="0"/>
      <w:adjustRightInd w:val="0"/>
      <w:spacing w:line="360" w:lineRule="auto"/>
      <w:jc w:val="both"/>
    </w:pPr>
    <w:rPr>
      <w:rFonts w:ascii="宋体" w:hAnsi="Times New Roman" w:eastAsia="宋体" w:cs="宋体"/>
      <w:color w:val="000000"/>
      <w:sz w:val="24"/>
      <w:szCs w:val="24"/>
      <w:lang w:val="en-US" w:eastAsia="zh-CN" w:bidi="ar-SA"/>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1716</Words>
  <Characters>1898</Characters>
  <Lines>0</Lines>
  <Paragraphs>0</Paragraphs>
  <TotalTime>1</TotalTime>
  <ScaleCrop>false</ScaleCrop>
  <LinksUpToDate>false</LinksUpToDate>
  <CharactersWithSpaces>1916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2024-09-23T01:33:00Z</dcterms:created>
  <dc:creator>◆ｋ.尐綯氣.</dc:creator>
  <cp:lastModifiedBy>杨柳凝妆</cp:lastModifiedBy>
  <cp:lastPrinted>2025-01-20T02:10:00Z</cp:lastPrinted>
  <dcterms:modified xsi:type="dcterms:W3CDTF">2025-10-21T03:11:01Z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E11BBCCAB2434AE893AC2AC044396AFD_13</vt:lpwstr>
  </property>
  <property fmtid="{D5CDD505-2E9C-101B-9397-08002B2CF9AE}" pid="4" name="KSOTemplateDocerSaveRecord">
    <vt:lpwstr>eyJoZGlkIjoiNTlkMWFiZjdiYTQ3ZDEzYzQwYThiZDU2NmU5MmM0ZjIiLCJ1c2VySWQiOiIxMTY2MzMxMzYyIn0=</vt:lpwstr>
  </property>
</Properties>
</file>