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0434A">
      <w:pPr>
        <w:spacing w:line="1000" w:lineRule="exact"/>
        <w:jc w:val="center"/>
        <w:rPr>
          <w:rFonts w:hint="default" w:ascii="Times New Roman" w:hAnsi="Times New Roman" w:eastAsia="方正大标宋简体" w:cs="Times New Roman"/>
          <w:b/>
          <w:bCs/>
          <w:color w:val="FF0000"/>
          <w:sz w:val="72"/>
          <w:szCs w:val="72"/>
        </w:rPr>
      </w:pPr>
    </w:p>
    <w:p w14:paraId="4D6B8B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鹿审环批复〔202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7D8BE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</w:rPr>
      </w:pPr>
      <w:bookmarkStart w:id="0" w:name="_GoBack"/>
      <w:bookmarkEnd w:id="0"/>
    </w:p>
    <w:p w14:paraId="48918E8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关于柳州申建智能电子科技有限公司</w:t>
      </w:r>
    </w:p>
    <w:p w14:paraId="15DD53C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年产100万套汽车空调管路项目</w:t>
      </w:r>
    </w:p>
    <w:p w14:paraId="2F1BDF4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环境影响报告表的批复</w:t>
      </w:r>
    </w:p>
    <w:p w14:paraId="2B9EDE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7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4CA9A7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柳州申建智能电子科技有限公司：</w:t>
      </w:r>
    </w:p>
    <w:p w14:paraId="73DDA0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你单位报来的《年产100万套汽车空调管路项目环境影响报告表》收悉。经审查，批复如下：</w:t>
      </w:r>
    </w:p>
    <w:p w14:paraId="0E5F750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年产100万套汽车空调管路项目，建设地点位于广西壮族自治区柳州市鹿寨县鹿寨镇飞鹿大道279号35#标准厂房第一、二层（中心坐标：东经109°42′20.196″，北纬24°26′56.137″），项目总用地面积为6206.08㎡，属于新建项目，主要建设生产车间、成品车间、办公区等，建设一条汽车空调管路生产线，配套双两无屑开料机、双头倒角机、火焰自动焊机、五工位管端成型机、胶管自动切制机、涂胶机、超声波清洗、扣管机等设备，年产100万套汽车空调管路。总投资700万元，其中环保投资25万元。</w:t>
      </w:r>
    </w:p>
    <w:p w14:paraId="2DF30C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本项目已在“广西投资项目在线并联审批监管平台”进行了备案登记，项目代码：2507-450223-04-01-938907。从环境影响角度考虑，同意你公司按照报告表所列的建设项目的地点、性质、规模、采取的环境保护对策措施及下述要求进行项目建设。</w:t>
      </w:r>
    </w:p>
    <w:p w14:paraId="1129F1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项目须落实报告表提出的各项环保要求，重点抓好以下环保工作：</w:t>
      </w:r>
    </w:p>
    <w:p w14:paraId="1FB1F7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（一）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做好施工期扬尘防治工作，通过洒水抑尘等措施以减轻污染。施工场界扬尘执行《大气污染物综合排放标准》（GB16297-1996）表2无组织排放限值。</w:t>
      </w:r>
    </w:p>
    <w:p w14:paraId="7E13624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（二）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运营期车间内安装排风扇，加强车间通风，焊接工序产生的烟尘经集气罩排至室外后无组织排放，确保厂界颗粒物、非甲烷总烃排放浓度达到《大气污染物综合排放标准》（GB16297-1996）无组织排放限值；确保项目非甲烷总烃厂房外厂界内无组织排放达到《挥发性有机物无组织排放控制标准》（GB37822-2019）无组织排放限值；确保污水处理站产生的氨气、硫化氢、臭气浓度排放达到《恶臭污染物排放标准》（GB14554-93）无组织排放限值。</w:t>
      </w:r>
    </w:p>
    <w:p w14:paraId="38DE66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（三）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项目脱脂、酸洗废水循环使用；清洗废水经自建污水处理设备采用“混凝+气浮”工艺处理，生活污水经化粪池预处理，达到《污水综合排放标准》（GB 8978-1996）三级标准后，排入鹿寨县第二污水处理厂。</w:t>
      </w:r>
    </w:p>
    <w:p w14:paraId="5E2EF91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（四）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合理布局高噪音设备，对噪声源强较大的设备采取有效的隔声降噪减震措施，确保施工期厂界噪声符合《建筑施工场界环境噪声排放标准》（GB12523-2011）限值标准；运营期厂界噪声符合《工业企业厂界环境噪声排放标准》（GB12348-2008）中3类标准。</w:t>
      </w:r>
    </w:p>
    <w:p w14:paraId="752369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（五）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做好一般固体废物的综合利用和妥善处置工作。一般工业固体废物执行《一般工业固体废物贮存和填埋污染控制标准》（GB18599-2020），按要求设置相关污染防治设施。</w:t>
      </w:r>
    </w:p>
    <w:p w14:paraId="2792B2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（六）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危险废物的暂存及转运执行《危险废物贮存污染控制标准》（GB18597-2023）的规定设置相关污染防治设施。</w:t>
      </w:r>
    </w:p>
    <w:p w14:paraId="18D3B5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（七）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按照《环境保护图形标志一排污口(源)》和《排污口规范化整治要求(试行)》有关规定建设规范化的排污口，须按排污许可相关管理要求定期进行监测。</w:t>
      </w:r>
    </w:p>
    <w:p w14:paraId="0A5C85A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72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Style w:val="17"/>
          <w:rFonts w:hint="eastAsia" w:ascii="华文楷体" w:hAnsi="华文楷体" w:eastAsia="华文楷体" w:cs="华文楷体"/>
          <w:spacing w:val="8"/>
          <w:sz w:val="32"/>
          <w:szCs w:val="32"/>
          <w:lang w:val="en-US" w:eastAsia="zh-CN" w:bidi="ar-SA"/>
        </w:rPr>
        <w:t>（八）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按照《关于印发〈企业事业单位突发环境事件应急预案备案管理办法(试行)〉的通知》(环发〔2015〕4号)等相关要求，制定应急预案，配备相应的应急保障物资，落实环境风险防范措施，定期进行应急演练。建立健全施工、运行期环保管理制度，加强环境管理，制定并落实环境保护规章制度，确保环保措施的有效落实，环保设施的正常运转以及各项污染物稳定达标排放。</w:t>
      </w:r>
    </w:p>
    <w:p w14:paraId="0807C9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Style w:val="17"/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 w:bidi="ar-SA"/>
        </w:rPr>
        <w:t>该项目建设必须严格执行环境保护设施与主体工程同时设计、同时施工、同时投产使用的环境保护“三同时”制度，落实各项环境保护措施。工程建成后，须按《建设项目环境保护“三同时”制竣工环境保护验收暂行办法》要求实施竣工环境保护验收。未经验收，不得擅自投产。</w:t>
      </w:r>
    </w:p>
    <w:p w14:paraId="06E70BD4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设项目的性质、规模、地点、采用的生产工艺或者防治污染、防止生态破坏的措施发生重大变动的，建设单位应当重新报批建设项目的环境影响评价文件。建设项目的环境影响评价文件自批准之日起超过五年，方决定该项目开工建设的，其环境影响评价文件应当报我局重新审核同意后方可建设。</w:t>
      </w:r>
    </w:p>
    <w:p w14:paraId="4F5AB403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7D37092">
      <w:pPr>
        <w:pStyle w:val="14"/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BAD7705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鹿寨县行政审批局</w:t>
      </w:r>
    </w:p>
    <w:p w14:paraId="2B3F55A2"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2025年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日</w:t>
      </w:r>
    </w:p>
    <w:p w14:paraId="6B5B1D38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Style w:val="17"/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（此件公开发布）</w:t>
      </w:r>
    </w:p>
    <w:tbl>
      <w:tblPr>
        <w:tblStyle w:val="15"/>
        <w:tblpPr w:leftFromText="180" w:rightFromText="180" w:vertAnchor="text" w:horzAnchor="page" w:tblpX="1409" w:tblpY="6631"/>
        <w:tblOverlap w:val="never"/>
        <w:tblW w:w="903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6"/>
        <w:gridCol w:w="4093"/>
      </w:tblGrid>
      <w:tr w14:paraId="6F1EB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</w:trPr>
        <w:tc>
          <w:tcPr>
            <w:tcW w:w="4946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1648A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320" w:firstLineChars="1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eastAsia="zh-CN"/>
              </w:rPr>
              <w:t>鹿寨县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行政审批局</w:t>
            </w:r>
          </w:p>
        </w:tc>
        <w:tc>
          <w:tcPr>
            <w:tcW w:w="4093" w:type="dxa"/>
            <w:tcBorders>
              <w:top w:val="single" w:color="000000" w:sz="4" w:space="0"/>
              <w:bottom w:val="single" w:color="000000" w:sz="4" w:space="0"/>
            </w:tcBorders>
            <w:tcMar>
              <w:left w:w="0" w:type="dxa"/>
              <w:right w:w="0" w:type="dxa"/>
            </w:tcMar>
          </w:tcPr>
          <w:p w14:paraId="63A21825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560" w:lineRule="exact"/>
              <w:ind w:left="0" w:leftChars="0" w:right="0" w:firstLine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>31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</w:rPr>
              <w:t>日印发</w:t>
            </w:r>
            <w:r>
              <w:rPr>
                <w:rFonts w:hint="default" w:ascii="Times New Roman" w:hAnsi="Times New Roman" w:eastAsia="仿宋_GB2312" w:cs="Times New Roman"/>
                <w:b w:val="0"/>
                <w:i w:val="0"/>
                <w:color w:val="auto"/>
                <w:sz w:val="32"/>
                <w:szCs w:val="32"/>
                <w:highlight w:val="none"/>
                <w:lang w:val="en-US" w:eastAsia="zh-CN"/>
              </w:rPr>
              <w:t xml:space="preserve"> </w:t>
            </w:r>
          </w:p>
        </w:tc>
      </w:tr>
    </w:tbl>
    <w:p w14:paraId="15002E2A">
      <w:pPr>
        <w:keepNext w:val="0"/>
        <w:keepLines w:val="0"/>
        <w:pageBreakBefore w:val="0"/>
        <w:tabs>
          <w:tab w:val="left" w:pos="624"/>
        </w:tabs>
        <w:kinsoku/>
        <w:overflowPunct/>
        <w:topLinePunct w:val="0"/>
        <w:bidi w:val="0"/>
        <w:spacing w:line="520" w:lineRule="exact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5" w:type="default"/>
      <w:pgSz w:w="11906" w:h="16838"/>
      <w:pgMar w:top="1701" w:right="1587" w:bottom="1587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807E7B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D9E5D8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D9E5D8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8209BF"/>
    <w:rsid w:val="0298354F"/>
    <w:rsid w:val="07E378DF"/>
    <w:rsid w:val="0CF03F1F"/>
    <w:rsid w:val="0DA52F37"/>
    <w:rsid w:val="110428E2"/>
    <w:rsid w:val="12F1284B"/>
    <w:rsid w:val="13594D07"/>
    <w:rsid w:val="13DC573D"/>
    <w:rsid w:val="16120CDA"/>
    <w:rsid w:val="1C83383D"/>
    <w:rsid w:val="1DF27EBB"/>
    <w:rsid w:val="200F04DE"/>
    <w:rsid w:val="20862B7C"/>
    <w:rsid w:val="219B4C07"/>
    <w:rsid w:val="242816D4"/>
    <w:rsid w:val="24731667"/>
    <w:rsid w:val="2BBF1BD7"/>
    <w:rsid w:val="32B913E0"/>
    <w:rsid w:val="381A4C7D"/>
    <w:rsid w:val="3A0B18FE"/>
    <w:rsid w:val="488209BF"/>
    <w:rsid w:val="49173142"/>
    <w:rsid w:val="495D774B"/>
    <w:rsid w:val="49CB465C"/>
    <w:rsid w:val="4BE60029"/>
    <w:rsid w:val="4C40214D"/>
    <w:rsid w:val="4D1A7EFD"/>
    <w:rsid w:val="4D332CF8"/>
    <w:rsid w:val="55D22E84"/>
    <w:rsid w:val="59FB09AB"/>
    <w:rsid w:val="5A7A302D"/>
    <w:rsid w:val="5C0B515B"/>
    <w:rsid w:val="5CF51811"/>
    <w:rsid w:val="63532DEB"/>
    <w:rsid w:val="63A02D3B"/>
    <w:rsid w:val="641507A8"/>
    <w:rsid w:val="64345C32"/>
    <w:rsid w:val="655E6422"/>
    <w:rsid w:val="6BF20022"/>
    <w:rsid w:val="6C346DC3"/>
    <w:rsid w:val="6E0C075C"/>
    <w:rsid w:val="6FB96264"/>
    <w:rsid w:val="71AF444F"/>
    <w:rsid w:val="7A767633"/>
    <w:rsid w:val="7B365EB0"/>
    <w:rsid w:val="7E0D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qFormat/>
    <w:uiPriority w:val="0"/>
    <w:pPr>
      <w:keepNext/>
      <w:keepLines/>
      <w:spacing w:line="240" w:lineRule="auto"/>
      <w:ind w:firstLine="0" w:firstLineChars="0"/>
      <w:outlineLvl w:val="3"/>
    </w:pPr>
    <w:rPr>
      <w:rFonts w:ascii="Arial" w:hAnsi="Arial" w:eastAsia="黑体"/>
      <w:b/>
      <w:bCs/>
      <w:szCs w:val="28"/>
    </w:rPr>
  </w:style>
  <w:style w:type="character" w:default="1" w:styleId="17">
    <w:name w:val="Default Paragraph Font"/>
    <w:qFormat/>
    <w:uiPriority w:val="0"/>
  </w:style>
  <w:style w:type="table" w:default="1" w:styleId="1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3"/>
    <w:qFormat/>
    <w:uiPriority w:val="0"/>
    <w:pPr>
      <w:ind w:firstLine="420"/>
    </w:pPr>
    <w:rPr>
      <w:rFonts w:ascii="Calibri" w:hAnsi="Calibri" w:cs="Times New Roman"/>
      <w:szCs w:val="22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Body Text Indent"/>
    <w:basedOn w:val="1"/>
    <w:next w:val="1"/>
    <w:qFormat/>
    <w:uiPriority w:val="0"/>
    <w:pPr>
      <w:ind w:left="420" w:leftChars="200"/>
    </w:pPr>
  </w:style>
  <w:style w:type="paragraph" w:styleId="7">
    <w:name w:val="Body Text Indent 2"/>
    <w:basedOn w:val="1"/>
    <w:next w:val="1"/>
    <w:qFormat/>
    <w:uiPriority w:val="0"/>
    <w:pPr>
      <w:spacing w:after="120" w:line="480" w:lineRule="auto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2">
    <w:name w:val="Body Text First Indent"/>
    <w:basedOn w:val="5"/>
    <w:next w:val="13"/>
    <w:unhideWhenUsed/>
    <w:qFormat/>
    <w:uiPriority w:val="99"/>
    <w:pPr>
      <w:snapToGrid/>
      <w:spacing w:before="0" w:after="120" w:line="480" w:lineRule="exact"/>
      <w:ind w:right="0" w:firstLine="420" w:firstLineChars="100"/>
      <w:textAlignment w:val="baseline"/>
    </w:pPr>
    <w:rPr>
      <w:kern w:val="2"/>
      <w:sz w:val="24"/>
      <w:szCs w:val="24"/>
    </w:rPr>
  </w:style>
  <w:style w:type="paragraph" w:styleId="13">
    <w:name w:val="Body Text First Indent 2"/>
    <w:basedOn w:val="6"/>
    <w:next w:val="14"/>
    <w:qFormat/>
    <w:uiPriority w:val="0"/>
    <w:pPr>
      <w:spacing w:after="120"/>
      <w:ind w:firstLine="420" w:firstLineChars="200"/>
    </w:pPr>
    <w:rPr>
      <w:rFonts w:ascii="Calibri" w:hAnsi="Calibri" w:eastAsia="等线"/>
      <w:sz w:val="20"/>
      <w:szCs w:val="20"/>
    </w:rPr>
  </w:style>
  <w:style w:type="paragraph" w:customStyle="1" w:styleId="14">
    <w:name w:val="报告正文"/>
    <w:basedOn w:val="1"/>
    <w:qFormat/>
    <w:uiPriority w:val="0"/>
    <w:pPr>
      <w:spacing w:line="240" w:lineRule="auto"/>
      <w:ind w:firstLine="488" w:firstLineChars="200"/>
      <w:jc w:val="both"/>
    </w:pPr>
    <w:rPr>
      <w:rFonts w:ascii="宋体" w:hAnsi="宋体"/>
      <w:spacing w:val="8"/>
      <w:sz w:val="24"/>
    </w:r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  <w:rPr>
      <w:b/>
    </w:rPr>
  </w:style>
  <w:style w:type="paragraph" w:customStyle="1" w:styleId="19">
    <w:name w:val="11111"/>
    <w:basedOn w:val="1"/>
    <w:next w:val="1"/>
    <w:qFormat/>
    <w:uiPriority w:val="0"/>
    <w:pPr>
      <w:spacing w:line="360" w:lineRule="auto"/>
      <w:ind w:firstLine="200" w:firstLineChars="200"/>
    </w:pPr>
    <w:rPr>
      <w:rFonts w:ascii="宋体" w:hAnsi="宋体" w:cs="宋体"/>
      <w:szCs w:val="20"/>
    </w:rPr>
  </w:style>
  <w:style w:type="paragraph" w:customStyle="1" w:styleId="20">
    <w:name w:val="Default1"/>
    <w:qFormat/>
    <w:uiPriority w:val="99"/>
    <w:pPr>
      <w:widowControl w:val="0"/>
      <w:autoSpaceDE w:val="0"/>
      <w:autoSpaceDN w:val="0"/>
      <w:adjustRightInd w:val="0"/>
      <w:spacing w:line="360" w:lineRule="auto"/>
      <w:jc w:val="both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1550</Words>
  <Characters>1731</Characters>
  <Lines>0</Lines>
  <Paragraphs>0</Paragraphs>
  <TotalTime>0</TotalTime>
  <ScaleCrop>false</ScaleCrop>
  <LinksUpToDate>false</LinksUpToDate>
  <CharactersWithSpaces>1745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2024-09-23T01:33:00Z</dcterms:created>
  <dc:creator>◆ｋ.尐綯氣.</dc:creator>
  <cp:lastModifiedBy>杨柳凝妆</cp:lastModifiedBy>
  <cp:lastPrinted>2025-10-30T07:24:00Z</cp:lastPrinted>
  <dcterms:modified xsi:type="dcterms:W3CDTF">2025-11-11T02:21:39Z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7190D6FDAF534D989A91C6F2F3B24593_13</vt:lpwstr>
  </property>
  <property fmtid="{D5CDD505-2E9C-101B-9397-08002B2CF9AE}" pid="4" name="KSOTemplateDocerSaveRecord">
    <vt:lpwstr>eyJoZGlkIjoiNTlkMWFiZjdiYTQ3ZDEzYzQwYThiZDU2NmU5MmM0ZjIiLCJ1c2VySWQiOiIxMTY2MzMxMzYyIn0=</vt:lpwstr>
  </property>
</Properties>
</file>