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Style w:val="17"/>
          <w:rFonts w:hint="eastAsia" w:ascii="方正小标宋_GBK" w:hAnsi="方正小标宋_GBK" w:eastAsia="方正小标宋_GBK" w:cs="方正小标宋_GBK"/>
          <w:spacing w:val="8"/>
          <w:sz w:val="44"/>
          <w:szCs w:val="44"/>
          <w:lang w:val="en-US" w:eastAsia="zh-CN" w:bidi="ar-SA"/>
        </w:rPr>
        <w:t>广西鱼峰混凝土柳东有限公司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预拌混凝土搅拌站建设项目环境影响报告表的批复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广西鱼峰混凝土柳东有限公司：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你单位报来的《预拌混凝土搅拌站建设项目环境影响报告表》收悉。经审查，批复如下：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预拌混凝土搅拌站建设项目，柳州市鹿寨县鹿寨镇对亭村柳州正菱鹿寨水泥有限公司内（中心坐标：东经109°42′21.652″，北纬24°26′55.479″），项目总用地面积为10800㎡，属于新建项目，主要建设搅拌楼，修复原有办公室及实验楼，改造骨料仓及骨料堆场，建设砂石分离机、沉淀池，配套给排水、道路硬化等基础设施建设，建设两条商品混凝土生产线，项目建成后年生产10万m³商品混凝土。总投资997.21万元，其中环保投资80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2401-450223-04-05-704617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4D7E1D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做好施工期扬尘防治工作，通过洒水抑尘等措施以减轻污染。施工场界扬尘执行《大气污染物综合排放标准》（GB16297-1996）表2无组织排放限值。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筒仓粉尘、搅拌粉尘经袋式除尘器处理后无组织排放；骨料仓装卸扬尘、料斗进料粉尘、铲车尾气经水雾喷头喷淋处理后无组织排放；厂区道路硬化，定期洒水降尘。确保颗粒物无组织排放浓度符合《水泥工业大气污染排放物标准》（GB4915-2013）表3中无组织排放限值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default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项目无工艺废水产生，营运期生产废水经三级沉淀池沉淀、砂石分离机处理后全部回用，不外排。生活污水经化粪池处理，符合《污水综合排放标准》（GB8978-1996）三级标准要求后，排入鹿寨县第二污水处理厂处理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合理布局高噪音设备，对噪声源强较大的设备采取有效的隔声降噪减震措施，施工期各施工机械所产生的噪声符合《建筑施工场界环境噪声排放标准》（GB 12523-2011）的标准限值要求；运营期厂界噪声符合《工业企业厂界环境噪声排放标准》（GB12348-2008）中3类标准要求。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72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640" w:firstLineChars="200"/>
        <w:jc w:val="both"/>
        <w:textAlignment w:val="auto"/>
        <w:rPr>
          <w:rStyle w:val="17"/>
          <w:rFonts w:hint="default" w:ascii="仿宋" w:hAnsi="仿宋" w:eastAsia="仿宋" w:cs="仿宋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</w:t>
      </w:r>
      <w:r>
        <w:rPr>
          <w:rStyle w:val="17"/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环境保护“三同时”制度</w:t>
      </w:r>
      <w:r>
        <w:rPr>
          <w:rStyle w:val="17"/>
          <w:rFonts w:hint="eastAsia" w:ascii="仿宋" w:hAnsi="仿宋" w:eastAsia="仿宋" w:cs="仿宋"/>
          <w:spacing w:val="8"/>
          <w:sz w:val="32"/>
          <w:szCs w:val="32"/>
          <w:lang w:val="en-US" w:eastAsia="zh-CN" w:bidi="ar-SA"/>
        </w:rPr>
        <w:t>，落实各项环境保护措施。工程建成后，须按《建设项目竣工环境保护验收暂行办法》要求实施竣工环境保护验收。未经验收，不得擅自投产。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394" w:tblpY="817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3C88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2C22B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3D25669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8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006CF085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06742D7"/>
    <w:rsid w:val="01563442"/>
    <w:rsid w:val="01BD4437"/>
    <w:rsid w:val="0298354F"/>
    <w:rsid w:val="03A23C2B"/>
    <w:rsid w:val="07E378DF"/>
    <w:rsid w:val="0969158D"/>
    <w:rsid w:val="0CF03F1F"/>
    <w:rsid w:val="0DA52F37"/>
    <w:rsid w:val="110428E2"/>
    <w:rsid w:val="13594D07"/>
    <w:rsid w:val="13DC573D"/>
    <w:rsid w:val="15170D31"/>
    <w:rsid w:val="16120CDA"/>
    <w:rsid w:val="1C83383D"/>
    <w:rsid w:val="1DF27EBB"/>
    <w:rsid w:val="200F04DE"/>
    <w:rsid w:val="20862B7C"/>
    <w:rsid w:val="20D2374C"/>
    <w:rsid w:val="219B4C07"/>
    <w:rsid w:val="242816D4"/>
    <w:rsid w:val="24731667"/>
    <w:rsid w:val="24F36FDC"/>
    <w:rsid w:val="299B7D30"/>
    <w:rsid w:val="2BBF1BD7"/>
    <w:rsid w:val="2C512495"/>
    <w:rsid w:val="35495A82"/>
    <w:rsid w:val="381A4C7D"/>
    <w:rsid w:val="3A0B18FE"/>
    <w:rsid w:val="3DA95824"/>
    <w:rsid w:val="448A2B45"/>
    <w:rsid w:val="44DC0B83"/>
    <w:rsid w:val="488209BF"/>
    <w:rsid w:val="49173142"/>
    <w:rsid w:val="495D774B"/>
    <w:rsid w:val="49CB465C"/>
    <w:rsid w:val="4BE60029"/>
    <w:rsid w:val="4C40214D"/>
    <w:rsid w:val="4D1A7EFD"/>
    <w:rsid w:val="55D22E84"/>
    <w:rsid w:val="59FB09AB"/>
    <w:rsid w:val="5A7A302D"/>
    <w:rsid w:val="5AB27844"/>
    <w:rsid w:val="5C0B515B"/>
    <w:rsid w:val="5CF51811"/>
    <w:rsid w:val="63A02D3B"/>
    <w:rsid w:val="655E6422"/>
    <w:rsid w:val="68A679DC"/>
    <w:rsid w:val="69335304"/>
    <w:rsid w:val="6D4E5588"/>
    <w:rsid w:val="6E0C075C"/>
    <w:rsid w:val="6E484FE8"/>
    <w:rsid w:val="6FB96264"/>
    <w:rsid w:val="70580F62"/>
    <w:rsid w:val="71AF444F"/>
    <w:rsid w:val="747E642E"/>
    <w:rsid w:val="779B07D5"/>
    <w:rsid w:val="7B36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1469</Words>
  <Characters>1610</Characters>
  <Lines>0</Lines>
  <Paragraphs>0</Paragraphs>
  <TotalTime>3</TotalTime>
  <ScaleCrop>false</ScaleCrop>
  <LinksUpToDate>false</LinksUpToDate>
  <CharactersWithSpaces>1624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2025-01-20T02:10:00Z</cp:lastPrinted>
  <dcterms:modified xsi:type="dcterms:W3CDTF">2025-11-26T02:49:25Z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5AEB3F0B11A444F2B5740FB214FE288C_13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