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A181831">
      <w:pPr>
        <w:spacing w:line="360" w:lineRule="auto"/>
        <w:ind w:left="0" w:leftChars="0" w:firstLine="0" w:firstLineChars="0"/>
        <w:jc w:val="center"/>
        <w:outlineLvl w:val="0"/>
        <w:rPr>
          <w:rFonts w:hint="default" w:ascii="Times New Roman" w:hAnsi="Times New Roman" w:eastAsia="宋体" w:cs="Times New Roman"/>
          <w:b/>
          <w:color w:val="auto"/>
          <w:spacing w:val="0"/>
          <w:w w:val="100"/>
          <w:position w:val="0"/>
          <w:sz w:val="72"/>
          <w:szCs w:val="72"/>
        </w:rPr>
      </w:pPr>
      <w:bookmarkStart w:id="0" w:name="_Toc20812"/>
      <w:bookmarkStart w:id="1" w:name="_Toc29035"/>
      <w:bookmarkStart w:id="2" w:name="_Toc31866"/>
      <w:r>
        <w:rPr>
          <w:rFonts w:hint="default" w:ascii="Times New Roman" w:hAnsi="Times New Roman" w:eastAsia="宋体" w:cs="Times New Roman"/>
          <w:b/>
          <w:color w:val="auto"/>
          <w:spacing w:val="0"/>
          <w:w w:val="100"/>
          <w:position w:val="0"/>
          <w:sz w:val="72"/>
          <w:szCs w:val="72"/>
        </w:rPr>
        <w:t>建设项目环境影响报告表</w:t>
      </w:r>
      <w:bookmarkEnd w:id="0"/>
      <w:bookmarkEnd w:id="1"/>
      <w:bookmarkEnd w:id="2"/>
    </w:p>
    <w:p w14:paraId="14712AA6">
      <w:pPr>
        <w:spacing w:line="360" w:lineRule="auto"/>
        <w:ind w:left="0" w:leftChars="0" w:firstLine="0" w:firstLineChars="0"/>
        <w:jc w:val="center"/>
        <w:outlineLvl w:val="0"/>
        <w:rPr>
          <w:rFonts w:hint="default" w:ascii="Times New Roman" w:hAnsi="Times New Roman" w:eastAsia="宋体" w:cs="Times New Roman"/>
          <w:b/>
          <w:color w:val="auto"/>
          <w:spacing w:val="0"/>
          <w:w w:val="100"/>
          <w:position w:val="0"/>
          <w:sz w:val="48"/>
          <w:szCs w:val="48"/>
        </w:rPr>
      </w:pPr>
      <w:bookmarkStart w:id="3" w:name="_Toc26827"/>
      <w:bookmarkStart w:id="4" w:name="_Toc9820"/>
      <w:bookmarkStart w:id="5" w:name="_Toc15508"/>
      <w:r>
        <w:rPr>
          <w:rFonts w:hint="default" w:ascii="Times New Roman" w:hAnsi="Times New Roman" w:eastAsia="宋体" w:cs="Times New Roman"/>
          <w:b/>
          <w:color w:val="auto"/>
          <w:spacing w:val="0"/>
          <w:w w:val="100"/>
          <w:position w:val="0"/>
          <w:sz w:val="48"/>
          <w:szCs w:val="48"/>
        </w:rPr>
        <w:t>（污染影响类）</w:t>
      </w:r>
      <w:bookmarkEnd w:id="3"/>
      <w:bookmarkEnd w:id="4"/>
      <w:bookmarkEnd w:id="5"/>
    </w:p>
    <w:p w14:paraId="5CBA4C58">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华文仿宋" w:cs="Times New Roman"/>
          <w:color w:val="auto"/>
          <w:spacing w:val="0"/>
          <w:w w:val="100"/>
          <w:kern w:val="44"/>
          <w:position w:val="0"/>
          <w:sz w:val="44"/>
          <w:szCs w:val="44"/>
          <w:lang w:val="en-US" w:eastAsia="zh-CN"/>
        </w:rPr>
      </w:pPr>
      <w:r>
        <w:rPr>
          <w:rFonts w:hint="eastAsia" w:ascii="Times New Roman" w:hAnsi="Times New Roman" w:eastAsia="华文仿宋" w:cs="Times New Roman"/>
          <w:color w:val="auto"/>
          <w:spacing w:val="0"/>
          <w:w w:val="100"/>
          <w:kern w:val="44"/>
          <w:position w:val="0"/>
          <w:sz w:val="36"/>
          <w:szCs w:val="36"/>
          <w:lang w:val="en-US" w:eastAsia="zh-CN"/>
        </w:rPr>
        <w:t>（全本-公示本）</w:t>
      </w:r>
    </w:p>
    <w:p w14:paraId="3E9E1D1F">
      <w:pPr>
        <w:spacing w:line="360" w:lineRule="auto"/>
        <w:jc w:val="center"/>
        <w:rPr>
          <w:rFonts w:hint="default" w:ascii="Times New Roman" w:hAnsi="Times New Roman" w:eastAsia="仿宋" w:cs="Times New Roman"/>
          <w:color w:val="auto"/>
          <w:spacing w:val="0"/>
          <w:w w:val="100"/>
          <w:position w:val="0"/>
          <w:sz w:val="44"/>
          <w:szCs w:val="44"/>
        </w:rPr>
      </w:pPr>
    </w:p>
    <w:p w14:paraId="3ADC2903">
      <w:pPr>
        <w:spacing w:line="360" w:lineRule="auto"/>
        <w:jc w:val="center"/>
        <w:rPr>
          <w:rFonts w:hint="default" w:ascii="Times New Roman" w:hAnsi="Times New Roman" w:eastAsia="仿宋" w:cs="Times New Roman"/>
          <w:color w:val="auto"/>
          <w:spacing w:val="0"/>
          <w:w w:val="100"/>
          <w:position w:val="0"/>
          <w:sz w:val="44"/>
          <w:szCs w:val="44"/>
        </w:rPr>
      </w:pPr>
    </w:p>
    <w:p w14:paraId="72687122">
      <w:pPr>
        <w:pStyle w:val="2"/>
        <w:rPr>
          <w:rFonts w:hint="default" w:ascii="Times New Roman" w:hAnsi="Times New Roman" w:eastAsia="仿宋" w:cs="Times New Roman"/>
          <w:color w:val="auto"/>
          <w:spacing w:val="0"/>
          <w:w w:val="100"/>
          <w:position w:val="0"/>
          <w:sz w:val="44"/>
          <w:szCs w:val="44"/>
        </w:rPr>
      </w:pPr>
    </w:p>
    <w:p w14:paraId="6EA42BF5">
      <w:pPr>
        <w:pStyle w:val="3"/>
        <w:rPr>
          <w:rFonts w:hint="default" w:ascii="Times New Roman" w:hAnsi="Times New Roman" w:eastAsia="仿宋" w:cs="Times New Roman"/>
          <w:color w:val="auto"/>
          <w:spacing w:val="0"/>
          <w:w w:val="100"/>
          <w:position w:val="0"/>
          <w:sz w:val="44"/>
          <w:szCs w:val="44"/>
        </w:rPr>
      </w:pPr>
    </w:p>
    <w:p w14:paraId="7B8FF0DB">
      <w:pPr>
        <w:rPr>
          <w:rFonts w:hint="default" w:ascii="Times New Roman" w:hAnsi="Times New Roman" w:eastAsia="仿宋" w:cs="Times New Roman"/>
          <w:color w:val="auto"/>
          <w:spacing w:val="0"/>
          <w:w w:val="100"/>
          <w:position w:val="0"/>
          <w:sz w:val="44"/>
          <w:szCs w:val="44"/>
        </w:rPr>
      </w:pPr>
    </w:p>
    <w:p w14:paraId="04D8D0DD">
      <w:pPr>
        <w:pStyle w:val="2"/>
        <w:rPr>
          <w:rFonts w:hint="default"/>
          <w:color w:val="auto"/>
        </w:rPr>
      </w:pPr>
    </w:p>
    <w:p w14:paraId="6E6A4985">
      <w:pPr>
        <w:adjustRightInd w:val="0"/>
        <w:snapToGrid w:val="0"/>
        <w:spacing w:line="288" w:lineRule="auto"/>
        <w:ind w:firstLine="1040" w:firstLineChars="0"/>
        <w:rPr>
          <w:rFonts w:hint="default" w:ascii="Times New Roman" w:hAnsi="Times New Roman" w:eastAsia="仿宋_GB2312" w:cs="Times New Roman"/>
          <w:color w:val="auto"/>
          <w:spacing w:val="0"/>
          <w:w w:val="100"/>
          <w:kern w:val="2"/>
          <w:position w:val="0"/>
          <w:sz w:val="36"/>
          <w:szCs w:val="36"/>
          <w:lang w:val="en-US" w:eastAsia="zh-CN" w:bidi="ar-SA"/>
        </w:rPr>
      </w:pPr>
      <w:bookmarkStart w:id="6" w:name="_Hlk57884087"/>
    </w:p>
    <w:bookmarkEnd w:id="6"/>
    <w:tbl>
      <w:tblPr>
        <w:tblStyle w:val="59"/>
        <w:tblW w:w="4417"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72"/>
        <w:gridCol w:w="5132"/>
      </w:tblGrid>
      <w:tr w14:paraId="5967CE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794" w:type="pct"/>
            <w:noWrap w:val="0"/>
            <w:vAlign w:val="center"/>
          </w:tcPr>
          <w:p w14:paraId="3B350041">
            <w:pPr>
              <w:pStyle w:val="39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distribute"/>
              <w:textAlignment w:val="auto"/>
              <w:rPr>
                <w:rFonts w:hint="default" w:ascii="Times New Roman" w:hAnsi="Times New Roman" w:eastAsia="仿宋" w:cs="Times New Roman"/>
                <w:color w:val="auto"/>
                <w:spacing w:val="0"/>
                <w:w w:val="100"/>
                <w:position w:val="0"/>
                <w:sz w:val="30"/>
                <w:szCs w:val="30"/>
              </w:rPr>
            </w:pPr>
            <w:r>
              <w:rPr>
                <w:rFonts w:hint="default" w:ascii="Times New Roman" w:hAnsi="Times New Roman" w:cs="Times New Roman"/>
                <w:b/>
                <w:bCs/>
                <w:color w:val="auto"/>
                <w:spacing w:val="0"/>
                <w:w w:val="100"/>
                <w:position w:val="0"/>
                <w:sz w:val="30"/>
                <w:szCs w:val="30"/>
              </w:rPr>
              <w:t>项目名称：</w:t>
            </w:r>
          </w:p>
        </w:tc>
        <w:tc>
          <w:tcPr>
            <w:tcW w:w="3205" w:type="pct"/>
            <w:noWrap w:val="0"/>
            <w:vAlign w:val="center"/>
          </w:tcPr>
          <w:p w14:paraId="7EFC387D">
            <w:pPr>
              <w:pStyle w:val="397"/>
              <w:keepNext w:val="0"/>
              <w:keepLines w:val="0"/>
              <w:widowControl/>
              <w:suppressLineNumbers w:val="0"/>
              <w:adjustRightInd w:val="0"/>
              <w:snapToGrid w:val="0"/>
              <w:spacing w:before="0" w:beforeAutospacing="0" w:after="0" w:afterAutospacing="0" w:line="240" w:lineRule="auto"/>
              <w:ind w:left="904" w:leftChars="0" w:right="0" w:hanging="904" w:hangingChars="300"/>
              <w:jc w:val="both"/>
              <w:rPr>
                <w:rFonts w:hint="default" w:ascii="Times New Roman" w:hAnsi="Times New Roman" w:cs="Times New Roman"/>
                <w:b/>
                <w:color w:val="auto"/>
                <w:spacing w:val="0"/>
                <w:w w:val="100"/>
                <w:position w:val="0"/>
                <w:sz w:val="30"/>
                <w:szCs w:val="30"/>
                <w:u w:val="single"/>
                <w:lang w:val="en-US" w:eastAsia="zh-CN"/>
              </w:rPr>
            </w:pPr>
            <w:r>
              <w:rPr>
                <w:rFonts w:hint="default" w:ascii="Times New Roman" w:hAnsi="Times New Roman" w:cs="Times New Roman"/>
                <w:b/>
                <w:color w:val="auto"/>
                <w:spacing w:val="0"/>
                <w:w w:val="100"/>
                <w:position w:val="0"/>
                <w:sz w:val="30"/>
                <w:szCs w:val="30"/>
                <w:u w:val="single"/>
                <w:lang w:val="en-US" w:eastAsia="zh-CN"/>
              </w:rPr>
              <w:t>造纸制浆高端磨片及耐磨件生产项目</w:t>
            </w:r>
            <w:r>
              <w:rPr>
                <w:rFonts w:hint="default" w:ascii="Times New Roman" w:hAnsi="Times New Roman" w:cs="Times New Roman"/>
                <w:b/>
                <w:bCs/>
                <w:color w:val="auto"/>
                <w:spacing w:val="0"/>
                <w:w w:val="100"/>
                <w:position w:val="0"/>
                <w:sz w:val="30"/>
                <w:szCs w:val="30"/>
                <w:u w:val="single"/>
              </w:rPr>
              <w:t xml:space="preserve">      </w:t>
            </w:r>
          </w:p>
        </w:tc>
      </w:tr>
      <w:tr w14:paraId="015E1C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794" w:type="pct"/>
            <w:noWrap w:val="0"/>
            <w:vAlign w:val="center"/>
          </w:tcPr>
          <w:p w14:paraId="35BAEDB5">
            <w:pPr>
              <w:pStyle w:val="39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distribute"/>
              <w:textAlignment w:val="auto"/>
              <w:rPr>
                <w:rFonts w:hint="default" w:ascii="Times New Roman" w:hAnsi="Times New Roman" w:eastAsia="仿宋" w:cs="Times New Roman"/>
                <w:color w:val="auto"/>
                <w:spacing w:val="0"/>
                <w:w w:val="100"/>
                <w:position w:val="0"/>
                <w:sz w:val="30"/>
                <w:szCs w:val="30"/>
              </w:rPr>
            </w:pPr>
            <w:r>
              <w:rPr>
                <w:rFonts w:hint="default" w:ascii="Times New Roman" w:hAnsi="Times New Roman" w:cs="Times New Roman"/>
                <w:b/>
                <w:bCs/>
                <w:color w:val="auto"/>
                <w:spacing w:val="0"/>
                <w:w w:val="100"/>
                <w:position w:val="0"/>
                <w:sz w:val="30"/>
                <w:szCs w:val="30"/>
              </w:rPr>
              <w:t>建设单位（盖章）：</w:t>
            </w:r>
          </w:p>
        </w:tc>
        <w:tc>
          <w:tcPr>
            <w:tcW w:w="3205" w:type="pct"/>
            <w:noWrap w:val="0"/>
            <w:vAlign w:val="center"/>
          </w:tcPr>
          <w:p w14:paraId="2E703B31">
            <w:pPr>
              <w:pStyle w:val="397"/>
              <w:keepNext w:val="0"/>
              <w:keepLines w:val="0"/>
              <w:widowControl/>
              <w:suppressLineNumbers w:val="0"/>
              <w:adjustRightInd w:val="0"/>
              <w:snapToGrid w:val="0"/>
              <w:spacing w:before="0" w:beforeAutospacing="0" w:after="0" w:afterAutospacing="0" w:line="240" w:lineRule="auto"/>
              <w:ind w:left="0" w:right="0" w:firstLine="0" w:firstLineChars="0"/>
              <w:rPr>
                <w:rFonts w:hint="default" w:ascii="Times New Roman" w:hAnsi="Times New Roman" w:cs="Times New Roman"/>
                <w:color w:val="auto"/>
                <w:spacing w:val="0"/>
                <w:w w:val="100"/>
                <w:position w:val="0"/>
                <w:sz w:val="30"/>
                <w:szCs w:val="30"/>
                <w:lang w:val="en-US"/>
              </w:rPr>
            </w:pPr>
            <w:r>
              <w:rPr>
                <w:rFonts w:hint="default" w:ascii="Times New Roman" w:hAnsi="Times New Roman" w:cs="Times New Roman"/>
                <w:b/>
                <w:bCs/>
                <w:color w:val="auto"/>
                <w:spacing w:val="0"/>
                <w:w w:val="100"/>
                <w:position w:val="0"/>
                <w:sz w:val="30"/>
                <w:szCs w:val="30"/>
                <w:u w:val="single"/>
              </w:rPr>
              <w:t xml:space="preserve">    </w:t>
            </w:r>
            <w:r>
              <w:rPr>
                <w:rFonts w:hint="default" w:ascii="Times New Roman" w:hAnsi="Times New Roman" w:cs="Times New Roman"/>
                <w:b/>
                <w:color w:val="auto"/>
                <w:spacing w:val="0"/>
                <w:w w:val="100"/>
                <w:position w:val="0"/>
                <w:sz w:val="30"/>
                <w:szCs w:val="30"/>
                <w:u w:val="single"/>
                <w:lang w:val="en-US" w:eastAsia="zh-CN"/>
              </w:rPr>
              <w:t xml:space="preserve">柳州航城合金材料有限公司    </w:t>
            </w:r>
          </w:p>
        </w:tc>
      </w:tr>
      <w:tr w14:paraId="241789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794" w:type="pct"/>
            <w:noWrap w:val="0"/>
            <w:vAlign w:val="center"/>
          </w:tcPr>
          <w:p w14:paraId="0FA18F66">
            <w:pPr>
              <w:pStyle w:val="39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distribute"/>
              <w:textAlignment w:val="auto"/>
              <w:rPr>
                <w:rFonts w:hint="default" w:ascii="Times New Roman" w:hAnsi="Times New Roman" w:eastAsia="仿宋" w:cs="Times New Roman"/>
                <w:color w:val="auto"/>
                <w:spacing w:val="0"/>
                <w:w w:val="100"/>
                <w:position w:val="0"/>
                <w:sz w:val="30"/>
                <w:szCs w:val="30"/>
              </w:rPr>
            </w:pPr>
            <w:r>
              <w:rPr>
                <w:rFonts w:hint="default" w:ascii="Times New Roman" w:hAnsi="Times New Roman" w:cs="Times New Roman"/>
                <w:b/>
                <w:bCs/>
                <w:color w:val="auto"/>
                <w:spacing w:val="0"/>
                <w:w w:val="100"/>
                <w:position w:val="0"/>
                <w:sz w:val="30"/>
                <w:szCs w:val="30"/>
              </w:rPr>
              <w:t>编制日期：</w:t>
            </w:r>
          </w:p>
        </w:tc>
        <w:tc>
          <w:tcPr>
            <w:tcW w:w="3205" w:type="pct"/>
            <w:noWrap w:val="0"/>
            <w:vAlign w:val="center"/>
          </w:tcPr>
          <w:p w14:paraId="22479550">
            <w:pPr>
              <w:pStyle w:val="397"/>
              <w:keepNext w:val="0"/>
              <w:keepLines w:val="0"/>
              <w:widowControl/>
              <w:suppressLineNumbers w:val="0"/>
              <w:adjustRightInd w:val="0"/>
              <w:snapToGrid w:val="0"/>
              <w:spacing w:before="0" w:beforeAutospacing="0" w:after="0" w:afterAutospacing="0" w:line="240" w:lineRule="auto"/>
              <w:ind w:left="0" w:right="0" w:firstLine="0" w:firstLineChars="0"/>
              <w:rPr>
                <w:rFonts w:hint="default" w:ascii="Times New Roman" w:hAnsi="Times New Roman" w:eastAsia="宋体" w:cs="Times New Roman"/>
                <w:b/>
                <w:color w:val="auto"/>
                <w:spacing w:val="0"/>
                <w:w w:val="100"/>
                <w:position w:val="0"/>
                <w:sz w:val="30"/>
                <w:szCs w:val="30"/>
                <w:lang w:val="en-US" w:eastAsia="zh-CN"/>
              </w:rPr>
            </w:pPr>
            <w:r>
              <w:rPr>
                <w:rFonts w:hint="default" w:ascii="Times New Roman" w:hAnsi="Times New Roman" w:cs="Times New Roman"/>
                <w:b/>
                <w:bCs/>
                <w:color w:val="auto"/>
                <w:spacing w:val="0"/>
                <w:w w:val="100"/>
                <w:position w:val="0"/>
                <w:sz w:val="30"/>
                <w:szCs w:val="30"/>
                <w:u w:val="single"/>
              </w:rPr>
              <w:t xml:space="preserve">      </w:t>
            </w:r>
            <w:r>
              <w:rPr>
                <w:rFonts w:hint="default" w:ascii="Times New Roman" w:hAnsi="Times New Roman" w:cs="Times New Roman"/>
                <w:b/>
                <w:bCs/>
                <w:color w:val="auto"/>
                <w:spacing w:val="0"/>
                <w:w w:val="100"/>
                <w:position w:val="0"/>
                <w:sz w:val="30"/>
                <w:szCs w:val="30"/>
                <w:u w:val="single"/>
                <w:lang w:val="en-US" w:eastAsia="zh-CN"/>
              </w:rPr>
              <w:t xml:space="preserve">    </w:t>
            </w:r>
            <w:r>
              <w:rPr>
                <w:rFonts w:hint="default" w:ascii="Times New Roman" w:hAnsi="Times New Roman" w:cs="Times New Roman"/>
                <w:b/>
                <w:bCs/>
                <w:color w:val="auto"/>
                <w:spacing w:val="0"/>
                <w:w w:val="100"/>
                <w:position w:val="0"/>
                <w:sz w:val="30"/>
                <w:szCs w:val="30"/>
                <w:u w:val="single"/>
              </w:rPr>
              <w:t>202</w:t>
            </w:r>
            <w:r>
              <w:rPr>
                <w:rFonts w:hint="default" w:ascii="Times New Roman" w:hAnsi="Times New Roman" w:cs="Times New Roman"/>
                <w:b/>
                <w:bCs/>
                <w:color w:val="auto"/>
                <w:spacing w:val="0"/>
                <w:w w:val="100"/>
                <w:position w:val="0"/>
                <w:sz w:val="30"/>
                <w:szCs w:val="30"/>
                <w:u w:val="single"/>
                <w:lang w:val="en-US" w:eastAsia="zh-CN"/>
              </w:rPr>
              <w:t>6</w:t>
            </w:r>
            <w:r>
              <w:rPr>
                <w:rFonts w:hint="default" w:ascii="Times New Roman" w:hAnsi="Times New Roman" w:cs="Times New Roman"/>
                <w:b/>
                <w:bCs/>
                <w:color w:val="auto"/>
                <w:spacing w:val="0"/>
                <w:w w:val="100"/>
                <w:position w:val="0"/>
                <w:sz w:val="30"/>
                <w:szCs w:val="30"/>
                <w:u w:val="single"/>
              </w:rPr>
              <w:t>年</w:t>
            </w:r>
            <w:r>
              <w:rPr>
                <w:rFonts w:hint="eastAsia" w:cs="Times New Roman"/>
                <w:b/>
                <w:bCs/>
                <w:color w:val="auto"/>
                <w:spacing w:val="0"/>
                <w:w w:val="100"/>
                <w:position w:val="0"/>
                <w:sz w:val="30"/>
                <w:szCs w:val="30"/>
                <w:u w:val="single"/>
                <w:lang w:val="en-US" w:eastAsia="zh-CN"/>
              </w:rPr>
              <w:t>6</w:t>
            </w:r>
            <w:r>
              <w:rPr>
                <w:rFonts w:hint="default" w:ascii="Times New Roman" w:hAnsi="Times New Roman" w:cs="Times New Roman"/>
                <w:b/>
                <w:bCs/>
                <w:color w:val="auto"/>
                <w:spacing w:val="0"/>
                <w:w w:val="100"/>
                <w:position w:val="0"/>
                <w:sz w:val="30"/>
                <w:szCs w:val="30"/>
                <w:u w:val="single"/>
              </w:rPr>
              <w:t xml:space="preserve">月 </w:t>
            </w:r>
            <w:r>
              <w:rPr>
                <w:rFonts w:hint="default" w:ascii="Times New Roman" w:hAnsi="Times New Roman" w:cs="Times New Roman"/>
                <w:b/>
                <w:bCs/>
                <w:color w:val="auto"/>
                <w:spacing w:val="0"/>
                <w:w w:val="100"/>
                <w:position w:val="0"/>
                <w:sz w:val="30"/>
                <w:szCs w:val="30"/>
                <w:u w:val="single"/>
                <w:lang w:val="en-US" w:eastAsia="zh-CN"/>
              </w:rPr>
              <w:t xml:space="preserve">   </w:t>
            </w:r>
            <w:r>
              <w:rPr>
                <w:rFonts w:hint="default" w:ascii="Times New Roman" w:hAnsi="Times New Roman" w:cs="Times New Roman"/>
                <w:b/>
                <w:bCs/>
                <w:color w:val="auto"/>
                <w:spacing w:val="0"/>
                <w:w w:val="100"/>
                <w:position w:val="0"/>
                <w:sz w:val="30"/>
                <w:szCs w:val="30"/>
                <w:u w:val="single"/>
              </w:rPr>
              <w:t xml:space="preserve">  </w:t>
            </w:r>
            <w:r>
              <w:rPr>
                <w:rFonts w:hint="default" w:ascii="Times New Roman" w:hAnsi="Times New Roman" w:cs="Times New Roman"/>
                <w:b/>
                <w:bCs/>
                <w:color w:val="auto"/>
                <w:spacing w:val="0"/>
                <w:w w:val="100"/>
                <w:position w:val="0"/>
                <w:sz w:val="30"/>
                <w:szCs w:val="30"/>
                <w:u w:val="single"/>
                <w:lang w:val="en-US" w:eastAsia="zh-CN"/>
              </w:rPr>
              <w:t xml:space="preserve">  </w:t>
            </w:r>
            <w:r>
              <w:rPr>
                <w:rFonts w:hint="default" w:ascii="Times New Roman" w:hAnsi="Times New Roman" w:cs="Times New Roman"/>
                <w:b/>
                <w:bCs/>
                <w:color w:val="auto"/>
                <w:spacing w:val="0"/>
                <w:w w:val="100"/>
                <w:position w:val="0"/>
                <w:sz w:val="30"/>
                <w:szCs w:val="30"/>
                <w:u w:val="single"/>
              </w:rPr>
              <w:t xml:space="preserve">     </w:t>
            </w:r>
          </w:p>
        </w:tc>
      </w:tr>
    </w:tbl>
    <w:p w14:paraId="6B5B78F1">
      <w:pPr>
        <w:adjustRightInd w:val="0"/>
        <w:snapToGrid w:val="0"/>
        <w:spacing w:line="288" w:lineRule="auto"/>
        <w:ind w:left="0" w:leftChars="0" w:firstLine="0" w:firstLineChars="0"/>
        <w:jc w:val="center"/>
        <w:rPr>
          <w:rFonts w:hint="default" w:ascii="Times New Roman" w:hAnsi="Times New Roman" w:eastAsia="宋体" w:cs="Times New Roman"/>
          <w:b/>
          <w:bCs/>
          <w:color w:val="auto"/>
          <w:spacing w:val="0"/>
          <w:w w:val="100"/>
          <w:position w:val="0"/>
          <w:sz w:val="36"/>
          <w:szCs w:val="36"/>
        </w:rPr>
      </w:pPr>
    </w:p>
    <w:p w14:paraId="0DB46213">
      <w:pPr>
        <w:adjustRightInd w:val="0"/>
        <w:snapToGrid w:val="0"/>
        <w:spacing w:line="288" w:lineRule="auto"/>
        <w:ind w:left="0" w:leftChars="0" w:firstLine="0" w:firstLineChars="0"/>
        <w:jc w:val="center"/>
        <w:rPr>
          <w:rFonts w:hint="default" w:ascii="Times New Roman" w:hAnsi="Times New Roman" w:eastAsia="宋体" w:cs="Times New Roman"/>
          <w:b/>
          <w:bCs/>
          <w:color w:val="auto"/>
          <w:spacing w:val="0"/>
          <w:w w:val="100"/>
          <w:position w:val="0"/>
          <w:sz w:val="36"/>
          <w:szCs w:val="36"/>
        </w:rPr>
      </w:pPr>
    </w:p>
    <w:p w14:paraId="3A835D55">
      <w:pPr>
        <w:adjustRightInd w:val="0"/>
        <w:snapToGrid w:val="0"/>
        <w:spacing w:line="288" w:lineRule="auto"/>
        <w:ind w:left="0" w:leftChars="0" w:firstLine="0" w:firstLineChars="0"/>
        <w:jc w:val="center"/>
        <w:rPr>
          <w:rFonts w:hint="default" w:ascii="Times New Roman" w:hAnsi="Times New Roman" w:eastAsia="宋体" w:cs="Times New Roman"/>
          <w:b/>
          <w:bCs/>
          <w:color w:val="auto"/>
          <w:spacing w:val="0"/>
          <w:w w:val="100"/>
          <w:position w:val="0"/>
          <w:sz w:val="36"/>
          <w:szCs w:val="36"/>
        </w:rPr>
      </w:pPr>
    </w:p>
    <w:p w14:paraId="2CDB4D5E">
      <w:pPr>
        <w:adjustRightInd w:val="0"/>
        <w:snapToGrid w:val="0"/>
        <w:spacing w:line="288" w:lineRule="auto"/>
        <w:ind w:left="0" w:leftChars="0" w:firstLine="0" w:firstLineChars="0"/>
        <w:jc w:val="center"/>
        <w:rPr>
          <w:rFonts w:hint="default" w:ascii="Times New Roman" w:hAnsi="Times New Roman" w:eastAsia="宋体" w:cs="Times New Roman"/>
          <w:b/>
          <w:bCs/>
          <w:color w:val="auto"/>
          <w:spacing w:val="0"/>
          <w:w w:val="100"/>
          <w:position w:val="0"/>
          <w:sz w:val="36"/>
          <w:szCs w:val="36"/>
        </w:rPr>
      </w:pPr>
      <w:r>
        <w:rPr>
          <w:rFonts w:hint="default" w:ascii="Times New Roman" w:hAnsi="Times New Roman" w:eastAsia="宋体" w:cs="Times New Roman"/>
          <w:b/>
          <w:bCs/>
          <w:color w:val="auto"/>
          <w:spacing w:val="0"/>
          <w:w w:val="100"/>
          <w:position w:val="0"/>
          <w:sz w:val="36"/>
          <w:szCs w:val="36"/>
        </w:rPr>
        <w:t>中华人民共和国生态环境部制</w:t>
      </w:r>
    </w:p>
    <w:p w14:paraId="3AF6B77C">
      <w:pPr>
        <w:pStyle w:val="12"/>
        <w:rPr>
          <w:rFonts w:hint="default" w:ascii="Times New Roman" w:hAnsi="Times New Roman" w:cs="Times New Roman"/>
          <w:color w:val="auto"/>
          <w:spacing w:val="0"/>
          <w:w w:val="100"/>
          <w:position w:val="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3"/>
          <w:cols w:space="720" w:num="1"/>
          <w:docGrid w:linePitch="312" w:charSpace="0"/>
        </w:sectPr>
      </w:pPr>
    </w:p>
    <w:p w14:paraId="4456C374">
      <w:pPr>
        <w:rPr>
          <w:rFonts w:hint="default" w:ascii="Times New Roman" w:hAnsi="Times New Roman" w:eastAsia="黑体" w:cs="Times New Roman"/>
          <w:b/>
          <w:bCs/>
          <w:color w:val="auto"/>
          <w:spacing w:val="0"/>
          <w:w w:val="100"/>
          <w:position w:val="0"/>
          <w:sz w:val="30"/>
          <w:szCs w:val="30"/>
          <w:lang w:val="en-US" w:eastAsia="zh-CN"/>
        </w:rPr>
      </w:pPr>
      <w:r>
        <w:drawing>
          <wp:anchor distT="0" distB="0" distL="114300" distR="114300" simplePos="0" relativeHeight="251660288" behindDoc="0" locked="0" layoutInCell="1" allowOverlap="1">
            <wp:simplePos x="0" y="0"/>
            <wp:positionH relativeFrom="column">
              <wp:posOffset>-1145540</wp:posOffset>
            </wp:positionH>
            <wp:positionV relativeFrom="paragraph">
              <wp:posOffset>-431800</wp:posOffset>
            </wp:positionV>
            <wp:extent cx="7700645" cy="9965690"/>
            <wp:effectExtent l="0" t="0" r="14605" b="16510"/>
            <wp:wrapTopAndBottom/>
            <wp:docPr id="15" name="图片 15" descr="【环奕盖章】承诺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环奕盖章】承诺书_01"/>
                    <pic:cNvPicPr>
                      <a:picLocks noChangeAspect="1"/>
                    </pic:cNvPicPr>
                  </pic:nvPicPr>
                  <pic:blipFill>
                    <a:blip r:embed="rId16"/>
                    <a:stretch>
                      <a:fillRect/>
                    </a:stretch>
                  </pic:blipFill>
                  <pic:spPr>
                    <a:xfrm>
                      <a:off x="0" y="0"/>
                      <a:ext cx="7700645" cy="9965690"/>
                    </a:xfrm>
                    <a:prstGeom prst="rect">
                      <a:avLst/>
                    </a:prstGeom>
                  </pic:spPr>
                </pic:pic>
              </a:graphicData>
            </a:graphic>
          </wp:anchor>
        </w:drawing>
      </w:r>
    </w:p>
    <w:p w14:paraId="7FD4739D">
      <w:pPr>
        <w:rPr>
          <w:rFonts w:hint="default" w:ascii="Times New Roman" w:hAnsi="Times New Roman" w:eastAsia="黑体" w:cs="Times New Roman"/>
          <w:b/>
          <w:bCs/>
          <w:color w:val="auto"/>
          <w:spacing w:val="0"/>
          <w:w w:val="100"/>
          <w:position w:val="0"/>
          <w:sz w:val="30"/>
          <w:szCs w:val="30"/>
          <w:lang w:val="en-US" w:eastAsia="zh-CN"/>
        </w:rPr>
      </w:pPr>
      <w:r>
        <w:rPr>
          <w:rFonts w:hint="default" w:ascii="Times New Roman" w:hAnsi="Times New Roman" w:eastAsia="黑体" w:cs="Times New Roman"/>
          <w:b/>
          <w:bCs/>
          <w:color w:val="auto"/>
          <w:spacing w:val="0"/>
          <w:w w:val="100"/>
          <w:position w:val="0"/>
          <w:sz w:val="30"/>
          <w:szCs w:val="30"/>
          <w:lang w:val="en-US" w:eastAsia="zh-CN"/>
        </w:rPr>
        <w:drawing>
          <wp:anchor distT="0" distB="0" distL="114300" distR="114300" simplePos="0" relativeHeight="251663360" behindDoc="0" locked="0" layoutInCell="1" allowOverlap="1">
            <wp:simplePos x="0" y="0"/>
            <wp:positionH relativeFrom="column">
              <wp:posOffset>-1080135</wp:posOffset>
            </wp:positionH>
            <wp:positionV relativeFrom="paragraph">
              <wp:posOffset>-492125</wp:posOffset>
            </wp:positionV>
            <wp:extent cx="7711440" cy="9980295"/>
            <wp:effectExtent l="0" t="0" r="3810" b="1905"/>
            <wp:wrapTopAndBottom/>
            <wp:docPr id="19" name="图片 19" descr="【盖章版】编制单位和编制人员情况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盖章版】编制单位和编制人员情况表_01"/>
                    <pic:cNvPicPr>
                      <a:picLocks noChangeAspect="1"/>
                    </pic:cNvPicPr>
                  </pic:nvPicPr>
                  <pic:blipFill>
                    <a:blip r:embed="rId17"/>
                    <a:stretch>
                      <a:fillRect/>
                    </a:stretch>
                  </pic:blipFill>
                  <pic:spPr>
                    <a:xfrm>
                      <a:off x="0" y="0"/>
                      <a:ext cx="7711440" cy="9980295"/>
                    </a:xfrm>
                    <a:prstGeom prst="rect">
                      <a:avLst/>
                    </a:prstGeom>
                  </pic:spPr>
                </pic:pic>
              </a:graphicData>
            </a:graphic>
          </wp:anchor>
        </w:drawing>
      </w:r>
      <w:r>
        <w:rPr>
          <w:rFonts w:hint="default" w:ascii="Times New Roman" w:hAnsi="Times New Roman" w:eastAsia="黑体" w:cs="Times New Roman"/>
          <w:b/>
          <w:bCs/>
          <w:color w:val="auto"/>
          <w:spacing w:val="0"/>
          <w:w w:val="100"/>
          <w:position w:val="0"/>
          <w:sz w:val="30"/>
          <w:szCs w:val="30"/>
          <w:lang w:val="en-US" w:eastAsia="zh-CN"/>
        </w:rPr>
        <w:drawing>
          <wp:anchor distT="0" distB="0" distL="114300" distR="114300" simplePos="0" relativeHeight="251661312" behindDoc="0" locked="0" layoutInCell="1" allowOverlap="1">
            <wp:simplePos x="0" y="0"/>
            <wp:positionH relativeFrom="column">
              <wp:posOffset>-323215</wp:posOffset>
            </wp:positionH>
            <wp:positionV relativeFrom="paragraph">
              <wp:posOffset>1162685</wp:posOffset>
            </wp:positionV>
            <wp:extent cx="6193790" cy="4423410"/>
            <wp:effectExtent l="0" t="0" r="16510" b="15240"/>
            <wp:wrapSquare wrapText="bothSides"/>
            <wp:docPr id="16" name="图片 16" descr="97d20b6b-3be5-4503-8797-d542b0466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97d20b6b-3be5-4503-8797-d542b0466c13"/>
                    <pic:cNvPicPr>
                      <a:picLocks noChangeAspect="1"/>
                    </pic:cNvPicPr>
                  </pic:nvPicPr>
                  <pic:blipFill>
                    <a:blip r:embed="rId18"/>
                    <a:stretch>
                      <a:fillRect/>
                    </a:stretch>
                  </pic:blipFill>
                  <pic:spPr>
                    <a:xfrm>
                      <a:off x="0" y="0"/>
                      <a:ext cx="6193790" cy="4423410"/>
                    </a:xfrm>
                    <a:prstGeom prst="rect">
                      <a:avLst/>
                    </a:prstGeom>
                  </pic:spPr>
                </pic:pic>
              </a:graphicData>
            </a:graphic>
          </wp:anchor>
        </w:drawing>
      </w:r>
      <w:r>
        <w:rPr>
          <w:sz w:val="30"/>
        </w:rPr>
        <mc:AlternateContent>
          <mc:Choice Requires="wps">
            <w:drawing>
              <wp:anchor distT="0" distB="0" distL="114300" distR="114300" simplePos="0" relativeHeight="251662336" behindDoc="0" locked="0" layoutInCell="1" allowOverlap="1">
                <wp:simplePos x="0" y="0"/>
                <wp:positionH relativeFrom="column">
                  <wp:posOffset>3729355</wp:posOffset>
                </wp:positionH>
                <wp:positionV relativeFrom="paragraph">
                  <wp:posOffset>2313305</wp:posOffset>
                </wp:positionV>
                <wp:extent cx="1124585" cy="1113155"/>
                <wp:effectExtent l="0" t="0" r="18415" b="10795"/>
                <wp:wrapNone/>
                <wp:docPr id="1" name="矩形 1"/>
                <wp:cNvGraphicFramePr/>
                <a:graphic xmlns:a="http://schemas.openxmlformats.org/drawingml/2006/main">
                  <a:graphicData uri="http://schemas.microsoft.com/office/word/2010/wordprocessingShape">
                    <wps:wsp>
                      <wps:cNvSpPr/>
                      <wps:spPr>
                        <a:xfrm>
                          <a:off x="4809490" y="3033395"/>
                          <a:ext cx="1124585" cy="111315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3.65pt;margin-top:182.15pt;height:87.65pt;width:88.55pt;z-index:251662336;v-text-anchor:middle;mso-width-relative:page;mso-height-relative:page;" fillcolor="#FFFFFF [3212]" filled="t" stroked="f" coordsize="21600,21600" o:gfxdata="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t+KeE1gAAAAsBAAAPAAAAAAAAAAEAIAAAACIAAABkcnMvZG93bnJldi54bWxQ&#10;SwECFAAUAAAACACHTuJA1RhnymsCAADBBAAADgAAAAAAAAABACAAAAAlAQAAZHJzL2Uyb0RvYy54&#10;bWxQSwUGAAAAAAYABgBZAQAAAgYAAAAA&#10;">
                <v:fill on="t" focussize="0,0"/>
                <v:stroke on="f" weight="2pt"/>
                <v:imagedata o:title=""/>
                <o:lock v:ext="edit" aspectratio="f"/>
              </v:rect>
            </w:pict>
          </mc:Fallback>
        </mc:AlternateContent>
      </w:r>
    </w:p>
    <w:p w14:paraId="2194082A">
      <w:pPr>
        <w:pStyle w:val="2"/>
        <w:rPr>
          <w:rFonts w:hint="default" w:ascii="Times New Roman" w:hAnsi="Times New Roman" w:eastAsia="黑体" w:cs="Times New Roman"/>
          <w:b/>
          <w:bCs/>
          <w:color w:val="auto"/>
          <w:spacing w:val="0"/>
          <w:w w:val="100"/>
          <w:position w:val="0"/>
          <w:sz w:val="30"/>
          <w:szCs w:val="30"/>
          <w:lang w:val="en-US" w:eastAsia="zh-CN"/>
        </w:rPr>
      </w:pPr>
      <w:r>
        <w:rPr>
          <w:sz w:val="30"/>
        </w:rPr>
        <mc:AlternateContent>
          <mc:Choice Requires="wps">
            <w:drawing>
              <wp:anchor distT="0" distB="0" distL="114300" distR="114300" simplePos="0" relativeHeight="251665408" behindDoc="0" locked="0" layoutInCell="1" allowOverlap="1">
                <wp:simplePos x="0" y="0"/>
                <wp:positionH relativeFrom="column">
                  <wp:posOffset>3735705</wp:posOffset>
                </wp:positionH>
                <wp:positionV relativeFrom="paragraph">
                  <wp:posOffset>2296160</wp:posOffset>
                </wp:positionV>
                <wp:extent cx="1124585" cy="1067435"/>
                <wp:effectExtent l="12700" t="12700" r="24765" b="24765"/>
                <wp:wrapNone/>
                <wp:docPr id="3" name="矩形 3"/>
                <wp:cNvGraphicFramePr/>
                <a:graphic xmlns:a="http://schemas.openxmlformats.org/drawingml/2006/main">
                  <a:graphicData uri="http://schemas.microsoft.com/office/word/2010/wordprocessingShape">
                    <wps:wsp>
                      <wps:cNvSpPr/>
                      <wps:spPr>
                        <a:xfrm>
                          <a:off x="4815840" y="3016250"/>
                          <a:ext cx="1124585" cy="1067435"/>
                        </a:xfrm>
                        <a:prstGeom prst="rect">
                          <a:avLst/>
                        </a:prstGeom>
                        <a:solidFill>
                          <a:schemeClr val="bg1"/>
                        </a:solidFill>
                      </wps:spPr>
                      <wps:style>
                        <a:lnRef idx="0">
                          <a:srgbClr val="FFFFFF"/>
                        </a:lnRef>
                        <a:fillRef idx="2">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4.15pt;margin-top:180.8pt;height:84.05pt;width:88.55pt;z-index:251665408;v-text-anchor:middle;mso-width-relative:page;mso-height-relative:page;" fillcolor="#FFFFFF [3212]" filled="t" stroked="f" coordsize="21600,21600" o:gfxdata="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9t8kQ9oAAAALAQAADwAAAAAAAAABACAAAAAiAAAA&#10;ZHJzL2Rvd25yZXYueG1sUEsBAhQAFAAAAAgAh07iQN0GWlE+AgAAbAQAAA4AAAAAAAAAAQAgAAAA&#10;KQEAAGRycy9lMm9Eb2MueG1sUEsFBgAAAAAGAAYAWQEAANkFAAAAAA==&#10;">
                <v:fill on="t" focussize="0,0"/>
                <v:stroke on="f"/>
                <v:imagedata o:title=""/>
                <o:lock v:ext="edit" aspectratio="f"/>
              </v:rect>
            </w:pict>
          </mc:Fallback>
        </mc:AlternateContent>
      </w:r>
      <w:r>
        <w:rPr>
          <w:rFonts w:hint="default" w:ascii="Times New Roman" w:hAnsi="Times New Roman" w:eastAsia="黑体" w:cs="Times New Roman"/>
          <w:b/>
          <w:bCs/>
          <w:color w:val="auto"/>
          <w:spacing w:val="0"/>
          <w:w w:val="100"/>
          <w:position w:val="0"/>
          <w:sz w:val="30"/>
          <w:szCs w:val="30"/>
          <w:lang w:val="en-US" w:eastAsia="zh-CN"/>
        </w:rPr>
        <w:drawing>
          <wp:anchor distT="0" distB="0" distL="114300" distR="114300" simplePos="0" relativeHeight="251664384" behindDoc="0" locked="0" layoutInCell="1" allowOverlap="1">
            <wp:simplePos x="0" y="0"/>
            <wp:positionH relativeFrom="column">
              <wp:posOffset>-300990</wp:posOffset>
            </wp:positionH>
            <wp:positionV relativeFrom="paragraph">
              <wp:posOffset>54610</wp:posOffset>
            </wp:positionV>
            <wp:extent cx="6193790" cy="4423410"/>
            <wp:effectExtent l="0" t="0" r="16510" b="15240"/>
            <wp:wrapTopAndBottom/>
            <wp:docPr id="2" name="图片 2" descr="97d20b6b-3be5-4503-8797-d542b0466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97d20b6b-3be5-4503-8797-d542b0466c13"/>
                    <pic:cNvPicPr>
                      <a:picLocks noChangeAspect="1"/>
                    </pic:cNvPicPr>
                  </pic:nvPicPr>
                  <pic:blipFill>
                    <a:blip r:embed="rId18"/>
                    <a:stretch>
                      <a:fillRect/>
                    </a:stretch>
                  </pic:blipFill>
                  <pic:spPr>
                    <a:xfrm>
                      <a:off x="0" y="0"/>
                      <a:ext cx="6193790" cy="4423410"/>
                    </a:xfrm>
                    <a:prstGeom prst="rect">
                      <a:avLst/>
                    </a:prstGeom>
                  </pic:spPr>
                </pic:pic>
              </a:graphicData>
            </a:graphic>
          </wp:anchor>
        </w:drawing>
      </w:r>
    </w:p>
    <w:p w14:paraId="4A8947BF">
      <w:pPr>
        <w:rPr>
          <w:rFonts w:hint="default" w:ascii="Times New Roman" w:hAnsi="Times New Roman" w:eastAsia="黑体" w:cs="Times New Roman"/>
          <w:b/>
          <w:bCs/>
          <w:color w:val="auto"/>
          <w:spacing w:val="0"/>
          <w:w w:val="100"/>
          <w:position w:val="0"/>
          <w:sz w:val="30"/>
          <w:szCs w:val="30"/>
          <w:lang w:val="en-US" w:eastAsia="zh-CN"/>
        </w:rPr>
      </w:pPr>
      <w:r>
        <w:rPr>
          <w:rFonts w:hint="default" w:ascii="Times New Roman" w:hAnsi="Times New Roman" w:eastAsia="黑体" w:cs="Times New Roman"/>
          <w:b/>
          <w:bCs/>
          <w:color w:val="auto"/>
          <w:spacing w:val="0"/>
          <w:w w:val="100"/>
          <w:position w:val="0"/>
          <w:sz w:val="30"/>
          <w:szCs w:val="30"/>
          <w:lang w:val="en-US" w:eastAsia="zh-CN"/>
        </w:rPr>
        <w:br w:type="page"/>
      </w:r>
    </w:p>
    <w:p w14:paraId="5E20EE88">
      <w:pPr>
        <w:pStyle w:val="45"/>
        <w:tabs>
          <w:tab w:val="right" w:leader="dot" w:pos="8504"/>
        </w:tabs>
        <w:rPr>
          <w:rFonts w:hint="default"/>
          <w:color w:val="auto"/>
          <w:lang w:val="en-US"/>
        </w:rPr>
      </w:pPr>
      <w:r>
        <w:rPr>
          <w:rFonts w:hint="default" w:ascii="Times New Roman" w:hAnsi="Times New Roman" w:eastAsia="黑体" w:cs="Times New Roman"/>
          <w:b/>
          <w:bCs/>
          <w:color w:val="auto"/>
          <w:spacing w:val="0"/>
          <w:w w:val="100"/>
          <w:position w:val="0"/>
          <w:sz w:val="30"/>
          <w:szCs w:val="30"/>
          <w:lang w:val="en-US" w:eastAsia="zh-CN"/>
        </w:rPr>
        <w:fldChar w:fldCharType="begin"/>
      </w:r>
      <w:r>
        <w:rPr>
          <w:rFonts w:hint="default" w:ascii="Times New Roman" w:hAnsi="Times New Roman" w:eastAsia="黑体" w:cs="Times New Roman"/>
          <w:b/>
          <w:bCs/>
          <w:color w:val="auto"/>
          <w:spacing w:val="0"/>
          <w:w w:val="100"/>
          <w:position w:val="0"/>
          <w:sz w:val="30"/>
          <w:szCs w:val="30"/>
          <w:lang w:val="en-US" w:eastAsia="zh-CN"/>
        </w:rPr>
        <w:instrText xml:space="preserve">TOC \o "1-1" \h \u </w:instrText>
      </w:r>
      <w:r>
        <w:rPr>
          <w:rFonts w:hint="default" w:ascii="Times New Roman" w:hAnsi="Times New Roman" w:eastAsia="黑体" w:cs="Times New Roman"/>
          <w:b/>
          <w:bCs/>
          <w:color w:val="auto"/>
          <w:spacing w:val="0"/>
          <w:w w:val="100"/>
          <w:position w:val="0"/>
          <w:sz w:val="30"/>
          <w:szCs w:val="30"/>
          <w:lang w:val="en-US" w:eastAsia="zh-CN"/>
        </w:rPr>
        <w:fldChar w:fldCharType="separate"/>
      </w:r>
      <w:r>
        <w:rPr>
          <w:rFonts w:hint="eastAsia" w:ascii="Times New Roman" w:hAnsi="Times New Roman" w:eastAsia="黑体" w:cs="Times New Roman"/>
          <w:bCs/>
          <w:color w:val="auto"/>
          <w:spacing w:val="0"/>
          <w:w w:val="100"/>
          <w:position w:val="0"/>
          <w:szCs w:val="30"/>
          <w:lang w:val="en-US" w:eastAsia="zh-CN"/>
        </w:rPr>
        <w:t>目录</w:t>
      </w:r>
    </w:p>
    <w:p w14:paraId="25E04DA6">
      <w:pPr>
        <w:pStyle w:val="45"/>
        <w:tabs>
          <w:tab w:val="right" w:leader="dot" w:pos="8504"/>
        </w:tabs>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_Toc8005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Times New Roman" w:hAnsi="Times New Roman" w:eastAsia="黑体" w:cs="Times New Roman"/>
          <w:bCs/>
          <w:color w:val="auto"/>
          <w:spacing w:val="0"/>
          <w:w w:val="100"/>
          <w:position w:val="0"/>
          <w:sz w:val="24"/>
          <w:szCs w:val="24"/>
          <w:lang w:val="en-US" w:eastAsia="zh-CN"/>
        </w:rPr>
        <w:t>一、</w:t>
      </w:r>
      <w:r>
        <w:rPr>
          <w:rFonts w:hint="default" w:ascii="Times New Roman" w:hAnsi="Times New Roman" w:eastAsia="黑体" w:cs="Times New Roman"/>
          <w:bCs/>
          <w:snapToGrid w:val="0"/>
          <w:color w:val="auto"/>
          <w:spacing w:val="0"/>
          <w:w w:val="100"/>
          <w:position w:val="0"/>
          <w:sz w:val="24"/>
          <w:szCs w:val="24"/>
        </w:rPr>
        <w:t>建设项目基本情况</w:t>
      </w:r>
      <w:r>
        <w:rPr>
          <w:color w:val="auto"/>
          <w:sz w:val="24"/>
          <w:szCs w:val="24"/>
        </w:rPr>
        <w:tab/>
      </w:r>
      <w:r>
        <w:rPr>
          <w:color w:val="auto"/>
          <w:sz w:val="24"/>
          <w:szCs w:val="24"/>
        </w:rPr>
        <w:fldChar w:fldCharType="begin"/>
      </w:r>
      <w:r>
        <w:rPr>
          <w:color w:val="auto"/>
          <w:sz w:val="24"/>
          <w:szCs w:val="24"/>
        </w:rPr>
        <w:instrText xml:space="preserve"> PAGEREF _Toc8005 \h </w:instrText>
      </w:r>
      <w:r>
        <w:rPr>
          <w:color w:val="auto"/>
          <w:sz w:val="24"/>
          <w:szCs w:val="24"/>
        </w:rPr>
        <w:fldChar w:fldCharType="separate"/>
      </w:r>
      <w:r>
        <w:rPr>
          <w:color w:val="auto"/>
          <w:sz w:val="24"/>
          <w:szCs w:val="24"/>
        </w:rPr>
        <w:t>1</w:t>
      </w:r>
      <w:r>
        <w:rPr>
          <w:color w:val="auto"/>
          <w:sz w:val="24"/>
          <w:szCs w:val="24"/>
        </w:rPr>
        <w:fldChar w:fldCharType="end"/>
      </w:r>
      <w:r>
        <w:rPr>
          <w:rFonts w:hint="default" w:ascii="Times New Roman" w:hAnsi="Times New Roman" w:eastAsia="黑体" w:cs="Times New Roman"/>
          <w:bCs/>
          <w:color w:val="auto"/>
          <w:spacing w:val="0"/>
          <w:w w:val="100"/>
          <w:position w:val="0"/>
          <w:sz w:val="24"/>
          <w:szCs w:val="24"/>
          <w:lang w:val="en-US" w:eastAsia="zh-CN"/>
        </w:rPr>
        <w:fldChar w:fldCharType="end"/>
      </w:r>
    </w:p>
    <w:p w14:paraId="1D001BD0">
      <w:pPr>
        <w:pStyle w:val="45"/>
        <w:tabs>
          <w:tab w:val="right" w:leader="dot" w:pos="8504"/>
        </w:tabs>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_Toc11829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Times New Roman" w:hAnsi="Times New Roman" w:eastAsia="黑体" w:cs="Times New Roman"/>
          <w:bCs/>
          <w:color w:val="auto"/>
          <w:spacing w:val="0"/>
          <w:w w:val="100"/>
          <w:position w:val="0"/>
          <w:sz w:val="24"/>
          <w:szCs w:val="24"/>
          <w:lang w:val="en-US" w:eastAsia="zh-CN"/>
        </w:rPr>
        <w:t>二、建设项目工程分析</w:t>
      </w:r>
      <w:r>
        <w:rPr>
          <w:color w:val="auto"/>
          <w:sz w:val="24"/>
          <w:szCs w:val="24"/>
        </w:rPr>
        <w:tab/>
      </w:r>
      <w:r>
        <w:rPr>
          <w:color w:val="auto"/>
          <w:sz w:val="24"/>
          <w:szCs w:val="24"/>
        </w:rPr>
        <w:fldChar w:fldCharType="begin"/>
      </w:r>
      <w:r>
        <w:rPr>
          <w:color w:val="auto"/>
          <w:sz w:val="24"/>
          <w:szCs w:val="24"/>
        </w:rPr>
        <w:instrText xml:space="preserve"> PAGEREF _Toc11829 \h </w:instrText>
      </w:r>
      <w:r>
        <w:rPr>
          <w:color w:val="auto"/>
          <w:sz w:val="24"/>
          <w:szCs w:val="24"/>
        </w:rPr>
        <w:fldChar w:fldCharType="separate"/>
      </w:r>
      <w:r>
        <w:rPr>
          <w:color w:val="auto"/>
          <w:sz w:val="24"/>
          <w:szCs w:val="24"/>
        </w:rPr>
        <w:t>13</w:t>
      </w:r>
      <w:r>
        <w:rPr>
          <w:color w:val="auto"/>
          <w:sz w:val="24"/>
          <w:szCs w:val="24"/>
        </w:rPr>
        <w:fldChar w:fldCharType="end"/>
      </w:r>
      <w:r>
        <w:rPr>
          <w:rFonts w:hint="default" w:ascii="Times New Roman" w:hAnsi="Times New Roman" w:eastAsia="黑体" w:cs="Times New Roman"/>
          <w:bCs/>
          <w:color w:val="auto"/>
          <w:spacing w:val="0"/>
          <w:w w:val="100"/>
          <w:position w:val="0"/>
          <w:sz w:val="24"/>
          <w:szCs w:val="24"/>
          <w:lang w:val="en-US" w:eastAsia="zh-CN"/>
        </w:rPr>
        <w:fldChar w:fldCharType="end"/>
      </w:r>
    </w:p>
    <w:p w14:paraId="1862D2BE">
      <w:pPr>
        <w:pStyle w:val="45"/>
        <w:tabs>
          <w:tab w:val="right" w:leader="dot" w:pos="8504"/>
        </w:tabs>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_Toc28411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Times New Roman" w:hAnsi="Times New Roman" w:eastAsia="黑体" w:cs="Times New Roman"/>
          <w:bCs w:val="0"/>
          <w:snapToGrid w:val="0"/>
          <w:color w:val="auto"/>
          <w:spacing w:val="0"/>
          <w:w w:val="100"/>
          <w:position w:val="0"/>
          <w:sz w:val="24"/>
          <w:szCs w:val="24"/>
        </w:rPr>
        <w:t>三、区域环境质量现状、环境保护目标及评价标准</w:t>
      </w:r>
      <w:r>
        <w:rPr>
          <w:color w:val="auto"/>
          <w:sz w:val="24"/>
          <w:szCs w:val="24"/>
        </w:rPr>
        <w:tab/>
      </w:r>
      <w:r>
        <w:rPr>
          <w:color w:val="auto"/>
          <w:sz w:val="24"/>
          <w:szCs w:val="24"/>
        </w:rPr>
        <w:fldChar w:fldCharType="begin"/>
      </w:r>
      <w:r>
        <w:rPr>
          <w:color w:val="auto"/>
          <w:sz w:val="24"/>
          <w:szCs w:val="24"/>
        </w:rPr>
        <w:instrText xml:space="preserve"> PAGEREF _Toc28411 \h </w:instrText>
      </w:r>
      <w:r>
        <w:rPr>
          <w:color w:val="auto"/>
          <w:sz w:val="24"/>
          <w:szCs w:val="24"/>
        </w:rPr>
        <w:fldChar w:fldCharType="separate"/>
      </w:r>
      <w:r>
        <w:rPr>
          <w:color w:val="auto"/>
          <w:sz w:val="24"/>
          <w:szCs w:val="24"/>
        </w:rPr>
        <w:t>21</w:t>
      </w:r>
      <w:r>
        <w:rPr>
          <w:color w:val="auto"/>
          <w:sz w:val="24"/>
          <w:szCs w:val="24"/>
        </w:rPr>
        <w:fldChar w:fldCharType="end"/>
      </w:r>
      <w:r>
        <w:rPr>
          <w:rFonts w:hint="default" w:ascii="Times New Roman" w:hAnsi="Times New Roman" w:eastAsia="黑体" w:cs="Times New Roman"/>
          <w:bCs/>
          <w:color w:val="auto"/>
          <w:spacing w:val="0"/>
          <w:w w:val="100"/>
          <w:position w:val="0"/>
          <w:sz w:val="24"/>
          <w:szCs w:val="24"/>
          <w:lang w:val="en-US" w:eastAsia="zh-CN"/>
        </w:rPr>
        <w:fldChar w:fldCharType="end"/>
      </w:r>
    </w:p>
    <w:p w14:paraId="2B1A7661">
      <w:pPr>
        <w:pStyle w:val="45"/>
        <w:tabs>
          <w:tab w:val="right" w:leader="dot" w:pos="8504"/>
        </w:tabs>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_Toc32191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Times New Roman" w:hAnsi="Times New Roman" w:eastAsia="黑体" w:cs="Times New Roman"/>
          <w:bCs w:val="0"/>
          <w:color w:val="auto"/>
          <w:spacing w:val="0"/>
          <w:w w:val="100"/>
          <w:position w:val="0"/>
          <w:sz w:val="24"/>
          <w:szCs w:val="24"/>
          <w:lang w:val="en-US" w:eastAsia="zh-CN"/>
        </w:rPr>
        <w:t>四、</w:t>
      </w:r>
      <w:r>
        <w:rPr>
          <w:rFonts w:hint="default" w:ascii="Times New Roman" w:hAnsi="Times New Roman" w:eastAsia="黑体" w:cs="Times New Roman"/>
          <w:bCs w:val="0"/>
          <w:color w:val="auto"/>
          <w:spacing w:val="0"/>
          <w:w w:val="100"/>
          <w:position w:val="0"/>
          <w:sz w:val="24"/>
          <w:szCs w:val="24"/>
        </w:rPr>
        <w:t>主要环境影响和保护措施</w:t>
      </w:r>
      <w:r>
        <w:rPr>
          <w:color w:val="auto"/>
          <w:sz w:val="24"/>
          <w:szCs w:val="24"/>
        </w:rPr>
        <w:tab/>
      </w:r>
      <w:r>
        <w:rPr>
          <w:color w:val="auto"/>
          <w:sz w:val="24"/>
          <w:szCs w:val="24"/>
        </w:rPr>
        <w:fldChar w:fldCharType="begin"/>
      </w:r>
      <w:r>
        <w:rPr>
          <w:color w:val="auto"/>
          <w:sz w:val="24"/>
          <w:szCs w:val="24"/>
        </w:rPr>
        <w:instrText xml:space="preserve"> PAGEREF _Toc32191 \h </w:instrText>
      </w:r>
      <w:r>
        <w:rPr>
          <w:color w:val="auto"/>
          <w:sz w:val="24"/>
          <w:szCs w:val="24"/>
        </w:rPr>
        <w:fldChar w:fldCharType="separate"/>
      </w:r>
      <w:r>
        <w:rPr>
          <w:color w:val="auto"/>
          <w:sz w:val="24"/>
          <w:szCs w:val="24"/>
        </w:rPr>
        <w:t>27</w:t>
      </w:r>
      <w:r>
        <w:rPr>
          <w:color w:val="auto"/>
          <w:sz w:val="24"/>
          <w:szCs w:val="24"/>
        </w:rPr>
        <w:fldChar w:fldCharType="end"/>
      </w:r>
      <w:r>
        <w:rPr>
          <w:rFonts w:hint="default" w:ascii="Times New Roman" w:hAnsi="Times New Roman" w:eastAsia="黑体" w:cs="Times New Roman"/>
          <w:bCs/>
          <w:color w:val="auto"/>
          <w:spacing w:val="0"/>
          <w:w w:val="100"/>
          <w:position w:val="0"/>
          <w:sz w:val="24"/>
          <w:szCs w:val="24"/>
          <w:lang w:val="en-US" w:eastAsia="zh-CN"/>
        </w:rPr>
        <w:fldChar w:fldCharType="end"/>
      </w:r>
    </w:p>
    <w:p w14:paraId="3ADD988C">
      <w:pPr>
        <w:pStyle w:val="45"/>
        <w:tabs>
          <w:tab w:val="right" w:leader="dot" w:pos="8504"/>
        </w:tabs>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_Toc13440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eastAsia" w:ascii="Times New Roman" w:hAnsi="Times New Roman" w:eastAsia="黑体" w:cs="Times New Roman"/>
          <w:bCs w:val="0"/>
          <w:color w:val="auto"/>
          <w:spacing w:val="0"/>
          <w:w w:val="100"/>
          <w:position w:val="0"/>
          <w:sz w:val="24"/>
          <w:szCs w:val="24"/>
        </w:rPr>
        <w:t>五、</w:t>
      </w:r>
      <w:r>
        <w:rPr>
          <w:rFonts w:hint="default" w:ascii="Times New Roman" w:hAnsi="Times New Roman" w:eastAsia="黑体" w:cs="Times New Roman"/>
          <w:bCs w:val="0"/>
          <w:color w:val="auto"/>
          <w:spacing w:val="0"/>
          <w:w w:val="100"/>
          <w:position w:val="0"/>
          <w:sz w:val="24"/>
          <w:szCs w:val="24"/>
        </w:rPr>
        <w:t>环境保护措施监督检查清单</w:t>
      </w:r>
      <w:r>
        <w:rPr>
          <w:color w:val="auto"/>
          <w:sz w:val="24"/>
          <w:szCs w:val="24"/>
        </w:rPr>
        <w:tab/>
      </w:r>
      <w:r>
        <w:rPr>
          <w:color w:val="auto"/>
          <w:sz w:val="24"/>
          <w:szCs w:val="24"/>
        </w:rPr>
        <w:fldChar w:fldCharType="begin"/>
      </w:r>
      <w:r>
        <w:rPr>
          <w:color w:val="auto"/>
          <w:sz w:val="24"/>
          <w:szCs w:val="24"/>
        </w:rPr>
        <w:instrText xml:space="preserve"> PAGEREF _Toc13440 \h </w:instrText>
      </w:r>
      <w:r>
        <w:rPr>
          <w:color w:val="auto"/>
          <w:sz w:val="24"/>
          <w:szCs w:val="24"/>
        </w:rPr>
        <w:fldChar w:fldCharType="separate"/>
      </w:r>
      <w:r>
        <w:rPr>
          <w:color w:val="auto"/>
          <w:sz w:val="24"/>
          <w:szCs w:val="24"/>
        </w:rPr>
        <w:t>63</w:t>
      </w:r>
      <w:r>
        <w:rPr>
          <w:color w:val="auto"/>
          <w:sz w:val="24"/>
          <w:szCs w:val="24"/>
        </w:rPr>
        <w:fldChar w:fldCharType="end"/>
      </w:r>
      <w:r>
        <w:rPr>
          <w:rFonts w:hint="default" w:ascii="Times New Roman" w:hAnsi="Times New Roman" w:eastAsia="黑体" w:cs="Times New Roman"/>
          <w:bCs/>
          <w:color w:val="auto"/>
          <w:spacing w:val="0"/>
          <w:w w:val="100"/>
          <w:position w:val="0"/>
          <w:sz w:val="24"/>
          <w:szCs w:val="24"/>
          <w:lang w:val="en-US" w:eastAsia="zh-CN"/>
        </w:rPr>
        <w:fldChar w:fldCharType="end"/>
      </w:r>
    </w:p>
    <w:p w14:paraId="74A9AF0A">
      <w:pPr>
        <w:pStyle w:val="45"/>
        <w:tabs>
          <w:tab w:val="right" w:leader="dot" w:pos="8504"/>
        </w:tabs>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_Toc25968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Times New Roman" w:hAnsi="Times New Roman" w:eastAsia="黑体" w:cs="Times New Roman"/>
          <w:bCs/>
          <w:color w:val="auto"/>
          <w:spacing w:val="0"/>
          <w:w w:val="100"/>
          <w:position w:val="0"/>
          <w:sz w:val="24"/>
          <w:szCs w:val="24"/>
          <w:lang w:val="en-US" w:eastAsia="zh-CN"/>
        </w:rPr>
        <w:t>六、结论</w:t>
      </w:r>
      <w:r>
        <w:rPr>
          <w:color w:val="auto"/>
          <w:sz w:val="24"/>
          <w:szCs w:val="24"/>
        </w:rPr>
        <w:tab/>
      </w:r>
      <w:r>
        <w:rPr>
          <w:color w:val="auto"/>
          <w:sz w:val="24"/>
          <w:szCs w:val="24"/>
        </w:rPr>
        <w:fldChar w:fldCharType="begin"/>
      </w:r>
      <w:r>
        <w:rPr>
          <w:color w:val="auto"/>
          <w:sz w:val="24"/>
          <w:szCs w:val="24"/>
        </w:rPr>
        <w:instrText xml:space="preserve"> PAGEREF _Toc25968 \h </w:instrText>
      </w:r>
      <w:r>
        <w:rPr>
          <w:color w:val="auto"/>
          <w:sz w:val="24"/>
          <w:szCs w:val="24"/>
        </w:rPr>
        <w:fldChar w:fldCharType="separate"/>
      </w:r>
      <w:r>
        <w:rPr>
          <w:color w:val="auto"/>
          <w:sz w:val="24"/>
          <w:szCs w:val="24"/>
        </w:rPr>
        <w:t>68</w:t>
      </w:r>
      <w:r>
        <w:rPr>
          <w:color w:val="auto"/>
          <w:sz w:val="24"/>
          <w:szCs w:val="24"/>
        </w:rPr>
        <w:fldChar w:fldCharType="end"/>
      </w:r>
      <w:r>
        <w:rPr>
          <w:rFonts w:hint="default" w:ascii="Times New Roman" w:hAnsi="Times New Roman" w:eastAsia="黑体" w:cs="Times New Roman"/>
          <w:bCs/>
          <w:color w:val="auto"/>
          <w:spacing w:val="0"/>
          <w:w w:val="100"/>
          <w:position w:val="0"/>
          <w:sz w:val="24"/>
          <w:szCs w:val="24"/>
          <w:lang w:val="en-US" w:eastAsia="zh-CN"/>
        </w:rPr>
        <w:fldChar w:fldCharType="end"/>
      </w:r>
    </w:p>
    <w:p w14:paraId="525A4B35">
      <w:pPr>
        <w:pStyle w:val="45"/>
        <w:tabs>
          <w:tab w:val="right" w:leader="dot" w:pos="8504"/>
        </w:tabs>
        <w:jc w:val="left"/>
        <w:rPr>
          <w:rFonts w:hint="default" w:ascii="Times New Roman" w:hAnsi="Times New Roman" w:eastAsia="黑体" w:cs="Times New Roman"/>
          <w:bCs/>
          <w:color w:val="auto"/>
          <w:spacing w:val="0"/>
          <w:w w:val="100"/>
          <w:position w:val="0"/>
          <w:sz w:val="24"/>
          <w:szCs w:val="24"/>
          <w:lang w:val="en-US" w:eastAsia="zh-CN"/>
        </w:rPr>
      </w:pPr>
    </w:p>
    <w:p w14:paraId="0CB4F661">
      <w:pPr>
        <w:pStyle w:val="45"/>
        <w:tabs>
          <w:tab w:val="right" w:leader="dot" w:pos="8504"/>
        </w:tabs>
        <w:jc w:val="left"/>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_Toc2234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Times New Roman" w:hAnsi="Times New Roman" w:eastAsia="黑体" w:cs="Times New Roman"/>
          <w:bCs/>
          <w:snapToGrid w:val="0"/>
          <w:color w:val="auto"/>
          <w:spacing w:val="0"/>
          <w:w w:val="100"/>
          <w:position w:val="0"/>
          <w:sz w:val="24"/>
          <w:szCs w:val="24"/>
        </w:rPr>
        <w:t>附表</w:t>
      </w:r>
      <w:r>
        <w:rPr>
          <w:rFonts w:hint="default" w:ascii="Times New Roman" w:hAnsi="Times New Roman" w:eastAsia="黑体" w:cs="Times New Roman"/>
          <w:bCs/>
          <w:color w:val="auto"/>
          <w:spacing w:val="0"/>
          <w:w w:val="100"/>
          <w:position w:val="0"/>
          <w:sz w:val="24"/>
          <w:szCs w:val="24"/>
          <w:lang w:val="en-US" w:eastAsia="zh-CN"/>
        </w:rPr>
        <w:fldChar w:fldCharType="end"/>
      </w:r>
      <w:r>
        <w:rPr>
          <w:rFonts w:hint="eastAsia" w:ascii="Times New Roman" w:hAnsi="Times New Roman" w:eastAsia="黑体" w:cs="Times New Roman"/>
          <w:bCs/>
          <w:color w:val="auto"/>
          <w:spacing w:val="0"/>
          <w:w w:val="100"/>
          <w:position w:val="0"/>
          <w:sz w:val="24"/>
          <w:szCs w:val="24"/>
          <w:lang w:val="en-US" w:eastAsia="zh-CN"/>
        </w:rPr>
        <w:t xml:space="preserve">  </w:t>
      </w:r>
      <w:r>
        <w:rPr>
          <w:rFonts w:hint="default" w:ascii="Times New Roman" w:hAnsi="Times New Roman" w:eastAsia="宋体" w:cs="Times New Roman"/>
          <w:bCs/>
          <w:color w:val="auto"/>
          <w:kern w:val="2"/>
          <w:sz w:val="24"/>
          <w:szCs w:val="24"/>
          <w:highlight w:val="none"/>
          <w:lang w:val="en-US" w:eastAsia="zh-CN" w:bidi="ar-SA"/>
        </w:rPr>
        <w:t>建设项目污染物排放量汇总表</w:t>
      </w:r>
    </w:p>
    <w:p w14:paraId="0DA50DA3">
      <w:pPr>
        <w:pStyle w:val="45"/>
        <w:tabs>
          <w:tab w:val="right" w:leader="dot" w:pos="8504"/>
        </w:tabs>
        <w:jc w:val="left"/>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_Toc7036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Times New Roman" w:hAnsi="Times New Roman" w:eastAsia="宋体" w:cs="Times New Roman"/>
          <w:bCs/>
          <w:color w:val="auto"/>
          <w:kern w:val="2"/>
          <w:sz w:val="24"/>
          <w:szCs w:val="24"/>
          <w:highlight w:val="none"/>
          <w:lang w:val="en-US" w:eastAsia="zh-CN" w:bidi="ar-SA"/>
        </w:rPr>
        <w:t>附图1  项目地理位置图</w:t>
      </w:r>
      <w:r>
        <w:rPr>
          <w:rFonts w:hint="default" w:ascii="Times New Roman" w:hAnsi="Times New Roman" w:eastAsia="黑体" w:cs="Times New Roman"/>
          <w:bCs/>
          <w:color w:val="auto"/>
          <w:spacing w:val="0"/>
          <w:w w:val="100"/>
          <w:position w:val="0"/>
          <w:sz w:val="24"/>
          <w:szCs w:val="24"/>
          <w:lang w:val="en-US" w:eastAsia="zh-CN"/>
        </w:rPr>
        <w:fldChar w:fldCharType="end"/>
      </w:r>
    </w:p>
    <w:p w14:paraId="1A8EE6CF">
      <w:pPr>
        <w:pStyle w:val="45"/>
        <w:tabs>
          <w:tab w:val="right" w:leader="dot" w:pos="8504"/>
        </w:tabs>
        <w:jc w:val="left"/>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_Toc20616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Times New Roman" w:hAnsi="Times New Roman" w:eastAsia="宋体" w:cs="Times New Roman"/>
          <w:bCs/>
          <w:color w:val="auto"/>
          <w:sz w:val="24"/>
          <w:szCs w:val="24"/>
          <w:highlight w:val="none"/>
        </w:rPr>
        <w:t>附图2  项目周边环境敏感点分布示意图</w:t>
      </w:r>
      <w:r>
        <w:rPr>
          <w:rFonts w:hint="default" w:ascii="Times New Roman" w:hAnsi="Times New Roman" w:eastAsia="黑体" w:cs="Times New Roman"/>
          <w:bCs/>
          <w:color w:val="auto"/>
          <w:spacing w:val="0"/>
          <w:w w:val="100"/>
          <w:position w:val="0"/>
          <w:sz w:val="24"/>
          <w:szCs w:val="24"/>
          <w:lang w:val="en-US" w:eastAsia="zh-CN"/>
        </w:rPr>
        <w:fldChar w:fldCharType="end"/>
      </w:r>
    </w:p>
    <w:p w14:paraId="0EE1F84A">
      <w:pPr>
        <w:pStyle w:val="45"/>
        <w:tabs>
          <w:tab w:val="right" w:leader="dot" w:pos="8504"/>
        </w:tabs>
        <w:jc w:val="left"/>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_Toc32730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Times New Roman" w:hAnsi="Times New Roman" w:eastAsia="宋体" w:cs="Times New Roman"/>
          <w:bCs/>
          <w:color w:val="auto"/>
          <w:sz w:val="24"/>
          <w:szCs w:val="24"/>
          <w:highlight w:val="none"/>
        </w:rPr>
        <w:t>附图</w:t>
      </w:r>
      <w:r>
        <w:rPr>
          <w:rFonts w:hint="default" w:ascii="Times New Roman" w:hAnsi="Times New Roman" w:eastAsia="宋体" w:cs="Times New Roman"/>
          <w:bCs/>
          <w:color w:val="auto"/>
          <w:sz w:val="24"/>
          <w:szCs w:val="24"/>
          <w:highlight w:val="none"/>
          <w:lang w:val="en-US" w:eastAsia="zh-CN"/>
        </w:rPr>
        <w:t>3</w:t>
      </w:r>
      <w:r>
        <w:rPr>
          <w:rFonts w:hint="default" w:ascii="Times New Roman" w:hAnsi="Times New Roman" w:eastAsia="宋体" w:cs="Times New Roman"/>
          <w:bCs/>
          <w:color w:val="auto"/>
          <w:sz w:val="24"/>
          <w:szCs w:val="24"/>
          <w:highlight w:val="none"/>
        </w:rPr>
        <w:t xml:space="preserve">  项目平面布置图</w:t>
      </w:r>
      <w:r>
        <w:rPr>
          <w:rFonts w:hint="default" w:ascii="Times New Roman" w:hAnsi="Times New Roman" w:eastAsia="黑体" w:cs="Times New Roman"/>
          <w:bCs/>
          <w:color w:val="auto"/>
          <w:spacing w:val="0"/>
          <w:w w:val="100"/>
          <w:position w:val="0"/>
          <w:sz w:val="24"/>
          <w:szCs w:val="24"/>
          <w:lang w:val="en-US" w:eastAsia="zh-CN"/>
        </w:rPr>
        <w:fldChar w:fldCharType="end"/>
      </w:r>
    </w:p>
    <w:p w14:paraId="25F65687">
      <w:pPr>
        <w:pStyle w:val="45"/>
        <w:tabs>
          <w:tab w:val="right" w:leader="dot" w:pos="8504"/>
        </w:tabs>
        <w:jc w:val="left"/>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_Toc814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Times New Roman" w:hAnsi="Times New Roman" w:eastAsia="宋体" w:cs="Times New Roman"/>
          <w:bCs/>
          <w:color w:val="auto"/>
          <w:kern w:val="2"/>
          <w:sz w:val="24"/>
          <w:szCs w:val="24"/>
          <w:highlight w:val="none"/>
        </w:rPr>
        <w:t>附图</w:t>
      </w:r>
      <w:r>
        <w:rPr>
          <w:rFonts w:hint="default" w:ascii="Times New Roman" w:hAnsi="Times New Roman" w:eastAsia="宋体" w:cs="Times New Roman"/>
          <w:bCs/>
          <w:color w:val="auto"/>
          <w:kern w:val="2"/>
          <w:sz w:val="24"/>
          <w:szCs w:val="24"/>
          <w:highlight w:val="none"/>
          <w:lang w:val="en-US" w:eastAsia="zh-CN"/>
        </w:rPr>
        <w:t>4</w:t>
      </w:r>
      <w:r>
        <w:rPr>
          <w:rFonts w:hint="default" w:ascii="Times New Roman" w:hAnsi="Times New Roman" w:eastAsia="宋体" w:cs="Times New Roman"/>
          <w:bCs/>
          <w:color w:val="auto"/>
          <w:kern w:val="2"/>
          <w:sz w:val="24"/>
          <w:szCs w:val="24"/>
          <w:highlight w:val="none"/>
        </w:rPr>
        <w:t xml:space="preserve">  项目</w:t>
      </w:r>
      <w:r>
        <w:rPr>
          <w:rFonts w:hint="default" w:ascii="Times New Roman" w:hAnsi="Times New Roman" w:eastAsia="宋体" w:cs="Times New Roman"/>
          <w:bCs/>
          <w:color w:val="auto"/>
          <w:kern w:val="2"/>
          <w:sz w:val="24"/>
          <w:szCs w:val="24"/>
          <w:highlight w:val="none"/>
          <w:lang w:val="en-US" w:eastAsia="zh-CN"/>
        </w:rPr>
        <w:t>与引用项目TSP数据分布示意图</w:t>
      </w:r>
      <w:r>
        <w:rPr>
          <w:rFonts w:hint="default" w:ascii="Times New Roman" w:hAnsi="Times New Roman" w:eastAsia="黑体" w:cs="Times New Roman"/>
          <w:bCs/>
          <w:color w:val="auto"/>
          <w:spacing w:val="0"/>
          <w:w w:val="100"/>
          <w:position w:val="0"/>
          <w:sz w:val="24"/>
          <w:szCs w:val="24"/>
          <w:lang w:val="en-US" w:eastAsia="zh-CN"/>
        </w:rPr>
        <w:fldChar w:fldCharType="end"/>
      </w:r>
    </w:p>
    <w:p w14:paraId="568E139B">
      <w:pPr>
        <w:pStyle w:val="45"/>
        <w:tabs>
          <w:tab w:val="right" w:leader="dot" w:pos="8504"/>
        </w:tabs>
        <w:jc w:val="left"/>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_Toc2808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Times New Roman" w:hAnsi="Times New Roman" w:eastAsia="宋体" w:cs="Times New Roman"/>
          <w:bCs/>
          <w:color w:val="auto"/>
          <w:kern w:val="2"/>
          <w:sz w:val="24"/>
          <w:szCs w:val="24"/>
          <w:highlight w:val="none"/>
          <w:lang w:val="en-US" w:eastAsia="zh-CN"/>
        </w:rPr>
        <w:t>附图5  柳州市陆域生态环境管控单元分类图（2023年）</w:t>
      </w:r>
      <w:r>
        <w:rPr>
          <w:rFonts w:hint="default" w:ascii="Times New Roman" w:hAnsi="Times New Roman" w:eastAsia="黑体" w:cs="Times New Roman"/>
          <w:bCs/>
          <w:color w:val="auto"/>
          <w:spacing w:val="0"/>
          <w:w w:val="100"/>
          <w:position w:val="0"/>
          <w:sz w:val="24"/>
          <w:szCs w:val="24"/>
          <w:lang w:val="en-US" w:eastAsia="zh-CN"/>
        </w:rPr>
        <w:fldChar w:fldCharType="end"/>
      </w:r>
    </w:p>
    <w:p w14:paraId="56311093">
      <w:pPr>
        <w:pStyle w:val="45"/>
        <w:tabs>
          <w:tab w:val="right" w:leader="dot" w:pos="8504"/>
        </w:tabs>
        <w:jc w:val="left"/>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_Toc17706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Times New Roman" w:hAnsi="Times New Roman" w:eastAsia="宋体" w:cs="Times New Roman"/>
          <w:bCs/>
          <w:color w:val="auto"/>
          <w:kern w:val="2"/>
          <w:sz w:val="24"/>
          <w:szCs w:val="24"/>
          <w:highlight w:val="none"/>
          <w:lang w:val="en-US" w:eastAsia="zh-CN"/>
        </w:rPr>
        <w:t xml:space="preserve">附图6  </w:t>
      </w:r>
      <w:r>
        <w:rPr>
          <w:rFonts w:hint="default" w:ascii="Times New Roman" w:hAnsi="Times New Roman" w:eastAsia="黑体" w:cs="Times New Roman"/>
          <w:bCs/>
          <w:color w:val="auto"/>
          <w:spacing w:val="0"/>
          <w:w w:val="100"/>
          <w:position w:val="0"/>
          <w:sz w:val="24"/>
          <w:szCs w:val="24"/>
          <w:lang w:val="en-US" w:eastAsia="zh-CN"/>
        </w:rPr>
        <w:fldChar w:fldCharType="end"/>
      </w:r>
      <w:r>
        <w:rPr>
          <w:rFonts w:hint="default" w:ascii="Times New Roman" w:hAnsi="Times New Roman" w:eastAsia="宋体" w:cs="Times New Roman"/>
          <w:bCs/>
          <w:color w:val="auto"/>
          <w:kern w:val="2"/>
          <w:sz w:val="24"/>
          <w:szCs w:val="24"/>
          <w:highlight w:val="none"/>
          <w:lang w:val="en-US" w:eastAsia="zh-CN"/>
        </w:rPr>
        <w:t>项目位于鹿寨县声功能区划图中的位置图</w:t>
      </w:r>
    </w:p>
    <w:p w14:paraId="05C688A1">
      <w:pPr>
        <w:pStyle w:val="45"/>
        <w:tabs>
          <w:tab w:val="right" w:leader="dot" w:pos="8504"/>
        </w:tabs>
        <w:jc w:val="left"/>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_Toc31131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Times New Roman" w:hAnsi="Times New Roman" w:eastAsia="宋体" w:cs="Times New Roman"/>
          <w:bCs/>
          <w:color w:val="auto"/>
          <w:kern w:val="2"/>
          <w:sz w:val="24"/>
          <w:szCs w:val="24"/>
          <w:highlight w:val="none"/>
          <w:lang w:val="en-US" w:eastAsia="zh-CN"/>
        </w:rPr>
        <w:t xml:space="preserve">附图7  </w:t>
      </w:r>
      <w:r>
        <w:rPr>
          <w:rFonts w:hint="default" w:ascii="Times New Roman" w:hAnsi="Times New Roman" w:eastAsia="黑体" w:cs="Times New Roman"/>
          <w:bCs/>
          <w:color w:val="auto"/>
          <w:spacing w:val="0"/>
          <w:w w:val="100"/>
          <w:position w:val="0"/>
          <w:sz w:val="24"/>
          <w:szCs w:val="24"/>
          <w:lang w:val="en-US" w:eastAsia="zh-CN"/>
        </w:rPr>
        <w:fldChar w:fldCharType="end"/>
      </w:r>
      <w:r>
        <w:rPr>
          <w:rFonts w:hint="default" w:ascii="Times New Roman" w:hAnsi="Times New Roman" w:eastAsia="宋体" w:cs="Times New Roman"/>
          <w:bCs/>
          <w:color w:val="auto"/>
          <w:kern w:val="2"/>
          <w:sz w:val="24"/>
          <w:szCs w:val="24"/>
          <w:highlight w:val="none"/>
          <w:lang w:val="en-US" w:eastAsia="zh-CN"/>
        </w:rPr>
        <w:t>项目用地及周边环境现状图片资料</w:t>
      </w:r>
    </w:p>
    <w:p w14:paraId="2CC25913">
      <w:pPr>
        <w:pStyle w:val="45"/>
        <w:tabs>
          <w:tab w:val="right" w:leader="dot" w:pos="8504"/>
        </w:tabs>
        <w:jc w:val="left"/>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_Toc30664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Times New Roman" w:hAnsi="Times New Roman" w:eastAsia="宋体" w:cs="Times New Roman"/>
          <w:bCs/>
          <w:color w:val="auto"/>
          <w:kern w:val="2"/>
          <w:sz w:val="24"/>
          <w:szCs w:val="24"/>
          <w:highlight w:val="none"/>
          <w:lang w:val="en-US" w:eastAsia="zh-CN"/>
        </w:rPr>
        <w:t xml:space="preserve">附图8  </w:t>
      </w:r>
      <w:r>
        <w:rPr>
          <w:rFonts w:hint="default" w:ascii="Times New Roman" w:hAnsi="Times New Roman" w:eastAsia="黑体" w:cs="Times New Roman"/>
          <w:bCs/>
          <w:color w:val="auto"/>
          <w:spacing w:val="0"/>
          <w:w w:val="100"/>
          <w:position w:val="0"/>
          <w:sz w:val="24"/>
          <w:szCs w:val="24"/>
          <w:lang w:val="en-US" w:eastAsia="zh-CN"/>
        </w:rPr>
        <w:fldChar w:fldCharType="end"/>
      </w:r>
      <w:r>
        <w:rPr>
          <w:rFonts w:hint="default" w:ascii="Times New Roman" w:hAnsi="Times New Roman" w:eastAsia="宋体" w:cs="Times New Roman"/>
          <w:bCs/>
          <w:color w:val="auto"/>
          <w:kern w:val="2"/>
          <w:sz w:val="24"/>
          <w:szCs w:val="24"/>
          <w:highlight w:val="none"/>
          <w:lang w:val="en-US" w:eastAsia="zh-CN"/>
        </w:rPr>
        <w:t>工程师现场勘察照片</w:t>
      </w:r>
    </w:p>
    <w:p w14:paraId="14693101">
      <w:pPr>
        <w:pStyle w:val="45"/>
        <w:tabs>
          <w:tab w:val="right" w:leader="dot" w:pos="8504"/>
        </w:tabs>
        <w:jc w:val="left"/>
        <w:rPr>
          <w:rFonts w:hint="default" w:ascii="Times New Roman" w:hAnsi="Times New Roman" w:eastAsia="黑体" w:cs="Times New Roman"/>
          <w:bCs/>
          <w:color w:val="auto"/>
          <w:spacing w:val="0"/>
          <w:w w:val="100"/>
          <w:position w:val="0"/>
          <w:sz w:val="24"/>
          <w:szCs w:val="24"/>
          <w:lang w:val="en-US" w:eastAsia="zh-CN"/>
        </w:rPr>
      </w:pPr>
    </w:p>
    <w:p w14:paraId="68532A17">
      <w:pPr>
        <w:pStyle w:val="45"/>
        <w:tabs>
          <w:tab w:val="right" w:leader="dot" w:pos="8504"/>
        </w:tabs>
        <w:jc w:val="left"/>
        <w:rPr>
          <w:rFonts w:hint="default" w:ascii="宋体" w:hAnsi="宋体" w:eastAsia="宋体" w:cs="宋体"/>
          <w:bCs/>
          <w:color w:val="auto"/>
          <w:kern w:val="2"/>
          <w:sz w:val="24"/>
          <w:szCs w:val="24"/>
          <w:highlight w:val="none"/>
          <w:lang w:val="en-US" w:eastAsia="zh-CN" w:bidi="ar-SA"/>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_Toc23363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eastAsia" w:ascii="宋体" w:hAnsi="宋体" w:eastAsia="宋体" w:cs="宋体"/>
          <w:bCs/>
          <w:color w:val="auto"/>
          <w:kern w:val="2"/>
          <w:sz w:val="24"/>
          <w:szCs w:val="24"/>
          <w:highlight w:val="none"/>
          <w:lang w:val="en-US" w:eastAsia="zh-CN" w:bidi="ar-SA"/>
        </w:rPr>
        <w:t>附件1</w:t>
      </w:r>
      <w:r>
        <w:rPr>
          <w:rFonts w:hint="default" w:ascii="Times New Roman" w:hAnsi="Times New Roman" w:eastAsia="黑体" w:cs="Times New Roman"/>
          <w:bCs/>
          <w:color w:val="auto"/>
          <w:spacing w:val="0"/>
          <w:w w:val="100"/>
          <w:position w:val="0"/>
          <w:sz w:val="24"/>
          <w:szCs w:val="24"/>
          <w:lang w:val="en-US" w:eastAsia="zh-CN"/>
        </w:rPr>
        <w:fldChar w:fldCharType="end"/>
      </w:r>
      <w:r>
        <w:rPr>
          <w:rFonts w:hint="eastAsia" w:ascii="Times New Roman" w:hAnsi="Times New Roman" w:eastAsia="黑体" w:cs="Times New Roman"/>
          <w:bCs/>
          <w:color w:val="auto"/>
          <w:spacing w:val="0"/>
          <w:w w:val="100"/>
          <w:position w:val="0"/>
          <w:sz w:val="24"/>
          <w:szCs w:val="24"/>
          <w:lang w:val="en-US" w:eastAsia="zh-CN"/>
        </w:rPr>
        <w:t xml:space="preserve">  </w:t>
      </w:r>
      <w:r>
        <w:rPr>
          <w:rFonts w:hint="default" w:ascii="宋体" w:hAnsi="宋体" w:eastAsia="宋体" w:cs="宋体"/>
          <w:bCs/>
          <w:color w:val="auto"/>
          <w:kern w:val="2"/>
          <w:sz w:val="24"/>
          <w:szCs w:val="24"/>
          <w:highlight w:val="none"/>
          <w:lang w:val="en-US" w:eastAsia="zh-CN" w:bidi="ar-SA"/>
        </w:rPr>
        <w:t>委托书</w:t>
      </w:r>
    </w:p>
    <w:p w14:paraId="287C08A3">
      <w:pPr>
        <w:pStyle w:val="45"/>
        <w:tabs>
          <w:tab w:val="right" w:leader="dot" w:pos="8504"/>
        </w:tabs>
        <w:jc w:val="left"/>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_Toc3157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宋体" w:hAnsi="宋体" w:eastAsia="宋体" w:cs="宋体"/>
          <w:bCs/>
          <w:color w:val="auto"/>
          <w:kern w:val="2"/>
          <w:sz w:val="24"/>
          <w:szCs w:val="24"/>
          <w:highlight w:val="none"/>
          <w:lang w:val="en-US" w:eastAsia="zh-CN" w:bidi="ar-SA"/>
        </w:rPr>
        <w:t>附件2</w:t>
      </w:r>
      <w:r>
        <w:rPr>
          <w:rFonts w:hint="eastAsia" w:ascii="宋体" w:hAnsi="宋体" w:eastAsia="宋体" w:cs="宋体"/>
          <w:bCs/>
          <w:color w:val="auto"/>
          <w:kern w:val="2"/>
          <w:sz w:val="24"/>
          <w:szCs w:val="24"/>
          <w:highlight w:val="none"/>
          <w:lang w:val="en-US" w:eastAsia="zh-CN" w:bidi="ar-SA"/>
        </w:rPr>
        <w:t xml:space="preserve">  </w:t>
      </w:r>
      <w:r>
        <w:rPr>
          <w:rFonts w:hint="default" w:ascii="宋体" w:hAnsi="宋体" w:eastAsia="宋体" w:cs="宋体"/>
          <w:bCs/>
          <w:color w:val="auto"/>
          <w:kern w:val="2"/>
          <w:sz w:val="24"/>
          <w:szCs w:val="24"/>
          <w:highlight w:val="none"/>
          <w:lang w:val="en-US" w:eastAsia="zh-CN" w:bidi="ar-SA"/>
        </w:rPr>
        <w:t>营业执照</w:t>
      </w:r>
      <w:r>
        <w:rPr>
          <w:rFonts w:hint="default" w:ascii="Times New Roman" w:hAnsi="Times New Roman" w:eastAsia="黑体" w:cs="Times New Roman"/>
          <w:bCs/>
          <w:color w:val="auto"/>
          <w:spacing w:val="0"/>
          <w:w w:val="100"/>
          <w:position w:val="0"/>
          <w:sz w:val="24"/>
          <w:szCs w:val="24"/>
          <w:lang w:val="en-US" w:eastAsia="zh-CN"/>
        </w:rPr>
        <w:fldChar w:fldCharType="end"/>
      </w:r>
    </w:p>
    <w:p w14:paraId="7B49161C">
      <w:pPr>
        <w:pStyle w:val="45"/>
        <w:tabs>
          <w:tab w:val="right" w:leader="dot" w:pos="8504"/>
        </w:tabs>
        <w:jc w:val="left"/>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_Toc5307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宋体" w:hAnsi="宋体" w:eastAsia="宋体" w:cs="宋体"/>
          <w:bCs/>
          <w:color w:val="auto"/>
          <w:kern w:val="2"/>
          <w:sz w:val="24"/>
          <w:szCs w:val="24"/>
          <w:highlight w:val="none"/>
          <w:lang w:val="en-US" w:eastAsia="zh-CN" w:bidi="ar-SA"/>
        </w:rPr>
        <w:t>附件3  广西壮族自治区投资项目备案证明</w:t>
      </w:r>
      <w:r>
        <w:rPr>
          <w:rFonts w:hint="default" w:ascii="Times New Roman" w:hAnsi="Times New Roman" w:eastAsia="黑体" w:cs="Times New Roman"/>
          <w:bCs/>
          <w:color w:val="auto"/>
          <w:spacing w:val="0"/>
          <w:w w:val="100"/>
          <w:position w:val="0"/>
          <w:sz w:val="24"/>
          <w:szCs w:val="24"/>
          <w:lang w:val="en-US" w:eastAsia="zh-CN"/>
        </w:rPr>
        <w:fldChar w:fldCharType="end"/>
      </w:r>
    </w:p>
    <w:p w14:paraId="10EA65E4">
      <w:pPr>
        <w:pStyle w:val="45"/>
        <w:tabs>
          <w:tab w:val="right" w:leader="dot" w:pos="8504"/>
        </w:tabs>
        <w:jc w:val="left"/>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_Toc32420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宋体" w:hAnsi="宋体" w:eastAsia="宋体" w:cs="宋体"/>
          <w:bCs/>
          <w:color w:val="auto"/>
          <w:kern w:val="2"/>
          <w:sz w:val="24"/>
          <w:szCs w:val="24"/>
          <w:highlight w:val="none"/>
          <w:lang w:val="en-US" w:eastAsia="zh-CN" w:bidi="ar-SA"/>
        </w:rPr>
        <w:t>附件4  桂（2025）鹿寨县不动产权第0001317号土地证明</w:t>
      </w:r>
      <w:r>
        <w:rPr>
          <w:rFonts w:hint="default" w:ascii="Times New Roman" w:hAnsi="Times New Roman" w:eastAsia="黑体" w:cs="Times New Roman"/>
          <w:bCs/>
          <w:color w:val="auto"/>
          <w:spacing w:val="0"/>
          <w:w w:val="100"/>
          <w:position w:val="0"/>
          <w:sz w:val="24"/>
          <w:szCs w:val="24"/>
          <w:lang w:val="en-US" w:eastAsia="zh-CN"/>
        </w:rPr>
        <w:fldChar w:fldCharType="end"/>
      </w:r>
    </w:p>
    <w:p w14:paraId="4A6571AE">
      <w:pPr>
        <w:pStyle w:val="45"/>
        <w:tabs>
          <w:tab w:val="right" w:leader="dot" w:pos="8504"/>
        </w:tabs>
        <w:jc w:val="left"/>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_Toc30155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宋体" w:hAnsi="宋体" w:eastAsia="宋体" w:cs="宋体"/>
          <w:bCs/>
          <w:color w:val="auto"/>
          <w:kern w:val="2"/>
          <w:sz w:val="24"/>
          <w:szCs w:val="24"/>
          <w:highlight w:val="none"/>
          <w:lang w:val="en-US" w:eastAsia="zh-CN" w:bidi="ar-SA"/>
        </w:rPr>
        <w:t>附件5  鹿化公司场地租赁合同</w:t>
      </w:r>
      <w:r>
        <w:rPr>
          <w:rFonts w:hint="default" w:ascii="Times New Roman" w:hAnsi="Times New Roman" w:eastAsia="黑体" w:cs="Times New Roman"/>
          <w:bCs/>
          <w:color w:val="auto"/>
          <w:spacing w:val="0"/>
          <w:w w:val="100"/>
          <w:position w:val="0"/>
          <w:sz w:val="24"/>
          <w:szCs w:val="24"/>
          <w:lang w:val="en-US" w:eastAsia="zh-CN"/>
        </w:rPr>
        <w:fldChar w:fldCharType="end"/>
      </w:r>
    </w:p>
    <w:p w14:paraId="6785D0EC">
      <w:pPr>
        <w:pStyle w:val="45"/>
        <w:tabs>
          <w:tab w:val="right" w:leader="dot" w:pos="8504"/>
        </w:tabs>
        <w:jc w:val="left"/>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_Toc30495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宋体" w:hAnsi="宋体" w:eastAsia="宋体" w:cs="宋体"/>
          <w:bCs/>
          <w:color w:val="auto"/>
          <w:kern w:val="2"/>
          <w:sz w:val="24"/>
          <w:szCs w:val="24"/>
          <w:highlight w:val="none"/>
          <w:lang w:val="en-US" w:eastAsia="zh-CN" w:bidi="ar-SA"/>
        </w:rPr>
        <w:t>附件6  企业入驻通知书文件（鹿投促通﹝2025﹞35号）</w:t>
      </w:r>
      <w:r>
        <w:rPr>
          <w:rFonts w:hint="default" w:ascii="Times New Roman" w:hAnsi="Times New Roman" w:eastAsia="黑体" w:cs="Times New Roman"/>
          <w:bCs/>
          <w:color w:val="auto"/>
          <w:spacing w:val="0"/>
          <w:w w:val="100"/>
          <w:position w:val="0"/>
          <w:sz w:val="24"/>
          <w:szCs w:val="24"/>
          <w:lang w:val="en-US" w:eastAsia="zh-CN"/>
        </w:rPr>
        <w:fldChar w:fldCharType="end"/>
      </w:r>
    </w:p>
    <w:p w14:paraId="733500ED">
      <w:pPr>
        <w:pStyle w:val="45"/>
        <w:tabs>
          <w:tab w:val="right" w:leader="dot" w:pos="8504"/>
        </w:tabs>
        <w:jc w:val="left"/>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_Toc28283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宋体" w:hAnsi="宋体" w:eastAsia="宋体" w:cs="宋体"/>
          <w:bCs/>
          <w:color w:val="auto"/>
          <w:kern w:val="2"/>
          <w:sz w:val="24"/>
          <w:szCs w:val="24"/>
          <w:highlight w:val="none"/>
          <w:lang w:val="en-US" w:eastAsia="zh-CN" w:bidi="ar-SA"/>
        </w:rPr>
        <w:t>附件7  法定代表人身份证复印件</w:t>
      </w:r>
      <w:r>
        <w:rPr>
          <w:rFonts w:hint="default" w:ascii="Times New Roman" w:hAnsi="Times New Roman" w:eastAsia="黑体" w:cs="Times New Roman"/>
          <w:bCs/>
          <w:color w:val="auto"/>
          <w:spacing w:val="0"/>
          <w:w w:val="100"/>
          <w:position w:val="0"/>
          <w:sz w:val="24"/>
          <w:szCs w:val="24"/>
          <w:lang w:val="en-US" w:eastAsia="zh-CN"/>
        </w:rPr>
        <w:fldChar w:fldCharType="end"/>
      </w:r>
    </w:p>
    <w:p w14:paraId="5B749366">
      <w:pPr>
        <w:pStyle w:val="45"/>
        <w:tabs>
          <w:tab w:val="right" w:leader="dot" w:pos="8504"/>
        </w:tabs>
        <w:jc w:val="left"/>
        <w:rPr>
          <w:color w:val="auto"/>
          <w:sz w:val="24"/>
          <w:szCs w:val="24"/>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_Toc18255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宋体" w:hAnsi="宋体" w:eastAsia="宋体" w:cs="宋体"/>
          <w:bCs/>
          <w:color w:val="auto"/>
          <w:kern w:val="2"/>
          <w:sz w:val="24"/>
          <w:szCs w:val="24"/>
          <w:highlight w:val="none"/>
          <w:lang w:val="en-US" w:eastAsia="zh-CN" w:bidi="ar-SA"/>
        </w:rPr>
        <w:t>附件8</w:t>
      </w:r>
      <w:r>
        <w:rPr>
          <w:rFonts w:hint="eastAsia" w:ascii="宋体" w:hAnsi="宋体" w:eastAsia="宋体" w:cs="宋体"/>
          <w:bCs/>
          <w:color w:val="auto"/>
          <w:kern w:val="2"/>
          <w:sz w:val="24"/>
          <w:szCs w:val="24"/>
          <w:highlight w:val="none"/>
          <w:lang w:val="en-US" w:eastAsia="zh-CN" w:bidi="ar-SA"/>
        </w:rPr>
        <w:t xml:space="preserve">  </w:t>
      </w:r>
      <w:r>
        <w:rPr>
          <w:rFonts w:hint="default" w:ascii="宋体" w:hAnsi="宋体" w:eastAsia="宋体" w:cs="宋体"/>
          <w:bCs/>
          <w:color w:val="auto"/>
          <w:kern w:val="2"/>
          <w:sz w:val="24"/>
          <w:szCs w:val="24"/>
          <w:highlight w:val="none"/>
          <w:lang w:val="en-US" w:eastAsia="zh-CN" w:bidi="ar-SA"/>
        </w:rPr>
        <w:t>责任声明书</w:t>
      </w:r>
      <w:r>
        <w:rPr>
          <w:rFonts w:hint="default" w:ascii="Times New Roman" w:hAnsi="Times New Roman" w:eastAsia="黑体" w:cs="Times New Roman"/>
          <w:bCs/>
          <w:color w:val="auto"/>
          <w:spacing w:val="0"/>
          <w:w w:val="100"/>
          <w:position w:val="0"/>
          <w:sz w:val="24"/>
          <w:szCs w:val="24"/>
          <w:lang w:val="en-US" w:eastAsia="zh-CN"/>
        </w:rPr>
        <w:fldChar w:fldCharType="end"/>
      </w:r>
    </w:p>
    <w:p w14:paraId="7E5AECA0">
      <w:pPr>
        <w:pStyle w:val="45"/>
        <w:tabs>
          <w:tab w:val="right" w:leader="dot" w:pos="8504"/>
        </w:tabs>
        <w:jc w:val="left"/>
        <w:rPr>
          <w:rFonts w:hint="default" w:ascii="Times New Roman" w:hAnsi="Times New Roman" w:eastAsia="黑体" w:cs="Times New Roman"/>
          <w:bCs/>
          <w:color w:val="auto"/>
          <w:spacing w:val="0"/>
          <w:w w:val="100"/>
          <w:position w:val="0"/>
          <w:sz w:val="24"/>
          <w:szCs w:val="24"/>
          <w:lang w:val="en-US" w:eastAsia="zh-CN"/>
        </w:rPr>
      </w:pPr>
      <w:r>
        <w:rPr>
          <w:rFonts w:hint="default" w:ascii="Times New Roman" w:hAnsi="Times New Roman" w:eastAsia="黑体" w:cs="Times New Roman"/>
          <w:bCs/>
          <w:color w:val="auto"/>
          <w:spacing w:val="0"/>
          <w:w w:val="100"/>
          <w:position w:val="0"/>
          <w:sz w:val="24"/>
          <w:szCs w:val="24"/>
          <w:lang w:val="en-US" w:eastAsia="zh-CN"/>
        </w:rPr>
        <w:fldChar w:fldCharType="begin"/>
      </w:r>
      <w:r>
        <w:rPr>
          <w:rFonts w:hint="default" w:ascii="Times New Roman" w:hAnsi="Times New Roman" w:eastAsia="黑体" w:cs="Times New Roman"/>
          <w:bCs/>
          <w:color w:val="auto"/>
          <w:spacing w:val="0"/>
          <w:w w:val="100"/>
          <w:position w:val="0"/>
          <w:sz w:val="24"/>
          <w:szCs w:val="24"/>
          <w:lang w:val="en-US" w:eastAsia="zh-CN"/>
        </w:rPr>
        <w:instrText xml:space="preserve"> HYPERLINK \l _Toc11592 </w:instrText>
      </w:r>
      <w:r>
        <w:rPr>
          <w:rFonts w:hint="default" w:ascii="Times New Roman" w:hAnsi="Times New Roman" w:eastAsia="黑体" w:cs="Times New Roman"/>
          <w:bCs/>
          <w:color w:val="auto"/>
          <w:spacing w:val="0"/>
          <w:w w:val="100"/>
          <w:position w:val="0"/>
          <w:sz w:val="24"/>
          <w:szCs w:val="24"/>
          <w:lang w:val="en-US" w:eastAsia="zh-CN"/>
        </w:rPr>
        <w:fldChar w:fldCharType="separate"/>
      </w:r>
      <w:r>
        <w:rPr>
          <w:rFonts w:hint="default" w:ascii="宋体" w:hAnsi="宋体" w:eastAsia="宋体" w:cs="宋体"/>
          <w:bCs/>
          <w:color w:val="auto"/>
          <w:kern w:val="2"/>
          <w:sz w:val="24"/>
          <w:szCs w:val="24"/>
          <w:highlight w:val="none"/>
          <w:lang w:val="en-US" w:eastAsia="zh-CN" w:bidi="ar-SA"/>
        </w:rPr>
        <w:t>附件9  建设项目智能研判报告</w:t>
      </w:r>
      <w:r>
        <w:rPr>
          <w:rFonts w:hint="default" w:ascii="Times New Roman" w:hAnsi="Times New Roman" w:eastAsia="黑体" w:cs="Times New Roman"/>
          <w:bCs/>
          <w:color w:val="auto"/>
          <w:spacing w:val="0"/>
          <w:w w:val="100"/>
          <w:position w:val="0"/>
          <w:sz w:val="24"/>
          <w:szCs w:val="24"/>
          <w:lang w:val="en-US" w:eastAsia="zh-CN"/>
        </w:rPr>
        <w:fldChar w:fldCharType="end"/>
      </w:r>
    </w:p>
    <w:p w14:paraId="33A18E57">
      <w:pPr>
        <w:rPr>
          <w:rFonts w:hint="default"/>
          <w:color w:val="auto"/>
          <w:lang w:val="en-US"/>
        </w:rPr>
      </w:pPr>
      <w:r>
        <w:rPr>
          <w:rFonts w:hint="eastAsia" w:ascii="宋体" w:hAnsi="宋体" w:eastAsia="宋体" w:cs="宋体"/>
          <w:bCs/>
          <w:color w:val="auto"/>
          <w:kern w:val="2"/>
          <w:sz w:val="24"/>
          <w:szCs w:val="24"/>
          <w:highlight w:val="none"/>
          <w:lang w:val="en-US" w:eastAsia="zh-CN" w:bidi="ar-SA"/>
        </w:rPr>
        <w:t>附件10</w:t>
      </w:r>
      <w:r>
        <w:rPr>
          <w:rFonts w:hint="eastAsia" w:ascii="Times New Roman" w:hAnsi="Times New Roman" w:eastAsia="黑体" w:cs="Times New Roman"/>
          <w:bCs/>
          <w:color w:val="auto"/>
          <w:spacing w:val="0"/>
          <w:w w:val="100"/>
          <w:position w:val="0"/>
          <w:sz w:val="24"/>
          <w:szCs w:val="24"/>
          <w:lang w:val="en-US" w:eastAsia="zh-CN"/>
        </w:rPr>
        <w:t xml:space="preserve"> </w:t>
      </w:r>
      <w:r>
        <w:rPr>
          <w:rFonts w:hint="eastAsia" w:ascii="宋体" w:hAnsi="宋体" w:eastAsia="宋体" w:cs="宋体"/>
          <w:bCs/>
          <w:color w:val="auto"/>
          <w:kern w:val="2"/>
          <w:sz w:val="24"/>
          <w:szCs w:val="24"/>
          <w:highlight w:val="none"/>
          <w:lang w:val="en-US" w:eastAsia="zh-CN" w:bidi="ar-SA"/>
        </w:rPr>
        <w:t>关于“造纸制浆高端磨片及耐磨件生产项目”拟用地规划情况说明</w:t>
      </w:r>
    </w:p>
    <w:p w14:paraId="3BA1C162">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baseline"/>
        <w:outlineLvl w:val="0"/>
        <w:rPr>
          <w:rFonts w:hint="default" w:ascii="Times New Roman" w:hAnsi="Times New Roman" w:eastAsia="黑体" w:cs="Times New Roman"/>
          <w:b/>
          <w:bCs/>
          <w:color w:val="auto"/>
          <w:spacing w:val="0"/>
          <w:w w:val="100"/>
          <w:position w:val="0"/>
          <w:sz w:val="30"/>
          <w:szCs w:val="30"/>
          <w:lang w:val="en-US" w:eastAsia="zh-CN"/>
        </w:rPr>
      </w:pPr>
      <w:r>
        <w:rPr>
          <w:rFonts w:hint="default" w:ascii="Times New Roman" w:hAnsi="Times New Roman" w:eastAsia="黑体" w:cs="Times New Roman"/>
          <w:bCs/>
          <w:color w:val="auto"/>
          <w:spacing w:val="0"/>
          <w:w w:val="100"/>
          <w:position w:val="0"/>
          <w:szCs w:val="30"/>
          <w:lang w:val="en-US" w:eastAsia="zh-CN"/>
        </w:rPr>
        <w:fldChar w:fldCharType="end"/>
      </w:r>
    </w:p>
    <w:p w14:paraId="75F26099">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color w:val="auto"/>
          <w:lang w:val="en-US" w:eastAsia="zh-CN"/>
        </w:rPr>
        <w:sectPr>
          <w:headerReference r:id="rId6" w:type="default"/>
          <w:footerReference r:id="rId7" w:type="default"/>
          <w:pgSz w:w="11906" w:h="16838"/>
          <w:pgMar w:top="1134" w:right="1701" w:bottom="1134" w:left="1701" w:header="567" w:footer="567" w:gutter="0"/>
          <w:pgBorders>
            <w:top w:val="none" w:sz="0" w:space="0"/>
            <w:left w:val="none" w:sz="0" w:space="0"/>
            <w:bottom w:val="none" w:sz="0" w:space="0"/>
            <w:right w:val="none" w:sz="0" w:space="0"/>
          </w:pgBorders>
          <w:pgNumType w:fmt="decimal" w:start="1"/>
          <w:cols w:space="720" w:num="1"/>
          <w:docGrid w:type="lines" w:linePitch="312" w:charSpace="0"/>
        </w:sectPr>
      </w:pPr>
    </w:p>
    <w:p w14:paraId="69B766DA">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baseline"/>
        <w:outlineLvl w:val="0"/>
        <w:rPr>
          <w:rFonts w:hint="default" w:ascii="Times New Roman" w:hAnsi="Times New Roman" w:eastAsia="黑体" w:cs="Times New Roman"/>
          <w:b w:val="0"/>
          <w:bCs w:val="0"/>
          <w:snapToGrid w:val="0"/>
          <w:color w:val="auto"/>
          <w:spacing w:val="0"/>
          <w:w w:val="100"/>
          <w:position w:val="0"/>
          <w:sz w:val="30"/>
          <w:szCs w:val="30"/>
        </w:rPr>
      </w:pPr>
      <w:bookmarkStart w:id="7" w:name="_Toc8005"/>
      <w:r>
        <w:rPr>
          <w:rFonts w:hint="default" w:ascii="Times New Roman" w:hAnsi="Times New Roman" w:eastAsia="黑体" w:cs="Times New Roman"/>
          <w:b/>
          <w:bCs/>
          <w:color w:val="auto"/>
          <w:spacing w:val="0"/>
          <w:w w:val="100"/>
          <w:position w:val="0"/>
          <w:sz w:val="30"/>
          <w:szCs w:val="30"/>
          <w:lang w:val="en-US" w:eastAsia="zh-CN"/>
        </w:rPr>
        <w:t>一、</w:t>
      </w:r>
      <w:r>
        <w:rPr>
          <w:rFonts w:hint="default" w:ascii="Times New Roman" w:hAnsi="Times New Roman" w:eastAsia="黑体" w:cs="Times New Roman"/>
          <w:b/>
          <w:bCs/>
          <w:snapToGrid w:val="0"/>
          <w:color w:val="auto"/>
          <w:spacing w:val="0"/>
          <w:w w:val="100"/>
          <w:position w:val="0"/>
          <w:sz w:val="30"/>
          <w:szCs w:val="30"/>
        </w:rPr>
        <w:t>建设项目基本情况</w:t>
      </w:r>
      <w:bookmarkEnd w:id="7"/>
    </w:p>
    <w:tbl>
      <w:tblPr>
        <w:tblStyle w:val="59"/>
        <w:tblW w:w="497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040"/>
        <w:gridCol w:w="2175"/>
        <w:gridCol w:w="2170"/>
        <w:gridCol w:w="3097"/>
      </w:tblGrid>
      <w:tr w14:paraId="72D755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73" w:hRule="atLeast"/>
          <w:jc w:val="center"/>
        </w:trPr>
        <w:tc>
          <w:tcPr>
            <w:tcW w:w="613" w:type="pct"/>
            <w:tcBorders>
              <w:tl2br w:val="nil"/>
              <w:tr2bl w:val="nil"/>
            </w:tcBorders>
            <w:noWrap w:val="0"/>
            <w:tcMar>
              <w:top w:w="16" w:type="dxa"/>
              <w:left w:w="16" w:type="dxa"/>
              <w:right w:w="16" w:type="dxa"/>
            </w:tcMar>
            <w:vAlign w:val="center"/>
          </w:tcPr>
          <w:p w14:paraId="7611AF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建设项目名称</w:t>
            </w:r>
          </w:p>
        </w:tc>
        <w:tc>
          <w:tcPr>
            <w:tcW w:w="4386" w:type="pct"/>
            <w:gridSpan w:val="3"/>
            <w:tcBorders>
              <w:tl2br w:val="nil"/>
              <w:tr2bl w:val="nil"/>
            </w:tcBorders>
            <w:noWrap w:val="0"/>
            <w:vAlign w:val="center"/>
          </w:tcPr>
          <w:p w14:paraId="78CE10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造纸制浆高端磨片及耐磨件生产项目</w:t>
            </w:r>
          </w:p>
        </w:tc>
      </w:tr>
      <w:tr w14:paraId="4B1830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49" w:hRule="atLeast"/>
          <w:jc w:val="center"/>
        </w:trPr>
        <w:tc>
          <w:tcPr>
            <w:tcW w:w="613" w:type="pct"/>
            <w:tcBorders>
              <w:tl2br w:val="nil"/>
              <w:tr2bl w:val="nil"/>
            </w:tcBorders>
            <w:noWrap w:val="0"/>
            <w:tcMar>
              <w:top w:w="16" w:type="dxa"/>
              <w:left w:w="16" w:type="dxa"/>
              <w:right w:w="16" w:type="dxa"/>
            </w:tcMar>
            <w:vAlign w:val="center"/>
          </w:tcPr>
          <w:p w14:paraId="4523D3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项目代码</w:t>
            </w:r>
          </w:p>
        </w:tc>
        <w:tc>
          <w:tcPr>
            <w:tcW w:w="4386" w:type="pct"/>
            <w:gridSpan w:val="3"/>
            <w:tcBorders>
              <w:tl2br w:val="nil"/>
              <w:tr2bl w:val="nil"/>
            </w:tcBorders>
            <w:noWrap w:val="0"/>
            <w:vAlign w:val="center"/>
          </w:tcPr>
          <w:p w14:paraId="5A183C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eastAsia="zh-CN"/>
              </w:rPr>
              <w:t>2602-450223-04-01-504762</w:t>
            </w:r>
          </w:p>
        </w:tc>
      </w:tr>
      <w:tr w14:paraId="7CEB6A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13" w:type="pct"/>
            <w:tcBorders>
              <w:tl2br w:val="nil"/>
              <w:tr2bl w:val="nil"/>
            </w:tcBorders>
            <w:noWrap w:val="0"/>
            <w:tcMar>
              <w:top w:w="16" w:type="dxa"/>
              <w:left w:w="16" w:type="dxa"/>
              <w:right w:w="16" w:type="dxa"/>
            </w:tcMar>
            <w:vAlign w:val="center"/>
          </w:tcPr>
          <w:p w14:paraId="067FCFE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建设单位联系人</w:t>
            </w:r>
          </w:p>
        </w:tc>
        <w:tc>
          <w:tcPr>
            <w:tcW w:w="1282" w:type="pct"/>
            <w:tcBorders>
              <w:tl2br w:val="nil"/>
              <w:tr2bl w:val="nil"/>
            </w:tcBorders>
            <w:noWrap w:val="0"/>
            <w:vAlign w:val="center"/>
          </w:tcPr>
          <w:p w14:paraId="4D76AF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eastAsia" w:ascii="Times New Roman" w:hAnsi="Times New Roman" w:eastAsia="宋体" w:cs="Times New Roman"/>
                <w:b w:val="0"/>
                <w:bCs w:val="0"/>
                <w:color w:val="auto"/>
                <w:spacing w:val="0"/>
                <w:w w:val="100"/>
                <w:position w:val="0"/>
                <w:sz w:val="24"/>
                <w:szCs w:val="24"/>
                <w:lang w:val="en-US" w:eastAsia="zh-CN"/>
              </w:rPr>
              <w:t>**</w:t>
            </w:r>
          </w:p>
        </w:tc>
        <w:tc>
          <w:tcPr>
            <w:tcW w:w="1279" w:type="pct"/>
            <w:tcBorders>
              <w:tl2br w:val="nil"/>
              <w:tr2bl w:val="nil"/>
            </w:tcBorders>
            <w:noWrap w:val="0"/>
            <w:vAlign w:val="center"/>
          </w:tcPr>
          <w:p w14:paraId="7E1780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联系方式</w:t>
            </w:r>
          </w:p>
        </w:tc>
        <w:tc>
          <w:tcPr>
            <w:tcW w:w="1824" w:type="pct"/>
            <w:tcBorders>
              <w:tl2br w:val="nil"/>
              <w:tr2bl w:val="nil"/>
            </w:tcBorders>
            <w:noWrap w:val="0"/>
            <w:vAlign w:val="center"/>
          </w:tcPr>
          <w:p w14:paraId="561CF7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eastAsia" w:ascii="Times New Roman" w:hAnsi="Times New Roman" w:eastAsia="宋体" w:cs="Times New Roman"/>
                <w:b w:val="0"/>
                <w:bCs w:val="0"/>
                <w:color w:val="auto"/>
                <w:spacing w:val="0"/>
                <w:w w:val="100"/>
                <w:position w:val="0"/>
                <w:sz w:val="24"/>
                <w:szCs w:val="24"/>
                <w:lang w:val="en-US" w:eastAsia="zh-CN"/>
              </w:rPr>
              <w:t>**</w:t>
            </w:r>
          </w:p>
        </w:tc>
      </w:tr>
      <w:tr w14:paraId="022855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5" w:hRule="atLeast"/>
          <w:jc w:val="center"/>
        </w:trPr>
        <w:tc>
          <w:tcPr>
            <w:tcW w:w="613" w:type="pct"/>
            <w:tcBorders>
              <w:tl2br w:val="nil"/>
              <w:tr2bl w:val="nil"/>
            </w:tcBorders>
            <w:noWrap w:val="0"/>
            <w:tcMar>
              <w:top w:w="16" w:type="dxa"/>
              <w:left w:w="16" w:type="dxa"/>
              <w:right w:w="16" w:type="dxa"/>
            </w:tcMar>
            <w:vAlign w:val="center"/>
          </w:tcPr>
          <w:p w14:paraId="4093386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建设地点</w:t>
            </w:r>
          </w:p>
        </w:tc>
        <w:tc>
          <w:tcPr>
            <w:tcW w:w="4386" w:type="pct"/>
            <w:gridSpan w:val="3"/>
            <w:tcBorders>
              <w:tl2br w:val="nil"/>
              <w:tr2bl w:val="nil"/>
            </w:tcBorders>
            <w:noWrap w:val="0"/>
            <w:vAlign w:val="center"/>
          </w:tcPr>
          <w:p w14:paraId="0EE2CC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广西壮族自治区柳州市鹿寨县鹿寨镇金鸡路53号之广西鹿寨化肥有限责任公司厂区内</w:t>
            </w:r>
          </w:p>
        </w:tc>
      </w:tr>
      <w:tr w14:paraId="61DF6C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13" w:type="pct"/>
            <w:tcBorders>
              <w:tl2br w:val="nil"/>
              <w:tr2bl w:val="nil"/>
            </w:tcBorders>
            <w:noWrap w:val="0"/>
            <w:tcMar>
              <w:top w:w="16" w:type="dxa"/>
              <w:left w:w="16" w:type="dxa"/>
              <w:right w:w="16" w:type="dxa"/>
            </w:tcMar>
            <w:vAlign w:val="center"/>
          </w:tcPr>
          <w:p w14:paraId="2E83181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地理坐标</w:t>
            </w:r>
          </w:p>
        </w:tc>
        <w:tc>
          <w:tcPr>
            <w:tcW w:w="4386" w:type="pct"/>
            <w:gridSpan w:val="3"/>
            <w:tcBorders>
              <w:tl2br w:val="nil"/>
              <w:tr2bl w:val="nil"/>
            </w:tcBorders>
            <w:noWrap w:val="0"/>
            <w:vAlign w:val="center"/>
          </w:tcPr>
          <w:p w14:paraId="5A86D2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eastAsia="宋体" w:cs="Times New Roman"/>
                <w:b w:val="0"/>
                <w:bCs w:val="0"/>
                <w:color w:val="auto"/>
                <w:spacing w:val="0"/>
                <w:w w:val="100"/>
                <w:position w:val="0"/>
                <w:sz w:val="24"/>
                <w:szCs w:val="24"/>
                <w:highlight w:val="none"/>
                <w:lang w:val="en-US" w:eastAsia="zh-CN"/>
              </w:rPr>
              <w:t>（东经109°43′4.829″，北纬24°29′24.528″）</w:t>
            </w:r>
          </w:p>
        </w:tc>
      </w:tr>
      <w:tr w14:paraId="32E9FD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613" w:type="pct"/>
            <w:tcBorders>
              <w:tl2br w:val="nil"/>
              <w:tr2bl w:val="nil"/>
            </w:tcBorders>
            <w:noWrap w:val="0"/>
            <w:tcMar>
              <w:top w:w="16" w:type="dxa"/>
              <w:left w:w="16" w:type="dxa"/>
              <w:right w:w="16" w:type="dxa"/>
            </w:tcMar>
            <w:vAlign w:val="center"/>
          </w:tcPr>
          <w:p w14:paraId="0F0A117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highlight w:val="none"/>
              </w:rPr>
            </w:pPr>
            <w:r>
              <w:rPr>
                <w:rFonts w:hint="default" w:ascii="Times New Roman" w:hAnsi="Times New Roman" w:eastAsia="宋体" w:cs="Times New Roman"/>
                <w:b w:val="0"/>
                <w:bCs w:val="0"/>
                <w:color w:val="auto"/>
                <w:spacing w:val="0"/>
                <w:w w:val="100"/>
                <w:position w:val="0"/>
                <w:sz w:val="24"/>
                <w:szCs w:val="24"/>
                <w:highlight w:val="none"/>
              </w:rPr>
              <w:t>国民经济行业类别</w:t>
            </w:r>
          </w:p>
        </w:tc>
        <w:tc>
          <w:tcPr>
            <w:tcW w:w="1282" w:type="pct"/>
            <w:tcBorders>
              <w:tl2br w:val="nil"/>
              <w:tr2bl w:val="nil"/>
            </w:tcBorders>
            <w:noWrap w:val="0"/>
            <w:vAlign w:val="center"/>
          </w:tcPr>
          <w:p w14:paraId="51FA516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eastAsia="宋体" w:cs="Times New Roman"/>
                <w:b w:val="0"/>
                <w:bCs w:val="0"/>
                <w:color w:val="auto"/>
                <w:spacing w:val="0"/>
                <w:w w:val="100"/>
                <w:position w:val="0"/>
                <w:sz w:val="24"/>
                <w:szCs w:val="24"/>
                <w:highlight w:val="none"/>
                <w:lang w:val="en-US" w:eastAsia="zh-CN"/>
              </w:rPr>
              <w:t>C3391黑色金属铸造</w:t>
            </w:r>
          </w:p>
        </w:tc>
        <w:tc>
          <w:tcPr>
            <w:tcW w:w="1279" w:type="pct"/>
            <w:tcBorders>
              <w:tl2br w:val="nil"/>
              <w:tr2bl w:val="nil"/>
            </w:tcBorders>
            <w:noWrap w:val="0"/>
            <w:vAlign w:val="center"/>
          </w:tcPr>
          <w:p w14:paraId="595980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highlight w:val="none"/>
                <w:lang w:val="en-US" w:eastAsia="zh-CN"/>
              </w:rPr>
            </w:pPr>
            <w:bookmarkStart w:id="8" w:name="_Hlk49843745"/>
            <w:r>
              <w:rPr>
                <w:rFonts w:hint="default" w:ascii="Times New Roman" w:hAnsi="Times New Roman" w:eastAsia="宋体" w:cs="Times New Roman"/>
                <w:b w:val="0"/>
                <w:bCs w:val="0"/>
                <w:color w:val="auto"/>
                <w:spacing w:val="0"/>
                <w:w w:val="100"/>
                <w:position w:val="0"/>
                <w:sz w:val="24"/>
                <w:szCs w:val="24"/>
                <w:highlight w:val="none"/>
                <w:lang w:val="en-US" w:eastAsia="zh-CN"/>
              </w:rPr>
              <w:t>建设项目</w:t>
            </w:r>
          </w:p>
          <w:p w14:paraId="2B79301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eastAsia="宋体" w:cs="Times New Roman"/>
                <w:b w:val="0"/>
                <w:bCs w:val="0"/>
                <w:color w:val="auto"/>
                <w:spacing w:val="0"/>
                <w:w w:val="100"/>
                <w:position w:val="0"/>
                <w:sz w:val="24"/>
                <w:szCs w:val="24"/>
                <w:highlight w:val="none"/>
                <w:lang w:val="en-US" w:eastAsia="zh-CN"/>
              </w:rPr>
              <w:t>行业类别</w:t>
            </w:r>
            <w:bookmarkEnd w:id="8"/>
          </w:p>
        </w:tc>
        <w:tc>
          <w:tcPr>
            <w:tcW w:w="1824" w:type="pct"/>
            <w:tcBorders>
              <w:tl2br w:val="nil"/>
              <w:tr2bl w:val="nil"/>
            </w:tcBorders>
            <w:noWrap w:val="0"/>
            <w:vAlign w:val="center"/>
          </w:tcPr>
          <w:p w14:paraId="5E4A45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eastAsia="宋体" w:cs="Times New Roman"/>
                <w:b w:val="0"/>
                <w:bCs w:val="0"/>
                <w:color w:val="auto"/>
                <w:spacing w:val="0"/>
                <w:w w:val="100"/>
                <w:position w:val="0"/>
                <w:sz w:val="24"/>
                <w:szCs w:val="24"/>
                <w:highlight w:val="none"/>
                <w:lang w:val="en-US" w:eastAsia="zh-CN"/>
              </w:rPr>
              <w:t>三十、金属制品业68铸造及其他金属制品制造339-其他(仅分割、焊接、组装的除外)</w:t>
            </w:r>
          </w:p>
        </w:tc>
      </w:tr>
      <w:tr w14:paraId="1396E3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613" w:type="pct"/>
            <w:tcBorders>
              <w:tl2br w:val="nil"/>
              <w:tr2bl w:val="nil"/>
            </w:tcBorders>
            <w:noWrap w:val="0"/>
            <w:tcMar>
              <w:top w:w="16" w:type="dxa"/>
              <w:left w:w="16" w:type="dxa"/>
              <w:right w:w="16" w:type="dxa"/>
            </w:tcMar>
            <w:vAlign w:val="center"/>
          </w:tcPr>
          <w:p w14:paraId="1B8EAD2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建设性质</w:t>
            </w:r>
          </w:p>
        </w:tc>
        <w:tc>
          <w:tcPr>
            <w:tcW w:w="1282" w:type="pct"/>
            <w:tcBorders>
              <w:tl2br w:val="nil"/>
              <w:tr2bl w:val="nil"/>
            </w:tcBorders>
            <w:noWrap w:val="0"/>
            <w:vAlign w:val="center"/>
          </w:tcPr>
          <w:p w14:paraId="0BB251D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sym w:font="Wingdings 2" w:char="0052"/>
            </w:r>
            <w:r>
              <w:rPr>
                <w:rFonts w:hint="default" w:ascii="Times New Roman" w:hAnsi="Times New Roman" w:eastAsia="宋体" w:cs="Times New Roman"/>
                <w:b w:val="0"/>
                <w:bCs w:val="0"/>
                <w:color w:val="auto"/>
                <w:spacing w:val="0"/>
                <w:w w:val="100"/>
                <w:position w:val="0"/>
                <w:sz w:val="24"/>
                <w:szCs w:val="24"/>
              </w:rPr>
              <w:t>新建（迁建）</w:t>
            </w:r>
          </w:p>
          <w:p w14:paraId="0B2E96E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sym w:font="Wingdings 2" w:char="00A3"/>
            </w:r>
            <w:r>
              <w:rPr>
                <w:rFonts w:hint="default" w:ascii="Times New Roman" w:hAnsi="Times New Roman" w:eastAsia="宋体" w:cs="Times New Roman"/>
                <w:b w:val="0"/>
                <w:bCs w:val="0"/>
                <w:color w:val="auto"/>
                <w:spacing w:val="0"/>
                <w:w w:val="100"/>
                <w:position w:val="0"/>
                <w:sz w:val="24"/>
                <w:szCs w:val="24"/>
              </w:rPr>
              <w:t>改建</w:t>
            </w:r>
          </w:p>
          <w:p w14:paraId="2B8A0A2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sym w:font="Wingdings 2" w:char="00A3"/>
            </w:r>
            <w:r>
              <w:rPr>
                <w:rFonts w:hint="default" w:ascii="Times New Roman" w:hAnsi="Times New Roman" w:eastAsia="宋体" w:cs="Times New Roman"/>
                <w:b w:val="0"/>
                <w:bCs w:val="0"/>
                <w:color w:val="auto"/>
                <w:spacing w:val="0"/>
                <w:w w:val="100"/>
                <w:position w:val="0"/>
                <w:sz w:val="24"/>
                <w:szCs w:val="24"/>
              </w:rPr>
              <w:t>扩建</w:t>
            </w:r>
          </w:p>
          <w:p w14:paraId="7DC2D11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sym w:font="Wingdings 2" w:char="00A3"/>
            </w:r>
            <w:r>
              <w:rPr>
                <w:rFonts w:hint="default" w:ascii="Times New Roman" w:hAnsi="Times New Roman" w:eastAsia="宋体" w:cs="Times New Roman"/>
                <w:b w:val="0"/>
                <w:bCs w:val="0"/>
                <w:color w:val="auto"/>
                <w:spacing w:val="0"/>
                <w:w w:val="100"/>
                <w:position w:val="0"/>
                <w:sz w:val="24"/>
                <w:szCs w:val="24"/>
              </w:rPr>
              <w:t>技术改造</w:t>
            </w:r>
          </w:p>
        </w:tc>
        <w:tc>
          <w:tcPr>
            <w:tcW w:w="1279" w:type="pct"/>
            <w:tcBorders>
              <w:tl2br w:val="nil"/>
              <w:tr2bl w:val="nil"/>
            </w:tcBorders>
            <w:noWrap w:val="0"/>
            <w:vAlign w:val="center"/>
          </w:tcPr>
          <w:p w14:paraId="356A514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建设项目</w:t>
            </w:r>
          </w:p>
          <w:p w14:paraId="3607229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申报情形</w:t>
            </w:r>
          </w:p>
        </w:tc>
        <w:tc>
          <w:tcPr>
            <w:tcW w:w="1824" w:type="pct"/>
            <w:tcBorders>
              <w:tl2br w:val="nil"/>
              <w:tr2bl w:val="nil"/>
            </w:tcBorders>
            <w:noWrap w:val="0"/>
            <w:vAlign w:val="center"/>
          </w:tcPr>
          <w:p w14:paraId="6D0F2D1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sym w:font="Wingdings 2" w:char="0052"/>
            </w:r>
            <w:r>
              <w:rPr>
                <w:rFonts w:hint="default" w:ascii="Times New Roman" w:hAnsi="Times New Roman" w:eastAsia="宋体" w:cs="Times New Roman"/>
                <w:b w:val="0"/>
                <w:bCs w:val="0"/>
                <w:color w:val="auto"/>
                <w:spacing w:val="0"/>
                <w:w w:val="100"/>
                <w:position w:val="0"/>
                <w:sz w:val="24"/>
                <w:szCs w:val="24"/>
              </w:rPr>
              <w:t>首次申报项目</w:t>
            </w:r>
          </w:p>
          <w:p w14:paraId="044690C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sym w:font="Wingdings 2" w:char="00A3"/>
            </w:r>
            <w:r>
              <w:rPr>
                <w:rFonts w:hint="default" w:ascii="Times New Roman" w:hAnsi="Times New Roman" w:eastAsia="宋体" w:cs="Times New Roman"/>
                <w:b w:val="0"/>
                <w:bCs w:val="0"/>
                <w:color w:val="auto"/>
                <w:spacing w:val="0"/>
                <w:w w:val="100"/>
                <w:position w:val="0"/>
                <w:sz w:val="24"/>
                <w:szCs w:val="24"/>
              </w:rPr>
              <w:t>不予批准后再次申报项目</w:t>
            </w:r>
          </w:p>
          <w:p w14:paraId="523338A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sym w:font="Wingdings 2" w:char="00A3"/>
            </w:r>
            <w:r>
              <w:rPr>
                <w:rFonts w:hint="default" w:ascii="Times New Roman" w:hAnsi="Times New Roman" w:eastAsia="宋体" w:cs="Times New Roman"/>
                <w:b w:val="0"/>
                <w:bCs w:val="0"/>
                <w:color w:val="auto"/>
                <w:spacing w:val="0"/>
                <w:w w:val="100"/>
                <w:position w:val="0"/>
                <w:sz w:val="24"/>
                <w:szCs w:val="24"/>
              </w:rPr>
              <w:t>超五年重新审核项目</w:t>
            </w:r>
          </w:p>
          <w:p w14:paraId="511128F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sym w:font="Wingdings 2" w:char="00A3"/>
            </w:r>
            <w:r>
              <w:rPr>
                <w:rFonts w:hint="default" w:ascii="Times New Roman" w:hAnsi="Times New Roman" w:eastAsia="宋体" w:cs="Times New Roman"/>
                <w:b w:val="0"/>
                <w:bCs w:val="0"/>
                <w:color w:val="auto"/>
                <w:spacing w:val="0"/>
                <w:w w:val="100"/>
                <w:position w:val="0"/>
                <w:sz w:val="24"/>
                <w:szCs w:val="24"/>
              </w:rPr>
              <w:t>重大变动重新报批项目</w:t>
            </w:r>
          </w:p>
        </w:tc>
      </w:tr>
      <w:tr w14:paraId="76BEC3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613" w:type="pct"/>
            <w:tcBorders>
              <w:tl2br w:val="nil"/>
              <w:tr2bl w:val="nil"/>
            </w:tcBorders>
            <w:noWrap w:val="0"/>
            <w:tcMar>
              <w:top w:w="16" w:type="dxa"/>
              <w:left w:w="16" w:type="dxa"/>
              <w:right w:w="16" w:type="dxa"/>
            </w:tcMar>
            <w:vAlign w:val="center"/>
          </w:tcPr>
          <w:p w14:paraId="3018F32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项目审批（核准/备案）部门（选填）</w:t>
            </w:r>
          </w:p>
        </w:tc>
        <w:tc>
          <w:tcPr>
            <w:tcW w:w="1282" w:type="pct"/>
            <w:tcBorders>
              <w:tl2br w:val="nil"/>
              <w:tr2bl w:val="nil"/>
            </w:tcBorders>
            <w:noWrap w:val="0"/>
            <w:vAlign w:val="center"/>
          </w:tcPr>
          <w:p w14:paraId="428AD07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rPr>
            </w:pPr>
            <w:r>
              <w:rPr>
                <w:rFonts w:hint="default" w:ascii="Times New Roman" w:hAnsi="Times New Roman" w:eastAsia="宋体" w:cs="Times New Roman"/>
                <w:b w:val="0"/>
                <w:bCs w:val="0"/>
                <w:color w:val="auto"/>
                <w:spacing w:val="0"/>
                <w:w w:val="100"/>
                <w:position w:val="0"/>
                <w:sz w:val="24"/>
                <w:szCs w:val="24"/>
                <w:lang w:val="en-US" w:eastAsia="zh-CN"/>
              </w:rPr>
              <w:t>柳州市鹿寨县发展和改革局</w:t>
            </w:r>
          </w:p>
        </w:tc>
        <w:tc>
          <w:tcPr>
            <w:tcW w:w="1279" w:type="pct"/>
            <w:tcBorders>
              <w:tl2br w:val="nil"/>
              <w:tr2bl w:val="nil"/>
            </w:tcBorders>
            <w:noWrap w:val="0"/>
            <w:vAlign w:val="center"/>
          </w:tcPr>
          <w:p w14:paraId="7FF7921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项目审批（核准/</w:t>
            </w:r>
          </w:p>
          <w:p w14:paraId="138586E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备案）文号（选填）</w:t>
            </w:r>
          </w:p>
        </w:tc>
        <w:tc>
          <w:tcPr>
            <w:tcW w:w="1824" w:type="pct"/>
            <w:tcBorders>
              <w:tl2br w:val="nil"/>
              <w:tr2bl w:val="nil"/>
            </w:tcBorders>
            <w:noWrap w:val="0"/>
            <w:vAlign w:val="center"/>
          </w:tcPr>
          <w:p w14:paraId="3D497BF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eastAsia="zh-CN"/>
              </w:rPr>
              <w:t>2602-450223-04-01-504762</w:t>
            </w:r>
          </w:p>
        </w:tc>
      </w:tr>
      <w:tr w14:paraId="736E92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13" w:type="pct"/>
            <w:tcBorders>
              <w:tl2br w:val="nil"/>
              <w:tr2bl w:val="nil"/>
            </w:tcBorders>
            <w:noWrap w:val="0"/>
            <w:tcMar>
              <w:top w:w="16" w:type="dxa"/>
              <w:left w:w="16" w:type="dxa"/>
              <w:right w:w="16" w:type="dxa"/>
            </w:tcMar>
            <w:vAlign w:val="center"/>
          </w:tcPr>
          <w:p w14:paraId="154190D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总投资（万元）</w:t>
            </w:r>
          </w:p>
        </w:tc>
        <w:tc>
          <w:tcPr>
            <w:tcW w:w="1282" w:type="pct"/>
            <w:tcBorders>
              <w:tl2br w:val="nil"/>
              <w:tr2bl w:val="nil"/>
            </w:tcBorders>
            <w:noWrap w:val="0"/>
            <w:vAlign w:val="center"/>
          </w:tcPr>
          <w:p w14:paraId="158A58D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eastAsia" w:ascii="Times New Roman" w:hAnsi="Times New Roman" w:eastAsia="宋体" w:cs="Times New Roman"/>
                <w:b w:val="0"/>
                <w:bCs w:val="0"/>
                <w:color w:val="auto"/>
                <w:spacing w:val="0"/>
                <w:w w:val="100"/>
                <w:position w:val="0"/>
                <w:sz w:val="24"/>
                <w:szCs w:val="24"/>
                <w:lang w:val="en-US" w:eastAsia="zh-CN"/>
              </w:rPr>
              <w:t>**</w:t>
            </w:r>
          </w:p>
        </w:tc>
        <w:tc>
          <w:tcPr>
            <w:tcW w:w="1279" w:type="pct"/>
            <w:tcBorders>
              <w:tl2br w:val="nil"/>
              <w:tr2bl w:val="nil"/>
            </w:tcBorders>
            <w:noWrap w:val="0"/>
            <w:tcMar>
              <w:top w:w="16" w:type="dxa"/>
              <w:left w:w="16" w:type="dxa"/>
              <w:right w:w="16" w:type="dxa"/>
            </w:tcMar>
            <w:vAlign w:val="center"/>
          </w:tcPr>
          <w:p w14:paraId="571272F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环保投资（万元）</w:t>
            </w:r>
          </w:p>
        </w:tc>
        <w:tc>
          <w:tcPr>
            <w:tcW w:w="1824" w:type="pct"/>
            <w:tcBorders>
              <w:tl2br w:val="nil"/>
              <w:tr2bl w:val="nil"/>
            </w:tcBorders>
            <w:noWrap w:val="0"/>
            <w:vAlign w:val="center"/>
          </w:tcPr>
          <w:p w14:paraId="7A39BEF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eastAsia" w:ascii="Times New Roman" w:hAnsi="Times New Roman" w:eastAsia="宋体" w:cs="Times New Roman"/>
                <w:b w:val="0"/>
                <w:bCs w:val="0"/>
                <w:color w:val="auto"/>
                <w:spacing w:val="0"/>
                <w:w w:val="100"/>
                <w:position w:val="0"/>
                <w:sz w:val="24"/>
                <w:szCs w:val="24"/>
                <w:lang w:val="en-US" w:eastAsia="zh-CN"/>
              </w:rPr>
              <w:t>**</w:t>
            </w:r>
          </w:p>
        </w:tc>
      </w:tr>
      <w:tr w14:paraId="27A29F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13" w:type="pct"/>
            <w:tcBorders>
              <w:tl2br w:val="nil"/>
              <w:tr2bl w:val="nil"/>
            </w:tcBorders>
            <w:noWrap w:val="0"/>
            <w:tcMar>
              <w:top w:w="16" w:type="dxa"/>
              <w:left w:w="16" w:type="dxa"/>
              <w:right w:w="16" w:type="dxa"/>
            </w:tcMar>
            <w:vAlign w:val="center"/>
          </w:tcPr>
          <w:p w14:paraId="490079D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环保投资占比（%）</w:t>
            </w:r>
          </w:p>
        </w:tc>
        <w:tc>
          <w:tcPr>
            <w:tcW w:w="1282" w:type="pct"/>
            <w:tcBorders>
              <w:tl2br w:val="nil"/>
              <w:tr2bl w:val="nil"/>
            </w:tcBorders>
            <w:noWrap w:val="0"/>
            <w:vAlign w:val="center"/>
          </w:tcPr>
          <w:p w14:paraId="33806C2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eastAsia" w:ascii="Times New Roman" w:hAnsi="Times New Roman" w:eastAsia="宋体" w:cs="Times New Roman"/>
                <w:b w:val="0"/>
                <w:bCs w:val="0"/>
                <w:color w:val="auto"/>
                <w:spacing w:val="0"/>
                <w:w w:val="100"/>
                <w:position w:val="0"/>
                <w:sz w:val="24"/>
                <w:szCs w:val="24"/>
                <w:lang w:val="en-US" w:eastAsia="zh-CN"/>
              </w:rPr>
              <w:t>**</w:t>
            </w:r>
          </w:p>
        </w:tc>
        <w:tc>
          <w:tcPr>
            <w:tcW w:w="1279" w:type="pct"/>
            <w:tcBorders>
              <w:tl2br w:val="nil"/>
              <w:tr2bl w:val="nil"/>
            </w:tcBorders>
            <w:noWrap w:val="0"/>
            <w:tcMar>
              <w:top w:w="16" w:type="dxa"/>
              <w:left w:w="16" w:type="dxa"/>
              <w:right w:w="16" w:type="dxa"/>
            </w:tcMar>
            <w:vAlign w:val="center"/>
          </w:tcPr>
          <w:p w14:paraId="4F5C2C4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施工工期</w:t>
            </w:r>
          </w:p>
        </w:tc>
        <w:tc>
          <w:tcPr>
            <w:tcW w:w="1824" w:type="pct"/>
            <w:tcBorders>
              <w:tl2br w:val="nil"/>
              <w:tr2bl w:val="nil"/>
            </w:tcBorders>
            <w:noWrap w:val="0"/>
            <w:vAlign w:val="center"/>
          </w:tcPr>
          <w:p w14:paraId="1459B75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1</w:t>
            </w:r>
            <w:r>
              <w:rPr>
                <w:rFonts w:hint="default" w:ascii="Times New Roman" w:hAnsi="Times New Roman" w:eastAsia="宋体" w:cs="Times New Roman"/>
                <w:b w:val="0"/>
                <w:bCs w:val="0"/>
                <w:color w:val="auto"/>
                <w:spacing w:val="0"/>
                <w:w w:val="100"/>
                <w:position w:val="0"/>
                <w:sz w:val="24"/>
                <w:szCs w:val="24"/>
              </w:rPr>
              <w:t>个月</w:t>
            </w:r>
          </w:p>
        </w:tc>
      </w:tr>
      <w:tr w14:paraId="66574B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13" w:type="pct"/>
            <w:tcBorders>
              <w:tl2br w:val="nil"/>
              <w:tr2bl w:val="nil"/>
            </w:tcBorders>
            <w:noWrap w:val="0"/>
            <w:tcMar>
              <w:top w:w="16" w:type="dxa"/>
              <w:left w:w="16" w:type="dxa"/>
              <w:right w:w="16" w:type="dxa"/>
            </w:tcMar>
            <w:vAlign w:val="center"/>
          </w:tcPr>
          <w:p w14:paraId="1D2AD25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是否开工建设</w:t>
            </w:r>
          </w:p>
        </w:tc>
        <w:tc>
          <w:tcPr>
            <w:tcW w:w="1282" w:type="pct"/>
            <w:tcBorders>
              <w:tl2br w:val="nil"/>
              <w:tr2bl w:val="nil"/>
            </w:tcBorders>
            <w:noWrap w:val="0"/>
            <w:vAlign w:val="center"/>
          </w:tcPr>
          <w:p w14:paraId="4E56175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sym w:font="Wingdings 2" w:char="0052"/>
            </w:r>
            <w:r>
              <w:rPr>
                <w:rFonts w:hint="default" w:ascii="Times New Roman" w:hAnsi="Times New Roman" w:eastAsia="宋体" w:cs="Times New Roman"/>
                <w:b w:val="0"/>
                <w:bCs w:val="0"/>
                <w:color w:val="auto"/>
                <w:spacing w:val="0"/>
                <w:w w:val="100"/>
                <w:position w:val="0"/>
                <w:sz w:val="24"/>
                <w:szCs w:val="24"/>
              </w:rPr>
              <w:t>否</w:t>
            </w:r>
          </w:p>
          <w:p w14:paraId="3EF8EC8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rPr>
              <w:sym w:font="Wingdings 2" w:char="00A3"/>
            </w:r>
            <w:r>
              <w:rPr>
                <w:rFonts w:hint="default" w:ascii="Times New Roman" w:hAnsi="Times New Roman" w:eastAsia="宋体" w:cs="Times New Roman"/>
                <w:b w:val="0"/>
                <w:bCs w:val="0"/>
                <w:color w:val="auto"/>
                <w:spacing w:val="0"/>
                <w:w w:val="100"/>
                <w:position w:val="0"/>
                <w:sz w:val="24"/>
                <w:szCs w:val="24"/>
              </w:rPr>
              <w:t>是</w:t>
            </w:r>
            <w:r>
              <w:rPr>
                <w:rFonts w:hint="default" w:ascii="Times New Roman" w:hAnsi="Times New Roman" w:eastAsia="宋体" w:cs="Times New Roman"/>
                <w:b w:val="0"/>
                <w:bCs w:val="0"/>
                <w:color w:val="auto"/>
                <w:spacing w:val="0"/>
                <w:w w:val="100"/>
                <w:position w:val="0"/>
                <w:sz w:val="24"/>
                <w:szCs w:val="24"/>
                <w:lang w:eastAsia="zh-CN"/>
              </w:rPr>
              <w:t>：</w:t>
            </w:r>
            <w:r>
              <w:rPr>
                <w:rFonts w:hint="default" w:ascii="Times New Roman" w:hAnsi="Times New Roman" w:eastAsia="宋体" w:cs="Times New Roman"/>
                <w:b w:val="0"/>
                <w:bCs w:val="0"/>
                <w:color w:val="auto"/>
                <w:spacing w:val="0"/>
                <w:w w:val="100"/>
                <w:position w:val="0"/>
                <w:sz w:val="24"/>
                <w:szCs w:val="24"/>
                <w:lang w:val="en-US" w:eastAsia="zh-CN"/>
              </w:rPr>
              <w:t xml:space="preserve">        </w:t>
            </w:r>
          </w:p>
        </w:tc>
        <w:tc>
          <w:tcPr>
            <w:tcW w:w="1279" w:type="pct"/>
            <w:tcBorders>
              <w:tl2br w:val="nil"/>
              <w:tr2bl w:val="nil"/>
            </w:tcBorders>
            <w:noWrap w:val="0"/>
            <w:tcMar>
              <w:top w:w="16" w:type="dxa"/>
              <w:left w:w="16" w:type="dxa"/>
              <w:right w:w="16" w:type="dxa"/>
            </w:tcMar>
            <w:vAlign w:val="center"/>
          </w:tcPr>
          <w:p w14:paraId="70DBE7C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用地（用海）</w:t>
            </w:r>
          </w:p>
          <w:p w14:paraId="2217352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面积（m</w:t>
            </w:r>
            <w:r>
              <w:rPr>
                <w:rFonts w:hint="default" w:ascii="Times New Roman" w:hAnsi="Times New Roman" w:eastAsia="宋体" w:cs="Times New Roman"/>
                <w:b w:val="0"/>
                <w:bCs w:val="0"/>
                <w:color w:val="auto"/>
                <w:spacing w:val="0"/>
                <w:w w:val="100"/>
                <w:position w:val="0"/>
                <w:sz w:val="24"/>
                <w:szCs w:val="24"/>
                <w:vertAlign w:val="superscript"/>
              </w:rPr>
              <w:t>2</w:t>
            </w:r>
            <w:r>
              <w:rPr>
                <w:rFonts w:hint="default" w:ascii="Times New Roman" w:hAnsi="Times New Roman" w:eastAsia="宋体" w:cs="Times New Roman"/>
                <w:b w:val="0"/>
                <w:bCs w:val="0"/>
                <w:color w:val="auto"/>
                <w:spacing w:val="0"/>
                <w:w w:val="100"/>
                <w:position w:val="0"/>
                <w:sz w:val="24"/>
                <w:szCs w:val="24"/>
              </w:rPr>
              <w:t>）</w:t>
            </w:r>
          </w:p>
        </w:tc>
        <w:tc>
          <w:tcPr>
            <w:tcW w:w="1824" w:type="pct"/>
            <w:tcBorders>
              <w:tl2br w:val="nil"/>
              <w:tr2bl w:val="nil"/>
            </w:tcBorders>
            <w:noWrap w:val="0"/>
            <w:vAlign w:val="center"/>
          </w:tcPr>
          <w:p w14:paraId="2C7F8B1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3686</w:t>
            </w:r>
          </w:p>
        </w:tc>
      </w:tr>
      <w:tr w14:paraId="5BB027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613" w:type="pct"/>
            <w:tcBorders>
              <w:tl2br w:val="nil"/>
              <w:tr2bl w:val="nil"/>
            </w:tcBorders>
            <w:noWrap w:val="0"/>
            <w:vAlign w:val="center"/>
          </w:tcPr>
          <w:p w14:paraId="4EDB1E7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kern w:val="0"/>
                <w:position w:val="0"/>
                <w:sz w:val="24"/>
                <w:szCs w:val="24"/>
              </w:rPr>
            </w:pPr>
            <w:r>
              <w:rPr>
                <w:rFonts w:hint="default" w:ascii="Times New Roman" w:hAnsi="Times New Roman" w:eastAsia="宋体" w:cs="Times New Roman"/>
                <w:b w:val="0"/>
                <w:bCs w:val="0"/>
                <w:color w:val="auto"/>
                <w:spacing w:val="0"/>
                <w:w w:val="100"/>
                <w:kern w:val="0"/>
                <w:position w:val="0"/>
                <w:sz w:val="24"/>
                <w:szCs w:val="24"/>
              </w:rPr>
              <w:t>专项评价设置情况</w:t>
            </w:r>
          </w:p>
        </w:tc>
        <w:tc>
          <w:tcPr>
            <w:tcW w:w="4386" w:type="pct"/>
            <w:gridSpan w:val="3"/>
            <w:tcBorders>
              <w:tl2br w:val="nil"/>
              <w:tr2bl w:val="nil"/>
            </w:tcBorders>
            <w:noWrap w:val="0"/>
            <w:vAlign w:val="center"/>
          </w:tcPr>
          <w:p w14:paraId="4A63FB3C">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无</w:t>
            </w:r>
          </w:p>
        </w:tc>
      </w:tr>
      <w:tr w14:paraId="37FD1E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613" w:type="pct"/>
            <w:tcBorders>
              <w:tl2br w:val="nil"/>
              <w:tr2bl w:val="nil"/>
            </w:tcBorders>
            <w:noWrap w:val="0"/>
            <w:vAlign w:val="center"/>
          </w:tcPr>
          <w:p w14:paraId="7CB0E378">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规划</w:t>
            </w:r>
          </w:p>
          <w:p w14:paraId="0977C1C1">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情况</w:t>
            </w:r>
          </w:p>
        </w:tc>
        <w:tc>
          <w:tcPr>
            <w:tcW w:w="4386" w:type="pct"/>
            <w:gridSpan w:val="3"/>
            <w:tcBorders>
              <w:tl2br w:val="nil"/>
              <w:tr2bl w:val="nil"/>
            </w:tcBorders>
            <w:noWrap w:val="0"/>
            <w:vAlign w:val="center"/>
          </w:tcPr>
          <w:p w14:paraId="42A843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auto"/>
              <w:rPr>
                <w:rFonts w:hint="default" w:ascii="Times New Roman" w:hAnsi="Times New Roman" w:eastAsia="宋体" w:cs="Times New Roman"/>
                <w:b w:val="0"/>
                <w:bCs w:val="0"/>
                <w:color w:val="auto"/>
                <w:spacing w:val="0"/>
                <w:position w:val="0"/>
                <w:sz w:val="24"/>
                <w:szCs w:val="24"/>
                <w:highlight w:val="none"/>
                <w:lang w:val="en-US" w:eastAsia="zh-CN"/>
              </w:rPr>
            </w:pPr>
            <w:r>
              <w:rPr>
                <w:rFonts w:hint="default" w:ascii="Times New Roman" w:hAnsi="Times New Roman" w:eastAsia="宋体" w:cs="Times New Roman"/>
                <w:b w:val="0"/>
                <w:bCs w:val="0"/>
                <w:color w:val="auto"/>
                <w:spacing w:val="0"/>
                <w:position w:val="0"/>
                <w:sz w:val="24"/>
                <w:szCs w:val="24"/>
                <w:highlight w:val="none"/>
                <w:lang w:val="en-US" w:eastAsia="zh-CN"/>
              </w:rPr>
              <w:t>相关规划名称：《广西鹿寨高新技术产业开发区建设与发展总体规划（2022-2035）》</w:t>
            </w:r>
          </w:p>
        </w:tc>
      </w:tr>
      <w:tr w14:paraId="138DC2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1" w:hRule="atLeast"/>
          <w:jc w:val="center"/>
        </w:trPr>
        <w:tc>
          <w:tcPr>
            <w:tcW w:w="613" w:type="pct"/>
            <w:tcBorders>
              <w:tl2br w:val="nil"/>
              <w:tr2bl w:val="nil"/>
            </w:tcBorders>
            <w:noWrap w:val="0"/>
            <w:vAlign w:val="center"/>
          </w:tcPr>
          <w:p w14:paraId="133B7E18">
            <w:pPr>
              <w:keepNext w:val="0"/>
              <w:keepLines w:val="0"/>
              <w:pageBreakBefore w:val="0"/>
              <w:widowControl w:val="0"/>
              <w:suppressLineNumbers w:val="0"/>
              <w:kinsoku/>
              <w:wordWrap/>
              <w:overflowPunct/>
              <w:topLinePunct w:val="0"/>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color w:val="auto"/>
                <w:spacing w:val="0"/>
                <w:w w:val="100"/>
                <w:kern w:val="0"/>
                <w:position w:val="0"/>
                <w:sz w:val="24"/>
                <w:szCs w:val="24"/>
              </w:rPr>
            </w:pPr>
            <w:r>
              <w:rPr>
                <w:rFonts w:hint="default" w:ascii="Times New Roman" w:hAnsi="Times New Roman" w:eastAsia="宋体" w:cs="Times New Roman"/>
                <w:b w:val="0"/>
                <w:bCs w:val="0"/>
                <w:color w:val="auto"/>
                <w:spacing w:val="0"/>
                <w:w w:val="100"/>
                <w:position w:val="0"/>
                <w:sz w:val="24"/>
                <w:szCs w:val="24"/>
              </w:rPr>
              <w:t>规划环境影响评价情况</w:t>
            </w:r>
          </w:p>
        </w:tc>
        <w:tc>
          <w:tcPr>
            <w:tcW w:w="4386" w:type="pct"/>
            <w:gridSpan w:val="3"/>
            <w:tcBorders>
              <w:tl2br w:val="nil"/>
              <w:tr2bl w:val="nil"/>
            </w:tcBorders>
            <w:noWrap w:val="0"/>
            <w:vAlign w:val="center"/>
          </w:tcPr>
          <w:p w14:paraId="7E43D6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auto"/>
              <w:rPr>
                <w:rFonts w:hint="default" w:ascii="Times New Roman" w:hAnsi="Times New Roman" w:eastAsia="宋体" w:cs="Times New Roman"/>
                <w:b w:val="0"/>
                <w:bCs w:val="0"/>
                <w:color w:val="auto"/>
                <w:spacing w:val="0"/>
                <w:position w:val="0"/>
                <w:sz w:val="24"/>
                <w:szCs w:val="24"/>
                <w:highlight w:val="none"/>
                <w:lang w:val="en-US" w:eastAsia="zh-CN"/>
              </w:rPr>
            </w:pPr>
            <w:r>
              <w:rPr>
                <w:rFonts w:hint="default" w:ascii="Times New Roman" w:hAnsi="Times New Roman" w:eastAsia="宋体" w:cs="Times New Roman"/>
                <w:b w:val="0"/>
                <w:bCs w:val="0"/>
                <w:color w:val="auto"/>
                <w:spacing w:val="0"/>
                <w:position w:val="0"/>
                <w:sz w:val="24"/>
                <w:szCs w:val="24"/>
                <w:highlight w:val="none"/>
                <w:lang w:val="en-US" w:eastAsia="zh-CN"/>
              </w:rPr>
              <w:t>规划环境影响评价文件名称：《广西鹿寨高新技术产业开发区建设与发展总体规划（2022-2035）环境影响报告书》</w:t>
            </w:r>
          </w:p>
          <w:p w14:paraId="580331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auto"/>
              <w:rPr>
                <w:rFonts w:hint="default" w:ascii="Times New Roman" w:hAnsi="Times New Roman" w:eastAsia="宋体" w:cs="Times New Roman"/>
                <w:b w:val="0"/>
                <w:bCs w:val="0"/>
                <w:color w:val="auto"/>
                <w:spacing w:val="0"/>
                <w:position w:val="0"/>
                <w:sz w:val="24"/>
                <w:szCs w:val="24"/>
                <w:highlight w:val="none"/>
                <w:lang w:val="en-US" w:eastAsia="zh-CN"/>
              </w:rPr>
            </w:pPr>
            <w:r>
              <w:rPr>
                <w:rFonts w:hint="default" w:ascii="Times New Roman" w:hAnsi="Times New Roman" w:eastAsia="宋体" w:cs="Times New Roman"/>
                <w:b w:val="0"/>
                <w:bCs w:val="0"/>
                <w:color w:val="auto"/>
                <w:spacing w:val="0"/>
                <w:position w:val="0"/>
                <w:sz w:val="24"/>
                <w:szCs w:val="24"/>
                <w:highlight w:val="none"/>
                <w:lang w:val="en-US" w:eastAsia="zh-CN"/>
              </w:rPr>
              <w:t>召集审查机关：柳州市生态环境局</w:t>
            </w:r>
          </w:p>
          <w:p w14:paraId="6EDBBF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auto"/>
              <w:rPr>
                <w:rFonts w:hint="default" w:ascii="Times New Roman" w:hAnsi="Times New Roman" w:eastAsia="宋体" w:cs="Times New Roman"/>
                <w:b w:val="0"/>
                <w:bCs w:val="0"/>
                <w:color w:val="auto"/>
                <w:spacing w:val="0"/>
                <w:position w:val="0"/>
                <w:sz w:val="24"/>
                <w:szCs w:val="24"/>
                <w:highlight w:val="none"/>
                <w:lang w:val="en-US" w:eastAsia="zh-CN"/>
              </w:rPr>
            </w:pPr>
            <w:r>
              <w:rPr>
                <w:rFonts w:hint="default" w:ascii="Times New Roman" w:hAnsi="Times New Roman" w:eastAsia="宋体" w:cs="Times New Roman"/>
                <w:b w:val="0"/>
                <w:bCs w:val="0"/>
                <w:color w:val="auto"/>
                <w:spacing w:val="0"/>
                <w:position w:val="0"/>
                <w:sz w:val="24"/>
                <w:szCs w:val="24"/>
                <w:highlight w:val="none"/>
                <w:lang w:val="en-US" w:eastAsia="zh-CN"/>
              </w:rPr>
              <w:t>审查文件名称及文号：柳州市生态环境局关于印发《广西鹿寨高新技术产业开发区建设与发展总体规划（2022-2035）环境影响报告书》审查意见的通知（柳环函〔2023〕571号）</w:t>
            </w:r>
          </w:p>
        </w:tc>
      </w:tr>
      <w:tr w14:paraId="68B64E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13" w:type="pct"/>
            <w:tcBorders>
              <w:tl2br w:val="nil"/>
              <w:tr2bl w:val="nil"/>
            </w:tcBorders>
            <w:noWrap w:val="0"/>
            <w:vAlign w:val="center"/>
          </w:tcPr>
          <w:p w14:paraId="33327345">
            <w:pPr>
              <w:keepNext w:val="0"/>
              <w:keepLines w:val="0"/>
              <w:pageBreakBefore w:val="0"/>
              <w:widowControl w:val="0"/>
              <w:suppressLineNumbers w:val="0"/>
              <w:kinsoku/>
              <w:wordWrap/>
              <w:overflowPunct/>
              <w:topLinePunct w:val="0"/>
              <w:autoSpaceDE w:val="0"/>
              <w:autoSpaceDN w:val="0"/>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color w:val="auto"/>
                <w:spacing w:val="0"/>
                <w:w w:val="100"/>
                <w:kern w:val="0"/>
                <w:position w:val="0"/>
                <w:sz w:val="24"/>
                <w:szCs w:val="24"/>
              </w:rPr>
            </w:pPr>
            <w:r>
              <w:rPr>
                <w:rFonts w:hint="default" w:ascii="Times New Roman" w:hAnsi="Times New Roman" w:eastAsia="宋体" w:cs="Times New Roman"/>
                <w:b w:val="0"/>
                <w:bCs w:val="0"/>
                <w:color w:val="auto"/>
                <w:spacing w:val="0"/>
                <w:w w:val="100"/>
                <w:kern w:val="0"/>
                <w:position w:val="0"/>
                <w:sz w:val="24"/>
                <w:szCs w:val="24"/>
              </w:rPr>
              <w:t>规划及规划环境影响评价符合性分析</w:t>
            </w:r>
          </w:p>
        </w:tc>
        <w:tc>
          <w:tcPr>
            <w:tcW w:w="4386" w:type="pct"/>
            <w:gridSpan w:val="3"/>
            <w:tcBorders>
              <w:tl2br w:val="nil"/>
              <w:tr2bl w:val="nil"/>
            </w:tcBorders>
            <w:noWrap w:val="0"/>
            <w:vAlign w:val="center"/>
          </w:tcPr>
          <w:p w14:paraId="045125DF">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baseline"/>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1、与《广西鹿寨高新技术产业开发区建设与发展总体规划（2022-2035）》产业定位及用地规划相符性分析</w:t>
            </w:r>
          </w:p>
          <w:p w14:paraId="76BD6AE7">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baseline"/>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根据《广西鹿寨高新技术产业开发区建设与发展总体规划（2022-2035）》，鹿寨县高新区总规划面积为2077.68hm</w:t>
            </w:r>
            <w:r>
              <w:rPr>
                <w:rFonts w:hint="default" w:ascii="Times New Roman" w:hAnsi="Times New Roman" w:eastAsia="宋体" w:cs="Times New Roman"/>
                <w:b w:val="0"/>
                <w:bCs w:val="0"/>
                <w:color w:val="auto"/>
                <w:spacing w:val="0"/>
                <w:w w:val="100"/>
                <w:kern w:val="0"/>
                <w:position w:val="0"/>
                <w:sz w:val="24"/>
                <w:szCs w:val="24"/>
                <w:vertAlign w:val="superscript"/>
                <w:lang w:val="en-US" w:eastAsia="zh-CN"/>
              </w:rPr>
              <w:t>2</w:t>
            </w:r>
            <w:r>
              <w:rPr>
                <w:rFonts w:hint="default" w:ascii="Times New Roman" w:hAnsi="Times New Roman" w:eastAsia="宋体" w:cs="Times New Roman"/>
                <w:b w:val="0"/>
                <w:bCs w:val="0"/>
                <w:color w:val="auto"/>
                <w:spacing w:val="0"/>
                <w:w w:val="100"/>
                <w:kern w:val="0"/>
                <w:position w:val="0"/>
                <w:sz w:val="24"/>
                <w:szCs w:val="24"/>
                <w:lang w:val="en-US" w:eastAsia="zh-CN"/>
              </w:rPr>
              <w:t>，分为中心片区、城东片区、江口片区3个区域。中心片区东至鹿寨县第一初级中学北侧交界处，西至军泰预制建材有限公司搅拌站西侧边界线，北至政军路，南至正菱水泥厂南侧边界线。城东片区东至汕昆高速，西至广西畔森装饰材料有限公司东侧边界，北至鹿寨县初级实验中学北侧交界处，南至泉南高速。江口片区东至鹿寨港区江口作业区东侧边界线，西至电镀工业园西侧边界线，北至凉亭屯南侧边界，南至鹿寨港区江口作业区南侧边界线。</w:t>
            </w:r>
          </w:p>
          <w:p w14:paraId="09A93728">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baseline"/>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产业定位：鹿寨高新区的产业定位可概括“3+3+3”，即重点发展先进制造、生态环保和新材料产业，兼顾发展大健康、电子信息和新能源与节能产业，配套发展科技服务、商贸服务和现代物流等产业。</w:t>
            </w:r>
          </w:p>
          <w:p w14:paraId="0D1818D8">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baseline"/>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规划结构：规划区最终形成“一轴双翼，飞地驱动，三核四心多组团”的总体空间布局结构。“一轴”即园区发展主轴322国道；“双翼”即东西两翼，分布在鹿寨县城东西两侧的城东片区和中心片区；“飞地驱动”即江口片区为规划的飞地区域；“三核四心”即科技服务核、文体休闲核、临港物流核、滨水休闲中心、景观生态中心、综合服务中心、居住配套中心；“多组团”即综合工业组团、活力居住组团、配套发展组团、生态休闲组团。</w:t>
            </w:r>
          </w:p>
          <w:p w14:paraId="1B6A1951">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baseline"/>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本项目为</w:t>
            </w:r>
            <w:r>
              <w:rPr>
                <w:rFonts w:hint="default" w:ascii="Times New Roman" w:hAnsi="Times New Roman" w:eastAsia="宋体" w:cs="Times New Roman"/>
                <w:b w:val="0"/>
                <w:bCs w:val="0"/>
                <w:color w:val="auto"/>
                <w:spacing w:val="0"/>
                <w:w w:val="100"/>
                <w:position w:val="0"/>
                <w:sz w:val="24"/>
                <w:szCs w:val="24"/>
                <w:highlight w:val="none"/>
                <w:lang w:val="en-US" w:eastAsia="zh-CN"/>
              </w:rPr>
              <w:t>C3391黑色金属铸造，</w:t>
            </w:r>
            <w:r>
              <w:rPr>
                <w:rFonts w:hint="default" w:ascii="Times New Roman" w:hAnsi="Times New Roman" w:eastAsia="宋体" w:cs="Times New Roman"/>
                <w:color w:val="auto"/>
                <w:sz w:val="24"/>
                <w:szCs w:val="24"/>
              </w:rPr>
              <w:t>折合铸件总产能</w:t>
            </w:r>
            <w:r>
              <w:rPr>
                <w:rFonts w:hint="default" w:ascii="Times New Roman" w:hAnsi="Times New Roman" w:eastAsia="宋体" w:cs="Times New Roman"/>
                <w:color w:val="auto"/>
                <w:sz w:val="24"/>
                <w:szCs w:val="24"/>
                <w:lang w:val="en-US" w:eastAsia="zh-CN"/>
              </w:rPr>
              <w:t>约</w:t>
            </w:r>
            <w:r>
              <w:rPr>
                <w:rStyle w:val="63"/>
                <w:rFonts w:hint="eastAsia" w:ascii="Times New Roman" w:hAnsi="Times New Roman" w:eastAsia="宋体" w:cs="Times New Roman"/>
                <w:b w:val="0"/>
                <w:bCs w:val="0"/>
                <w:color w:val="auto"/>
                <w:sz w:val="24"/>
                <w:szCs w:val="24"/>
                <w:lang w:val="en-US" w:eastAsia="zh-CN"/>
              </w:rPr>
              <w:t>2000</w:t>
            </w:r>
            <w:r>
              <w:rPr>
                <w:rStyle w:val="63"/>
                <w:rFonts w:hint="default" w:ascii="Times New Roman" w:hAnsi="Times New Roman" w:eastAsia="宋体" w:cs="Times New Roman"/>
                <w:b w:val="0"/>
                <w:bCs w:val="0"/>
                <w:color w:val="auto"/>
                <w:sz w:val="24"/>
                <w:szCs w:val="24"/>
              </w:rPr>
              <w:t xml:space="preserve"> t/a</w:t>
            </w:r>
            <w:r>
              <w:rPr>
                <w:rStyle w:val="63"/>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pacing w:val="0"/>
                <w:w w:val="100"/>
                <w:position w:val="0"/>
                <w:sz w:val="24"/>
                <w:szCs w:val="24"/>
                <w:highlight w:val="none"/>
                <w:lang w:val="en-US" w:eastAsia="zh-CN"/>
              </w:rPr>
              <w:t>产品为</w:t>
            </w:r>
            <w:r>
              <w:rPr>
                <w:rFonts w:hint="default" w:ascii="Times New Roman" w:hAnsi="Times New Roman" w:eastAsia="宋体" w:cs="Times New Roman"/>
                <w:b w:val="0"/>
                <w:bCs w:val="0"/>
                <w:color w:val="auto"/>
                <w:spacing w:val="0"/>
                <w:w w:val="100"/>
                <w:position w:val="0"/>
                <w:sz w:val="24"/>
                <w:szCs w:val="24"/>
                <w:lang w:val="en-US" w:eastAsia="zh-CN"/>
              </w:rPr>
              <w:t>造纸制浆高端磨片及耐磨件，属于先进制造产业</w:t>
            </w:r>
            <w:r>
              <w:rPr>
                <w:rFonts w:hint="default" w:ascii="Times New Roman" w:hAnsi="Times New Roman" w:eastAsia="宋体" w:cs="Times New Roman"/>
                <w:b w:val="0"/>
                <w:bCs w:val="0"/>
                <w:color w:val="auto"/>
                <w:spacing w:val="0"/>
                <w:w w:val="100"/>
                <w:kern w:val="0"/>
                <w:position w:val="0"/>
                <w:sz w:val="24"/>
                <w:szCs w:val="24"/>
                <w:lang w:val="en-US" w:eastAsia="zh-CN"/>
              </w:rPr>
              <w:t>。根据桂（2025）鹿寨县不动产权第0001317号土地证明，本地块属于工业用地（详见附件4）；根据鹿寨县投资促进中心文件企业入驻通知书文件（鹿投促通﹝2025﹞35号）显示，已同意《造纸制浆高端磨片及耐磨件生产项目》入驻（详见附件6）。本项目用地符合园区用地规划要求。</w:t>
            </w:r>
          </w:p>
          <w:p w14:paraId="26523AD2">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baseline"/>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2、与《广西鹿寨高新技术产业开发区建设与发展总体规划（2022-2035）环境影响报告书》及其审查意见相符性分析</w:t>
            </w:r>
          </w:p>
          <w:p w14:paraId="724C1D64">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baseline"/>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根据《广西鹿寨高新技术产业开发区建设与发展总体规划（2022-2035）环境影响报告书》及其审查意见（柳环函﹝2023﹞571号），分析项目与鹿寨高新区环境准入要求的相符性，见表1-1；与园区产业结构负面清单相符性，见表1-2。</w:t>
            </w:r>
          </w:p>
          <w:p w14:paraId="3CC6B542">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baseline"/>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bCs/>
                <w:color w:val="auto"/>
                <w:spacing w:val="0"/>
                <w:w w:val="100"/>
                <w:position w:val="0"/>
                <w:sz w:val="21"/>
                <w:szCs w:val="21"/>
              </w:rPr>
              <w:t>表</w:t>
            </w:r>
            <w:r>
              <w:rPr>
                <w:rFonts w:hint="default" w:ascii="Times New Roman" w:hAnsi="Times New Roman" w:eastAsia="宋体" w:cs="Times New Roman"/>
                <w:b/>
                <w:bCs/>
                <w:color w:val="auto"/>
                <w:spacing w:val="0"/>
                <w:w w:val="100"/>
                <w:position w:val="0"/>
                <w:sz w:val="21"/>
                <w:szCs w:val="21"/>
                <w:lang w:val="en-US" w:eastAsia="zh-CN"/>
              </w:rPr>
              <w:t>1-1 鹿寨高新区环境准入要求表</w:t>
            </w:r>
          </w:p>
          <w:tbl>
            <w:tblPr>
              <w:tblStyle w:val="431"/>
              <w:tblW w:w="5000" w:type="pct"/>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0" w:type="dxa"/>
                <w:left w:w="0" w:type="dxa"/>
                <w:bottom w:w="0" w:type="dxa"/>
                <w:right w:w="0" w:type="dxa"/>
              </w:tblCellMar>
            </w:tblPr>
            <w:tblGrid>
              <w:gridCol w:w="671"/>
              <w:gridCol w:w="3850"/>
              <w:gridCol w:w="1942"/>
              <w:gridCol w:w="743"/>
            </w:tblGrid>
            <w:tr w14:paraId="146570D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66" w:type="pct"/>
                  <w:tcBorders>
                    <w:tl2br w:val="nil"/>
                    <w:tr2bl w:val="nil"/>
                  </w:tcBorders>
                  <w:vAlign w:val="center"/>
                </w:tcPr>
                <w:p w14:paraId="3A206B2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b/>
                      <w:bCs/>
                      <w:color w:val="auto"/>
                      <w:spacing w:val="0"/>
                      <w:w w:val="100"/>
                      <w:sz w:val="21"/>
                      <w:szCs w:val="21"/>
                    </w:rPr>
                    <w:t>类型</w:t>
                  </w:r>
                </w:p>
              </w:tc>
              <w:tc>
                <w:tcPr>
                  <w:tcW w:w="2670" w:type="pct"/>
                  <w:tcBorders>
                    <w:tl2br w:val="nil"/>
                    <w:tr2bl w:val="nil"/>
                  </w:tcBorders>
                  <w:vAlign w:val="center"/>
                </w:tcPr>
                <w:p w14:paraId="6A9C05F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b/>
                      <w:bCs/>
                      <w:color w:val="auto"/>
                      <w:spacing w:val="0"/>
                      <w:w w:val="100"/>
                      <w:sz w:val="21"/>
                      <w:szCs w:val="21"/>
                    </w:rPr>
                    <w:t>准入要求</w:t>
                  </w:r>
                </w:p>
              </w:tc>
              <w:tc>
                <w:tcPr>
                  <w:tcW w:w="1347" w:type="pct"/>
                  <w:tcBorders>
                    <w:tl2br w:val="nil"/>
                    <w:tr2bl w:val="nil"/>
                  </w:tcBorders>
                  <w:vAlign w:val="center"/>
                </w:tcPr>
                <w:p w14:paraId="22ABF24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b/>
                      <w:bCs/>
                      <w:color w:val="auto"/>
                      <w:spacing w:val="0"/>
                      <w:w w:val="100"/>
                      <w:sz w:val="21"/>
                      <w:szCs w:val="21"/>
                    </w:rPr>
                    <w:t>项目情况</w:t>
                  </w:r>
                </w:p>
              </w:tc>
              <w:tc>
                <w:tcPr>
                  <w:tcW w:w="515" w:type="pct"/>
                  <w:tcBorders>
                    <w:tl2br w:val="nil"/>
                    <w:tr2bl w:val="nil"/>
                  </w:tcBorders>
                  <w:vAlign w:val="center"/>
                </w:tcPr>
                <w:p w14:paraId="4FE1DC1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b/>
                      <w:bCs/>
                      <w:color w:val="auto"/>
                      <w:spacing w:val="0"/>
                      <w:w w:val="100"/>
                      <w:sz w:val="21"/>
                      <w:szCs w:val="21"/>
                    </w:rPr>
                    <w:t>符合性</w:t>
                  </w:r>
                </w:p>
              </w:tc>
            </w:tr>
            <w:tr w14:paraId="37C09CC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66" w:type="pct"/>
                  <w:vMerge w:val="restart"/>
                  <w:tcBorders>
                    <w:tl2br w:val="nil"/>
                    <w:tr2bl w:val="nil"/>
                  </w:tcBorders>
                  <w:vAlign w:val="center"/>
                </w:tcPr>
                <w:p w14:paraId="46A9777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空间布局约束</w:t>
                  </w:r>
                </w:p>
              </w:tc>
              <w:tc>
                <w:tcPr>
                  <w:tcW w:w="2670" w:type="pct"/>
                  <w:tcBorders>
                    <w:tl2br w:val="nil"/>
                    <w:tr2bl w:val="nil"/>
                  </w:tcBorders>
                  <w:vAlign w:val="center"/>
                </w:tcPr>
                <w:p w14:paraId="1AAAE4A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1、入园企业污染物排放应不造成区域环境质量降级。</w:t>
                  </w:r>
                </w:p>
              </w:tc>
              <w:tc>
                <w:tcPr>
                  <w:tcW w:w="1347" w:type="pct"/>
                  <w:tcBorders>
                    <w:tl2br w:val="nil"/>
                    <w:tr2bl w:val="nil"/>
                  </w:tcBorders>
                  <w:vAlign w:val="center"/>
                </w:tcPr>
                <w:p w14:paraId="08962A8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本项目产生的废水、废气等污染物采取相应措施后，均能达标排放，对区域环境影响不大。</w:t>
                  </w:r>
                </w:p>
              </w:tc>
              <w:tc>
                <w:tcPr>
                  <w:tcW w:w="515" w:type="pct"/>
                  <w:tcBorders>
                    <w:tl2br w:val="nil"/>
                    <w:tr2bl w:val="nil"/>
                  </w:tcBorders>
                  <w:vAlign w:val="center"/>
                </w:tcPr>
                <w:p w14:paraId="3DB4B95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13B1028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66" w:type="pct"/>
                  <w:vMerge w:val="continue"/>
                  <w:tcBorders>
                    <w:tl2br w:val="nil"/>
                    <w:tr2bl w:val="nil"/>
                  </w:tcBorders>
                  <w:vAlign w:val="center"/>
                </w:tcPr>
                <w:p w14:paraId="1EB8C8F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670" w:type="pct"/>
                  <w:tcBorders>
                    <w:tl2br w:val="nil"/>
                    <w:tr2bl w:val="nil"/>
                  </w:tcBorders>
                  <w:vAlign w:val="center"/>
                </w:tcPr>
                <w:p w14:paraId="6CBDA21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2、企业自建的危险化学品仓储及园区危化品原料仓库必须满足《危险化学品生产装置和存储设施外部安全防护距离确定方法》（GB/T37243-2019）、《危险化学品经营企业安全技术基本要求》（GB18265-2019）等规范要求。</w:t>
                  </w:r>
                </w:p>
              </w:tc>
              <w:tc>
                <w:tcPr>
                  <w:tcW w:w="1347" w:type="pct"/>
                  <w:tcBorders>
                    <w:tl2br w:val="nil"/>
                    <w:tr2bl w:val="nil"/>
                  </w:tcBorders>
                  <w:vAlign w:val="center"/>
                </w:tcPr>
                <w:p w14:paraId="49E1D0A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本项目不涉及危险化学品仓储。</w:t>
                  </w:r>
                </w:p>
              </w:tc>
              <w:tc>
                <w:tcPr>
                  <w:tcW w:w="515" w:type="pct"/>
                  <w:tcBorders>
                    <w:tl2br w:val="nil"/>
                    <w:tr2bl w:val="nil"/>
                  </w:tcBorders>
                  <w:vAlign w:val="center"/>
                </w:tcPr>
                <w:p w14:paraId="246EA0E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04B646C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66" w:type="pct"/>
                  <w:vMerge w:val="continue"/>
                  <w:tcBorders>
                    <w:tl2br w:val="nil"/>
                    <w:tr2bl w:val="nil"/>
                  </w:tcBorders>
                  <w:vAlign w:val="center"/>
                </w:tcPr>
                <w:p w14:paraId="0F201D6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670" w:type="pct"/>
                  <w:tcBorders>
                    <w:tl2br w:val="nil"/>
                    <w:tr2bl w:val="nil"/>
                  </w:tcBorders>
                  <w:vAlign w:val="center"/>
                </w:tcPr>
                <w:p w14:paraId="78DF27A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3、两高项目及主要行业须符合生态环境保护法律法规和相关法定规划，满足重点污染物排放总量控制、碳排放达峰目标、生态环境准入清单、相关规划环评和相应行业建设项目环境准入条件、环评文件审批原则要求。</w:t>
                  </w:r>
                </w:p>
              </w:tc>
              <w:tc>
                <w:tcPr>
                  <w:tcW w:w="1347" w:type="pct"/>
                  <w:tcBorders>
                    <w:tl2br w:val="nil"/>
                    <w:tr2bl w:val="nil"/>
                  </w:tcBorders>
                  <w:vAlign w:val="center"/>
                </w:tcPr>
                <w:p w14:paraId="759FD8D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本项目不属于两高项目。</w:t>
                  </w:r>
                </w:p>
              </w:tc>
              <w:tc>
                <w:tcPr>
                  <w:tcW w:w="515" w:type="pct"/>
                  <w:tcBorders>
                    <w:tl2br w:val="nil"/>
                    <w:tr2bl w:val="nil"/>
                  </w:tcBorders>
                  <w:vAlign w:val="center"/>
                </w:tcPr>
                <w:p w14:paraId="52EDD2C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520C6CC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66" w:type="pct"/>
                  <w:vMerge w:val="continue"/>
                  <w:tcBorders>
                    <w:tl2br w:val="nil"/>
                    <w:tr2bl w:val="nil"/>
                  </w:tcBorders>
                  <w:vAlign w:val="center"/>
                </w:tcPr>
                <w:p w14:paraId="6261740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670" w:type="pct"/>
                  <w:tcBorders>
                    <w:tl2br w:val="nil"/>
                    <w:tr2bl w:val="nil"/>
                  </w:tcBorders>
                  <w:vAlign w:val="center"/>
                </w:tcPr>
                <w:p w14:paraId="2C38A77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4、根据《电力设施保护条例》(国务院令第239号)，高压管廊应将导线边线向外侧水平延伸并垂直于地面所形成的两平行面内的区域设为架空电力线路保护区，110kV边线延伸距离为10m，220kV边线延伸距离为15m。</w:t>
                  </w:r>
                </w:p>
              </w:tc>
              <w:tc>
                <w:tcPr>
                  <w:tcW w:w="1347" w:type="pct"/>
                  <w:tcBorders>
                    <w:tl2br w:val="nil"/>
                    <w:tr2bl w:val="nil"/>
                  </w:tcBorders>
                  <w:vAlign w:val="center"/>
                </w:tcPr>
                <w:p w14:paraId="067CE7B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项目厂界周边20m内无电线塔。</w:t>
                  </w:r>
                </w:p>
              </w:tc>
              <w:tc>
                <w:tcPr>
                  <w:tcW w:w="515" w:type="pct"/>
                  <w:tcBorders>
                    <w:tl2br w:val="nil"/>
                    <w:tr2bl w:val="nil"/>
                  </w:tcBorders>
                  <w:vAlign w:val="center"/>
                </w:tcPr>
                <w:p w14:paraId="45A4E1F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3DE4998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66" w:type="pct"/>
                  <w:vMerge w:val="restart"/>
                  <w:tcBorders>
                    <w:tl2br w:val="nil"/>
                    <w:tr2bl w:val="nil"/>
                  </w:tcBorders>
                  <w:vAlign w:val="center"/>
                </w:tcPr>
                <w:p w14:paraId="2374E21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主导产业约束</w:t>
                  </w:r>
                </w:p>
              </w:tc>
              <w:tc>
                <w:tcPr>
                  <w:tcW w:w="2670" w:type="pct"/>
                  <w:tcBorders>
                    <w:tl2br w:val="nil"/>
                    <w:tr2bl w:val="nil"/>
                  </w:tcBorders>
                  <w:vAlign w:val="center"/>
                </w:tcPr>
                <w:p w14:paraId="0C2F793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1、限制涉及《产业结构调整指导目录（2019年本）》（2021年12月修改）、《广西工业产业结构调整指导目录（2021年本）》中规定的限制类生产工艺装备、产品的项目入驻。禁止采用《产业结构调整指导目录（2019年本）》（2021年12月修改）中规定的淘汰类落后生产工艺装备，或生产淘汰类落后产品的项目入驻。</w:t>
                  </w:r>
                </w:p>
              </w:tc>
              <w:tc>
                <w:tcPr>
                  <w:tcW w:w="1347" w:type="pct"/>
                  <w:tcBorders>
                    <w:tl2br w:val="nil"/>
                    <w:tr2bl w:val="nil"/>
                  </w:tcBorders>
                  <w:vAlign w:val="center"/>
                </w:tcPr>
                <w:p w14:paraId="3957B34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项目生产工艺装备、产品均不属于限制类；项目使用的生产工艺、生产设备均为行业内先进工艺、先进生产设备。</w:t>
                  </w:r>
                </w:p>
              </w:tc>
              <w:tc>
                <w:tcPr>
                  <w:tcW w:w="515" w:type="pct"/>
                  <w:tcBorders>
                    <w:tl2br w:val="nil"/>
                    <w:tr2bl w:val="nil"/>
                  </w:tcBorders>
                  <w:vAlign w:val="center"/>
                </w:tcPr>
                <w:p w14:paraId="26EB3AC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33C7AE2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66" w:type="pct"/>
                  <w:vMerge w:val="continue"/>
                  <w:tcBorders>
                    <w:tl2br w:val="nil"/>
                    <w:tr2bl w:val="nil"/>
                  </w:tcBorders>
                  <w:vAlign w:val="center"/>
                </w:tcPr>
                <w:p w14:paraId="22A2740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670" w:type="pct"/>
                  <w:tcBorders>
                    <w:tl2br w:val="nil"/>
                    <w:tr2bl w:val="nil"/>
                  </w:tcBorders>
                  <w:vAlign w:val="center"/>
                </w:tcPr>
                <w:p w14:paraId="17BCF1F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2、精细与专用化学品产业入驻项目应符合《关于印发广西新建石化和化工生产项目准入管理办法（试行）的通知的相关要求》以及园区禁限控目录要求。</w:t>
                  </w:r>
                </w:p>
              </w:tc>
              <w:tc>
                <w:tcPr>
                  <w:tcW w:w="1347" w:type="pct"/>
                  <w:tcBorders>
                    <w:tl2br w:val="nil"/>
                    <w:tr2bl w:val="nil"/>
                  </w:tcBorders>
                  <w:vAlign w:val="center"/>
                </w:tcPr>
                <w:p w14:paraId="42E42DD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本项目不属于精细与专用化学品产业。</w:t>
                  </w:r>
                </w:p>
              </w:tc>
              <w:tc>
                <w:tcPr>
                  <w:tcW w:w="515" w:type="pct"/>
                  <w:tcBorders>
                    <w:tl2br w:val="nil"/>
                    <w:tr2bl w:val="nil"/>
                  </w:tcBorders>
                  <w:vAlign w:val="center"/>
                </w:tcPr>
                <w:p w14:paraId="035CB3D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7ED016A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66" w:type="pct"/>
                  <w:vMerge w:val="continue"/>
                  <w:tcBorders>
                    <w:tl2br w:val="nil"/>
                    <w:tr2bl w:val="nil"/>
                  </w:tcBorders>
                  <w:vAlign w:val="center"/>
                </w:tcPr>
                <w:p w14:paraId="52CED50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670" w:type="pct"/>
                  <w:tcBorders>
                    <w:tl2br w:val="nil"/>
                    <w:tr2bl w:val="nil"/>
                  </w:tcBorders>
                  <w:vAlign w:val="center"/>
                </w:tcPr>
                <w:p w14:paraId="2246656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3、落实能源消费强度和总量双控制度。“两高项目”应符合《关于加强高耗能、高排放建设项目生态环境源头防控的指导意见》（环环评〔2021〕45号）等现行政策规定的环境管理要求。</w:t>
                  </w:r>
                </w:p>
              </w:tc>
              <w:tc>
                <w:tcPr>
                  <w:tcW w:w="1347" w:type="pct"/>
                  <w:tcBorders>
                    <w:tl2br w:val="nil"/>
                    <w:tr2bl w:val="nil"/>
                  </w:tcBorders>
                  <w:vAlign w:val="center"/>
                </w:tcPr>
                <w:p w14:paraId="0A2FD47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本项目不属于“两高项目”。</w:t>
                  </w:r>
                </w:p>
              </w:tc>
              <w:tc>
                <w:tcPr>
                  <w:tcW w:w="515" w:type="pct"/>
                  <w:tcBorders>
                    <w:tl2br w:val="nil"/>
                    <w:tr2bl w:val="nil"/>
                  </w:tcBorders>
                  <w:vAlign w:val="center"/>
                </w:tcPr>
                <w:p w14:paraId="088DCB2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47F17D5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66" w:type="pct"/>
                  <w:vMerge w:val="continue"/>
                  <w:tcBorders>
                    <w:tl2br w:val="nil"/>
                    <w:tr2bl w:val="nil"/>
                  </w:tcBorders>
                  <w:vAlign w:val="center"/>
                </w:tcPr>
                <w:p w14:paraId="689DBBE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670" w:type="pct"/>
                  <w:tcBorders>
                    <w:tl2br w:val="nil"/>
                    <w:tr2bl w:val="nil"/>
                  </w:tcBorders>
                  <w:vAlign w:val="center"/>
                </w:tcPr>
                <w:p w14:paraId="3C452A1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4、随着环保相关政策标准的不断更新出台，应以最新的为准，《产业结构调整指导目录（2019年本）》（2021年12月修改）、《广西工业产业结构调整指导目录（2021年本）》中有利于园区形成循环经济链的限制类产业经过充分论证后允以准入。</w:t>
                  </w:r>
                </w:p>
              </w:tc>
              <w:tc>
                <w:tcPr>
                  <w:tcW w:w="1347" w:type="pct"/>
                  <w:tcBorders>
                    <w:tl2br w:val="nil"/>
                    <w:tr2bl w:val="nil"/>
                  </w:tcBorders>
                  <w:vAlign w:val="center"/>
                </w:tcPr>
                <w:p w14:paraId="6C3306D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rPr>
                    <w:t>项目</w:t>
                  </w:r>
                  <w:r>
                    <w:rPr>
                      <w:rFonts w:hint="default" w:ascii="Times New Roman" w:hAnsi="Times New Roman" w:eastAsia="宋体" w:cs="Times New Roman"/>
                      <w:color w:val="auto"/>
                      <w:spacing w:val="0"/>
                      <w:w w:val="100"/>
                      <w:sz w:val="21"/>
                      <w:szCs w:val="21"/>
                      <w:lang w:val="en-US" w:eastAsia="zh-CN"/>
                    </w:rPr>
                    <w:t>不</w:t>
                  </w:r>
                  <w:r>
                    <w:rPr>
                      <w:rFonts w:hint="default" w:ascii="Times New Roman" w:hAnsi="Times New Roman" w:eastAsia="宋体" w:cs="Times New Roman"/>
                      <w:color w:val="auto"/>
                      <w:spacing w:val="0"/>
                      <w:w w:val="100"/>
                      <w:sz w:val="21"/>
                      <w:szCs w:val="21"/>
                    </w:rPr>
                    <w:t>属于《产业结构调整指导目录（2024年本）》中</w:t>
                  </w:r>
                  <w:r>
                    <w:rPr>
                      <w:rFonts w:hint="default" w:ascii="Times New Roman" w:hAnsi="Times New Roman" w:eastAsia="宋体" w:cs="Times New Roman"/>
                      <w:color w:val="auto"/>
                      <w:spacing w:val="0"/>
                      <w:w w:val="100"/>
                      <w:sz w:val="21"/>
                      <w:szCs w:val="21"/>
                      <w:lang w:val="en-US" w:eastAsia="zh-CN"/>
                    </w:rPr>
                    <w:t>限制类和淘汰类。</w:t>
                  </w:r>
                </w:p>
              </w:tc>
              <w:tc>
                <w:tcPr>
                  <w:tcW w:w="515" w:type="pct"/>
                  <w:tcBorders>
                    <w:tl2br w:val="nil"/>
                    <w:tr2bl w:val="nil"/>
                  </w:tcBorders>
                  <w:vAlign w:val="center"/>
                </w:tcPr>
                <w:p w14:paraId="280791A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0103BAA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66" w:type="pct"/>
                  <w:vMerge w:val="continue"/>
                  <w:tcBorders>
                    <w:tl2br w:val="nil"/>
                    <w:tr2bl w:val="nil"/>
                  </w:tcBorders>
                  <w:vAlign w:val="center"/>
                </w:tcPr>
                <w:p w14:paraId="576F3CF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670" w:type="pct"/>
                  <w:tcBorders>
                    <w:tl2br w:val="nil"/>
                    <w:tr2bl w:val="nil"/>
                  </w:tcBorders>
                  <w:vAlign w:val="center"/>
                </w:tcPr>
                <w:p w14:paraId="5C84EED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5、园区引进工业项目应满足《柳州市人民政府关于“三线一单”生态环境分区管控的实施意见》（柳政规〔2021〕12号）、《柳州市环境管控单元生态环境准入及管控要求清单（试行）》（柳环规〔2021〕1号）要求。</w:t>
                  </w:r>
                </w:p>
              </w:tc>
              <w:tc>
                <w:tcPr>
                  <w:tcW w:w="1347" w:type="pct"/>
                  <w:tcBorders>
                    <w:tl2br w:val="nil"/>
                    <w:tr2bl w:val="nil"/>
                  </w:tcBorders>
                  <w:vAlign w:val="center"/>
                </w:tcPr>
                <w:p w14:paraId="6F35867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项目选址不在生态红线范围内，满足柳州市“三线一单”要求。</w:t>
                  </w:r>
                </w:p>
              </w:tc>
              <w:tc>
                <w:tcPr>
                  <w:tcW w:w="515" w:type="pct"/>
                  <w:tcBorders>
                    <w:tl2br w:val="nil"/>
                    <w:tr2bl w:val="nil"/>
                  </w:tcBorders>
                  <w:vAlign w:val="center"/>
                </w:tcPr>
                <w:p w14:paraId="08AF24B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2EF9940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66" w:type="pct"/>
                  <w:vMerge w:val="restart"/>
                  <w:tcBorders>
                    <w:tl2br w:val="nil"/>
                    <w:tr2bl w:val="nil"/>
                  </w:tcBorders>
                  <w:vAlign w:val="center"/>
                </w:tcPr>
                <w:p w14:paraId="28112CA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污染物排放管控</w:t>
                  </w:r>
                </w:p>
              </w:tc>
              <w:tc>
                <w:tcPr>
                  <w:tcW w:w="2670" w:type="pct"/>
                  <w:tcBorders>
                    <w:tl2br w:val="nil"/>
                    <w:tr2bl w:val="nil"/>
                  </w:tcBorders>
                  <w:vAlign w:val="center"/>
                </w:tcPr>
                <w:p w14:paraId="5A31F45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1、入驻企业的大气、水污染物排放总量按照上级下达鹿寨县排放指标执行。</w:t>
                  </w:r>
                </w:p>
              </w:tc>
              <w:tc>
                <w:tcPr>
                  <w:tcW w:w="1347" w:type="pct"/>
                  <w:tcBorders>
                    <w:tl2br w:val="nil"/>
                    <w:tr2bl w:val="nil"/>
                  </w:tcBorders>
                  <w:vAlign w:val="center"/>
                </w:tcPr>
                <w:p w14:paraId="16517B3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本项目大气、水污染物排放总量将按照上级下达鹿寨县排放指标执行。</w:t>
                  </w:r>
                </w:p>
              </w:tc>
              <w:tc>
                <w:tcPr>
                  <w:tcW w:w="515" w:type="pct"/>
                  <w:tcBorders>
                    <w:tl2br w:val="nil"/>
                    <w:tr2bl w:val="nil"/>
                  </w:tcBorders>
                  <w:vAlign w:val="center"/>
                </w:tcPr>
                <w:p w14:paraId="5C02450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7C8C84C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66" w:type="pct"/>
                  <w:vMerge w:val="continue"/>
                  <w:tcBorders>
                    <w:tl2br w:val="nil"/>
                    <w:tr2bl w:val="nil"/>
                  </w:tcBorders>
                  <w:vAlign w:val="center"/>
                </w:tcPr>
                <w:p w14:paraId="7C58CFA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670" w:type="pct"/>
                  <w:tcBorders>
                    <w:tl2br w:val="nil"/>
                    <w:tr2bl w:val="nil"/>
                  </w:tcBorders>
                  <w:vAlign w:val="center"/>
                </w:tcPr>
                <w:p w14:paraId="55F1D4F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2、在集中供热管网覆盖的地区，原则上禁止新建或扩建燃煤、燃油、生物质等供热锅炉，对于有特殊供热需求、确需新建或扩建的锅炉，应优先使用清洁能源。</w:t>
                  </w:r>
                </w:p>
              </w:tc>
              <w:tc>
                <w:tcPr>
                  <w:tcW w:w="1347" w:type="pct"/>
                  <w:tcBorders>
                    <w:tl2br w:val="nil"/>
                    <w:tr2bl w:val="nil"/>
                  </w:tcBorders>
                  <w:vAlign w:val="center"/>
                </w:tcPr>
                <w:p w14:paraId="7CB8851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w:t>
                  </w:r>
                  <w:r>
                    <w:rPr>
                      <w:rFonts w:hint="default" w:ascii="Times New Roman" w:hAnsi="Times New Roman" w:eastAsia="宋体" w:cs="Times New Roman"/>
                      <w:color w:val="auto"/>
                      <w:spacing w:val="0"/>
                      <w:w w:val="100"/>
                      <w:sz w:val="21"/>
                      <w:szCs w:val="21"/>
                      <w:lang w:val="en-US" w:eastAsia="zh-CN"/>
                    </w:rPr>
                    <w:t>设备</w:t>
                  </w:r>
                  <w:r>
                    <w:rPr>
                      <w:rFonts w:hint="default" w:ascii="Times New Roman" w:hAnsi="Times New Roman" w:eastAsia="宋体" w:cs="Times New Roman"/>
                      <w:color w:val="auto"/>
                      <w:spacing w:val="0"/>
                      <w:w w:val="100"/>
                      <w:sz w:val="21"/>
                      <w:szCs w:val="21"/>
                    </w:rPr>
                    <w:t>供热</w:t>
                  </w:r>
                  <w:r>
                    <w:rPr>
                      <w:rFonts w:hint="default" w:ascii="Times New Roman" w:hAnsi="Times New Roman" w:eastAsia="宋体" w:cs="Times New Roman"/>
                      <w:color w:val="auto"/>
                      <w:spacing w:val="0"/>
                      <w:w w:val="100"/>
                      <w:sz w:val="21"/>
                      <w:szCs w:val="21"/>
                      <w:lang w:val="en-US" w:eastAsia="zh-CN"/>
                    </w:rPr>
                    <w:t>均采用电加热</w:t>
                  </w:r>
                  <w:r>
                    <w:rPr>
                      <w:rFonts w:hint="default" w:ascii="Times New Roman" w:hAnsi="Times New Roman" w:eastAsia="宋体" w:cs="Times New Roman"/>
                      <w:color w:val="auto"/>
                      <w:spacing w:val="0"/>
                      <w:w w:val="100"/>
                      <w:sz w:val="21"/>
                      <w:szCs w:val="21"/>
                    </w:rPr>
                    <w:t>。</w:t>
                  </w:r>
                </w:p>
              </w:tc>
              <w:tc>
                <w:tcPr>
                  <w:tcW w:w="515" w:type="pct"/>
                  <w:tcBorders>
                    <w:tl2br w:val="nil"/>
                    <w:tr2bl w:val="nil"/>
                  </w:tcBorders>
                  <w:vAlign w:val="center"/>
                </w:tcPr>
                <w:p w14:paraId="0AE529B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0C9640D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66" w:type="pct"/>
                  <w:vMerge w:val="continue"/>
                  <w:tcBorders>
                    <w:tl2br w:val="nil"/>
                    <w:tr2bl w:val="nil"/>
                  </w:tcBorders>
                  <w:vAlign w:val="center"/>
                </w:tcPr>
                <w:p w14:paraId="34600FE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670" w:type="pct"/>
                  <w:tcBorders>
                    <w:tl2br w:val="nil"/>
                    <w:tr2bl w:val="nil"/>
                  </w:tcBorders>
                  <w:vAlign w:val="center"/>
                </w:tcPr>
                <w:p w14:paraId="6955405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3、保障洛清江、柳江纳污河段水质满足《地表水环境质量标准》（GB3838-2002）Ⅲ类标准要求、且对亭市控断面、猫耳山区控断面水质达到Ⅱ类标准要求，污水排放须严格控制在园区污水处理设施的处理能力和污染物总量指标范围内。</w:t>
                  </w:r>
                </w:p>
              </w:tc>
              <w:tc>
                <w:tcPr>
                  <w:tcW w:w="1347" w:type="pct"/>
                  <w:tcBorders>
                    <w:tl2br w:val="nil"/>
                    <w:tr2bl w:val="nil"/>
                  </w:tcBorders>
                  <w:vAlign w:val="center"/>
                </w:tcPr>
                <w:p w14:paraId="633B411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生活污水经化粪池处理达《污水综合排放标准》（GB8978-1996）表4中三级标准限值后前期用吸粪车定期清运至污水厂，后期待管网接通后排入污水管网通过市政污水管网输送至鹿寨县城第二污水处理厂处理后排入洛清江。</w:t>
                  </w:r>
                </w:p>
              </w:tc>
              <w:tc>
                <w:tcPr>
                  <w:tcW w:w="515" w:type="pct"/>
                  <w:tcBorders>
                    <w:tl2br w:val="nil"/>
                    <w:tr2bl w:val="nil"/>
                  </w:tcBorders>
                  <w:vAlign w:val="center"/>
                </w:tcPr>
                <w:p w14:paraId="2C3B79E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25EDBDC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66" w:type="pct"/>
                  <w:vMerge w:val="continue"/>
                  <w:tcBorders>
                    <w:tl2br w:val="nil"/>
                    <w:tr2bl w:val="nil"/>
                  </w:tcBorders>
                  <w:vAlign w:val="center"/>
                </w:tcPr>
                <w:p w14:paraId="2D5CD40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670" w:type="pct"/>
                  <w:tcBorders>
                    <w:tl2br w:val="nil"/>
                    <w:tr2bl w:val="nil"/>
                  </w:tcBorders>
                  <w:vAlign w:val="center"/>
                </w:tcPr>
                <w:p w14:paraId="2505A51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4、入园建设项目主要污染物排放应控制在区域环境承载能力范围内，并确保完成自治区下达的主要污染物排放总量削减的约束性任务，保障环境质量达标。</w:t>
                  </w:r>
                </w:p>
              </w:tc>
              <w:tc>
                <w:tcPr>
                  <w:tcW w:w="1347" w:type="pct"/>
                  <w:tcBorders>
                    <w:tl2br w:val="nil"/>
                    <w:tr2bl w:val="nil"/>
                  </w:tcBorders>
                  <w:vAlign w:val="center"/>
                </w:tcPr>
                <w:p w14:paraId="2DBC152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项目污染物排放量小，可控制在区域环境承载能力范围内。</w:t>
                  </w:r>
                </w:p>
              </w:tc>
              <w:tc>
                <w:tcPr>
                  <w:tcW w:w="515" w:type="pct"/>
                  <w:tcBorders>
                    <w:tl2br w:val="nil"/>
                    <w:tr2bl w:val="nil"/>
                  </w:tcBorders>
                  <w:vAlign w:val="center"/>
                </w:tcPr>
                <w:p w14:paraId="3B19A6A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350F6C6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66" w:type="pct"/>
                  <w:vMerge w:val="continue"/>
                  <w:tcBorders>
                    <w:tl2br w:val="nil"/>
                    <w:tr2bl w:val="nil"/>
                  </w:tcBorders>
                  <w:vAlign w:val="center"/>
                </w:tcPr>
                <w:p w14:paraId="34D99F1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670" w:type="pct"/>
                  <w:tcBorders>
                    <w:tl2br w:val="nil"/>
                    <w:tr2bl w:val="nil"/>
                  </w:tcBorders>
                  <w:vAlign w:val="center"/>
                </w:tcPr>
                <w:p w14:paraId="22CDFA1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5、江口片区的荣拓污水处理厂Ni排放总量不能超过4.2kg/d（合1.26t/a，一年以300天计）。</w:t>
                  </w:r>
                </w:p>
              </w:tc>
              <w:tc>
                <w:tcPr>
                  <w:tcW w:w="1347" w:type="pct"/>
                  <w:tcBorders>
                    <w:tl2br w:val="nil"/>
                    <w:tr2bl w:val="nil"/>
                  </w:tcBorders>
                  <w:vAlign w:val="center"/>
                </w:tcPr>
                <w:p w14:paraId="4FFB092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项目不涉及Ni的排放。</w:t>
                  </w:r>
                </w:p>
              </w:tc>
              <w:tc>
                <w:tcPr>
                  <w:tcW w:w="515" w:type="pct"/>
                  <w:tcBorders>
                    <w:tl2br w:val="nil"/>
                    <w:tr2bl w:val="nil"/>
                  </w:tcBorders>
                  <w:vAlign w:val="center"/>
                </w:tcPr>
                <w:p w14:paraId="6DF5C1A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5AD8020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66" w:type="pct"/>
                  <w:vMerge w:val="continue"/>
                  <w:tcBorders>
                    <w:tl2br w:val="nil"/>
                    <w:tr2bl w:val="nil"/>
                  </w:tcBorders>
                  <w:vAlign w:val="center"/>
                </w:tcPr>
                <w:p w14:paraId="760EFE4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670" w:type="pct"/>
                  <w:tcBorders>
                    <w:tl2br w:val="nil"/>
                    <w:tr2bl w:val="nil"/>
                  </w:tcBorders>
                  <w:vAlign w:val="center"/>
                </w:tcPr>
                <w:p w14:paraId="562CC4B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6、高新区一般工业固体废物及危险废物处置率应达到100%。</w:t>
                  </w:r>
                </w:p>
              </w:tc>
              <w:tc>
                <w:tcPr>
                  <w:tcW w:w="1347" w:type="pct"/>
                  <w:tcBorders>
                    <w:tl2br w:val="nil"/>
                    <w:tr2bl w:val="nil"/>
                  </w:tcBorders>
                  <w:vAlign w:val="center"/>
                </w:tcPr>
                <w:p w14:paraId="5487C84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项目运营期产生的固体废物均妥善处置，处置率达到100%。</w:t>
                  </w:r>
                </w:p>
              </w:tc>
              <w:tc>
                <w:tcPr>
                  <w:tcW w:w="515" w:type="pct"/>
                  <w:tcBorders>
                    <w:tl2br w:val="nil"/>
                    <w:tr2bl w:val="nil"/>
                  </w:tcBorders>
                  <w:vAlign w:val="center"/>
                </w:tcPr>
                <w:p w14:paraId="1F6A2BF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6EE9C35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66" w:type="pct"/>
                  <w:vMerge w:val="restart"/>
                  <w:tcBorders>
                    <w:tl2br w:val="nil"/>
                    <w:tr2bl w:val="nil"/>
                  </w:tcBorders>
                  <w:vAlign w:val="center"/>
                </w:tcPr>
                <w:p w14:paraId="1258FE7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环境风险防控</w:t>
                  </w:r>
                </w:p>
              </w:tc>
              <w:tc>
                <w:tcPr>
                  <w:tcW w:w="2670" w:type="pct"/>
                  <w:tcBorders>
                    <w:tl2br w:val="nil"/>
                    <w:tr2bl w:val="nil"/>
                  </w:tcBorders>
                  <w:vAlign w:val="center"/>
                </w:tcPr>
                <w:p w14:paraId="44BE5543">
                  <w:pPr>
                    <w:keepNext w:val="0"/>
                    <w:keepLines w:val="0"/>
                    <w:pageBreakBefore w:val="0"/>
                    <w:widowControl/>
                    <w:numPr>
                      <w:ilvl w:val="0"/>
                      <w:numId w:val="7"/>
                    </w:numPr>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建立污染源头、过程处理和最终排放的“三级防控”机制，制定园区突发环境污染事故应急预案。</w:t>
                  </w:r>
                </w:p>
                <w:p w14:paraId="4C848B42">
                  <w:pPr>
                    <w:keepNext w:val="0"/>
                    <w:keepLines w:val="0"/>
                    <w:pageBreakBefore w:val="0"/>
                    <w:widowControl/>
                    <w:numPr>
                      <w:ilvl w:val="0"/>
                      <w:numId w:val="7"/>
                    </w:numPr>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在化工园区雨水总排口与周边沟渠之间设置可关闭的应急闸门，事故情况下关闭闸门并将雨水管网的事故废水转接至园区污水管，引入园区污水处理厂事故应急池，防止事故状态下园区废水污染洛清江。</w:t>
                  </w:r>
                </w:p>
                <w:p w14:paraId="3EDB025A">
                  <w:pPr>
                    <w:keepNext w:val="0"/>
                    <w:keepLines w:val="0"/>
                    <w:pageBreakBefore w:val="0"/>
                    <w:widowControl/>
                    <w:numPr>
                      <w:ilvl w:val="0"/>
                      <w:numId w:val="7"/>
                    </w:numPr>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园区污水处理厂应严格管控污水排放量和浓度，保障尾水达标排放，并配备事故应急池，杜绝发生事故废水入河。</w:t>
                  </w:r>
                </w:p>
                <w:p w14:paraId="0F344983">
                  <w:pPr>
                    <w:keepNext w:val="0"/>
                    <w:keepLines w:val="0"/>
                    <w:pageBreakBefore w:val="0"/>
                    <w:widowControl/>
                    <w:numPr>
                      <w:ilvl w:val="0"/>
                      <w:numId w:val="0"/>
                    </w:numPr>
                    <w:kinsoku w:val="0"/>
                    <w:wordWrap/>
                    <w:overflowPunct/>
                    <w:topLinePunct w:val="0"/>
                    <w:autoSpaceDE w:val="0"/>
                    <w:autoSpaceDN w:val="0"/>
                    <w:bidi w:val="0"/>
                    <w:adjustRightInd w:val="0"/>
                    <w:snapToGrid w:val="0"/>
                    <w:spacing w:line="240" w:lineRule="auto"/>
                    <w:ind w:leftChars="0" w:right="0" w:right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4、开展环境风险评估，制定突发环境事件应急预案并备案，配备应急能力和物资，建设环境应急队伍，并定期演练。企业、园区与地方人民政府环境应急预案应当有机衔接。</w:t>
                  </w:r>
                </w:p>
              </w:tc>
              <w:tc>
                <w:tcPr>
                  <w:tcW w:w="1347" w:type="pct"/>
                  <w:tcBorders>
                    <w:tl2br w:val="nil"/>
                    <w:tr2bl w:val="nil"/>
                  </w:tcBorders>
                  <w:vAlign w:val="center"/>
                </w:tcPr>
                <w:p w14:paraId="4C5D9CD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lang w:eastAsia="zh-CN"/>
                    </w:rPr>
                  </w:pPr>
                  <w:r>
                    <w:rPr>
                      <w:rFonts w:hint="default" w:ascii="Times New Roman" w:hAnsi="Times New Roman" w:eastAsia="宋体" w:cs="Times New Roman"/>
                      <w:color w:val="auto"/>
                      <w:spacing w:val="0"/>
                      <w:w w:val="100"/>
                      <w:sz w:val="21"/>
                      <w:szCs w:val="21"/>
                    </w:rPr>
                    <w:t>本项目建成后将制定突发环境事件应急预案，配备应急能力和物资，建设应急队伍并定期演练，同时与园区、鹿寨县人民政府环境应急预案有机衔接</w:t>
                  </w:r>
                  <w:r>
                    <w:rPr>
                      <w:rFonts w:hint="default" w:ascii="Times New Roman" w:hAnsi="Times New Roman" w:eastAsia="宋体" w:cs="Times New Roman"/>
                      <w:color w:val="auto"/>
                      <w:spacing w:val="0"/>
                      <w:w w:val="100"/>
                      <w:sz w:val="21"/>
                      <w:szCs w:val="21"/>
                      <w:lang w:eastAsia="zh-CN"/>
                    </w:rPr>
                    <w:t>。</w:t>
                  </w:r>
                </w:p>
              </w:tc>
              <w:tc>
                <w:tcPr>
                  <w:tcW w:w="515" w:type="pct"/>
                  <w:tcBorders>
                    <w:tl2br w:val="nil"/>
                    <w:tr2bl w:val="nil"/>
                  </w:tcBorders>
                  <w:vAlign w:val="center"/>
                </w:tcPr>
                <w:p w14:paraId="4801F8D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188B12C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66" w:type="pct"/>
                  <w:vMerge w:val="continue"/>
                  <w:tcBorders>
                    <w:tl2br w:val="nil"/>
                    <w:tr2bl w:val="nil"/>
                  </w:tcBorders>
                  <w:vAlign w:val="center"/>
                </w:tcPr>
                <w:p w14:paraId="7431D32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670" w:type="pct"/>
                  <w:tcBorders>
                    <w:tl2br w:val="nil"/>
                    <w:tr2bl w:val="nil"/>
                  </w:tcBorders>
                  <w:vAlign w:val="center"/>
                </w:tcPr>
                <w:p w14:paraId="28761B0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5、土壤污染重点监管单位应当严格控制有毒有害物质排放，并按年度向生态环境主管部门报告排放情况；建立土壤污染隐患排查制度，保证持续有效防止有毒有害物质渗漏、流失、扬散；制定、实施自行监测方案，并将监测数据报生态环境主管部门。</w:t>
                  </w:r>
                </w:p>
              </w:tc>
              <w:tc>
                <w:tcPr>
                  <w:tcW w:w="1347" w:type="pct"/>
                  <w:tcBorders>
                    <w:tl2br w:val="nil"/>
                    <w:tr2bl w:val="nil"/>
                  </w:tcBorders>
                  <w:vAlign w:val="center"/>
                </w:tcPr>
                <w:p w14:paraId="21FDA34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项目不属于土壤重点监管单位。</w:t>
                  </w:r>
                </w:p>
              </w:tc>
              <w:tc>
                <w:tcPr>
                  <w:tcW w:w="515" w:type="pct"/>
                  <w:tcBorders>
                    <w:tl2br w:val="nil"/>
                    <w:tr2bl w:val="nil"/>
                  </w:tcBorders>
                  <w:vAlign w:val="center"/>
                </w:tcPr>
                <w:p w14:paraId="5293759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17948B0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66" w:type="pct"/>
                  <w:vMerge w:val="continue"/>
                  <w:tcBorders>
                    <w:tl2br w:val="nil"/>
                    <w:tr2bl w:val="nil"/>
                  </w:tcBorders>
                  <w:vAlign w:val="center"/>
                </w:tcPr>
                <w:p w14:paraId="28C1337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670" w:type="pct"/>
                  <w:tcBorders>
                    <w:tl2br w:val="nil"/>
                    <w:tr2bl w:val="nil"/>
                  </w:tcBorders>
                  <w:vAlign w:val="center"/>
                </w:tcPr>
                <w:p w14:paraId="4455E85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6、涉重企业要采用新技术、新工艺，加快提标升级改造，实现全面达标排放。坚决淘汰不符合国家产业政策的落后生产工艺装备。</w:t>
                  </w:r>
                </w:p>
              </w:tc>
              <w:tc>
                <w:tcPr>
                  <w:tcW w:w="1347" w:type="pct"/>
                  <w:tcBorders>
                    <w:tl2br w:val="nil"/>
                    <w:tr2bl w:val="nil"/>
                  </w:tcBorders>
                  <w:vAlign w:val="center"/>
                </w:tcPr>
                <w:p w14:paraId="5961014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项目不属于涉重企业。</w:t>
                  </w:r>
                </w:p>
              </w:tc>
              <w:tc>
                <w:tcPr>
                  <w:tcW w:w="515" w:type="pct"/>
                  <w:tcBorders>
                    <w:tl2br w:val="nil"/>
                    <w:tr2bl w:val="nil"/>
                  </w:tcBorders>
                  <w:vAlign w:val="center"/>
                </w:tcPr>
                <w:p w14:paraId="506B215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bl>
          <w:p w14:paraId="120E8C6D">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baseline"/>
              <w:rPr>
                <w:rFonts w:hint="default" w:ascii="Times New Roman" w:hAnsi="Times New Roman" w:eastAsia="宋体" w:cs="Times New Roman"/>
                <w:b/>
                <w:bCs/>
                <w:color w:val="auto"/>
                <w:spacing w:val="0"/>
                <w:w w:val="100"/>
                <w:position w:val="0"/>
                <w:sz w:val="24"/>
                <w:szCs w:val="24"/>
                <w:lang w:val="en-US" w:eastAsia="zh-CN"/>
              </w:rPr>
            </w:pPr>
            <w:r>
              <w:rPr>
                <w:rFonts w:hint="default" w:ascii="Times New Roman" w:hAnsi="Times New Roman" w:eastAsia="宋体" w:cs="Times New Roman"/>
                <w:b/>
                <w:bCs/>
                <w:color w:val="auto"/>
                <w:spacing w:val="0"/>
                <w:w w:val="100"/>
                <w:position w:val="0"/>
                <w:sz w:val="21"/>
                <w:szCs w:val="21"/>
              </w:rPr>
              <w:t>表</w:t>
            </w:r>
            <w:r>
              <w:rPr>
                <w:rFonts w:hint="default" w:ascii="Times New Roman" w:hAnsi="Times New Roman" w:eastAsia="宋体" w:cs="Times New Roman"/>
                <w:b/>
                <w:bCs/>
                <w:color w:val="auto"/>
                <w:spacing w:val="0"/>
                <w:w w:val="100"/>
                <w:position w:val="0"/>
                <w:sz w:val="21"/>
                <w:szCs w:val="21"/>
                <w:lang w:val="en-US" w:eastAsia="zh-CN"/>
              </w:rPr>
              <w:t>1-2</w:t>
            </w:r>
            <w:r>
              <w:rPr>
                <w:rFonts w:hint="default" w:ascii="Times New Roman" w:hAnsi="Times New Roman" w:eastAsia="宋体" w:cs="Times New Roman"/>
                <w:b/>
                <w:bCs/>
                <w:color w:val="auto"/>
                <w:spacing w:val="0"/>
                <w:w w:val="100"/>
                <w:position w:val="0"/>
                <w:sz w:val="21"/>
                <w:szCs w:val="21"/>
              </w:rPr>
              <w:t xml:space="preserve"> </w:t>
            </w:r>
            <w:r>
              <w:rPr>
                <w:rFonts w:hint="default" w:ascii="Times New Roman" w:hAnsi="Times New Roman" w:eastAsia="宋体" w:cs="Times New Roman"/>
                <w:b/>
                <w:bCs/>
                <w:color w:val="auto"/>
                <w:spacing w:val="0"/>
                <w:w w:val="100"/>
                <w:position w:val="0"/>
                <w:sz w:val="21"/>
                <w:szCs w:val="21"/>
                <w:lang w:val="en-US" w:eastAsia="zh-CN"/>
              </w:rPr>
              <w:t>鹿寨高新区产业准入负面清单</w:t>
            </w:r>
          </w:p>
          <w:tbl>
            <w:tblPr>
              <w:tblStyle w:val="431"/>
              <w:tblW w:w="4997" w:type="pct"/>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0" w:type="dxa"/>
                <w:left w:w="0" w:type="dxa"/>
                <w:bottom w:w="0" w:type="dxa"/>
                <w:right w:w="0" w:type="dxa"/>
              </w:tblCellMar>
            </w:tblPr>
            <w:tblGrid>
              <w:gridCol w:w="915"/>
              <w:gridCol w:w="1709"/>
              <w:gridCol w:w="2008"/>
              <w:gridCol w:w="7"/>
              <w:gridCol w:w="1829"/>
              <w:gridCol w:w="734"/>
            </w:tblGrid>
            <w:tr w14:paraId="6F349EB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35" w:type="pct"/>
                  <w:tcBorders>
                    <w:tl2br w:val="nil"/>
                    <w:tr2bl w:val="nil"/>
                  </w:tcBorders>
                  <w:vAlign w:val="center"/>
                </w:tcPr>
                <w:p w14:paraId="56590BD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b/>
                      <w:bCs/>
                      <w:color w:val="auto"/>
                      <w:spacing w:val="0"/>
                      <w:w w:val="100"/>
                      <w:sz w:val="21"/>
                      <w:szCs w:val="21"/>
                    </w:rPr>
                    <w:t>产业分类</w:t>
                  </w:r>
                </w:p>
              </w:tc>
              <w:tc>
                <w:tcPr>
                  <w:tcW w:w="1186" w:type="pct"/>
                  <w:tcBorders>
                    <w:tl2br w:val="nil"/>
                    <w:tr2bl w:val="nil"/>
                  </w:tcBorders>
                  <w:vAlign w:val="center"/>
                </w:tcPr>
                <w:p w14:paraId="7ED2CA5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b/>
                      <w:bCs/>
                      <w:color w:val="auto"/>
                      <w:spacing w:val="0"/>
                      <w:w w:val="100"/>
                      <w:sz w:val="21"/>
                      <w:szCs w:val="21"/>
                    </w:rPr>
                    <w:t>选址布局要求</w:t>
                  </w:r>
                </w:p>
              </w:tc>
              <w:tc>
                <w:tcPr>
                  <w:tcW w:w="1398" w:type="pct"/>
                  <w:gridSpan w:val="2"/>
                  <w:tcBorders>
                    <w:tl2br w:val="nil"/>
                    <w:tr2bl w:val="nil"/>
                  </w:tcBorders>
                  <w:vAlign w:val="center"/>
                </w:tcPr>
                <w:p w14:paraId="6BA8A96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b/>
                      <w:bCs/>
                      <w:color w:val="auto"/>
                      <w:spacing w:val="0"/>
                      <w:w w:val="100"/>
                      <w:sz w:val="21"/>
                      <w:szCs w:val="21"/>
                    </w:rPr>
                    <w:t>禁止/限制引进的产业或项目</w:t>
                  </w:r>
                </w:p>
              </w:tc>
              <w:tc>
                <w:tcPr>
                  <w:tcW w:w="1269" w:type="pct"/>
                  <w:tcBorders>
                    <w:tl2br w:val="nil"/>
                    <w:tr2bl w:val="nil"/>
                  </w:tcBorders>
                  <w:vAlign w:val="center"/>
                </w:tcPr>
                <w:p w14:paraId="59C6A22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b/>
                      <w:bCs/>
                      <w:color w:val="auto"/>
                      <w:spacing w:val="0"/>
                      <w:w w:val="100"/>
                      <w:sz w:val="21"/>
                      <w:szCs w:val="21"/>
                    </w:rPr>
                    <w:t>项目情况</w:t>
                  </w:r>
                </w:p>
              </w:tc>
              <w:tc>
                <w:tcPr>
                  <w:tcW w:w="509" w:type="pct"/>
                  <w:tcBorders>
                    <w:tl2br w:val="nil"/>
                    <w:tr2bl w:val="nil"/>
                  </w:tcBorders>
                  <w:vAlign w:val="center"/>
                </w:tcPr>
                <w:p w14:paraId="5E269F5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b/>
                      <w:bCs/>
                      <w:color w:val="auto"/>
                      <w:spacing w:val="0"/>
                      <w:w w:val="100"/>
                      <w:sz w:val="21"/>
                      <w:szCs w:val="21"/>
                    </w:rPr>
                    <w:t>符合性</w:t>
                  </w:r>
                </w:p>
              </w:tc>
            </w:tr>
            <w:tr w14:paraId="776FFD6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35" w:type="pct"/>
                  <w:tcBorders>
                    <w:tl2br w:val="nil"/>
                    <w:tr2bl w:val="nil"/>
                  </w:tcBorders>
                  <w:vAlign w:val="center"/>
                </w:tcPr>
                <w:p w14:paraId="3651255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总体要求</w:t>
                  </w:r>
                </w:p>
              </w:tc>
              <w:tc>
                <w:tcPr>
                  <w:tcW w:w="1186" w:type="pct"/>
                  <w:tcBorders>
                    <w:tl2br w:val="nil"/>
                    <w:tr2bl w:val="nil"/>
                  </w:tcBorders>
                  <w:vAlign w:val="center"/>
                </w:tcPr>
                <w:p w14:paraId="67549FD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1.按园区规划功能组团布局相应产业；2.生态红线范围内禁止开发建设活动。</w:t>
                  </w:r>
                </w:p>
              </w:tc>
              <w:tc>
                <w:tcPr>
                  <w:tcW w:w="1398" w:type="pct"/>
                  <w:gridSpan w:val="2"/>
                  <w:tcBorders>
                    <w:tl2br w:val="nil"/>
                    <w:tr2bl w:val="nil"/>
                  </w:tcBorders>
                  <w:vAlign w:val="center"/>
                </w:tcPr>
                <w:p w14:paraId="1526134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1.禁止建设国家现行产业政策明令限制、禁止或淘汰的项目、产能严重过剩行业项目、落后生产工艺或设备、落后生产能力项目。2.禁止建设不符合园区规划产业定位或与产业链条无关联的项目。3.禁止建设废水经预处理达不到污水处理厂接管标准的项目。4.禁止建设不符合《关于印发广西新建石化和化工生产项目准入管理办法（试行）的通知》（桂工信石化〔2021〕501号）等相关行业准入条件的项目。</w:t>
                  </w:r>
                </w:p>
              </w:tc>
              <w:tc>
                <w:tcPr>
                  <w:tcW w:w="1269" w:type="pct"/>
                  <w:tcBorders>
                    <w:tl2br w:val="nil"/>
                    <w:tr2bl w:val="nil"/>
                  </w:tcBorders>
                  <w:vAlign w:val="center"/>
                </w:tcPr>
                <w:p w14:paraId="13F98CD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1.项目使用的生产工艺、生产设备均为行业内先进工艺、先进生产设备；属于允许类项目。2.项目属于新材料产业，符合园区产业定位。</w:t>
                  </w:r>
                </w:p>
                <w:p w14:paraId="50168C9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3.生活污水经化粪池处理达《污水综合排放标准》（GB8978-1996）表4中三级标准限值后前期用吸粪车定期清运至污水厂，后期待管网接通后排入污水管网通过市政污水管网输送至鹿寨县城第二污水处理厂处理后排入洛清江。</w:t>
                  </w:r>
                </w:p>
                <w:p w14:paraId="0EC472B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4.项目位于鹿寨高新区内，符合相关行业准入条件。</w:t>
                  </w:r>
                </w:p>
              </w:tc>
              <w:tc>
                <w:tcPr>
                  <w:tcW w:w="509" w:type="pct"/>
                  <w:tcBorders>
                    <w:tl2br w:val="nil"/>
                    <w:tr2bl w:val="nil"/>
                  </w:tcBorders>
                  <w:vAlign w:val="center"/>
                </w:tcPr>
                <w:p w14:paraId="11317BF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22A933A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35" w:type="pct"/>
                  <w:tcBorders>
                    <w:tl2br w:val="nil"/>
                    <w:tr2bl w:val="nil"/>
                  </w:tcBorders>
                  <w:vAlign w:val="center"/>
                </w:tcPr>
                <w:p w14:paraId="0193ADAB">
                  <w:pPr>
                    <w:keepNext w:val="0"/>
                    <w:keepLines w:val="0"/>
                    <w:pageBreakBefore w:val="0"/>
                    <w:widowControl/>
                    <w:tabs>
                      <w:tab w:val="left" w:pos="354"/>
                    </w:tabs>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新材料中的精细与专用化学</w:t>
                  </w:r>
                  <w:r>
                    <w:rPr>
                      <w:rFonts w:hint="default" w:ascii="Times New Roman" w:hAnsi="Times New Roman" w:eastAsia="宋体" w:cs="Times New Roman"/>
                      <w:color w:val="auto"/>
                      <w:spacing w:val="0"/>
                      <w:w w:val="100"/>
                      <w:sz w:val="21"/>
                      <w:szCs w:val="21"/>
                    </w:rPr>
                    <w:tab/>
                  </w:r>
                  <w:r>
                    <w:rPr>
                      <w:rFonts w:hint="default" w:ascii="Times New Roman" w:hAnsi="Times New Roman" w:eastAsia="宋体" w:cs="Times New Roman"/>
                      <w:color w:val="auto"/>
                      <w:spacing w:val="0"/>
                      <w:w w:val="100"/>
                      <w:sz w:val="21"/>
                      <w:szCs w:val="21"/>
                    </w:rPr>
                    <w:t>品</w:t>
                  </w:r>
                </w:p>
              </w:tc>
              <w:tc>
                <w:tcPr>
                  <w:tcW w:w="1186" w:type="pct"/>
                  <w:tcBorders>
                    <w:tl2br w:val="nil"/>
                    <w:tr2bl w:val="nil"/>
                  </w:tcBorders>
                  <w:vAlign w:val="center"/>
                </w:tcPr>
                <w:p w14:paraId="7AD4D8A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大气环境防护距离或卫生防护距离内不得有医院、学校和居住等环境敏感区和对环境要求较高的工业企业。</w:t>
                  </w:r>
                </w:p>
              </w:tc>
              <w:tc>
                <w:tcPr>
                  <w:tcW w:w="1393" w:type="pct"/>
                  <w:tcBorders>
                    <w:tl2br w:val="nil"/>
                    <w:tr2bl w:val="nil"/>
                  </w:tcBorders>
                  <w:vAlign w:val="center"/>
                </w:tcPr>
                <w:p w14:paraId="75C9CC2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1.禁止新建无产能置换的烧碱（废盐综合利用的离子膜烧碱装置除外）、聚氯乙烯项目。2禁止新建用汞的电石法（聚）氯乙烯生产工艺。3.禁止新建、扩建《产业结构调整指导目录（2019年本）》限制类、淘汰类项目，禁止新建《广西工业产业结构调整指导目录（2021年本）》、《外商投资产业指导目录（2017年修订）》中淘汰类、禁止类项目。</w:t>
                  </w:r>
                </w:p>
              </w:tc>
              <w:tc>
                <w:tcPr>
                  <w:tcW w:w="1274" w:type="pct"/>
                  <w:gridSpan w:val="2"/>
                  <w:tcBorders>
                    <w:tl2br w:val="nil"/>
                    <w:tr2bl w:val="nil"/>
                  </w:tcBorders>
                  <w:vAlign w:val="center"/>
                </w:tcPr>
                <w:p w14:paraId="18AC6B7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1、项目不涉及烧碱及聚氯乙烯生产；</w:t>
                  </w:r>
                </w:p>
                <w:p w14:paraId="648E0BB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2、项目不涉及电石法（聚）氯乙烯生产；</w:t>
                  </w:r>
                </w:p>
                <w:p w14:paraId="64743FD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3、项目</w:t>
                  </w:r>
                  <w:r>
                    <w:rPr>
                      <w:rFonts w:hint="default" w:ascii="Times New Roman" w:hAnsi="Times New Roman" w:eastAsia="宋体" w:cs="Times New Roman"/>
                      <w:color w:val="auto"/>
                      <w:spacing w:val="0"/>
                      <w:w w:val="100"/>
                      <w:sz w:val="21"/>
                      <w:szCs w:val="21"/>
                      <w:lang w:val="en-US" w:eastAsia="zh-CN"/>
                    </w:rPr>
                    <w:t>不</w:t>
                  </w:r>
                  <w:r>
                    <w:rPr>
                      <w:rFonts w:hint="default" w:ascii="Times New Roman" w:hAnsi="Times New Roman" w:eastAsia="宋体" w:cs="Times New Roman"/>
                      <w:color w:val="auto"/>
                      <w:spacing w:val="0"/>
                      <w:w w:val="100"/>
                      <w:sz w:val="21"/>
                      <w:szCs w:val="21"/>
                    </w:rPr>
                    <w:t>属于《产业结构调整指导目录（2024年本）》中</w:t>
                  </w:r>
                  <w:r>
                    <w:rPr>
                      <w:rFonts w:hint="default" w:ascii="Times New Roman" w:hAnsi="Times New Roman" w:eastAsia="宋体" w:cs="Times New Roman"/>
                      <w:color w:val="auto"/>
                      <w:spacing w:val="0"/>
                      <w:w w:val="100"/>
                      <w:sz w:val="21"/>
                      <w:szCs w:val="21"/>
                      <w:lang w:val="en-US" w:eastAsia="zh-CN"/>
                    </w:rPr>
                    <w:t>限制</w:t>
                  </w:r>
                  <w:r>
                    <w:rPr>
                      <w:rFonts w:hint="default" w:ascii="Times New Roman" w:hAnsi="Times New Roman" w:eastAsia="宋体" w:cs="Times New Roman"/>
                      <w:color w:val="auto"/>
                      <w:spacing w:val="0"/>
                      <w:w w:val="100"/>
                      <w:sz w:val="21"/>
                      <w:szCs w:val="21"/>
                    </w:rPr>
                    <w:t>类</w:t>
                  </w:r>
                  <w:r>
                    <w:rPr>
                      <w:rFonts w:hint="default" w:ascii="Times New Roman" w:hAnsi="Times New Roman" w:eastAsia="宋体" w:cs="Times New Roman"/>
                      <w:color w:val="auto"/>
                      <w:spacing w:val="0"/>
                      <w:w w:val="100"/>
                      <w:sz w:val="21"/>
                      <w:szCs w:val="21"/>
                      <w:lang w:val="en-US" w:eastAsia="zh-CN"/>
                    </w:rPr>
                    <w:t>和淘汰类</w:t>
                  </w:r>
                  <w:r>
                    <w:rPr>
                      <w:rFonts w:hint="default" w:ascii="Times New Roman" w:hAnsi="Times New Roman" w:eastAsia="宋体" w:cs="Times New Roman"/>
                      <w:color w:val="auto"/>
                      <w:spacing w:val="0"/>
                      <w:w w:val="100"/>
                      <w:sz w:val="21"/>
                      <w:szCs w:val="21"/>
                    </w:rPr>
                    <w:t>。</w:t>
                  </w:r>
                </w:p>
              </w:tc>
              <w:tc>
                <w:tcPr>
                  <w:tcW w:w="509" w:type="pct"/>
                  <w:tcBorders>
                    <w:tl2br w:val="nil"/>
                    <w:tr2bl w:val="nil"/>
                  </w:tcBorders>
                  <w:vAlign w:val="center"/>
                </w:tcPr>
                <w:p w14:paraId="4F3FD6C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658C5DF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35" w:type="pct"/>
                  <w:tcBorders>
                    <w:tl2br w:val="nil"/>
                    <w:tr2bl w:val="nil"/>
                  </w:tcBorders>
                  <w:vAlign w:val="center"/>
                </w:tcPr>
                <w:p w14:paraId="176D47D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先进制造</w:t>
                  </w:r>
                </w:p>
              </w:tc>
              <w:tc>
                <w:tcPr>
                  <w:tcW w:w="1186" w:type="pct"/>
                  <w:vMerge w:val="restart"/>
                  <w:tcBorders>
                    <w:tl2br w:val="nil"/>
                    <w:tr2bl w:val="nil"/>
                  </w:tcBorders>
                  <w:vAlign w:val="center"/>
                </w:tcPr>
                <w:p w14:paraId="39AAF1E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大气环境防护距离或卫生防护距离内不得有医院、学校和居住等环境敏感区和对环境要求较高的工业企业。</w:t>
                  </w:r>
                </w:p>
              </w:tc>
              <w:tc>
                <w:tcPr>
                  <w:tcW w:w="1393" w:type="pct"/>
                  <w:vMerge w:val="restart"/>
                  <w:tcBorders>
                    <w:tl2br w:val="nil"/>
                    <w:tr2bl w:val="nil"/>
                  </w:tcBorders>
                  <w:vAlign w:val="center"/>
                </w:tcPr>
                <w:p w14:paraId="168B8B5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禁止新建、扩建《产业结构调整指导目录（2019年本）》限制类、淘汰类项目，禁止新建《广西工业产业结构调整指导目录（2021年本）》、《外商投资产业指导目录（2017年修订）》中淘汰类、禁止类项目。</w:t>
                  </w:r>
                </w:p>
              </w:tc>
              <w:tc>
                <w:tcPr>
                  <w:tcW w:w="1274" w:type="pct"/>
                  <w:gridSpan w:val="2"/>
                  <w:vMerge w:val="restart"/>
                  <w:tcBorders>
                    <w:tl2br w:val="nil"/>
                    <w:tr2bl w:val="nil"/>
                  </w:tcBorders>
                  <w:vAlign w:val="center"/>
                </w:tcPr>
                <w:p w14:paraId="36B2F47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项目使用的生产工艺、生产设备均为行业内先进工艺、先进生产设备，项目</w:t>
                  </w:r>
                  <w:r>
                    <w:rPr>
                      <w:rFonts w:hint="default" w:ascii="Times New Roman" w:hAnsi="Times New Roman" w:eastAsia="宋体" w:cs="Times New Roman"/>
                      <w:color w:val="auto"/>
                      <w:spacing w:val="0"/>
                      <w:w w:val="100"/>
                      <w:sz w:val="21"/>
                      <w:szCs w:val="21"/>
                      <w:lang w:val="en-US" w:eastAsia="zh-CN"/>
                    </w:rPr>
                    <w:t>不</w:t>
                  </w:r>
                  <w:r>
                    <w:rPr>
                      <w:rFonts w:hint="default" w:ascii="Times New Roman" w:hAnsi="Times New Roman" w:eastAsia="宋体" w:cs="Times New Roman"/>
                      <w:color w:val="auto"/>
                      <w:spacing w:val="0"/>
                      <w:w w:val="100"/>
                      <w:sz w:val="21"/>
                      <w:szCs w:val="21"/>
                    </w:rPr>
                    <w:t>属于《产业结构调整指导目录（2024年本）》中</w:t>
                  </w:r>
                  <w:r>
                    <w:rPr>
                      <w:rFonts w:hint="default" w:ascii="Times New Roman" w:hAnsi="Times New Roman" w:eastAsia="宋体" w:cs="Times New Roman"/>
                      <w:color w:val="auto"/>
                      <w:spacing w:val="0"/>
                      <w:w w:val="100"/>
                      <w:sz w:val="21"/>
                      <w:szCs w:val="21"/>
                      <w:lang w:val="en-US" w:eastAsia="zh-CN"/>
                    </w:rPr>
                    <w:t>限制类和淘汰类</w:t>
                  </w:r>
                  <w:r>
                    <w:rPr>
                      <w:rFonts w:hint="default" w:ascii="Times New Roman" w:hAnsi="Times New Roman" w:eastAsia="宋体" w:cs="Times New Roman"/>
                      <w:color w:val="auto"/>
                      <w:spacing w:val="0"/>
                      <w:w w:val="100"/>
                      <w:sz w:val="21"/>
                      <w:szCs w:val="21"/>
                    </w:rPr>
                    <w:t>。项目无防护距离要求，不属于淘汰类、禁止类项目。</w:t>
                  </w:r>
                </w:p>
              </w:tc>
              <w:tc>
                <w:tcPr>
                  <w:tcW w:w="509" w:type="pct"/>
                  <w:vMerge w:val="restart"/>
                  <w:tcBorders>
                    <w:tl2br w:val="nil"/>
                    <w:tr2bl w:val="nil"/>
                  </w:tcBorders>
                  <w:vAlign w:val="center"/>
                </w:tcPr>
                <w:p w14:paraId="446BA4C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相符</w:t>
                  </w:r>
                </w:p>
              </w:tc>
            </w:tr>
            <w:tr w14:paraId="386E229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35" w:type="pct"/>
                  <w:tcBorders>
                    <w:tl2br w:val="nil"/>
                    <w:tr2bl w:val="nil"/>
                  </w:tcBorders>
                  <w:vAlign w:val="center"/>
                </w:tcPr>
                <w:p w14:paraId="5F692EA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生态环保</w:t>
                  </w:r>
                </w:p>
              </w:tc>
              <w:tc>
                <w:tcPr>
                  <w:tcW w:w="1186" w:type="pct"/>
                  <w:vMerge w:val="continue"/>
                  <w:tcBorders>
                    <w:tl2br w:val="nil"/>
                    <w:tr2bl w:val="nil"/>
                  </w:tcBorders>
                  <w:vAlign w:val="center"/>
                </w:tcPr>
                <w:p w14:paraId="7734809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1393" w:type="pct"/>
                  <w:vMerge w:val="continue"/>
                  <w:tcBorders>
                    <w:tl2br w:val="nil"/>
                    <w:tr2bl w:val="nil"/>
                  </w:tcBorders>
                  <w:vAlign w:val="center"/>
                </w:tcPr>
                <w:p w14:paraId="4258AD9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p>
              </w:tc>
              <w:tc>
                <w:tcPr>
                  <w:tcW w:w="1274" w:type="pct"/>
                  <w:gridSpan w:val="2"/>
                  <w:vMerge w:val="continue"/>
                  <w:tcBorders>
                    <w:tl2br w:val="nil"/>
                    <w:tr2bl w:val="nil"/>
                  </w:tcBorders>
                  <w:vAlign w:val="center"/>
                </w:tcPr>
                <w:p w14:paraId="743F6D1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p>
              </w:tc>
              <w:tc>
                <w:tcPr>
                  <w:tcW w:w="509" w:type="pct"/>
                  <w:vMerge w:val="continue"/>
                  <w:tcBorders>
                    <w:tl2br w:val="nil"/>
                    <w:tr2bl w:val="nil"/>
                  </w:tcBorders>
                  <w:vAlign w:val="center"/>
                </w:tcPr>
                <w:p w14:paraId="18B6F57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r>
            <w:tr w14:paraId="641100D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35" w:type="pct"/>
                  <w:tcBorders>
                    <w:tl2br w:val="nil"/>
                    <w:tr2bl w:val="nil"/>
                  </w:tcBorders>
                  <w:vAlign w:val="center"/>
                </w:tcPr>
                <w:p w14:paraId="0D4E5D4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新材料（除精细与专用化学品）</w:t>
                  </w:r>
                </w:p>
              </w:tc>
              <w:tc>
                <w:tcPr>
                  <w:tcW w:w="1186" w:type="pct"/>
                  <w:vMerge w:val="continue"/>
                  <w:tcBorders>
                    <w:tl2br w:val="nil"/>
                    <w:tr2bl w:val="nil"/>
                  </w:tcBorders>
                  <w:vAlign w:val="center"/>
                </w:tcPr>
                <w:p w14:paraId="1A5158D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1393" w:type="pct"/>
                  <w:vMerge w:val="continue"/>
                  <w:tcBorders>
                    <w:tl2br w:val="nil"/>
                    <w:tr2bl w:val="nil"/>
                  </w:tcBorders>
                  <w:vAlign w:val="center"/>
                </w:tcPr>
                <w:p w14:paraId="6C3DAB0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p>
              </w:tc>
              <w:tc>
                <w:tcPr>
                  <w:tcW w:w="1274" w:type="pct"/>
                  <w:gridSpan w:val="2"/>
                  <w:vMerge w:val="continue"/>
                  <w:tcBorders>
                    <w:tl2br w:val="nil"/>
                    <w:tr2bl w:val="nil"/>
                  </w:tcBorders>
                  <w:vAlign w:val="center"/>
                </w:tcPr>
                <w:p w14:paraId="08EA39D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p>
              </w:tc>
              <w:tc>
                <w:tcPr>
                  <w:tcW w:w="509" w:type="pct"/>
                  <w:vMerge w:val="continue"/>
                  <w:tcBorders>
                    <w:tl2br w:val="nil"/>
                    <w:tr2bl w:val="nil"/>
                  </w:tcBorders>
                  <w:vAlign w:val="center"/>
                </w:tcPr>
                <w:p w14:paraId="13A1707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r>
            <w:tr w14:paraId="1FEDD0F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635" w:type="pct"/>
                  <w:tcBorders>
                    <w:tl2br w:val="nil"/>
                    <w:tr2bl w:val="nil"/>
                  </w:tcBorders>
                  <w:vAlign w:val="center"/>
                </w:tcPr>
                <w:p w14:paraId="1686627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兼容产业</w:t>
                  </w:r>
                </w:p>
              </w:tc>
              <w:tc>
                <w:tcPr>
                  <w:tcW w:w="1186" w:type="pct"/>
                  <w:vMerge w:val="continue"/>
                  <w:tcBorders>
                    <w:tl2br w:val="nil"/>
                    <w:tr2bl w:val="nil"/>
                  </w:tcBorders>
                  <w:vAlign w:val="center"/>
                </w:tcPr>
                <w:p w14:paraId="0607F48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1393" w:type="pct"/>
                  <w:vMerge w:val="continue"/>
                  <w:tcBorders>
                    <w:tl2br w:val="nil"/>
                    <w:tr2bl w:val="nil"/>
                  </w:tcBorders>
                  <w:vAlign w:val="center"/>
                </w:tcPr>
                <w:p w14:paraId="3419EA9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p>
              </w:tc>
              <w:tc>
                <w:tcPr>
                  <w:tcW w:w="1274" w:type="pct"/>
                  <w:gridSpan w:val="2"/>
                  <w:vMerge w:val="continue"/>
                  <w:tcBorders>
                    <w:tl2br w:val="nil"/>
                    <w:tr2bl w:val="nil"/>
                  </w:tcBorders>
                  <w:vAlign w:val="center"/>
                </w:tcPr>
                <w:p w14:paraId="0217C9C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p>
              </w:tc>
              <w:tc>
                <w:tcPr>
                  <w:tcW w:w="509" w:type="pct"/>
                  <w:vMerge w:val="continue"/>
                  <w:tcBorders>
                    <w:tl2br w:val="nil"/>
                    <w:tr2bl w:val="nil"/>
                  </w:tcBorders>
                  <w:vAlign w:val="center"/>
                </w:tcPr>
                <w:p w14:paraId="7A83853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r>
          </w:tbl>
          <w:p w14:paraId="66DA553E">
            <w:pPr>
              <w:pStyle w:val="12"/>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baseline"/>
              <w:rPr>
                <w:rFonts w:hint="default" w:ascii="Times New Roman" w:hAnsi="Times New Roman" w:cs="Times New Roman"/>
                <w:color w:val="auto"/>
                <w:spacing w:val="0"/>
                <w:w w:val="100"/>
                <w:position w:val="0"/>
                <w:sz w:val="20"/>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综上，本项目位于鹿寨高新区中心片区内，满足鹿寨高新区环境准入要求，不属于园区产业结构负面清单中禁止入园的产业，与《广西鹿寨高新技术产业开发区总体规划（2022-2035）环境影响报告书》及其审查意见（柳环函〔2023〕571号）相符。</w:t>
            </w:r>
          </w:p>
        </w:tc>
      </w:tr>
      <w:tr w14:paraId="08A75E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3" w:type="pct"/>
            <w:tcBorders>
              <w:tl2br w:val="nil"/>
              <w:tr2bl w:val="nil"/>
            </w:tcBorders>
            <w:noWrap w:val="0"/>
            <w:vAlign w:val="center"/>
          </w:tcPr>
          <w:p w14:paraId="0AB74996">
            <w:pPr>
              <w:keepNext w:val="0"/>
              <w:keepLines w:val="0"/>
              <w:pageBreakBefore w:val="0"/>
              <w:widowControl w:val="0"/>
              <w:suppressLineNumbers w:val="0"/>
              <w:kinsoku/>
              <w:wordWrap/>
              <w:overflowPunct/>
              <w:topLinePunct w:val="0"/>
              <w:autoSpaceDE w:val="0"/>
              <w:autoSpaceDN w:val="0"/>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bCs/>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其他符合性分析</w:t>
            </w:r>
          </w:p>
        </w:tc>
        <w:tc>
          <w:tcPr>
            <w:tcW w:w="4386" w:type="pct"/>
            <w:gridSpan w:val="3"/>
            <w:tcBorders>
              <w:tl2br w:val="nil"/>
              <w:tr2bl w:val="nil"/>
            </w:tcBorders>
            <w:noWrap w:val="0"/>
            <w:vAlign w:val="center"/>
          </w:tcPr>
          <w:p w14:paraId="5A439754">
            <w:pPr>
              <w:pStyle w:val="430"/>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1、建设项目“三线一单”符合性分析</w:t>
            </w:r>
          </w:p>
          <w:p w14:paraId="07CAF980">
            <w:pPr>
              <w:pStyle w:val="430"/>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（1）生态保护红线</w:t>
            </w:r>
          </w:p>
          <w:p w14:paraId="4EA839D8">
            <w:pPr>
              <w:pStyle w:val="430"/>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both"/>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根据《柳州市生态环境局关于印发实施柳州市生态环境分区管控动态更新成果（2023年）的通知》（柳环规〔2024〕1号），全市共划定环境管控单元101个，分为优先保护单元、重点管控单元和一般管控单元三类，实施分类管控。优先保护单元主要包括生态保护红线、一般生态空间、县级以上饮用水水源保护区、环境空气一类功能区等生态功能区域；全市划定优先保护单元50个。</w:t>
            </w:r>
          </w:p>
          <w:p w14:paraId="01CF9449">
            <w:pPr>
              <w:pStyle w:val="430"/>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1"/>
              <w:jc w:val="both"/>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重点管控单元主要包括工业园区、县级以上城镇中心城区及规划区、矿产开采区、港区等开发强度高、污染物排放强度大的区域，以及环境问题相对集中的区域；全市划定重点管控单元41个。</w:t>
            </w:r>
          </w:p>
          <w:p w14:paraId="049F03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一般管控单元为优先保护单元、重点管控单元以外区域，衔接乡镇边界形成管控单元；全市划定一般管控单元10个。</w:t>
            </w:r>
          </w:p>
          <w:p w14:paraId="50277B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color w:val="auto"/>
                <w:spacing w:val="0"/>
                <w:w w:val="100"/>
                <w:kern w:val="0"/>
                <w:position w:val="0"/>
                <w:sz w:val="24"/>
                <w:szCs w:val="24"/>
                <w:lang w:val="en-US" w:eastAsia="zh-CN"/>
              </w:rPr>
            </w:pPr>
            <w:r>
              <w:rPr>
                <w:rFonts w:hint="default" w:ascii="Times New Roman" w:hAnsi="Times New Roman" w:cs="Times New Roman" w:eastAsiaTheme="minorEastAsia"/>
                <w:b/>
                <w:bCs/>
                <w:color w:val="auto"/>
                <w:spacing w:val="0"/>
                <w:sz w:val="21"/>
                <w:szCs w:val="21"/>
                <w:highlight w:val="none"/>
              </w:rPr>
              <w:t>表1-</w:t>
            </w:r>
            <w:r>
              <w:rPr>
                <w:rFonts w:hint="default" w:ascii="Times New Roman" w:hAnsi="Times New Roman" w:cs="Times New Roman" w:eastAsiaTheme="minorEastAsia"/>
                <w:b/>
                <w:bCs/>
                <w:color w:val="auto"/>
                <w:spacing w:val="0"/>
                <w:sz w:val="21"/>
                <w:szCs w:val="21"/>
                <w:highlight w:val="none"/>
                <w:lang w:val="en-US" w:eastAsia="zh-CN"/>
              </w:rPr>
              <w:t>3 柳州市环境管控单元名录（鹿寨县）</w:t>
            </w:r>
          </w:p>
          <w:tbl>
            <w:tblPr>
              <w:tblStyle w:val="431"/>
              <w:tblW w:w="4998" w:type="pct"/>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0" w:type="dxa"/>
                <w:left w:w="0" w:type="dxa"/>
                <w:bottom w:w="0" w:type="dxa"/>
                <w:right w:w="0" w:type="dxa"/>
              </w:tblCellMar>
            </w:tblPr>
            <w:tblGrid>
              <w:gridCol w:w="650"/>
              <w:gridCol w:w="643"/>
              <w:gridCol w:w="1017"/>
              <w:gridCol w:w="1531"/>
              <w:gridCol w:w="3362"/>
            </w:tblGrid>
            <w:tr w14:paraId="204A9E4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1" w:type="pct"/>
                  <w:tcBorders>
                    <w:tl2br w:val="nil"/>
                    <w:tr2bl w:val="nil"/>
                  </w:tcBorders>
                  <w:vAlign w:val="center"/>
                </w:tcPr>
                <w:p w14:paraId="7922561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行政区域</w:t>
                  </w:r>
                </w:p>
              </w:tc>
              <w:tc>
                <w:tcPr>
                  <w:tcW w:w="446" w:type="pct"/>
                  <w:tcBorders>
                    <w:tl2br w:val="nil"/>
                    <w:tr2bl w:val="nil"/>
                  </w:tcBorders>
                  <w:vAlign w:val="center"/>
                </w:tcPr>
                <w:p w14:paraId="3B6C419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单元总数</w:t>
                  </w:r>
                </w:p>
              </w:tc>
              <w:tc>
                <w:tcPr>
                  <w:tcW w:w="706" w:type="pct"/>
                  <w:tcBorders>
                    <w:tl2br w:val="nil"/>
                    <w:tr2bl w:val="nil"/>
                  </w:tcBorders>
                  <w:vAlign w:val="center"/>
                </w:tcPr>
                <w:p w14:paraId="68FAD6C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环境管控单元分类</w:t>
                  </w:r>
                </w:p>
              </w:tc>
              <w:tc>
                <w:tcPr>
                  <w:tcW w:w="1062" w:type="pct"/>
                  <w:tcBorders>
                    <w:tl2br w:val="nil"/>
                    <w:tr2bl w:val="nil"/>
                  </w:tcBorders>
                  <w:vAlign w:val="center"/>
                </w:tcPr>
                <w:p w14:paraId="6F0C532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环境管控单元代码</w:t>
                  </w:r>
                </w:p>
              </w:tc>
              <w:tc>
                <w:tcPr>
                  <w:tcW w:w="2333" w:type="pct"/>
                  <w:tcBorders>
                    <w:tl2br w:val="nil"/>
                    <w:tr2bl w:val="nil"/>
                  </w:tcBorders>
                  <w:vAlign w:val="center"/>
                </w:tcPr>
                <w:p w14:paraId="2DD438C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环境管控单元名称</w:t>
                  </w:r>
                </w:p>
              </w:tc>
            </w:tr>
            <w:tr w14:paraId="7414DE2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1" w:type="pct"/>
                  <w:vMerge w:val="restart"/>
                  <w:tcBorders>
                    <w:tl2br w:val="nil"/>
                    <w:tr2bl w:val="nil"/>
                  </w:tcBorders>
                  <w:vAlign w:val="center"/>
                </w:tcPr>
                <w:p w14:paraId="3CE9C82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鹿寨县</w:t>
                  </w:r>
                </w:p>
              </w:tc>
              <w:tc>
                <w:tcPr>
                  <w:tcW w:w="446" w:type="pct"/>
                  <w:vMerge w:val="restart"/>
                  <w:tcBorders>
                    <w:tl2br w:val="nil"/>
                    <w:tr2bl w:val="nil"/>
                  </w:tcBorders>
                  <w:vAlign w:val="center"/>
                </w:tcPr>
                <w:p w14:paraId="71B161F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16个</w:t>
                  </w:r>
                </w:p>
              </w:tc>
              <w:tc>
                <w:tcPr>
                  <w:tcW w:w="706" w:type="pct"/>
                  <w:vMerge w:val="restart"/>
                  <w:tcBorders>
                    <w:tl2br w:val="nil"/>
                    <w:tr2bl w:val="nil"/>
                  </w:tcBorders>
                  <w:vAlign w:val="center"/>
                </w:tcPr>
                <w:p w14:paraId="191EEF1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优先保护单元</w:t>
                  </w:r>
                </w:p>
              </w:tc>
              <w:tc>
                <w:tcPr>
                  <w:tcW w:w="1062" w:type="pct"/>
                  <w:tcBorders>
                    <w:tl2br w:val="nil"/>
                    <w:tr2bl w:val="nil"/>
                  </w:tcBorders>
                  <w:vAlign w:val="center"/>
                </w:tcPr>
                <w:p w14:paraId="5EBEED9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ZH45022310001</w:t>
                  </w:r>
                </w:p>
              </w:tc>
              <w:tc>
                <w:tcPr>
                  <w:tcW w:w="2333" w:type="pct"/>
                  <w:tcBorders>
                    <w:tl2br w:val="nil"/>
                    <w:tr2bl w:val="nil"/>
                  </w:tcBorders>
                  <w:vAlign w:val="center"/>
                </w:tcPr>
                <w:p w14:paraId="114C569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广西柳州拉沟自治区级自然保护区生态保护红线</w:t>
                  </w:r>
                </w:p>
              </w:tc>
            </w:tr>
            <w:tr w14:paraId="1F98A00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1" w:type="pct"/>
                  <w:vMerge w:val="continue"/>
                  <w:tcBorders>
                    <w:tl2br w:val="nil"/>
                    <w:tr2bl w:val="nil"/>
                  </w:tcBorders>
                  <w:vAlign w:val="center"/>
                </w:tcPr>
                <w:p w14:paraId="481EC21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446" w:type="pct"/>
                  <w:vMerge w:val="continue"/>
                  <w:tcBorders>
                    <w:tl2br w:val="nil"/>
                    <w:tr2bl w:val="nil"/>
                  </w:tcBorders>
                  <w:vAlign w:val="center"/>
                </w:tcPr>
                <w:p w14:paraId="7D064F5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706" w:type="pct"/>
                  <w:vMerge w:val="continue"/>
                  <w:tcBorders>
                    <w:tl2br w:val="nil"/>
                    <w:tr2bl w:val="nil"/>
                  </w:tcBorders>
                  <w:vAlign w:val="center"/>
                </w:tcPr>
                <w:p w14:paraId="5975BFA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1062" w:type="pct"/>
                  <w:tcBorders>
                    <w:tl2br w:val="nil"/>
                    <w:tr2bl w:val="nil"/>
                  </w:tcBorders>
                  <w:vAlign w:val="center"/>
                </w:tcPr>
                <w:p w14:paraId="739C6FF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ZH45022310002</w:t>
                  </w:r>
                </w:p>
              </w:tc>
              <w:tc>
                <w:tcPr>
                  <w:tcW w:w="2333" w:type="pct"/>
                  <w:tcBorders>
                    <w:tl2br w:val="nil"/>
                    <w:tr2bl w:val="nil"/>
                  </w:tcBorders>
                  <w:vAlign w:val="center"/>
                </w:tcPr>
                <w:p w14:paraId="533AB35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广西柳州洛清江自治区级森林公园生态保护红线</w:t>
                  </w:r>
                </w:p>
              </w:tc>
            </w:tr>
            <w:tr w14:paraId="1FAD4D0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1" w:type="pct"/>
                  <w:vMerge w:val="continue"/>
                  <w:tcBorders>
                    <w:tl2br w:val="nil"/>
                    <w:tr2bl w:val="nil"/>
                  </w:tcBorders>
                  <w:vAlign w:val="center"/>
                </w:tcPr>
                <w:p w14:paraId="2301FE9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446" w:type="pct"/>
                  <w:vMerge w:val="continue"/>
                  <w:tcBorders>
                    <w:tl2br w:val="nil"/>
                    <w:tr2bl w:val="nil"/>
                  </w:tcBorders>
                  <w:vAlign w:val="center"/>
                </w:tcPr>
                <w:p w14:paraId="1B53DF9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706" w:type="pct"/>
                  <w:vMerge w:val="continue"/>
                  <w:tcBorders>
                    <w:tl2br w:val="nil"/>
                    <w:tr2bl w:val="nil"/>
                  </w:tcBorders>
                  <w:vAlign w:val="center"/>
                </w:tcPr>
                <w:p w14:paraId="7B8165B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1062" w:type="pct"/>
                  <w:tcBorders>
                    <w:tl2br w:val="nil"/>
                    <w:tr2bl w:val="nil"/>
                  </w:tcBorders>
                  <w:vAlign w:val="center"/>
                </w:tcPr>
                <w:p w14:paraId="706A110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ZH45022310003</w:t>
                  </w:r>
                </w:p>
              </w:tc>
              <w:tc>
                <w:tcPr>
                  <w:tcW w:w="2333" w:type="pct"/>
                  <w:tcBorders>
                    <w:tl2br w:val="nil"/>
                    <w:tr2bl w:val="nil"/>
                  </w:tcBorders>
                  <w:vAlign w:val="center"/>
                </w:tcPr>
                <w:p w14:paraId="4529562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广西鹿寨香桥岩溶国家地质公园生态保护红线</w:t>
                  </w:r>
                </w:p>
              </w:tc>
            </w:tr>
            <w:tr w14:paraId="33F2E8F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1" w:type="pct"/>
                  <w:vMerge w:val="continue"/>
                  <w:tcBorders>
                    <w:tl2br w:val="nil"/>
                    <w:tr2bl w:val="nil"/>
                  </w:tcBorders>
                  <w:vAlign w:val="center"/>
                </w:tcPr>
                <w:p w14:paraId="3DBF65B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446" w:type="pct"/>
                  <w:vMerge w:val="continue"/>
                  <w:tcBorders>
                    <w:tl2br w:val="nil"/>
                    <w:tr2bl w:val="nil"/>
                  </w:tcBorders>
                  <w:vAlign w:val="center"/>
                </w:tcPr>
                <w:p w14:paraId="2D15DE7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706" w:type="pct"/>
                  <w:vMerge w:val="continue"/>
                  <w:tcBorders>
                    <w:tl2br w:val="nil"/>
                    <w:tr2bl w:val="nil"/>
                  </w:tcBorders>
                  <w:vAlign w:val="center"/>
                </w:tcPr>
                <w:p w14:paraId="544BD12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1062" w:type="pct"/>
                  <w:tcBorders>
                    <w:tl2br w:val="nil"/>
                    <w:tr2bl w:val="nil"/>
                  </w:tcBorders>
                  <w:vAlign w:val="center"/>
                </w:tcPr>
                <w:p w14:paraId="4C2DA92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ZH45022310004</w:t>
                  </w:r>
                </w:p>
              </w:tc>
              <w:tc>
                <w:tcPr>
                  <w:tcW w:w="2333" w:type="pct"/>
                  <w:tcBorders>
                    <w:tl2br w:val="nil"/>
                    <w:tr2bl w:val="nil"/>
                  </w:tcBorders>
                  <w:vAlign w:val="center"/>
                </w:tcPr>
                <w:p w14:paraId="27BCD42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桂北山地水源涵养与生物多样性维护生态保护红线</w:t>
                  </w:r>
                </w:p>
              </w:tc>
            </w:tr>
            <w:tr w14:paraId="495C7CC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1" w:type="pct"/>
                  <w:vMerge w:val="continue"/>
                  <w:tcBorders>
                    <w:tl2br w:val="nil"/>
                    <w:tr2bl w:val="nil"/>
                  </w:tcBorders>
                  <w:vAlign w:val="center"/>
                </w:tcPr>
                <w:p w14:paraId="7A1CB16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446" w:type="pct"/>
                  <w:vMerge w:val="continue"/>
                  <w:tcBorders>
                    <w:tl2br w:val="nil"/>
                    <w:tr2bl w:val="nil"/>
                  </w:tcBorders>
                  <w:vAlign w:val="center"/>
                </w:tcPr>
                <w:p w14:paraId="7B41119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706" w:type="pct"/>
                  <w:vMerge w:val="continue"/>
                  <w:tcBorders>
                    <w:tl2br w:val="nil"/>
                    <w:tr2bl w:val="nil"/>
                  </w:tcBorders>
                  <w:vAlign w:val="center"/>
                </w:tcPr>
                <w:p w14:paraId="6749955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1062" w:type="pct"/>
                  <w:tcBorders>
                    <w:tl2br w:val="nil"/>
                    <w:tr2bl w:val="nil"/>
                  </w:tcBorders>
                  <w:vAlign w:val="center"/>
                </w:tcPr>
                <w:p w14:paraId="2F045C9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ZH45022310005</w:t>
                  </w:r>
                </w:p>
              </w:tc>
              <w:tc>
                <w:tcPr>
                  <w:tcW w:w="2333" w:type="pct"/>
                  <w:tcBorders>
                    <w:tl2br w:val="nil"/>
                    <w:tr2bl w:val="nil"/>
                  </w:tcBorders>
                  <w:vAlign w:val="center"/>
                </w:tcPr>
                <w:p w14:paraId="2E7A6D8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架桥岭-大瑶山水源涵养与生物多样性维护生态保护红线</w:t>
                  </w:r>
                </w:p>
              </w:tc>
            </w:tr>
            <w:tr w14:paraId="3C578C9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1" w:type="pct"/>
                  <w:vMerge w:val="continue"/>
                  <w:tcBorders>
                    <w:tl2br w:val="nil"/>
                    <w:tr2bl w:val="nil"/>
                  </w:tcBorders>
                  <w:vAlign w:val="center"/>
                </w:tcPr>
                <w:p w14:paraId="7516A45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446" w:type="pct"/>
                  <w:vMerge w:val="continue"/>
                  <w:tcBorders>
                    <w:tl2br w:val="nil"/>
                    <w:tr2bl w:val="nil"/>
                  </w:tcBorders>
                  <w:vAlign w:val="center"/>
                </w:tcPr>
                <w:p w14:paraId="68E62DC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706" w:type="pct"/>
                  <w:vMerge w:val="continue"/>
                  <w:tcBorders>
                    <w:tl2br w:val="nil"/>
                    <w:tr2bl w:val="nil"/>
                  </w:tcBorders>
                  <w:vAlign w:val="center"/>
                </w:tcPr>
                <w:p w14:paraId="620CF58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1062" w:type="pct"/>
                  <w:tcBorders>
                    <w:tl2br w:val="nil"/>
                    <w:tr2bl w:val="nil"/>
                  </w:tcBorders>
                  <w:vAlign w:val="center"/>
                </w:tcPr>
                <w:p w14:paraId="3C2CFA9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ZH45022310006</w:t>
                  </w:r>
                </w:p>
              </w:tc>
              <w:tc>
                <w:tcPr>
                  <w:tcW w:w="2333" w:type="pct"/>
                  <w:tcBorders>
                    <w:tl2br w:val="nil"/>
                    <w:tr2bl w:val="nil"/>
                  </w:tcBorders>
                  <w:vAlign w:val="center"/>
                </w:tcPr>
                <w:p w14:paraId="02D75E5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柳江-黔江流域水源涵养生态保护红线</w:t>
                  </w:r>
                </w:p>
              </w:tc>
            </w:tr>
            <w:tr w14:paraId="608E3A2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1" w:type="pct"/>
                  <w:vMerge w:val="continue"/>
                  <w:tcBorders>
                    <w:tl2br w:val="nil"/>
                    <w:tr2bl w:val="nil"/>
                  </w:tcBorders>
                  <w:vAlign w:val="center"/>
                </w:tcPr>
                <w:p w14:paraId="59CB1F1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446" w:type="pct"/>
                  <w:vMerge w:val="continue"/>
                  <w:tcBorders>
                    <w:tl2br w:val="nil"/>
                    <w:tr2bl w:val="nil"/>
                  </w:tcBorders>
                  <w:vAlign w:val="center"/>
                </w:tcPr>
                <w:p w14:paraId="18AA5CD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706" w:type="pct"/>
                  <w:vMerge w:val="continue"/>
                  <w:tcBorders>
                    <w:tl2br w:val="nil"/>
                    <w:tr2bl w:val="nil"/>
                  </w:tcBorders>
                  <w:vAlign w:val="center"/>
                </w:tcPr>
                <w:p w14:paraId="446ED0E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1062" w:type="pct"/>
                  <w:tcBorders>
                    <w:tl2br w:val="nil"/>
                    <w:tr2bl w:val="nil"/>
                  </w:tcBorders>
                  <w:vAlign w:val="center"/>
                </w:tcPr>
                <w:p w14:paraId="0A3021B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ZH45022310007</w:t>
                  </w:r>
                </w:p>
              </w:tc>
              <w:tc>
                <w:tcPr>
                  <w:tcW w:w="2333" w:type="pct"/>
                  <w:tcBorders>
                    <w:tl2br w:val="nil"/>
                    <w:tr2bl w:val="nil"/>
                  </w:tcBorders>
                  <w:vAlign w:val="center"/>
                </w:tcPr>
                <w:p w14:paraId="5AE966C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融安-鹿寨-永福岩溶山地水土保持生态保护红线</w:t>
                  </w:r>
                </w:p>
              </w:tc>
            </w:tr>
            <w:tr w14:paraId="2EB5868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1" w:type="pct"/>
                  <w:vMerge w:val="continue"/>
                  <w:tcBorders>
                    <w:tl2br w:val="nil"/>
                    <w:tr2bl w:val="nil"/>
                  </w:tcBorders>
                  <w:vAlign w:val="center"/>
                </w:tcPr>
                <w:p w14:paraId="3A093C2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446" w:type="pct"/>
                  <w:vMerge w:val="continue"/>
                  <w:tcBorders>
                    <w:tl2br w:val="nil"/>
                    <w:tr2bl w:val="nil"/>
                  </w:tcBorders>
                  <w:vAlign w:val="center"/>
                </w:tcPr>
                <w:p w14:paraId="171115D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706" w:type="pct"/>
                  <w:vMerge w:val="continue"/>
                  <w:tcBorders>
                    <w:tl2br w:val="nil"/>
                    <w:tr2bl w:val="nil"/>
                  </w:tcBorders>
                  <w:vAlign w:val="center"/>
                </w:tcPr>
                <w:p w14:paraId="156D47E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1062" w:type="pct"/>
                  <w:tcBorders>
                    <w:tl2br w:val="nil"/>
                    <w:tr2bl w:val="nil"/>
                  </w:tcBorders>
                  <w:vAlign w:val="center"/>
                </w:tcPr>
                <w:p w14:paraId="016B1E0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ZH45022310008</w:t>
                  </w:r>
                </w:p>
              </w:tc>
              <w:tc>
                <w:tcPr>
                  <w:tcW w:w="2333" w:type="pct"/>
                  <w:tcBorders>
                    <w:tl2br w:val="nil"/>
                    <w:tr2bl w:val="nil"/>
                  </w:tcBorders>
                  <w:vAlign w:val="center"/>
                </w:tcPr>
                <w:p w14:paraId="586DEF8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湘江-桂江流域水源涵养生态保护红线</w:t>
                  </w:r>
                </w:p>
              </w:tc>
            </w:tr>
            <w:tr w14:paraId="0D2EC82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1" w:type="pct"/>
                  <w:vMerge w:val="continue"/>
                  <w:tcBorders>
                    <w:tl2br w:val="nil"/>
                    <w:tr2bl w:val="nil"/>
                  </w:tcBorders>
                  <w:vAlign w:val="center"/>
                </w:tcPr>
                <w:p w14:paraId="1CBEFA0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446" w:type="pct"/>
                  <w:vMerge w:val="continue"/>
                  <w:tcBorders>
                    <w:tl2br w:val="nil"/>
                    <w:tr2bl w:val="nil"/>
                  </w:tcBorders>
                  <w:vAlign w:val="center"/>
                </w:tcPr>
                <w:p w14:paraId="17F6AA1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706" w:type="pct"/>
                  <w:vMerge w:val="continue"/>
                  <w:tcBorders>
                    <w:tl2br w:val="nil"/>
                    <w:tr2bl w:val="nil"/>
                  </w:tcBorders>
                  <w:vAlign w:val="center"/>
                </w:tcPr>
                <w:p w14:paraId="3E5960C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1062" w:type="pct"/>
                  <w:tcBorders>
                    <w:tl2br w:val="nil"/>
                    <w:tr2bl w:val="nil"/>
                  </w:tcBorders>
                  <w:vAlign w:val="center"/>
                </w:tcPr>
                <w:p w14:paraId="6F27C47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ZH45022310009</w:t>
                  </w:r>
                </w:p>
              </w:tc>
              <w:tc>
                <w:tcPr>
                  <w:tcW w:w="2333" w:type="pct"/>
                  <w:tcBorders>
                    <w:tl2br w:val="nil"/>
                    <w:tr2bl w:val="nil"/>
                  </w:tcBorders>
                  <w:vAlign w:val="center"/>
                </w:tcPr>
                <w:p w14:paraId="69992EC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柳州市古偿河饮用水保护区一般生态空间</w:t>
                  </w:r>
                </w:p>
              </w:tc>
            </w:tr>
            <w:tr w14:paraId="6790E83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1" w:type="pct"/>
                  <w:vMerge w:val="continue"/>
                  <w:tcBorders>
                    <w:tl2br w:val="nil"/>
                    <w:tr2bl w:val="nil"/>
                  </w:tcBorders>
                  <w:vAlign w:val="center"/>
                </w:tcPr>
                <w:p w14:paraId="6417FBA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446" w:type="pct"/>
                  <w:vMerge w:val="continue"/>
                  <w:tcBorders>
                    <w:tl2br w:val="nil"/>
                    <w:tr2bl w:val="nil"/>
                  </w:tcBorders>
                  <w:vAlign w:val="center"/>
                </w:tcPr>
                <w:p w14:paraId="5671CAE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706" w:type="pct"/>
                  <w:vMerge w:val="continue"/>
                  <w:tcBorders>
                    <w:tl2br w:val="nil"/>
                    <w:tr2bl w:val="nil"/>
                  </w:tcBorders>
                  <w:vAlign w:val="center"/>
                </w:tcPr>
                <w:p w14:paraId="2EF8D42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1062" w:type="pct"/>
                  <w:tcBorders>
                    <w:tl2br w:val="nil"/>
                    <w:tr2bl w:val="nil"/>
                  </w:tcBorders>
                  <w:vAlign w:val="center"/>
                </w:tcPr>
                <w:p w14:paraId="558B69F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ZH45022310010</w:t>
                  </w:r>
                </w:p>
              </w:tc>
              <w:tc>
                <w:tcPr>
                  <w:tcW w:w="2333" w:type="pct"/>
                  <w:tcBorders>
                    <w:tl2br w:val="nil"/>
                    <w:tr2bl w:val="nil"/>
                  </w:tcBorders>
                  <w:vAlign w:val="center"/>
                </w:tcPr>
                <w:p w14:paraId="552AD14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鹿寨县洛清江饮用水水源地保护区一般生态空间</w:t>
                  </w:r>
                </w:p>
              </w:tc>
            </w:tr>
            <w:tr w14:paraId="437CC3E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1" w:type="pct"/>
                  <w:vMerge w:val="continue"/>
                  <w:tcBorders>
                    <w:tl2br w:val="nil"/>
                    <w:tr2bl w:val="nil"/>
                  </w:tcBorders>
                  <w:vAlign w:val="center"/>
                </w:tcPr>
                <w:p w14:paraId="347F9BA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446" w:type="pct"/>
                  <w:vMerge w:val="continue"/>
                  <w:tcBorders>
                    <w:tl2br w:val="nil"/>
                    <w:tr2bl w:val="nil"/>
                  </w:tcBorders>
                  <w:vAlign w:val="center"/>
                </w:tcPr>
                <w:p w14:paraId="3F53504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706" w:type="pct"/>
                  <w:vMerge w:val="continue"/>
                  <w:tcBorders>
                    <w:tl2br w:val="nil"/>
                    <w:tr2bl w:val="nil"/>
                  </w:tcBorders>
                  <w:vAlign w:val="center"/>
                </w:tcPr>
                <w:p w14:paraId="67FE679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1062" w:type="pct"/>
                  <w:tcBorders>
                    <w:tl2br w:val="nil"/>
                    <w:tr2bl w:val="nil"/>
                  </w:tcBorders>
                  <w:vAlign w:val="center"/>
                </w:tcPr>
                <w:p w14:paraId="4B0B322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ZH45022310011</w:t>
                  </w:r>
                </w:p>
              </w:tc>
              <w:tc>
                <w:tcPr>
                  <w:tcW w:w="2333" w:type="pct"/>
                  <w:tcBorders>
                    <w:tl2br w:val="nil"/>
                    <w:tr2bl w:val="nil"/>
                  </w:tcBorders>
                  <w:vAlign w:val="center"/>
                </w:tcPr>
                <w:p w14:paraId="704B8D3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鹿寨县其他优先保护单元</w:t>
                  </w:r>
                </w:p>
              </w:tc>
            </w:tr>
            <w:tr w14:paraId="16C11B7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1" w:type="pct"/>
                  <w:vMerge w:val="continue"/>
                  <w:tcBorders>
                    <w:tl2br w:val="nil"/>
                    <w:tr2bl w:val="nil"/>
                  </w:tcBorders>
                  <w:vAlign w:val="center"/>
                </w:tcPr>
                <w:p w14:paraId="64E9DD4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446" w:type="pct"/>
                  <w:vMerge w:val="continue"/>
                  <w:tcBorders>
                    <w:tl2br w:val="nil"/>
                    <w:tr2bl w:val="nil"/>
                  </w:tcBorders>
                  <w:vAlign w:val="center"/>
                </w:tcPr>
                <w:p w14:paraId="26FAAFE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706" w:type="pct"/>
                  <w:vMerge w:val="restart"/>
                  <w:tcBorders>
                    <w:tl2br w:val="nil"/>
                    <w:tr2bl w:val="nil"/>
                  </w:tcBorders>
                  <w:vAlign w:val="center"/>
                </w:tcPr>
                <w:p w14:paraId="3D21312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重点管控单元</w:t>
                  </w:r>
                </w:p>
              </w:tc>
              <w:tc>
                <w:tcPr>
                  <w:tcW w:w="1062" w:type="pct"/>
                  <w:tcBorders>
                    <w:tl2br w:val="nil"/>
                    <w:tr2bl w:val="nil"/>
                  </w:tcBorders>
                  <w:vAlign w:val="center"/>
                </w:tcPr>
                <w:p w14:paraId="28FE86F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ZH45022320001</w:t>
                  </w:r>
                </w:p>
              </w:tc>
              <w:tc>
                <w:tcPr>
                  <w:tcW w:w="2333" w:type="pct"/>
                  <w:tcBorders>
                    <w:tl2br w:val="nil"/>
                    <w:tr2bl w:val="nil"/>
                  </w:tcBorders>
                  <w:vAlign w:val="center"/>
                </w:tcPr>
                <w:p w14:paraId="4A30C2B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广西鹿寨经济开发区重点管控单元</w:t>
                  </w:r>
                </w:p>
              </w:tc>
            </w:tr>
            <w:tr w14:paraId="47A15C8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1" w:type="pct"/>
                  <w:vMerge w:val="continue"/>
                  <w:tcBorders>
                    <w:tl2br w:val="nil"/>
                    <w:tr2bl w:val="nil"/>
                  </w:tcBorders>
                  <w:vAlign w:val="center"/>
                </w:tcPr>
                <w:p w14:paraId="676660E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446" w:type="pct"/>
                  <w:vMerge w:val="continue"/>
                  <w:tcBorders>
                    <w:tl2br w:val="nil"/>
                    <w:tr2bl w:val="nil"/>
                  </w:tcBorders>
                  <w:vAlign w:val="center"/>
                </w:tcPr>
                <w:p w14:paraId="23E82BC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706" w:type="pct"/>
                  <w:vMerge w:val="continue"/>
                  <w:tcBorders>
                    <w:tl2br w:val="nil"/>
                    <w:tr2bl w:val="nil"/>
                  </w:tcBorders>
                  <w:vAlign w:val="center"/>
                </w:tcPr>
                <w:p w14:paraId="6CBDD27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1062" w:type="pct"/>
                  <w:tcBorders>
                    <w:tl2br w:val="nil"/>
                    <w:tr2bl w:val="nil"/>
                  </w:tcBorders>
                  <w:vAlign w:val="center"/>
                </w:tcPr>
                <w:p w14:paraId="20CDB9A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ZH45022320002</w:t>
                  </w:r>
                </w:p>
              </w:tc>
              <w:tc>
                <w:tcPr>
                  <w:tcW w:w="2333" w:type="pct"/>
                  <w:tcBorders>
                    <w:tl2br w:val="nil"/>
                    <w:tr2bl w:val="nil"/>
                  </w:tcBorders>
                  <w:vAlign w:val="center"/>
                </w:tcPr>
                <w:p w14:paraId="395F5FD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val="0"/>
                      <w:bCs w:val="0"/>
                      <w:color w:val="auto"/>
                      <w:spacing w:val="0"/>
                      <w:sz w:val="21"/>
                      <w:szCs w:val="21"/>
                    </w:rPr>
                  </w:pPr>
                  <w:r>
                    <w:rPr>
                      <w:rFonts w:hint="default" w:ascii="Times New Roman" w:hAnsi="Times New Roman" w:eastAsia="宋体" w:cs="Times New Roman"/>
                      <w:b w:val="0"/>
                      <w:bCs w:val="0"/>
                      <w:color w:val="auto"/>
                      <w:spacing w:val="0"/>
                      <w:sz w:val="21"/>
                      <w:szCs w:val="21"/>
                    </w:rPr>
                    <w:t>鹿寨县城镇空间重点管控单元</w:t>
                  </w:r>
                </w:p>
              </w:tc>
            </w:tr>
            <w:tr w14:paraId="1C35B7C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1" w:type="pct"/>
                  <w:vMerge w:val="continue"/>
                  <w:tcBorders>
                    <w:tl2br w:val="nil"/>
                    <w:tr2bl w:val="nil"/>
                  </w:tcBorders>
                  <w:vAlign w:val="center"/>
                </w:tcPr>
                <w:p w14:paraId="01C6D72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446" w:type="pct"/>
                  <w:vMerge w:val="continue"/>
                  <w:tcBorders>
                    <w:tl2br w:val="nil"/>
                    <w:tr2bl w:val="nil"/>
                  </w:tcBorders>
                  <w:vAlign w:val="center"/>
                </w:tcPr>
                <w:p w14:paraId="6B1A9AE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706" w:type="pct"/>
                  <w:vMerge w:val="continue"/>
                  <w:tcBorders>
                    <w:tl2br w:val="nil"/>
                    <w:tr2bl w:val="nil"/>
                  </w:tcBorders>
                  <w:vAlign w:val="center"/>
                </w:tcPr>
                <w:p w14:paraId="5310411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1062" w:type="pct"/>
                  <w:tcBorders>
                    <w:tl2br w:val="nil"/>
                    <w:tr2bl w:val="nil"/>
                  </w:tcBorders>
                  <w:vAlign w:val="center"/>
                </w:tcPr>
                <w:p w14:paraId="00DC286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ZH45022320003</w:t>
                  </w:r>
                </w:p>
              </w:tc>
              <w:tc>
                <w:tcPr>
                  <w:tcW w:w="2333" w:type="pct"/>
                  <w:tcBorders>
                    <w:tl2br w:val="nil"/>
                    <w:tr2bl w:val="nil"/>
                  </w:tcBorders>
                  <w:vAlign w:val="center"/>
                </w:tcPr>
                <w:p w14:paraId="376B56E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鹿寨县布局敏感区重点管控单元</w:t>
                  </w:r>
                </w:p>
              </w:tc>
            </w:tr>
            <w:tr w14:paraId="34CDE00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1" w:type="pct"/>
                  <w:vMerge w:val="continue"/>
                  <w:tcBorders>
                    <w:tl2br w:val="nil"/>
                    <w:tr2bl w:val="nil"/>
                  </w:tcBorders>
                  <w:vAlign w:val="center"/>
                </w:tcPr>
                <w:p w14:paraId="5F51057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446" w:type="pct"/>
                  <w:vMerge w:val="continue"/>
                  <w:tcBorders>
                    <w:tl2br w:val="nil"/>
                    <w:tr2bl w:val="nil"/>
                  </w:tcBorders>
                  <w:vAlign w:val="center"/>
                </w:tcPr>
                <w:p w14:paraId="21F367F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706" w:type="pct"/>
                  <w:vMerge w:val="continue"/>
                  <w:tcBorders>
                    <w:tl2br w:val="nil"/>
                    <w:tr2bl w:val="nil"/>
                  </w:tcBorders>
                  <w:vAlign w:val="center"/>
                </w:tcPr>
                <w:p w14:paraId="18E01B0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1062" w:type="pct"/>
                  <w:tcBorders>
                    <w:tl2br w:val="nil"/>
                    <w:tr2bl w:val="nil"/>
                  </w:tcBorders>
                  <w:vAlign w:val="center"/>
                </w:tcPr>
                <w:p w14:paraId="759BF44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ZH45022320004</w:t>
                  </w:r>
                </w:p>
              </w:tc>
              <w:tc>
                <w:tcPr>
                  <w:tcW w:w="2333" w:type="pct"/>
                  <w:tcBorders>
                    <w:tl2br w:val="nil"/>
                    <w:tr2bl w:val="nil"/>
                  </w:tcBorders>
                  <w:vAlign w:val="center"/>
                </w:tcPr>
                <w:p w14:paraId="5F232C3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鹿寨县其他重点管控单元</w:t>
                  </w:r>
                </w:p>
              </w:tc>
            </w:tr>
            <w:tr w14:paraId="08905ED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1" w:type="pct"/>
                  <w:vMerge w:val="continue"/>
                  <w:tcBorders>
                    <w:tl2br w:val="nil"/>
                    <w:tr2bl w:val="nil"/>
                  </w:tcBorders>
                  <w:vAlign w:val="center"/>
                </w:tcPr>
                <w:p w14:paraId="05F88C9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446" w:type="pct"/>
                  <w:vMerge w:val="continue"/>
                  <w:tcBorders>
                    <w:tl2br w:val="nil"/>
                    <w:tr2bl w:val="nil"/>
                  </w:tcBorders>
                  <w:vAlign w:val="center"/>
                </w:tcPr>
                <w:p w14:paraId="62D3464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p>
              </w:tc>
              <w:tc>
                <w:tcPr>
                  <w:tcW w:w="706" w:type="pct"/>
                  <w:tcBorders>
                    <w:tl2br w:val="nil"/>
                    <w:tr2bl w:val="nil"/>
                  </w:tcBorders>
                  <w:vAlign w:val="center"/>
                </w:tcPr>
                <w:p w14:paraId="00CA6BD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一般管控单元</w:t>
                  </w:r>
                </w:p>
              </w:tc>
              <w:tc>
                <w:tcPr>
                  <w:tcW w:w="1062" w:type="pct"/>
                  <w:tcBorders>
                    <w:tl2br w:val="nil"/>
                    <w:tr2bl w:val="nil"/>
                  </w:tcBorders>
                  <w:vAlign w:val="center"/>
                </w:tcPr>
                <w:p w14:paraId="35F5EFD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ZH45022330001</w:t>
                  </w:r>
                </w:p>
              </w:tc>
              <w:tc>
                <w:tcPr>
                  <w:tcW w:w="2333" w:type="pct"/>
                  <w:tcBorders>
                    <w:tl2br w:val="nil"/>
                    <w:tr2bl w:val="nil"/>
                  </w:tcBorders>
                  <w:vAlign w:val="center"/>
                </w:tcPr>
                <w:p w14:paraId="161EE28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鹿寨县一般管控单元</w:t>
                  </w:r>
                </w:p>
              </w:tc>
            </w:tr>
          </w:tbl>
          <w:p w14:paraId="37A7D8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snapToGrid w:val="0"/>
                <w:color w:val="auto"/>
                <w:spacing w:val="0"/>
                <w:position w:val="0"/>
                <w:sz w:val="24"/>
                <w:szCs w:val="24"/>
                <w:highlight w:val="none"/>
                <w:lang w:val="en-US" w:eastAsia="zh-CN"/>
              </w:rPr>
            </w:pPr>
            <w:r>
              <w:rPr>
                <w:rFonts w:hint="default" w:ascii="Times New Roman" w:hAnsi="Times New Roman" w:eastAsia="宋体" w:cs="Times New Roman"/>
                <w:b w:val="0"/>
                <w:bCs w:val="0"/>
                <w:snapToGrid w:val="0"/>
                <w:color w:val="auto"/>
                <w:spacing w:val="0"/>
                <w:position w:val="0"/>
                <w:sz w:val="24"/>
                <w:szCs w:val="24"/>
                <w:highlight w:val="none"/>
                <w:lang w:val="en-US" w:eastAsia="zh-CN"/>
              </w:rPr>
              <w:t>根据项目在柳州市陆域生态环境管控单元分类图（2023年）中的位置（详见附图6）可知，本项目所在区域属于广西鹿寨经济开发区重点管控单元范围。结合现场调查情况，项目所在地不涉及自然保护区及饮用水水源保护区，不涉及重点生态功能区、生态敏感区、禁止开发区等重要生态功能区或生态环境敏感、脆弱区的其他区域。项目选址不涉及生态保护红线。</w:t>
            </w:r>
          </w:p>
          <w:p w14:paraId="53CF37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snapToGrid w:val="0"/>
                <w:color w:val="auto"/>
                <w:spacing w:val="0"/>
                <w:position w:val="0"/>
                <w:sz w:val="24"/>
                <w:szCs w:val="24"/>
                <w:highlight w:val="none"/>
                <w:lang w:val="en-US" w:eastAsia="zh-CN"/>
              </w:rPr>
            </w:pPr>
            <w:r>
              <w:rPr>
                <w:rFonts w:hint="default" w:ascii="Times New Roman" w:hAnsi="Times New Roman" w:eastAsia="宋体" w:cs="Times New Roman"/>
                <w:b w:val="0"/>
                <w:bCs w:val="0"/>
                <w:snapToGrid w:val="0"/>
                <w:color w:val="auto"/>
                <w:spacing w:val="0"/>
                <w:position w:val="0"/>
                <w:sz w:val="24"/>
                <w:szCs w:val="24"/>
                <w:highlight w:val="none"/>
                <w:lang w:val="en-US" w:eastAsia="zh-CN"/>
              </w:rPr>
              <w:t>（2）环境质量底线</w:t>
            </w:r>
          </w:p>
          <w:p w14:paraId="39DA3B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snapToGrid w:val="0"/>
                <w:color w:val="auto"/>
                <w:spacing w:val="0"/>
                <w:position w:val="0"/>
                <w:sz w:val="24"/>
                <w:szCs w:val="24"/>
                <w:highlight w:val="none"/>
                <w:lang w:val="en-US" w:eastAsia="zh-CN"/>
              </w:rPr>
            </w:pPr>
            <w:r>
              <w:rPr>
                <w:rFonts w:hint="default" w:ascii="Times New Roman" w:hAnsi="Times New Roman" w:eastAsia="宋体" w:cs="Times New Roman"/>
                <w:b w:val="0"/>
                <w:bCs w:val="0"/>
                <w:snapToGrid w:val="0"/>
                <w:color w:val="auto"/>
                <w:spacing w:val="0"/>
                <w:position w:val="0"/>
                <w:sz w:val="24"/>
                <w:szCs w:val="24"/>
                <w:highlight w:val="none"/>
                <w:lang w:val="en-US" w:eastAsia="zh-CN"/>
              </w:rPr>
              <w:t>根据区域环境质量现状调查，建设项目所在区域大气环境、水环境、声环境等均能满足相应功能区要求，区域土壤环境质量良好无背景污染。项目废气、废水、固体废物经采取措施后均能达标排放，对区域空气环境、水环境、土壤环境影响不大。因此，项目不会触及环境质量底线要求。</w:t>
            </w:r>
          </w:p>
          <w:p w14:paraId="17221E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snapToGrid w:val="0"/>
                <w:color w:val="auto"/>
                <w:spacing w:val="0"/>
                <w:position w:val="0"/>
                <w:sz w:val="24"/>
                <w:szCs w:val="24"/>
                <w:highlight w:val="none"/>
                <w:lang w:val="en-US" w:eastAsia="zh-CN"/>
              </w:rPr>
            </w:pPr>
            <w:r>
              <w:rPr>
                <w:rFonts w:hint="default" w:ascii="Times New Roman" w:hAnsi="Times New Roman" w:eastAsia="宋体" w:cs="Times New Roman"/>
                <w:b w:val="0"/>
                <w:bCs w:val="0"/>
                <w:snapToGrid w:val="0"/>
                <w:color w:val="auto"/>
                <w:spacing w:val="0"/>
                <w:position w:val="0"/>
                <w:sz w:val="24"/>
                <w:szCs w:val="24"/>
                <w:highlight w:val="none"/>
                <w:lang w:val="en-US" w:eastAsia="zh-CN"/>
              </w:rPr>
              <w:t>（3）资源利用上线</w:t>
            </w:r>
          </w:p>
          <w:p w14:paraId="768DBB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snapToGrid w:val="0"/>
                <w:color w:val="auto"/>
                <w:spacing w:val="0"/>
                <w:position w:val="0"/>
                <w:sz w:val="24"/>
                <w:szCs w:val="24"/>
                <w:highlight w:val="none"/>
                <w:lang w:val="en-US" w:eastAsia="zh-CN"/>
              </w:rPr>
            </w:pPr>
            <w:r>
              <w:rPr>
                <w:rFonts w:hint="default" w:ascii="Times New Roman" w:hAnsi="Times New Roman" w:eastAsia="宋体" w:cs="Times New Roman"/>
                <w:b w:val="0"/>
                <w:bCs w:val="0"/>
                <w:snapToGrid w:val="0"/>
                <w:color w:val="auto"/>
                <w:spacing w:val="0"/>
                <w:position w:val="0"/>
                <w:sz w:val="24"/>
                <w:szCs w:val="24"/>
                <w:highlight w:val="none"/>
                <w:lang w:val="en-US" w:eastAsia="zh-CN"/>
              </w:rPr>
              <w:t>本项目运营期用电由市政电网供给，用水由市政管网供给。年耗电量、耗水量较少，市政供给可满足项目需求，不会超过区域资源利用上线要求。</w:t>
            </w:r>
          </w:p>
          <w:p w14:paraId="7FFFCB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snapToGrid w:val="0"/>
                <w:color w:val="auto"/>
                <w:spacing w:val="0"/>
                <w:position w:val="0"/>
                <w:sz w:val="24"/>
                <w:szCs w:val="24"/>
                <w:highlight w:val="none"/>
                <w:lang w:val="en-US" w:eastAsia="zh-CN"/>
              </w:rPr>
            </w:pPr>
            <w:r>
              <w:rPr>
                <w:rFonts w:hint="default" w:ascii="Times New Roman" w:hAnsi="Times New Roman" w:eastAsia="宋体" w:cs="Times New Roman"/>
                <w:b w:val="0"/>
                <w:bCs w:val="0"/>
                <w:snapToGrid w:val="0"/>
                <w:color w:val="auto"/>
                <w:spacing w:val="0"/>
                <w:position w:val="0"/>
                <w:sz w:val="24"/>
                <w:szCs w:val="24"/>
                <w:highlight w:val="none"/>
                <w:lang w:val="en-US" w:eastAsia="zh-CN"/>
              </w:rPr>
              <w:t>（4）生态环境准入清单</w:t>
            </w:r>
          </w:p>
          <w:p w14:paraId="5AC778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snapToGrid w:val="0"/>
                <w:color w:val="auto"/>
                <w:spacing w:val="0"/>
                <w:position w:val="0"/>
                <w:sz w:val="24"/>
                <w:szCs w:val="24"/>
                <w:highlight w:val="none"/>
                <w:lang w:val="en-US" w:eastAsia="zh-CN"/>
              </w:rPr>
            </w:pPr>
            <w:r>
              <w:rPr>
                <w:rFonts w:hint="default" w:ascii="Times New Roman" w:hAnsi="Times New Roman" w:eastAsia="宋体" w:cs="Times New Roman"/>
                <w:b w:val="0"/>
                <w:bCs w:val="0"/>
                <w:snapToGrid w:val="0"/>
                <w:color w:val="auto"/>
                <w:spacing w:val="0"/>
                <w:position w:val="0"/>
                <w:sz w:val="24"/>
                <w:szCs w:val="24"/>
                <w:highlight w:val="none"/>
                <w:lang w:val="en-US" w:eastAsia="zh-CN"/>
              </w:rPr>
              <w:t>本项目属于广西鹿寨经济开发区重点管控单元，项目与“广西鹿寨经济开发区重点管控单元”相符性分析详见下表。</w:t>
            </w:r>
          </w:p>
          <w:p w14:paraId="6BDB52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cs="Times New Roman" w:eastAsiaTheme="minorEastAsia"/>
                <w:b/>
                <w:bCs/>
                <w:color w:val="auto"/>
                <w:spacing w:val="0"/>
                <w:sz w:val="21"/>
                <w:szCs w:val="21"/>
                <w:highlight w:val="none"/>
                <w:lang w:val="en-US" w:eastAsia="zh-CN"/>
              </w:rPr>
            </w:pPr>
            <w:r>
              <w:rPr>
                <w:rFonts w:hint="default" w:ascii="Times New Roman" w:hAnsi="Times New Roman" w:cs="Times New Roman" w:eastAsiaTheme="minorEastAsia"/>
                <w:b/>
                <w:bCs/>
                <w:color w:val="auto"/>
                <w:spacing w:val="0"/>
                <w:sz w:val="21"/>
                <w:szCs w:val="21"/>
                <w:highlight w:val="none"/>
              </w:rPr>
              <w:t>表1-</w:t>
            </w:r>
            <w:r>
              <w:rPr>
                <w:rFonts w:hint="default" w:ascii="Times New Roman" w:hAnsi="Times New Roman" w:cs="Times New Roman" w:eastAsiaTheme="minorEastAsia"/>
                <w:b/>
                <w:bCs/>
                <w:color w:val="auto"/>
                <w:spacing w:val="0"/>
                <w:sz w:val="21"/>
                <w:szCs w:val="21"/>
                <w:highlight w:val="none"/>
                <w:lang w:val="en-US" w:eastAsia="zh-CN"/>
              </w:rPr>
              <w:t>4 项目与生态环境准入及管控要求清单相符性分析一览表</w:t>
            </w:r>
          </w:p>
          <w:tbl>
            <w:tblPr>
              <w:tblStyle w:val="431"/>
              <w:tblW w:w="7091" w:type="dxa"/>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0" w:type="dxa"/>
                <w:left w:w="0" w:type="dxa"/>
                <w:bottom w:w="0" w:type="dxa"/>
                <w:right w:w="0" w:type="dxa"/>
              </w:tblCellMar>
            </w:tblPr>
            <w:tblGrid>
              <w:gridCol w:w="479"/>
              <w:gridCol w:w="3289"/>
              <w:gridCol w:w="2621"/>
              <w:gridCol w:w="702"/>
            </w:tblGrid>
            <w:tr w14:paraId="2AAE08B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57" w:type="pct"/>
                  <w:gridSpan w:val="2"/>
                  <w:tcBorders>
                    <w:tl2br w:val="nil"/>
                    <w:tr2bl w:val="nil"/>
                  </w:tcBorders>
                  <w:vAlign w:val="center"/>
                </w:tcPr>
                <w:p w14:paraId="66252B9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b/>
                      <w:bCs/>
                      <w:color w:val="auto"/>
                      <w:spacing w:val="0"/>
                      <w:w w:val="100"/>
                      <w:sz w:val="21"/>
                      <w:szCs w:val="21"/>
                    </w:rPr>
                    <w:t>生态环境准入及管控要求</w:t>
                  </w:r>
                </w:p>
              </w:tc>
              <w:tc>
                <w:tcPr>
                  <w:tcW w:w="1848" w:type="pct"/>
                  <w:tcBorders>
                    <w:tl2br w:val="nil"/>
                    <w:tr2bl w:val="nil"/>
                  </w:tcBorders>
                  <w:vAlign w:val="center"/>
                </w:tcPr>
                <w:p w14:paraId="30D907E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color w:val="auto"/>
                      <w:spacing w:val="0"/>
                      <w:w w:val="100"/>
                      <w:sz w:val="21"/>
                      <w:szCs w:val="21"/>
                    </w:rPr>
                  </w:pPr>
                  <w:r>
                    <w:rPr>
                      <w:rFonts w:hint="default" w:ascii="Times New Roman" w:hAnsi="Times New Roman" w:eastAsia="宋体" w:cs="Times New Roman"/>
                      <w:b/>
                      <w:bCs/>
                      <w:color w:val="auto"/>
                      <w:spacing w:val="0"/>
                      <w:w w:val="100"/>
                      <w:sz w:val="21"/>
                      <w:szCs w:val="21"/>
                    </w:rPr>
                    <w:t>项目情况</w:t>
                  </w:r>
                </w:p>
              </w:tc>
              <w:tc>
                <w:tcPr>
                  <w:tcW w:w="494" w:type="pct"/>
                  <w:tcBorders>
                    <w:tl2br w:val="nil"/>
                    <w:tr2bl w:val="nil"/>
                  </w:tcBorders>
                  <w:vAlign w:val="center"/>
                </w:tcPr>
                <w:p w14:paraId="57E24AC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b/>
                      <w:bCs/>
                      <w:color w:val="auto"/>
                      <w:spacing w:val="0"/>
                      <w:w w:val="100"/>
                      <w:sz w:val="21"/>
                      <w:szCs w:val="21"/>
                      <w:lang w:val="en-US" w:eastAsia="zh-CN"/>
                    </w:rPr>
                  </w:pPr>
                  <w:r>
                    <w:rPr>
                      <w:rFonts w:hint="default" w:ascii="Times New Roman" w:hAnsi="Times New Roman" w:eastAsia="宋体" w:cs="Times New Roman"/>
                      <w:b/>
                      <w:bCs/>
                      <w:color w:val="auto"/>
                      <w:spacing w:val="0"/>
                      <w:w w:val="100"/>
                      <w:sz w:val="21"/>
                      <w:szCs w:val="21"/>
                      <w:lang w:val="en-US" w:eastAsia="zh-CN"/>
                    </w:rPr>
                    <w:t>相符性</w:t>
                  </w:r>
                </w:p>
              </w:tc>
            </w:tr>
            <w:tr w14:paraId="09F4A40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8" w:type="pct"/>
                  <w:vMerge w:val="restart"/>
                  <w:tcBorders>
                    <w:tl2br w:val="nil"/>
                    <w:tr2bl w:val="nil"/>
                  </w:tcBorders>
                  <w:vAlign w:val="center"/>
                </w:tcPr>
                <w:p w14:paraId="3A0ADCC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空间布局约束</w:t>
                  </w:r>
                </w:p>
              </w:tc>
              <w:tc>
                <w:tcPr>
                  <w:tcW w:w="2319" w:type="pct"/>
                  <w:tcBorders>
                    <w:tl2br w:val="nil"/>
                    <w:tr2bl w:val="nil"/>
                  </w:tcBorders>
                  <w:vAlign w:val="center"/>
                </w:tcPr>
                <w:p w14:paraId="6F44CF7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1．入园项目必须符合国家、自治区产业政策、供地政策及园区产业定位。</w:t>
                  </w:r>
                </w:p>
              </w:tc>
              <w:tc>
                <w:tcPr>
                  <w:tcW w:w="1848" w:type="pct"/>
                  <w:tcBorders>
                    <w:tl2br w:val="nil"/>
                    <w:tr2bl w:val="nil"/>
                  </w:tcBorders>
                  <w:vAlign w:val="center"/>
                </w:tcPr>
                <w:p w14:paraId="7BBFC29F">
                  <w:pPr>
                    <w:keepNext w:val="0"/>
                    <w:keepLines w:val="0"/>
                    <w:pageBreakBefore w:val="0"/>
                    <w:widowControl/>
                    <w:tabs>
                      <w:tab w:val="left" w:pos="2403"/>
                    </w:tabs>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w:t>
                  </w:r>
                  <w:r>
                    <w:rPr>
                      <w:rFonts w:hint="default" w:ascii="Times New Roman" w:hAnsi="Times New Roman" w:eastAsia="宋体" w:cs="Times New Roman"/>
                      <w:color w:val="auto"/>
                      <w:spacing w:val="0"/>
                      <w:w w:val="100"/>
                      <w:sz w:val="21"/>
                      <w:szCs w:val="21"/>
                      <w:lang w:val="en-US" w:eastAsia="zh-CN"/>
                    </w:rPr>
                    <w:t>不</w:t>
                  </w:r>
                  <w:r>
                    <w:rPr>
                      <w:rFonts w:hint="default" w:ascii="Times New Roman" w:hAnsi="Times New Roman" w:eastAsia="宋体" w:cs="Times New Roman"/>
                      <w:color w:val="auto"/>
                      <w:spacing w:val="0"/>
                      <w:w w:val="100"/>
                      <w:sz w:val="21"/>
                      <w:szCs w:val="21"/>
                    </w:rPr>
                    <w:t>属于《产业结构调整指导目录（2024年本）》中</w:t>
                  </w:r>
                  <w:r>
                    <w:rPr>
                      <w:rFonts w:hint="default" w:ascii="Times New Roman" w:hAnsi="Times New Roman" w:eastAsia="宋体" w:cs="Times New Roman"/>
                      <w:color w:val="auto"/>
                      <w:spacing w:val="0"/>
                      <w:w w:val="100"/>
                      <w:sz w:val="21"/>
                      <w:szCs w:val="21"/>
                      <w:lang w:val="en-US" w:eastAsia="zh-CN"/>
                    </w:rPr>
                    <w:t>限制</w:t>
                  </w:r>
                  <w:r>
                    <w:rPr>
                      <w:rFonts w:hint="default" w:ascii="Times New Roman" w:hAnsi="Times New Roman" w:eastAsia="宋体" w:cs="Times New Roman"/>
                      <w:color w:val="auto"/>
                      <w:spacing w:val="0"/>
                      <w:w w:val="100"/>
                      <w:sz w:val="21"/>
                      <w:szCs w:val="21"/>
                    </w:rPr>
                    <w:t>类，产业政策符合；项目属于新材料产业，符合园区定位。</w:t>
                  </w:r>
                </w:p>
              </w:tc>
              <w:tc>
                <w:tcPr>
                  <w:tcW w:w="494" w:type="pct"/>
                  <w:vMerge w:val="restart"/>
                  <w:tcBorders>
                    <w:tl2br w:val="nil"/>
                    <w:tr2bl w:val="nil"/>
                  </w:tcBorders>
                  <w:vAlign w:val="center"/>
                </w:tcPr>
                <w:p w14:paraId="2FB698FC">
                  <w:pPr>
                    <w:keepNext w:val="0"/>
                    <w:keepLines w:val="0"/>
                    <w:pageBreakBefore w:val="0"/>
                    <w:widowControl/>
                    <w:tabs>
                      <w:tab w:val="left" w:pos="2403"/>
                    </w:tabs>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eastAsia="宋体" w:cs="Times New Roman"/>
                      <w:color w:val="auto"/>
                      <w:spacing w:val="0"/>
                      <w:w w:val="100"/>
                      <w:sz w:val="21"/>
                      <w:szCs w:val="21"/>
                      <w:lang w:val="en-US" w:eastAsia="zh-CN"/>
                    </w:rPr>
                    <w:t>项目与开发区</w:t>
                  </w:r>
                  <w:r>
                    <w:rPr>
                      <w:rFonts w:hint="default" w:ascii="Times New Roman" w:hAnsi="Times New Roman" w:eastAsia="宋体" w:cs="Times New Roman"/>
                      <w:color w:val="auto"/>
                      <w:spacing w:val="0"/>
                      <w:w w:val="100"/>
                      <w:sz w:val="21"/>
                      <w:szCs w:val="21"/>
                    </w:rPr>
                    <w:t>空间布局约束</w:t>
                  </w:r>
                  <w:r>
                    <w:rPr>
                      <w:rFonts w:hint="default" w:ascii="Times New Roman" w:hAnsi="Times New Roman" w:eastAsia="宋体" w:cs="Times New Roman"/>
                      <w:color w:val="auto"/>
                      <w:spacing w:val="0"/>
                      <w:w w:val="100"/>
                      <w:sz w:val="21"/>
                      <w:szCs w:val="21"/>
                      <w:lang w:val="en-US" w:eastAsia="zh-CN"/>
                    </w:rPr>
                    <w:t>相符</w:t>
                  </w:r>
                </w:p>
              </w:tc>
            </w:tr>
            <w:tr w14:paraId="17B7559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8" w:type="pct"/>
                  <w:vMerge w:val="continue"/>
                  <w:tcBorders>
                    <w:tl2br w:val="nil"/>
                    <w:tr2bl w:val="nil"/>
                  </w:tcBorders>
                  <w:vAlign w:val="center"/>
                </w:tcPr>
                <w:p w14:paraId="6124623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319" w:type="pct"/>
                  <w:tcBorders>
                    <w:tl2br w:val="nil"/>
                    <w:tr2bl w:val="nil"/>
                  </w:tcBorders>
                  <w:vAlign w:val="center"/>
                </w:tcPr>
                <w:p w14:paraId="3DA215A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2．居住用地周边严控布局潜在污染扰民和环境风险突出的建设项目。化工、制糖、造纸、缫丝纺织类项目应优先考虑在中心工业园布局，远离鹿寨县城；建材企业应远离居民区。制药、食品类项目应与重污染项目保持适当的防护距离。</w:t>
                  </w:r>
                </w:p>
              </w:tc>
              <w:tc>
                <w:tcPr>
                  <w:tcW w:w="1848" w:type="pct"/>
                  <w:tcBorders>
                    <w:tl2br w:val="nil"/>
                    <w:tr2bl w:val="nil"/>
                  </w:tcBorders>
                  <w:vAlign w:val="center"/>
                </w:tcPr>
                <w:p w14:paraId="6047885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距离居住用地较近，通过隔声等降噪后，无污染扰民情况；项目严格控制危险物质存储量、严格管理、严格生产操作规程，环境风险可控。项目不属于化工、制糖、造纸、缫丝纺织类项目、不属于建材企业；项目不属于制药、食品类项目。</w:t>
                  </w:r>
                </w:p>
              </w:tc>
              <w:tc>
                <w:tcPr>
                  <w:tcW w:w="494" w:type="pct"/>
                  <w:vMerge w:val="continue"/>
                  <w:tcBorders>
                    <w:tl2br w:val="nil"/>
                    <w:tr2bl w:val="nil"/>
                  </w:tcBorders>
                  <w:vAlign w:val="center"/>
                </w:tcPr>
                <w:p w14:paraId="2ED7B8B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r>
            <w:tr w14:paraId="4EAE32F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8" w:type="pct"/>
                  <w:vMerge w:val="continue"/>
                  <w:tcBorders>
                    <w:tl2br w:val="nil"/>
                    <w:tr2bl w:val="nil"/>
                  </w:tcBorders>
                  <w:vAlign w:val="center"/>
                </w:tcPr>
                <w:p w14:paraId="662C1DB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319" w:type="pct"/>
                  <w:tcBorders>
                    <w:tl2br w:val="nil"/>
                    <w:tr2bl w:val="nil"/>
                  </w:tcBorders>
                  <w:vAlign w:val="center"/>
                </w:tcPr>
                <w:p w14:paraId="430CB48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3．江口工业园规划期内的建设方案应与生态红线协调，不得侵占生态红线范围。若江口工业园与划定的生态红线存在冲突，应对规划方案实施退让调整。</w:t>
                  </w:r>
                </w:p>
              </w:tc>
              <w:tc>
                <w:tcPr>
                  <w:tcW w:w="1848" w:type="pct"/>
                  <w:tcBorders>
                    <w:tl2br w:val="nil"/>
                    <w:tr2bl w:val="nil"/>
                  </w:tcBorders>
                  <w:vAlign w:val="center"/>
                </w:tcPr>
                <w:p w14:paraId="37280B4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rightChars="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项目不涉及江口工业园。</w:t>
                  </w:r>
                </w:p>
              </w:tc>
              <w:tc>
                <w:tcPr>
                  <w:tcW w:w="494" w:type="pct"/>
                  <w:vMerge w:val="continue"/>
                  <w:tcBorders>
                    <w:tl2br w:val="nil"/>
                    <w:tr2bl w:val="nil"/>
                  </w:tcBorders>
                  <w:vAlign w:val="center"/>
                </w:tcPr>
                <w:p w14:paraId="0AE0D94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rightChars="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r>
            <w:tr w14:paraId="6387131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8" w:type="pct"/>
                  <w:vMerge w:val="continue"/>
                  <w:tcBorders>
                    <w:tl2br w:val="nil"/>
                    <w:tr2bl w:val="nil"/>
                  </w:tcBorders>
                  <w:vAlign w:val="center"/>
                </w:tcPr>
                <w:p w14:paraId="4FE1844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319" w:type="pct"/>
                  <w:tcBorders>
                    <w:tl2br w:val="nil"/>
                    <w:tr2bl w:val="nil"/>
                  </w:tcBorders>
                  <w:vAlign w:val="center"/>
                </w:tcPr>
                <w:p w14:paraId="73C8681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4．严禁随意调整用地范围和布局，占用生态公益林；高新区核心区内，湘桂铁路、322国道两旁第一层山脊以内的林地，作为柳州市及鹿寨县的通道生态屏障加以保护。</w:t>
                  </w:r>
                </w:p>
              </w:tc>
              <w:tc>
                <w:tcPr>
                  <w:tcW w:w="1848" w:type="pct"/>
                  <w:tcBorders>
                    <w:tl2br w:val="nil"/>
                    <w:tr2bl w:val="nil"/>
                  </w:tcBorders>
                  <w:vAlign w:val="center"/>
                </w:tcPr>
                <w:p w14:paraId="51D2D1E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项目不涉及公益林、林地。</w:t>
                  </w:r>
                </w:p>
              </w:tc>
              <w:tc>
                <w:tcPr>
                  <w:tcW w:w="494" w:type="pct"/>
                  <w:vMerge w:val="continue"/>
                  <w:tcBorders>
                    <w:tl2br w:val="nil"/>
                    <w:tr2bl w:val="nil"/>
                  </w:tcBorders>
                  <w:vAlign w:val="center"/>
                </w:tcPr>
                <w:p w14:paraId="68B6135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r>
            <w:tr w14:paraId="434FCC9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8" w:type="pct"/>
                  <w:vMerge w:val="continue"/>
                  <w:tcBorders>
                    <w:tl2br w:val="nil"/>
                    <w:tr2bl w:val="nil"/>
                  </w:tcBorders>
                  <w:vAlign w:val="center"/>
                </w:tcPr>
                <w:p w14:paraId="5E4D2A2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319" w:type="pct"/>
                  <w:tcBorders>
                    <w:tl2br w:val="nil"/>
                    <w:tr2bl w:val="nil"/>
                  </w:tcBorders>
                  <w:vAlign w:val="center"/>
                </w:tcPr>
                <w:p w14:paraId="6B67063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5．严格保护洛清江、石榴河和柳江的水域及两岸生态环境，严禁施工占地肆意破坏现状环境，避免水土流失。</w:t>
                  </w:r>
                </w:p>
              </w:tc>
              <w:tc>
                <w:tcPr>
                  <w:tcW w:w="1848" w:type="pct"/>
                  <w:tcBorders>
                    <w:tl2br w:val="nil"/>
                    <w:tr2bl w:val="nil"/>
                  </w:tcBorders>
                  <w:vAlign w:val="center"/>
                </w:tcPr>
                <w:p w14:paraId="2824A15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项目用地在园区规划范围内，施工不涉及洛清江、石榴河和柳江的水域及两岸生态环境。</w:t>
                  </w:r>
                </w:p>
              </w:tc>
              <w:tc>
                <w:tcPr>
                  <w:tcW w:w="494" w:type="pct"/>
                  <w:vMerge w:val="continue"/>
                  <w:tcBorders>
                    <w:tl2br w:val="nil"/>
                    <w:tr2bl w:val="nil"/>
                  </w:tcBorders>
                  <w:vAlign w:val="center"/>
                </w:tcPr>
                <w:p w14:paraId="197BEE8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r>
            <w:tr w14:paraId="43B38B0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8" w:type="pct"/>
                  <w:vMerge w:val="continue"/>
                  <w:tcBorders>
                    <w:tl2br w:val="nil"/>
                    <w:tr2bl w:val="nil"/>
                  </w:tcBorders>
                  <w:vAlign w:val="center"/>
                </w:tcPr>
                <w:p w14:paraId="2597050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319" w:type="pct"/>
                  <w:tcBorders>
                    <w:tl2br w:val="nil"/>
                    <w:tr2bl w:val="nil"/>
                  </w:tcBorders>
                  <w:vAlign w:val="center"/>
                </w:tcPr>
                <w:p w14:paraId="5A4BA4B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6．新建大气污染物排放的工业项目，原则上应当进入工业园区或者工业集聚区；加快布局分散的企业向园区集中。</w:t>
                  </w:r>
                </w:p>
              </w:tc>
              <w:tc>
                <w:tcPr>
                  <w:tcW w:w="1848" w:type="pct"/>
                  <w:tcBorders>
                    <w:tl2br w:val="nil"/>
                    <w:tr2bl w:val="nil"/>
                  </w:tcBorders>
                  <w:vAlign w:val="center"/>
                </w:tcPr>
                <w:p w14:paraId="51F4DC7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项目选址位于鹿寨工业园区范围内。</w:t>
                  </w:r>
                </w:p>
              </w:tc>
              <w:tc>
                <w:tcPr>
                  <w:tcW w:w="494" w:type="pct"/>
                  <w:vMerge w:val="continue"/>
                  <w:tcBorders>
                    <w:tl2br w:val="nil"/>
                    <w:tr2bl w:val="nil"/>
                  </w:tcBorders>
                  <w:vAlign w:val="center"/>
                </w:tcPr>
                <w:p w14:paraId="78F4F3D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r>
            <w:tr w14:paraId="510A455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PrEx>
              <w:trPr>
                <w:trHeight w:val="397" w:hRule="atLeast"/>
              </w:trPr>
              <w:tc>
                <w:tcPr>
                  <w:tcW w:w="338" w:type="pct"/>
                  <w:vMerge w:val="continue"/>
                  <w:tcBorders>
                    <w:tl2br w:val="nil"/>
                    <w:tr2bl w:val="nil"/>
                  </w:tcBorders>
                  <w:vAlign w:val="center"/>
                </w:tcPr>
                <w:p w14:paraId="5F57C93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319" w:type="pct"/>
                  <w:tcBorders>
                    <w:tl2br w:val="nil"/>
                    <w:tr2bl w:val="nil"/>
                  </w:tcBorders>
                  <w:vAlign w:val="center"/>
                </w:tcPr>
                <w:p w14:paraId="3688EE8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7．产业园区管理机构应将规划环评结论及审查意见落实到规划中，负责统筹区域内生态环境基础设施建设，不得引入不符合规划环评结论及审查意见的项目入园。</w:t>
                  </w:r>
                </w:p>
              </w:tc>
              <w:tc>
                <w:tcPr>
                  <w:tcW w:w="1848" w:type="pct"/>
                  <w:tcBorders>
                    <w:tl2br w:val="nil"/>
                    <w:tr2bl w:val="nil"/>
                  </w:tcBorders>
                  <w:vAlign w:val="center"/>
                </w:tcPr>
                <w:p w14:paraId="0374CBD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项目属于</w:t>
                  </w:r>
                  <w:r>
                    <w:rPr>
                      <w:rFonts w:hint="default" w:ascii="Times New Roman" w:hAnsi="Times New Roman" w:eastAsia="宋体" w:cs="Times New Roman"/>
                      <w:color w:val="auto"/>
                      <w:spacing w:val="0"/>
                      <w:w w:val="100"/>
                      <w:sz w:val="21"/>
                      <w:szCs w:val="21"/>
                      <w:lang w:val="en-US" w:eastAsia="zh-CN"/>
                    </w:rPr>
                    <w:t>黑色金属铸造</w:t>
                  </w:r>
                  <w:r>
                    <w:rPr>
                      <w:rFonts w:hint="default" w:ascii="Times New Roman" w:hAnsi="Times New Roman" w:eastAsia="宋体" w:cs="Times New Roman"/>
                      <w:color w:val="auto"/>
                      <w:spacing w:val="0"/>
                      <w:w w:val="100"/>
                      <w:sz w:val="21"/>
                      <w:szCs w:val="21"/>
                    </w:rPr>
                    <w:t>，符合园区定位。</w:t>
                  </w:r>
                </w:p>
              </w:tc>
              <w:tc>
                <w:tcPr>
                  <w:tcW w:w="494" w:type="pct"/>
                  <w:vMerge w:val="continue"/>
                  <w:tcBorders>
                    <w:tl2br w:val="nil"/>
                    <w:tr2bl w:val="nil"/>
                  </w:tcBorders>
                  <w:vAlign w:val="center"/>
                </w:tcPr>
                <w:p w14:paraId="26E2B70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r>
            <w:tr w14:paraId="4A05D5A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8" w:type="pct"/>
                  <w:vMerge w:val="restart"/>
                  <w:tcBorders>
                    <w:tl2br w:val="nil"/>
                    <w:tr2bl w:val="nil"/>
                  </w:tcBorders>
                  <w:vAlign w:val="center"/>
                </w:tcPr>
                <w:p w14:paraId="0EE400C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污染物排放管控</w:t>
                  </w:r>
                </w:p>
              </w:tc>
              <w:tc>
                <w:tcPr>
                  <w:tcW w:w="2319" w:type="pct"/>
                  <w:tcBorders>
                    <w:tl2br w:val="nil"/>
                    <w:tr2bl w:val="nil"/>
                  </w:tcBorders>
                  <w:vAlign w:val="center"/>
                </w:tcPr>
                <w:p w14:paraId="0423A89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1．深化园区工业污染治理，持续推进工业污染源全面达标排放，开展烟气高效脱硫脱硝、除尘改造。推进各类园区技术、工艺、设备等生态化、循环化改造，积极推广园区集中供热。强化园区堆场扬尘控制。推动重点行业VOCs的排放管控，加强VOCs排放企业源头控制。</w:t>
                  </w:r>
                </w:p>
              </w:tc>
              <w:tc>
                <w:tcPr>
                  <w:tcW w:w="1848" w:type="pct"/>
                  <w:tcBorders>
                    <w:tl2br w:val="nil"/>
                    <w:tr2bl w:val="nil"/>
                  </w:tcBorders>
                  <w:vAlign w:val="center"/>
                </w:tcPr>
                <w:p w14:paraId="76DC686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本项目严格控制无组织废气排放，对进出料、物料输送等过程，采取密闭化措施；项目为物理造粒工序，不会产生裂解挥发。</w:t>
                  </w:r>
                </w:p>
              </w:tc>
              <w:tc>
                <w:tcPr>
                  <w:tcW w:w="494" w:type="pct"/>
                  <w:vMerge w:val="restart"/>
                  <w:tcBorders>
                    <w:tl2br w:val="nil"/>
                    <w:tr2bl w:val="nil"/>
                  </w:tcBorders>
                  <w:vAlign w:val="center"/>
                </w:tcPr>
                <w:p w14:paraId="5FE3479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lang w:val="en-US" w:eastAsia="zh-CN"/>
                    </w:rPr>
                    <w:t>项目与开发区</w:t>
                  </w:r>
                  <w:r>
                    <w:rPr>
                      <w:rFonts w:hint="default" w:ascii="Times New Roman" w:hAnsi="Times New Roman" w:eastAsia="宋体" w:cs="Times New Roman"/>
                      <w:color w:val="auto"/>
                      <w:spacing w:val="0"/>
                      <w:w w:val="100"/>
                      <w:sz w:val="21"/>
                      <w:szCs w:val="21"/>
                    </w:rPr>
                    <w:t>污染物排放管控</w:t>
                  </w:r>
                  <w:r>
                    <w:rPr>
                      <w:rFonts w:hint="default" w:ascii="Times New Roman" w:hAnsi="Times New Roman" w:eastAsia="宋体" w:cs="Times New Roman"/>
                      <w:color w:val="auto"/>
                      <w:spacing w:val="0"/>
                      <w:w w:val="100"/>
                      <w:sz w:val="21"/>
                      <w:szCs w:val="21"/>
                      <w:lang w:val="en-US" w:eastAsia="zh-CN"/>
                    </w:rPr>
                    <w:t>相符</w:t>
                  </w:r>
                </w:p>
              </w:tc>
            </w:tr>
            <w:tr w14:paraId="7DF91E4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8" w:type="pct"/>
                  <w:vMerge w:val="continue"/>
                  <w:tcBorders>
                    <w:tl2br w:val="nil"/>
                    <w:tr2bl w:val="nil"/>
                  </w:tcBorders>
                  <w:vAlign w:val="center"/>
                </w:tcPr>
                <w:p w14:paraId="3F98263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319" w:type="pct"/>
                  <w:tcBorders>
                    <w:tl2br w:val="nil"/>
                    <w:tr2bl w:val="nil"/>
                  </w:tcBorders>
                  <w:vAlign w:val="center"/>
                </w:tcPr>
                <w:p w14:paraId="7898D8C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2．逐步完成工业集聚区集中式污水处理设施建设，确保已建污水处理设施稳定运行及达标排放。园区集中式污水处理设施总排口安装自动监控系统、视频监控系统，并与生态环境主管部门联网。按照“清污分流、雨污分流”原则，实施废水分类收集、分质处理。</w:t>
                  </w:r>
                </w:p>
              </w:tc>
              <w:tc>
                <w:tcPr>
                  <w:tcW w:w="1848" w:type="pct"/>
                  <w:vMerge w:val="restart"/>
                  <w:tcBorders>
                    <w:tl2br w:val="nil"/>
                    <w:tr2bl w:val="nil"/>
                  </w:tcBorders>
                  <w:vAlign w:val="center"/>
                </w:tcPr>
                <w:p w14:paraId="79B8663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本项目实行雨污分流，废水分类收集处理达标后，排入市政污水管网。</w:t>
                  </w:r>
                </w:p>
              </w:tc>
              <w:tc>
                <w:tcPr>
                  <w:tcW w:w="494" w:type="pct"/>
                  <w:vMerge w:val="continue"/>
                  <w:tcBorders>
                    <w:tl2br w:val="nil"/>
                    <w:tr2bl w:val="nil"/>
                  </w:tcBorders>
                  <w:vAlign w:val="center"/>
                </w:tcPr>
                <w:p w14:paraId="18F9814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r>
            <w:tr w14:paraId="147789E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8" w:type="pct"/>
                  <w:vMerge w:val="continue"/>
                  <w:tcBorders>
                    <w:tl2br w:val="nil"/>
                    <w:tr2bl w:val="nil"/>
                  </w:tcBorders>
                  <w:vAlign w:val="center"/>
                </w:tcPr>
                <w:p w14:paraId="21321B9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319" w:type="pct"/>
                  <w:tcBorders>
                    <w:tl2br w:val="nil"/>
                    <w:tr2bl w:val="nil"/>
                  </w:tcBorders>
                  <w:vAlign w:val="center"/>
                </w:tcPr>
                <w:p w14:paraId="295F6E4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3．园区及园区企业排放水污染物，要满足国家或者地方规定的水污染物排放标准和重点水污染物排放总量控制指标。直接外排水环境的，执行国家或者地方规定的标准要求；经城镇污水集中处理设施处理后排放的，执行市政部门管理要求；经园区污水集中处理设施处理后排放的，执行园区管理部门相关要求。</w:t>
                  </w:r>
                </w:p>
              </w:tc>
              <w:tc>
                <w:tcPr>
                  <w:tcW w:w="1848" w:type="pct"/>
                  <w:vMerge w:val="continue"/>
                  <w:tcBorders>
                    <w:tl2br w:val="nil"/>
                    <w:tr2bl w:val="nil"/>
                  </w:tcBorders>
                  <w:vAlign w:val="center"/>
                </w:tcPr>
                <w:p w14:paraId="00B79C5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p>
              </w:tc>
              <w:tc>
                <w:tcPr>
                  <w:tcW w:w="494" w:type="pct"/>
                  <w:vMerge w:val="continue"/>
                  <w:tcBorders>
                    <w:tl2br w:val="nil"/>
                    <w:tr2bl w:val="nil"/>
                  </w:tcBorders>
                  <w:vAlign w:val="center"/>
                </w:tcPr>
                <w:p w14:paraId="385ED61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r>
            <w:tr w14:paraId="30C83EC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8" w:type="pct"/>
                  <w:vMerge w:val="continue"/>
                  <w:tcBorders>
                    <w:tl2br w:val="nil"/>
                    <w:tr2bl w:val="nil"/>
                  </w:tcBorders>
                  <w:vAlign w:val="center"/>
                </w:tcPr>
                <w:p w14:paraId="1254256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319" w:type="pct"/>
                  <w:tcBorders>
                    <w:tl2br w:val="nil"/>
                    <w:tr2bl w:val="nil"/>
                  </w:tcBorders>
                  <w:vAlign w:val="center"/>
                </w:tcPr>
                <w:p w14:paraId="7358832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4．矿产资源勘查以及采选过程中排土场、露天采场、尾矿库、矿区专用道路、矿山工业场地、沉陷区、矸石场、矿山污染场地等的生态环境保护与治理恢复工作须满足《矿山生态环境保护与恢复治理技术规范（试行）》（HJ651-2013）要求。落实边开采、边保护、边复垦的要求，使新建、在建矿山损毁土地得到全面复垦。</w:t>
                  </w:r>
                </w:p>
              </w:tc>
              <w:tc>
                <w:tcPr>
                  <w:tcW w:w="1848" w:type="pct"/>
                  <w:tcBorders>
                    <w:tl2br w:val="nil"/>
                    <w:tr2bl w:val="nil"/>
                  </w:tcBorders>
                  <w:vAlign w:val="center"/>
                </w:tcPr>
                <w:p w14:paraId="21F04C8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本项目不涉及矿产资源勘查以及采选过程。</w:t>
                  </w:r>
                </w:p>
              </w:tc>
              <w:tc>
                <w:tcPr>
                  <w:tcW w:w="494" w:type="pct"/>
                  <w:vMerge w:val="continue"/>
                  <w:tcBorders>
                    <w:tl2br w:val="nil"/>
                    <w:tr2bl w:val="nil"/>
                  </w:tcBorders>
                  <w:vAlign w:val="center"/>
                </w:tcPr>
                <w:p w14:paraId="635B9D0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r>
            <w:tr w14:paraId="03ADC31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8" w:type="pct"/>
                  <w:vMerge w:val="continue"/>
                  <w:tcBorders>
                    <w:tl2br w:val="nil"/>
                    <w:tr2bl w:val="nil"/>
                  </w:tcBorders>
                  <w:vAlign w:val="center"/>
                </w:tcPr>
                <w:p w14:paraId="3B492E0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319" w:type="pct"/>
                  <w:tcBorders>
                    <w:tl2br w:val="nil"/>
                    <w:tr2bl w:val="nil"/>
                  </w:tcBorders>
                  <w:vAlign w:val="center"/>
                </w:tcPr>
                <w:p w14:paraId="703ADD8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5．2025年，脚板洲国考断面水质拟执行Ⅲ类标准，最终以国家下达为准。</w:t>
                  </w:r>
                </w:p>
              </w:tc>
              <w:tc>
                <w:tcPr>
                  <w:tcW w:w="1848" w:type="pct"/>
                  <w:tcBorders>
                    <w:tl2br w:val="nil"/>
                    <w:tr2bl w:val="nil"/>
                  </w:tcBorders>
                  <w:vAlign w:val="center"/>
                </w:tcPr>
                <w:p w14:paraId="65A6FA7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项目废水为间接排放，不涉及脚板洲国考断面水质。</w:t>
                  </w:r>
                </w:p>
              </w:tc>
              <w:tc>
                <w:tcPr>
                  <w:tcW w:w="494" w:type="pct"/>
                  <w:vMerge w:val="continue"/>
                  <w:tcBorders>
                    <w:tl2br w:val="nil"/>
                    <w:tr2bl w:val="nil"/>
                  </w:tcBorders>
                  <w:vAlign w:val="center"/>
                </w:tcPr>
                <w:p w14:paraId="3981870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r>
            <w:tr w14:paraId="099C733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8" w:type="pct"/>
                  <w:vMerge w:val="restart"/>
                  <w:tcBorders>
                    <w:tl2br w:val="nil"/>
                    <w:tr2bl w:val="nil"/>
                  </w:tcBorders>
                  <w:vAlign w:val="center"/>
                </w:tcPr>
                <w:p w14:paraId="11D32FC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环境风险防控</w:t>
                  </w:r>
                </w:p>
              </w:tc>
              <w:tc>
                <w:tcPr>
                  <w:tcW w:w="2319" w:type="pct"/>
                  <w:tcBorders>
                    <w:tl2br w:val="nil"/>
                    <w:tr2bl w:val="nil"/>
                  </w:tcBorders>
                  <w:vAlign w:val="center"/>
                </w:tcPr>
                <w:p w14:paraId="398D38F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1．开展环境风险评估，制定突发环境事件应急预案并备案，配备应急能力和物资，建设环境应急队伍，并定期演练。企业、园区与地方人民政府环境应急预案应当有机衔接。</w:t>
                  </w:r>
                </w:p>
              </w:tc>
              <w:tc>
                <w:tcPr>
                  <w:tcW w:w="1848" w:type="pct"/>
                  <w:tcBorders>
                    <w:tl2br w:val="nil"/>
                    <w:tr2bl w:val="nil"/>
                  </w:tcBorders>
                  <w:vAlign w:val="center"/>
                </w:tcPr>
                <w:p w14:paraId="69FD5FB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项目将开展环境风险评估，制定突发环境事件应急预案并备案，配备应急能力和物资，建设环境应急队伍，并定期演练。</w:t>
                  </w:r>
                </w:p>
              </w:tc>
              <w:tc>
                <w:tcPr>
                  <w:tcW w:w="494" w:type="pct"/>
                  <w:vMerge w:val="restart"/>
                  <w:tcBorders>
                    <w:tl2br w:val="nil"/>
                    <w:tr2bl w:val="nil"/>
                  </w:tcBorders>
                  <w:vAlign w:val="center"/>
                </w:tcPr>
                <w:p w14:paraId="2A9A683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lang w:val="en-US" w:eastAsia="zh-CN"/>
                    </w:rPr>
                    <w:t>项目与开发区</w:t>
                  </w:r>
                  <w:r>
                    <w:rPr>
                      <w:rFonts w:hint="default" w:ascii="Times New Roman" w:hAnsi="Times New Roman" w:eastAsia="宋体" w:cs="Times New Roman"/>
                      <w:color w:val="auto"/>
                      <w:spacing w:val="0"/>
                      <w:w w:val="100"/>
                      <w:sz w:val="21"/>
                      <w:szCs w:val="21"/>
                    </w:rPr>
                    <w:t>环境风险防控</w:t>
                  </w:r>
                  <w:r>
                    <w:rPr>
                      <w:rFonts w:hint="default" w:ascii="Times New Roman" w:hAnsi="Times New Roman" w:eastAsia="宋体" w:cs="Times New Roman"/>
                      <w:color w:val="auto"/>
                      <w:spacing w:val="0"/>
                      <w:w w:val="100"/>
                      <w:sz w:val="21"/>
                      <w:szCs w:val="21"/>
                      <w:lang w:val="en-US" w:eastAsia="zh-CN"/>
                    </w:rPr>
                    <w:t>相符</w:t>
                  </w:r>
                </w:p>
              </w:tc>
            </w:tr>
            <w:tr w14:paraId="2678A77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8" w:type="pct"/>
                  <w:vMerge w:val="continue"/>
                  <w:tcBorders>
                    <w:tl2br w:val="nil"/>
                    <w:tr2bl w:val="nil"/>
                  </w:tcBorders>
                  <w:textDirection w:val="tbRlV"/>
                  <w:vAlign w:val="center"/>
                </w:tcPr>
                <w:p w14:paraId="5E505BB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319" w:type="pct"/>
                  <w:tcBorders>
                    <w:tl2br w:val="nil"/>
                    <w:tr2bl w:val="nil"/>
                  </w:tcBorders>
                  <w:vAlign w:val="center"/>
                </w:tcPr>
                <w:p w14:paraId="1A52A3A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2．土壤污染重点监管单位应当严格控制有毒有害物质排放，并按年度向所在地设区的市人民政府生态环境主管部门报告排放情况；建立土壤污染隐患排查制度，保证持续有效防止有毒有害物质渗漏、流失、扬散。</w:t>
                  </w:r>
                </w:p>
              </w:tc>
              <w:tc>
                <w:tcPr>
                  <w:tcW w:w="1848" w:type="pct"/>
                  <w:tcBorders>
                    <w:tl2br w:val="nil"/>
                    <w:tr2bl w:val="nil"/>
                  </w:tcBorders>
                  <w:vAlign w:val="center"/>
                </w:tcPr>
                <w:p w14:paraId="0693277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建设单位不属于土壤污染重点监管单位。</w:t>
                  </w:r>
                </w:p>
              </w:tc>
              <w:tc>
                <w:tcPr>
                  <w:tcW w:w="494" w:type="pct"/>
                  <w:vMerge w:val="continue"/>
                  <w:tcBorders>
                    <w:tl2br w:val="nil"/>
                    <w:tr2bl w:val="nil"/>
                  </w:tcBorders>
                  <w:vAlign w:val="center"/>
                </w:tcPr>
                <w:p w14:paraId="55F0DE5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r>
            <w:tr w14:paraId="366306F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8" w:type="pct"/>
                  <w:vMerge w:val="continue"/>
                  <w:tcBorders>
                    <w:tl2br w:val="nil"/>
                    <w:tr2bl w:val="nil"/>
                  </w:tcBorders>
                  <w:textDirection w:val="tbRlV"/>
                  <w:vAlign w:val="center"/>
                </w:tcPr>
                <w:p w14:paraId="54A9C44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c>
                <w:tcPr>
                  <w:tcW w:w="2319" w:type="pct"/>
                  <w:tcBorders>
                    <w:tl2br w:val="nil"/>
                    <w:tr2bl w:val="nil"/>
                  </w:tcBorders>
                  <w:vAlign w:val="center"/>
                </w:tcPr>
                <w:p w14:paraId="62F4837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3．涉重金属重点行业企业应当采用新技术、新工艺，加快提标升级改造，坚决淘汰不符合国家产业政策的落后生产工艺装备，执行重点重金属污染物排放总量控制制度，依法实施强制性清洁生产审核，减少重点重金属污染物排放。</w:t>
                  </w:r>
                </w:p>
              </w:tc>
              <w:tc>
                <w:tcPr>
                  <w:tcW w:w="1848" w:type="pct"/>
                  <w:tcBorders>
                    <w:tl2br w:val="nil"/>
                    <w:tr2bl w:val="nil"/>
                  </w:tcBorders>
                  <w:vAlign w:val="center"/>
                </w:tcPr>
                <w:p w14:paraId="12EBC9E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both"/>
                    <w:textAlignment w:val="baseline"/>
                    <w:outlineLvl w:val="9"/>
                    <w:rPr>
                      <w:rFonts w:hint="default" w:ascii="Times New Roman" w:hAnsi="Times New Roman" w:eastAsia="宋体" w:cs="Times New Roman"/>
                      <w:color w:val="auto"/>
                      <w:spacing w:val="0"/>
                      <w:w w:val="100"/>
                      <w:sz w:val="21"/>
                      <w:szCs w:val="21"/>
                    </w:rPr>
                  </w:pPr>
                  <w:r>
                    <w:rPr>
                      <w:rFonts w:hint="default" w:ascii="Times New Roman" w:hAnsi="Times New Roman" w:eastAsia="宋体" w:cs="Times New Roman"/>
                      <w:color w:val="auto"/>
                      <w:spacing w:val="0"/>
                      <w:w w:val="100"/>
                      <w:sz w:val="21"/>
                      <w:szCs w:val="21"/>
                    </w:rPr>
                    <w:t>本项目不涉及重金属排放。</w:t>
                  </w:r>
                </w:p>
              </w:tc>
              <w:tc>
                <w:tcPr>
                  <w:tcW w:w="494" w:type="pct"/>
                  <w:vMerge w:val="continue"/>
                  <w:tcBorders>
                    <w:tl2br w:val="nil"/>
                    <w:tr2bl w:val="nil"/>
                  </w:tcBorders>
                  <w:vAlign w:val="center"/>
                </w:tcPr>
                <w:p w14:paraId="246540B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outlineLvl w:val="9"/>
                    <w:rPr>
                      <w:rFonts w:hint="default" w:ascii="Times New Roman" w:hAnsi="Times New Roman" w:eastAsia="宋体" w:cs="Times New Roman"/>
                      <w:color w:val="auto"/>
                      <w:spacing w:val="0"/>
                      <w:w w:val="100"/>
                      <w:sz w:val="21"/>
                      <w:szCs w:val="21"/>
                    </w:rPr>
                  </w:pPr>
                </w:p>
              </w:tc>
            </w:tr>
          </w:tbl>
          <w:p w14:paraId="09F868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snapToGrid w:val="0"/>
                <w:color w:val="auto"/>
                <w:spacing w:val="0"/>
                <w:position w:val="0"/>
                <w:sz w:val="24"/>
                <w:szCs w:val="24"/>
                <w:highlight w:val="none"/>
                <w:lang w:val="en-US" w:eastAsia="zh-CN"/>
              </w:rPr>
            </w:pPr>
            <w:r>
              <w:rPr>
                <w:rFonts w:hint="default" w:ascii="Times New Roman" w:hAnsi="Times New Roman" w:eastAsia="宋体" w:cs="Times New Roman"/>
                <w:b w:val="0"/>
                <w:bCs w:val="0"/>
                <w:snapToGrid w:val="0"/>
                <w:color w:val="auto"/>
                <w:spacing w:val="0"/>
                <w:position w:val="0"/>
                <w:sz w:val="24"/>
                <w:szCs w:val="24"/>
                <w:highlight w:val="none"/>
                <w:lang w:val="en-US" w:eastAsia="zh-CN"/>
              </w:rPr>
              <w:t>由上表可知，项目的建设与生态环境准入清单相符。</w:t>
            </w:r>
          </w:p>
          <w:p w14:paraId="64F664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snapToGrid w:val="0"/>
                <w:color w:val="auto"/>
                <w:spacing w:val="0"/>
                <w:position w:val="0"/>
                <w:sz w:val="24"/>
                <w:szCs w:val="24"/>
                <w:highlight w:val="none"/>
                <w:lang w:val="en-US" w:eastAsia="zh-CN"/>
              </w:rPr>
            </w:pPr>
            <w:r>
              <w:rPr>
                <w:rFonts w:hint="default" w:ascii="Times New Roman" w:hAnsi="Times New Roman" w:eastAsia="宋体" w:cs="Times New Roman"/>
                <w:b w:val="0"/>
                <w:bCs w:val="0"/>
                <w:snapToGrid w:val="0"/>
                <w:color w:val="auto"/>
                <w:spacing w:val="0"/>
                <w:position w:val="0"/>
                <w:sz w:val="24"/>
                <w:szCs w:val="24"/>
                <w:highlight w:val="none"/>
                <w:lang w:val="en-US" w:eastAsia="zh-CN"/>
              </w:rPr>
              <w:t>综上分析，本项目的建设符合“三线一单 ”的要求。</w:t>
            </w:r>
          </w:p>
          <w:p w14:paraId="4C42A2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snapToGrid w:val="0"/>
                <w:color w:val="auto"/>
                <w:spacing w:val="0"/>
                <w:position w:val="0"/>
                <w:sz w:val="24"/>
                <w:szCs w:val="24"/>
                <w:highlight w:val="none"/>
                <w:lang w:val="en-US" w:eastAsia="zh-CN"/>
              </w:rPr>
            </w:pPr>
            <w:r>
              <w:rPr>
                <w:rFonts w:hint="default" w:ascii="Times New Roman" w:hAnsi="Times New Roman" w:eastAsia="宋体" w:cs="Times New Roman"/>
                <w:b w:val="0"/>
                <w:bCs w:val="0"/>
                <w:snapToGrid w:val="0"/>
                <w:color w:val="auto"/>
                <w:spacing w:val="0"/>
                <w:position w:val="0"/>
                <w:sz w:val="24"/>
                <w:szCs w:val="24"/>
                <w:highlight w:val="none"/>
                <w:lang w:val="en-US" w:eastAsia="zh-CN"/>
              </w:rPr>
              <w:t>2、与产业政策的相符性分析</w:t>
            </w:r>
          </w:p>
          <w:p w14:paraId="0734AC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snapToGrid w:val="0"/>
                <w:color w:val="auto"/>
                <w:spacing w:val="0"/>
                <w:position w:val="0"/>
                <w:sz w:val="24"/>
                <w:szCs w:val="24"/>
                <w:highlight w:val="none"/>
                <w:lang w:val="en-US" w:eastAsia="zh-CN"/>
              </w:rPr>
            </w:pPr>
            <w:r>
              <w:rPr>
                <w:rFonts w:hint="default" w:ascii="Times New Roman" w:hAnsi="Times New Roman" w:eastAsia="宋体" w:cs="Times New Roman"/>
                <w:b w:val="0"/>
                <w:bCs w:val="0"/>
                <w:snapToGrid w:val="0"/>
                <w:color w:val="auto"/>
                <w:spacing w:val="0"/>
                <w:position w:val="0"/>
                <w:sz w:val="24"/>
                <w:szCs w:val="24"/>
                <w:highlight w:val="none"/>
                <w:lang w:val="en-US" w:eastAsia="zh-CN"/>
              </w:rPr>
              <w:t>（1）与《产业结构调整指导目录（2024年本）》相符性分析</w:t>
            </w:r>
          </w:p>
          <w:p w14:paraId="58D918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snapToGrid w:val="0"/>
                <w:color w:val="auto"/>
                <w:spacing w:val="0"/>
                <w:position w:val="0"/>
                <w:sz w:val="24"/>
                <w:szCs w:val="24"/>
                <w:highlight w:val="none"/>
                <w:lang w:val="en-US" w:eastAsia="zh-CN"/>
              </w:rPr>
            </w:pPr>
            <w:r>
              <w:rPr>
                <w:rFonts w:hint="default" w:ascii="Times New Roman" w:hAnsi="Times New Roman" w:eastAsia="宋体" w:cs="Times New Roman"/>
                <w:b w:val="0"/>
                <w:bCs w:val="0"/>
                <w:snapToGrid w:val="0"/>
                <w:color w:val="auto"/>
                <w:spacing w:val="0"/>
                <w:position w:val="0"/>
                <w:sz w:val="24"/>
                <w:szCs w:val="24"/>
                <w:highlight w:val="none"/>
                <w:lang w:val="en-US" w:eastAsia="zh-CN"/>
              </w:rPr>
              <w:t>本项目对照《产业结构调整指导目录（2024年本）》（中华人民共和国国家发展和改革委员会），</w:t>
            </w:r>
            <w:r>
              <w:rPr>
                <w:rFonts w:hint="default" w:ascii="Times New Roman" w:hAnsi="Times New Roman" w:eastAsia="宋体" w:cs="Times New Roman"/>
                <w:bCs/>
                <w:smallCaps w:val="0"/>
                <w:color w:val="auto"/>
                <w:spacing w:val="0"/>
                <w:w w:val="100"/>
                <w:position w:val="0"/>
                <w:sz w:val="24"/>
                <w:szCs w:val="24"/>
                <w:lang w:val="en-US" w:eastAsia="zh-CN"/>
              </w:rPr>
              <w:t>本项目不属于其中规定的限制类及淘汰类，属于允许类；</w:t>
            </w:r>
            <w:r>
              <w:rPr>
                <w:rFonts w:hint="default" w:ascii="Times New Roman" w:hAnsi="Times New Roman" w:eastAsia="宋体" w:cs="Times New Roman"/>
                <w:b w:val="0"/>
                <w:bCs w:val="0"/>
                <w:snapToGrid w:val="0"/>
                <w:color w:val="auto"/>
                <w:spacing w:val="0"/>
                <w:position w:val="0"/>
                <w:sz w:val="24"/>
                <w:szCs w:val="24"/>
                <w:highlight w:val="none"/>
                <w:lang w:val="en-US" w:eastAsia="zh-CN"/>
              </w:rPr>
              <w:t>经柳州市鹿寨县发展和改革局（项目代码：</w:t>
            </w:r>
            <w:r>
              <w:rPr>
                <w:rFonts w:hint="default" w:ascii="Times New Roman" w:hAnsi="Times New Roman" w:eastAsia="宋体" w:cs="Times New Roman"/>
                <w:b w:val="0"/>
                <w:bCs w:val="0"/>
                <w:color w:val="auto"/>
                <w:spacing w:val="0"/>
                <w:w w:val="100"/>
                <w:position w:val="0"/>
                <w:sz w:val="24"/>
                <w:szCs w:val="24"/>
                <w:lang w:eastAsia="zh-CN"/>
              </w:rPr>
              <w:t>2602-450223-04-01-504762</w:t>
            </w:r>
            <w:r>
              <w:rPr>
                <w:rFonts w:hint="default" w:ascii="Times New Roman" w:hAnsi="Times New Roman" w:eastAsia="宋体" w:cs="Times New Roman"/>
                <w:b w:val="0"/>
                <w:bCs w:val="0"/>
                <w:snapToGrid w:val="0"/>
                <w:color w:val="auto"/>
                <w:spacing w:val="0"/>
                <w:position w:val="0"/>
                <w:sz w:val="24"/>
                <w:szCs w:val="24"/>
                <w:highlight w:val="none"/>
                <w:lang w:val="en-US" w:eastAsia="zh-CN"/>
              </w:rPr>
              <w:t>）备案，符合国家产业政策的要求。</w:t>
            </w:r>
          </w:p>
          <w:p w14:paraId="777838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snapToGrid w:val="0"/>
                <w:color w:val="auto"/>
                <w:spacing w:val="0"/>
                <w:position w:val="0"/>
                <w:sz w:val="24"/>
                <w:szCs w:val="24"/>
                <w:highlight w:val="none"/>
                <w:lang w:val="en-US" w:eastAsia="zh-CN"/>
              </w:rPr>
            </w:pPr>
            <w:r>
              <w:rPr>
                <w:rFonts w:hint="default" w:ascii="Times New Roman" w:hAnsi="Times New Roman" w:eastAsia="宋体" w:cs="Times New Roman"/>
                <w:b w:val="0"/>
                <w:bCs w:val="0"/>
                <w:snapToGrid w:val="0"/>
                <w:color w:val="auto"/>
                <w:spacing w:val="0"/>
                <w:position w:val="0"/>
                <w:sz w:val="24"/>
                <w:szCs w:val="24"/>
                <w:highlight w:val="none"/>
                <w:lang w:val="en-US" w:eastAsia="zh-CN"/>
              </w:rPr>
              <w:t>（2）与《市场准入负面清单（2025年版）》相符性分析</w:t>
            </w:r>
          </w:p>
          <w:p w14:paraId="365216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snapToGrid w:val="0"/>
                <w:color w:val="auto"/>
                <w:spacing w:val="0"/>
                <w:position w:val="0"/>
                <w:sz w:val="24"/>
                <w:szCs w:val="24"/>
                <w:highlight w:val="none"/>
                <w:lang w:val="en-US" w:eastAsia="zh-CN"/>
              </w:rPr>
            </w:pPr>
            <w:r>
              <w:rPr>
                <w:rFonts w:hint="default" w:ascii="Times New Roman" w:hAnsi="Times New Roman" w:eastAsia="宋体" w:cs="Times New Roman"/>
                <w:b w:val="0"/>
                <w:bCs w:val="0"/>
                <w:snapToGrid w:val="0"/>
                <w:color w:val="auto"/>
                <w:spacing w:val="0"/>
                <w:position w:val="0"/>
                <w:sz w:val="24"/>
                <w:szCs w:val="24"/>
                <w:highlight w:val="none"/>
                <w:lang w:val="en-US" w:eastAsia="zh-CN"/>
              </w:rPr>
              <w:t>根据《市场准入负面清单（2025年版）》可知，项目不属于《市场准入负面清单（2025年版）》中“禁止”和“许可”类别。</w:t>
            </w:r>
          </w:p>
          <w:p w14:paraId="4B7043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snapToGrid w:val="0"/>
                <w:color w:val="auto"/>
                <w:spacing w:val="0"/>
                <w:position w:val="0"/>
                <w:sz w:val="24"/>
                <w:szCs w:val="24"/>
                <w:highlight w:val="none"/>
                <w:lang w:val="en-US" w:eastAsia="zh-CN"/>
              </w:rPr>
            </w:pPr>
            <w:r>
              <w:rPr>
                <w:rFonts w:hint="default" w:ascii="Times New Roman" w:hAnsi="Times New Roman" w:eastAsia="宋体" w:cs="Times New Roman"/>
                <w:b w:val="0"/>
                <w:bCs w:val="0"/>
                <w:snapToGrid w:val="0"/>
                <w:color w:val="auto"/>
                <w:spacing w:val="0"/>
                <w:position w:val="0"/>
                <w:sz w:val="24"/>
                <w:szCs w:val="24"/>
                <w:highlight w:val="none"/>
                <w:lang w:val="en-US" w:eastAsia="zh-CN"/>
              </w:rPr>
              <w:t>（3）与《广西壮族自治区重点生态功能区县产业准入负面清单调整方案》相符性分析</w:t>
            </w:r>
          </w:p>
          <w:p w14:paraId="489BF3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snapToGrid w:val="0"/>
                <w:color w:val="auto"/>
                <w:spacing w:val="0"/>
                <w:position w:val="0"/>
                <w:sz w:val="24"/>
                <w:szCs w:val="24"/>
                <w:highlight w:val="none"/>
                <w:lang w:val="en-US" w:eastAsia="zh-CN"/>
              </w:rPr>
            </w:pPr>
            <w:r>
              <w:rPr>
                <w:rFonts w:hint="default" w:ascii="Times New Roman" w:hAnsi="Times New Roman" w:eastAsia="宋体" w:cs="Times New Roman"/>
                <w:b w:val="0"/>
                <w:bCs w:val="0"/>
                <w:snapToGrid w:val="0"/>
                <w:color w:val="auto"/>
                <w:spacing w:val="0"/>
                <w:position w:val="0"/>
                <w:sz w:val="24"/>
                <w:szCs w:val="24"/>
                <w:highlight w:val="none"/>
                <w:lang w:val="en-US" w:eastAsia="zh-CN"/>
              </w:rPr>
              <w:t>《广西壮族自治区重点生态功能区县产业准入负面清单调整方案》（2024.4.16）共涵盖30个县（市），包括29个国家重点生态功能区县（市），1个自治区重点生态功能区县，本项目位于</w:t>
            </w:r>
            <w:r>
              <w:rPr>
                <w:rFonts w:hint="default" w:ascii="Times New Roman" w:hAnsi="Times New Roman" w:eastAsia="宋体" w:cs="Times New Roman"/>
                <w:b w:val="0"/>
                <w:bCs w:val="0"/>
                <w:color w:val="auto"/>
                <w:spacing w:val="0"/>
                <w:w w:val="100"/>
                <w:position w:val="0"/>
                <w:sz w:val="24"/>
                <w:szCs w:val="24"/>
                <w:lang w:val="en-US" w:eastAsia="zh-CN"/>
              </w:rPr>
              <w:t>广西壮族自治区柳州市鹿寨县鹿寨镇金鸡路53号之广西鹿寨化肥有限责任公司厂区内</w:t>
            </w:r>
            <w:r>
              <w:rPr>
                <w:rFonts w:hint="default" w:ascii="Times New Roman" w:hAnsi="Times New Roman" w:eastAsia="宋体" w:cs="Times New Roman"/>
                <w:b w:val="0"/>
                <w:bCs w:val="0"/>
                <w:snapToGrid w:val="0"/>
                <w:color w:val="auto"/>
                <w:spacing w:val="0"/>
                <w:position w:val="0"/>
                <w:sz w:val="24"/>
                <w:szCs w:val="24"/>
                <w:highlight w:val="none"/>
                <w:lang w:val="en-US" w:eastAsia="zh-CN"/>
              </w:rPr>
              <w:t>，鹿寨县未划入该产业准入负面清单城市，不属于“调整方案”划定的区县，因此本项目不在广西产业准入负面清单范围内。</w:t>
            </w:r>
          </w:p>
          <w:p w14:paraId="1320E1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snapToGrid w:val="0"/>
                <w:color w:val="auto"/>
                <w:spacing w:val="0"/>
                <w:position w:val="0"/>
                <w:sz w:val="24"/>
                <w:szCs w:val="24"/>
                <w:highlight w:val="none"/>
                <w:lang w:val="en-US" w:eastAsia="zh-CN"/>
              </w:rPr>
            </w:pPr>
            <w:r>
              <w:rPr>
                <w:rFonts w:hint="default" w:ascii="Times New Roman" w:hAnsi="Times New Roman" w:eastAsia="宋体" w:cs="Times New Roman"/>
                <w:b w:val="0"/>
                <w:bCs w:val="0"/>
                <w:snapToGrid w:val="0"/>
                <w:color w:val="auto"/>
                <w:spacing w:val="0"/>
                <w:position w:val="0"/>
                <w:sz w:val="24"/>
                <w:szCs w:val="24"/>
                <w:highlight w:val="none"/>
                <w:lang w:val="en-US" w:eastAsia="zh-CN"/>
              </w:rPr>
              <w:t>3、项目与地方环境保护法律法规等相符性分析</w:t>
            </w:r>
          </w:p>
          <w:p w14:paraId="5C7CAB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snapToGrid w:val="0"/>
                <w:color w:val="auto"/>
                <w:spacing w:val="0"/>
                <w:position w:val="0"/>
                <w:sz w:val="24"/>
                <w:szCs w:val="24"/>
                <w:highlight w:val="none"/>
                <w:lang w:val="en-US" w:eastAsia="zh-CN"/>
              </w:rPr>
            </w:pPr>
            <w:r>
              <w:rPr>
                <w:rFonts w:hint="default" w:ascii="Times New Roman" w:hAnsi="Times New Roman" w:eastAsia="宋体" w:cs="Times New Roman"/>
                <w:b w:val="0"/>
                <w:bCs w:val="0"/>
                <w:snapToGrid w:val="0"/>
                <w:color w:val="auto"/>
                <w:spacing w:val="0"/>
                <w:position w:val="0"/>
                <w:sz w:val="24"/>
                <w:szCs w:val="24"/>
                <w:highlight w:val="none"/>
                <w:lang w:val="en-US" w:eastAsia="zh-CN"/>
              </w:rPr>
              <w:t>（1）与桂政办发〔2012〕103号文件相符性分析</w:t>
            </w:r>
          </w:p>
          <w:p w14:paraId="1C09E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eastAsia="宋体" w:cs="Times New Roman"/>
                <w:b w:val="0"/>
                <w:bCs w:val="0"/>
                <w:snapToGrid w:val="0"/>
                <w:color w:val="auto"/>
                <w:spacing w:val="0"/>
                <w:position w:val="0"/>
                <w:sz w:val="24"/>
                <w:szCs w:val="24"/>
                <w:highlight w:val="none"/>
                <w:lang w:val="en-US" w:eastAsia="zh-CN"/>
              </w:rPr>
            </w:pPr>
            <w:r>
              <w:rPr>
                <w:rFonts w:hint="default" w:ascii="Times New Roman" w:hAnsi="Times New Roman" w:eastAsia="宋体" w:cs="Times New Roman"/>
                <w:b w:val="0"/>
                <w:bCs w:val="0"/>
                <w:snapToGrid w:val="0"/>
                <w:color w:val="auto"/>
                <w:spacing w:val="0"/>
                <w:position w:val="0"/>
                <w:sz w:val="24"/>
                <w:szCs w:val="24"/>
                <w:highlight w:val="none"/>
                <w:lang w:val="en-US" w:eastAsia="zh-CN"/>
              </w:rPr>
              <w:t>项目与《广西壮族自治区建设项目环境准入管理办法》（桂政办发〔2012〕103 号）相符性分析如下表。</w:t>
            </w:r>
          </w:p>
          <w:p w14:paraId="4B99E757">
            <w:pPr>
              <w:pStyle w:val="4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color w:val="auto"/>
                <w:spacing w:val="0"/>
                <w:sz w:val="21"/>
                <w:szCs w:val="21"/>
                <w:highlight w:val="none"/>
                <w:lang w:val="en-US"/>
              </w:rPr>
            </w:pPr>
            <w:r>
              <w:rPr>
                <w:rFonts w:hint="default" w:ascii="Times New Roman" w:hAnsi="Times New Roman" w:eastAsia="宋体" w:cs="Times New Roman"/>
                <w:color w:val="auto"/>
                <w:spacing w:val="0"/>
                <w:sz w:val="21"/>
                <w:szCs w:val="21"/>
                <w:highlight w:val="none"/>
              </w:rPr>
              <w:t>表1-</w:t>
            </w:r>
            <w:r>
              <w:rPr>
                <w:rFonts w:hint="default" w:ascii="Times New Roman" w:hAnsi="Times New Roman" w:eastAsia="宋体" w:cs="Times New Roman"/>
                <w:color w:val="auto"/>
                <w:spacing w:val="0"/>
                <w:sz w:val="21"/>
                <w:szCs w:val="21"/>
                <w:highlight w:val="none"/>
                <w:lang w:val="en-US" w:eastAsia="zh-CN"/>
              </w:rPr>
              <w:t>5 项目与相关文件符合性分析一览表</w:t>
            </w:r>
          </w:p>
          <w:tbl>
            <w:tblPr>
              <w:tblStyle w:val="431"/>
              <w:tblW w:w="4997" w:type="pct"/>
              <w:tblInd w:w="-6"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0" w:type="dxa"/>
                <w:left w:w="0" w:type="dxa"/>
                <w:bottom w:w="0" w:type="dxa"/>
                <w:right w:w="0" w:type="dxa"/>
              </w:tblCellMar>
            </w:tblPr>
            <w:tblGrid>
              <w:gridCol w:w="2892"/>
              <w:gridCol w:w="3526"/>
              <w:gridCol w:w="784"/>
            </w:tblGrid>
            <w:tr w14:paraId="29F6B67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007" w:type="pct"/>
                  <w:tcBorders>
                    <w:tl2br w:val="nil"/>
                    <w:tr2bl w:val="nil"/>
                  </w:tcBorders>
                  <w:vAlign w:val="center"/>
                </w:tcPr>
                <w:p w14:paraId="220F0C40">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smallCaps w:val="0"/>
                      <w:color w:val="auto"/>
                      <w:spacing w:val="0"/>
                      <w:w w:val="100"/>
                      <w:position w:val="0"/>
                      <w:sz w:val="21"/>
                      <w:szCs w:val="21"/>
                      <w:vertAlign w:val="baseline"/>
                      <w:lang w:eastAsia="zh-CN"/>
                    </w:rPr>
                  </w:pPr>
                  <w:r>
                    <w:rPr>
                      <w:rFonts w:hint="default" w:ascii="Times New Roman" w:hAnsi="Times New Roman" w:eastAsia="宋体" w:cs="Times New Roman"/>
                      <w:b/>
                      <w:bCs w:val="0"/>
                      <w:smallCaps w:val="0"/>
                      <w:color w:val="auto"/>
                      <w:spacing w:val="0"/>
                      <w:w w:val="100"/>
                      <w:position w:val="0"/>
                      <w:sz w:val="21"/>
                      <w:szCs w:val="21"/>
                      <w:vertAlign w:val="baseline"/>
                      <w:lang w:eastAsia="zh-CN"/>
                    </w:rPr>
                    <w:t>桂政办发〔2012〕103 号具体规定</w:t>
                  </w:r>
                </w:p>
              </w:tc>
              <w:tc>
                <w:tcPr>
                  <w:tcW w:w="2447" w:type="pct"/>
                  <w:tcBorders>
                    <w:tl2br w:val="nil"/>
                    <w:tr2bl w:val="nil"/>
                  </w:tcBorders>
                  <w:vAlign w:val="center"/>
                </w:tcPr>
                <w:p w14:paraId="6970E1BD">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smallCaps w:val="0"/>
                      <w:color w:val="auto"/>
                      <w:spacing w:val="0"/>
                      <w:w w:val="100"/>
                      <w:position w:val="0"/>
                      <w:sz w:val="21"/>
                      <w:szCs w:val="21"/>
                      <w:vertAlign w:val="baseline"/>
                      <w:lang w:eastAsia="zh-CN"/>
                    </w:rPr>
                  </w:pPr>
                  <w:r>
                    <w:rPr>
                      <w:rFonts w:hint="default" w:ascii="Times New Roman" w:hAnsi="Times New Roman" w:eastAsia="宋体" w:cs="Times New Roman"/>
                      <w:b/>
                      <w:bCs w:val="0"/>
                      <w:smallCaps w:val="0"/>
                      <w:color w:val="auto"/>
                      <w:spacing w:val="0"/>
                      <w:w w:val="100"/>
                      <w:position w:val="0"/>
                      <w:sz w:val="21"/>
                      <w:szCs w:val="21"/>
                      <w:vertAlign w:val="baseline"/>
                      <w:lang w:eastAsia="zh-CN"/>
                    </w:rPr>
                    <w:t>本项目情况</w:t>
                  </w:r>
                </w:p>
              </w:tc>
              <w:tc>
                <w:tcPr>
                  <w:tcW w:w="544" w:type="pct"/>
                  <w:tcBorders>
                    <w:tl2br w:val="nil"/>
                    <w:tr2bl w:val="nil"/>
                  </w:tcBorders>
                  <w:vAlign w:val="center"/>
                </w:tcPr>
                <w:p w14:paraId="479DFE2C">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smallCaps w:val="0"/>
                      <w:color w:val="auto"/>
                      <w:spacing w:val="0"/>
                      <w:w w:val="100"/>
                      <w:kern w:val="2"/>
                      <w:position w:val="0"/>
                      <w:sz w:val="21"/>
                      <w:szCs w:val="21"/>
                      <w:vertAlign w:val="baseline"/>
                      <w:lang w:val="en-US" w:eastAsia="zh-CN" w:bidi="ar-SA"/>
                    </w:rPr>
                  </w:pPr>
                  <w:r>
                    <w:rPr>
                      <w:rFonts w:hint="default" w:ascii="Times New Roman" w:hAnsi="Times New Roman" w:eastAsia="宋体" w:cs="Times New Roman"/>
                      <w:b/>
                      <w:bCs w:val="0"/>
                      <w:smallCaps w:val="0"/>
                      <w:color w:val="auto"/>
                      <w:spacing w:val="0"/>
                      <w:w w:val="100"/>
                      <w:kern w:val="2"/>
                      <w:position w:val="0"/>
                      <w:sz w:val="21"/>
                      <w:szCs w:val="21"/>
                      <w:vertAlign w:val="baseline"/>
                      <w:lang w:val="en-US" w:eastAsia="zh-CN" w:bidi="ar-SA"/>
                    </w:rPr>
                    <w:t>符合</w:t>
                  </w:r>
                </w:p>
                <w:p w14:paraId="77CD96EA">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smallCaps w:val="0"/>
                      <w:color w:val="auto"/>
                      <w:spacing w:val="0"/>
                      <w:w w:val="100"/>
                      <w:kern w:val="2"/>
                      <w:position w:val="0"/>
                      <w:sz w:val="21"/>
                      <w:szCs w:val="21"/>
                      <w:vertAlign w:val="baseline"/>
                      <w:lang w:val="en-US" w:eastAsia="zh-CN" w:bidi="ar-SA"/>
                    </w:rPr>
                  </w:pPr>
                  <w:r>
                    <w:rPr>
                      <w:rFonts w:hint="default" w:ascii="Times New Roman" w:hAnsi="Times New Roman" w:eastAsia="宋体" w:cs="Times New Roman"/>
                      <w:b/>
                      <w:bCs w:val="0"/>
                      <w:smallCaps w:val="0"/>
                      <w:color w:val="auto"/>
                      <w:spacing w:val="0"/>
                      <w:w w:val="100"/>
                      <w:kern w:val="2"/>
                      <w:position w:val="0"/>
                      <w:sz w:val="21"/>
                      <w:szCs w:val="21"/>
                      <w:vertAlign w:val="baseline"/>
                      <w:lang w:val="en-US" w:eastAsia="zh-CN" w:bidi="ar-SA"/>
                    </w:rPr>
                    <w:t>情况</w:t>
                  </w:r>
                </w:p>
              </w:tc>
            </w:tr>
            <w:tr w14:paraId="1F112B8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007" w:type="pct"/>
                  <w:tcBorders>
                    <w:tl2br w:val="nil"/>
                    <w:tr2bl w:val="nil"/>
                  </w:tcBorders>
                  <w:vAlign w:val="center"/>
                </w:tcPr>
                <w:p w14:paraId="4D6F431D">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Cs/>
                      <w:smallCaps w:val="0"/>
                      <w:color w:val="auto"/>
                      <w:spacing w:val="0"/>
                      <w:w w:val="100"/>
                      <w:position w:val="0"/>
                      <w:sz w:val="21"/>
                      <w:szCs w:val="21"/>
                      <w:vertAlign w:val="baseline"/>
                      <w:lang w:eastAsia="zh-CN"/>
                    </w:rPr>
                  </w:pPr>
                  <w:r>
                    <w:rPr>
                      <w:rFonts w:hint="default" w:ascii="Times New Roman" w:hAnsi="Times New Roman" w:eastAsia="宋体" w:cs="Times New Roman"/>
                      <w:bCs/>
                      <w:smallCaps w:val="0"/>
                      <w:color w:val="auto"/>
                      <w:spacing w:val="0"/>
                      <w:w w:val="100"/>
                      <w:position w:val="0"/>
                      <w:sz w:val="21"/>
                      <w:szCs w:val="21"/>
                      <w:vertAlign w:val="baseline"/>
                      <w:lang w:eastAsia="zh-CN"/>
                    </w:rPr>
                    <w:t>建设项目要符合国家和自治区发展规划、产业政策和行业准入条件，不得新建属于限制类和淘汰类的涉重金属和高排放高耗能建设项目，不得采用国家淘汰或禁止使用的工艺和设备。</w:t>
                  </w:r>
                </w:p>
              </w:tc>
              <w:tc>
                <w:tcPr>
                  <w:tcW w:w="2447" w:type="pct"/>
                  <w:tcBorders>
                    <w:tl2br w:val="nil"/>
                    <w:tr2bl w:val="nil"/>
                  </w:tcBorders>
                  <w:vAlign w:val="center"/>
                </w:tcPr>
                <w:p w14:paraId="6E77DBC7">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Cs/>
                      <w:smallCaps w:val="0"/>
                      <w:color w:val="auto"/>
                      <w:spacing w:val="0"/>
                      <w:w w:val="100"/>
                      <w:position w:val="0"/>
                      <w:sz w:val="21"/>
                      <w:szCs w:val="21"/>
                      <w:vertAlign w:val="baseline"/>
                      <w:lang w:eastAsia="zh-CN"/>
                    </w:rPr>
                  </w:pPr>
                  <w:r>
                    <w:rPr>
                      <w:rFonts w:hint="default" w:ascii="Times New Roman" w:hAnsi="Times New Roman" w:eastAsia="宋体" w:cs="Times New Roman"/>
                      <w:bCs/>
                      <w:smallCaps w:val="0"/>
                      <w:color w:val="auto"/>
                      <w:spacing w:val="0"/>
                      <w:w w:val="100"/>
                      <w:position w:val="0"/>
                      <w:sz w:val="21"/>
                      <w:szCs w:val="21"/>
                      <w:vertAlign w:val="baseline"/>
                      <w:lang w:eastAsia="zh-CN"/>
                    </w:rPr>
                    <w:t>项目符合国家和自治区发展规划、产业政策和行业准入条件，项目建设已在柳州市鹿寨县发展和改革局成功备案（附件2），项目不属于限制类和淘汰类的涉重金属和高排放高耗能建设项目，不采用国家淘汰或禁止使用的工艺和设备。</w:t>
                  </w:r>
                </w:p>
              </w:tc>
              <w:tc>
                <w:tcPr>
                  <w:tcW w:w="544" w:type="pct"/>
                  <w:tcBorders>
                    <w:tl2br w:val="nil"/>
                    <w:tr2bl w:val="nil"/>
                  </w:tcBorders>
                  <w:vAlign w:val="center"/>
                </w:tcPr>
                <w:p w14:paraId="43BEE984">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smallCaps w:val="0"/>
                      <w:color w:val="auto"/>
                      <w:spacing w:val="0"/>
                      <w:w w:val="100"/>
                      <w:kern w:val="2"/>
                      <w:position w:val="0"/>
                      <w:sz w:val="21"/>
                      <w:szCs w:val="21"/>
                      <w:vertAlign w:val="baseline"/>
                      <w:lang w:val="en-US" w:eastAsia="zh-CN" w:bidi="ar-SA"/>
                    </w:rPr>
                  </w:pPr>
                  <w:r>
                    <w:rPr>
                      <w:rFonts w:hint="default" w:ascii="Times New Roman" w:hAnsi="Times New Roman" w:eastAsia="宋体" w:cs="Times New Roman"/>
                      <w:bCs/>
                      <w:smallCaps w:val="0"/>
                      <w:color w:val="auto"/>
                      <w:spacing w:val="0"/>
                      <w:w w:val="100"/>
                      <w:kern w:val="2"/>
                      <w:position w:val="0"/>
                      <w:sz w:val="21"/>
                      <w:szCs w:val="21"/>
                      <w:vertAlign w:val="baseline"/>
                      <w:lang w:val="en-US" w:eastAsia="zh-CN" w:bidi="ar-SA"/>
                    </w:rPr>
                    <w:t>符合</w:t>
                  </w:r>
                </w:p>
              </w:tc>
            </w:tr>
            <w:tr w14:paraId="0F8E61F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007" w:type="pct"/>
                  <w:tcBorders>
                    <w:tl2br w:val="nil"/>
                    <w:tr2bl w:val="nil"/>
                  </w:tcBorders>
                  <w:vAlign w:val="center"/>
                </w:tcPr>
                <w:p w14:paraId="196C1F91">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Cs/>
                      <w:smallCaps w:val="0"/>
                      <w:color w:val="auto"/>
                      <w:spacing w:val="0"/>
                      <w:w w:val="100"/>
                      <w:position w:val="0"/>
                      <w:sz w:val="21"/>
                      <w:szCs w:val="21"/>
                      <w:vertAlign w:val="baseline"/>
                      <w:lang w:eastAsia="zh-CN"/>
                    </w:rPr>
                  </w:pPr>
                  <w:r>
                    <w:rPr>
                      <w:rFonts w:hint="default" w:ascii="Times New Roman" w:hAnsi="Times New Roman" w:eastAsia="宋体" w:cs="Times New Roman"/>
                      <w:bCs/>
                      <w:smallCaps w:val="0"/>
                      <w:color w:val="auto"/>
                      <w:spacing w:val="0"/>
                      <w:w w:val="100"/>
                      <w:position w:val="0"/>
                      <w:sz w:val="21"/>
                      <w:szCs w:val="21"/>
                      <w:vertAlign w:val="baseline"/>
                      <w:lang w:eastAsia="zh-CN"/>
                    </w:rPr>
                    <w:t>鼓励建设单位采用国内外先进的工艺技术和设备，建设项目的生产水平应符合或等同满足相关清洁生产标准。</w:t>
                  </w:r>
                </w:p>
              </w:tc>
              <w:tc>
                <w:tcPr>
                  <w:tcW w:w="2447" w:type="pct"/>
                  <w:tcBorders>
                    <w:tl2br w:val="nil"/>
                    <w:tr2bl w:val="nil"/>
                  </w:tcBorders>
                  <w:vAlign w:val="center"/>
                </w:tcPr>
                <w:p w14:paraId="74DF433E">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Cs/>
                      <w:smallCaps w:val="0"/>
                      <w:color w:val="auto"/>
                      <w:spacing w:val="0"/>
                      <w:w w:val="100"/>
                      <w:position w:val="0"/>
                      <w:sz w:val="21"/>
                      <w:szCs w:val="21"/>
                      <w:vertAlign w:val="baseline"/>
                      <w:lang w:eastAsia="zh-CN"/>
                    </w:rPr>
                  </w:pPr>
                  <w:r>
                    <w:rPr>
                      <w:rFonts w:hint="default" w:ascii="Times New Roman" w:hAnsi="Times New Roman" w:eastAsia="宋体" w:cs="Times New Roman"/>
                      <w:bCs/>
                      <w:smallCaps w:val="0"/>
                      <w:color w:val="auto"/>
                      <w:spacing w:val="0"/>
                      <w:w w:val="100"/>
                      <w:position w:val="0"/>
                      <w:sz w:val="21"/>
                      <w:szCs w:val="21"/>
                      <w:vertAlign w:val="baseline"/>
                      <w:lang w:eastAsia="zh-CN"/>
                    </w:rPr>
                    <w:t>项目生产运营使用国内外先进的工艺技术和设备。</w:t>
                  </w:r>
                </w:p>
              </w:tc>
              <w:tc>
                <w:tcPr>
                  <w:tcW w:w="544" w:type="pct"/>
                  <w:tcBorders>
                    <w:tl2br w:val="nil"/>
                    <w:tr2bl w:val="nil"/>
                  </w:tcBorders>
                  <w:vAlign w:val="center"/>
                </w:tcPr>
                <w:p w14:paraId="6FFD8C2B">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smallCaps w:val="0"/>
                      <w:color w:val="auto"/>
                      <w:spacing w:val="0"/>
                      <w:w w:val="100"/>
                      <w:kern w:val="2"/>
                      <w:position w:val="0"/>
                      <w:sz w:val="21"/>
                      <w:szCs w:val="21"/>
                      <w:vertAlign w:val="baseline"/>
                      <w:lang w:val="en-US" w:eastAsia="zh-CN" w:bidi="ar-SA"/>
                    </w:rPr>
                  </w:pPr>
                  <w:r>
                    <w:rPr>
                      <w:rFonts w:hint="default" w:ascii="Times New Roman" w:hAnsi="Times New Roman" w:eastAsia="宋体" w:cs="Times New Roman"/>
                      <w:bCs/>
                      <w:smallCaps w:val="0"/>
                      <w:color w:val="auto"/>
                      <w:spacing w:val="0"/>
                      <w:w w:val="100"/>
                      <w:kern w:val="2"/>
                      <w:position w:val="0"/>
                      <w:sz w:val="21"/>
                      <w:szCs w:val="21"/>
                      <w:vertAlign w:val="baseline"/>
                      <w:lang w:val="en-US" w:eastAsia="zh-CN" w:bidi="ar-SA"/>
                    </w:rPr>
                    <w:t>符合</w:t>
                  </w:r>
                </w:p>
              </w:tc>
            </w:tr>
            <w:tr w14:paraId="354F11C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007" w:type="pct"/>
                  <w:tcBorders>
                    <w:tl2br w:val="nil"/>
                    <w:tr2bl w:val="nil"/>
                  </w:tcBorders>
                  <w:vAlign w:val="center"/>
                </w:tcPr>
                <w:p w14:paraId="3956CB0F">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Cs/>
                      <w:smallCaps w:val="0"/>
                      <w:color w:val="auto"/>
                      <w:spacing w:val="0"/>
                      <w:w w:val="100"/>
                      <w:position w:val="0"/>
                      <w:sz w:val="21"/>
                      <w:szCs w:val="21"/>
                      <w:vertAlign w:val="baseline"/>
                      <w:lang w:eastAsia="zh-CN"/>
                    </w:rPr>
                  </w:pPr>
                  <w:r>
                    <w:rPr>
                      <w:rFonts w:hint="default" w:ascii="Times New Roman" w:hAnsi="Times New Roman" w:eastAsia="宋体" w:cs="Times New Roman"/>
                      <w:bCs/>
                      <w:smallCaps w:val="0"/>
                      <w:color w:val="auto"/>
                      <w:spacing w:val="0"/>
                      <w:w w:val="100"/>
                      <w:position w:val="0"/>
                      <w:sz w:val="21"/>
                      <w:szCs w:val="21"/>
                      <w:vertAlign w:val="baseline"/>
                      <w:lang w:eastAsia="zh-CN"/>
                    </w:rPr>
                    <w:t>建设项目选址应符合产业发展规划、城乡总体规划、土地利用规划、矿产资源开发利用规划及水功能区划等相关规划。</w:t>
                  </w:r>
                </w:p>
              </w:tc>
              <w:tc>
                <w:tcPr>
                  <w:tcW w:w="2447" w:type="pct"/>
                  <w:tcBorders>
                    <w:tl2br w:val="nil"/>
                    <w:tr2bl w:val="nil"/>
                  </w:tcBorders>
                  <w:vAlign w:val="center"/>
                </w:tcPr>
                <w:p w14:paraId="0D3C5120">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Cs/>
                      <w:smallCaps w:val="0"/>
                      <w:color w:val="auto"/>
                      <w:spacing w:val="0"/>
                      <w:w w:val="100"/>
                      <w:position w:val="0"/>
                      <w:sz w:val="21"/>
                      <w:szCs w:val="21"/>
                      <w:vertAlign w:val="baseline"/>
                      <w:lang w:eastAsia="zh-CN"/>
                    </w:rPr>
                  </w:pPr>
                  <w:r>
                    <w:rPr>
                      <w:rFonts w:hint="default" w:ascii="Times New Roman" w:hAnsi="Times New Roman" w:eastAsia="宋体" w:cs="Times New Roman"/>
                      <w:bCs/>
                      <w:smallCaps w:val="0"/>
                      <w:color w:val="auto"/>
                      <w:spacing w:val="0"/>
                      <w:w w:val="100"/>
                      <w:position w:val="0"/>
                      <w:sz w:val="21"/>
                      <w:szCs w:val="21"/>
                      <w:vertAlign w:val="baseline"/>
                      <w:lang w:eastAsia="zh-CN"/>
                    </w:rPr>
                    <w:t>项目选址符合当地土地利用规划要求。</w:t>
                  </w:r>
                </w:p>
              </w:tc>
              <w:tc>
                <w:tcPr>
                  <w:tcW w:w="544" w:type="pct"/>
                  <w:tcBorders>
                    <w:tl2br w:val="nil"/>
                    <w:tr2bl w:val="nil"/>
                  </w:tcBorders>
                  <w:vAlign w:val="center"/>
                </w:tcPr>
                <w:p w14:paraId="5A037F7D">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smallCaps w:val="0"/>
                      <w:color w:val="auto"/>
                      <w:spacing w:val="0"/>
                      <w:w w:val="100"/>
                      <w:kern w:val="2"/>
                      <w:position w:val="0"/>
                      <w:sz w:val="21"/>
                      <w:szCs w:val="21"/>
                      <w:vertAlign w:val="baseline"/>
                      <w:lang w:val="en-US" w:eastAsia="zh-CN" w:bidi="ar-SA"/>
                    </w:rPr>
                  </w:pPr>
                  <w:r>
                    <w:rPr>
                      <w:rFonts w:hint="default" w:ascii="Times New Roman" w:hAnsi="Times New Roman" w:eastAsia="宋体" w:cs="Times New Roman"/>
                      <w:bCs/>
                      <w:smallCaps w:val="0"/>
                      <w:color w:val="auto"/>
                      <w:spacing w:val="0"/>
                      <w:w w:val="100"/>
                      <w:kern w:val="2"/>
                      <w:position w:val="0"/>
                      <w:sz w:val="21"/>
                      <w:szCs w:val="21"/>
                      <w:vertAlign w:val="baseline"/>
                      <w:lang w:val="en-US" w:eastAsia="zh-CN" w:bidi="ar-SA"/>
                    </w:rPr>
                    <w:t>符合</w:t>
                  </w:r>
                </w:p>
              </w:tc>
            </w:tr>
          </w:tbl>
          <w:p w14:paraId="53A6BD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default" w:ascii="Times New Roman" w:hAnsi="Times New Roman" w:eastAsia="宋体" w:cs="Times New Roman"/>
                <w:bCs/>
                <w:smallCaps w:val="0"/>
                <w:color w:val="auto"/>
                <w:spacing w:val="0"/>
                <w:w w:val="100"/>
                <w:position w:val="0"/>
                <w:sz w:val="24"/>
                <w:szCs w:val="24"/>
                <w:highlight w:val="none"/>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4、与《挥发性有机物无组织排放控制标准》（GB37822-2019）相符性分析</w:t>
            </w:r>
          </w:p>
          <w:p w14:paraId="6EFE76D0">
            <w:pPr>
              <w:pStyle w:val="452"/>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right="0" w:firstLine="0" w:firstLineChars="0"/>
              <w:textAlignment w:val="auto"/>
              <w:rPr>
                <w:rFonts w:hint="default" w:ascii="Times New Roman" w:hAnsi="Times New Roman" w:eastAsia="宋体" w:cs="Times New Roman"/>
                <w:color w:val="auto"/>
                <w:spacing w:val="0"/>
                <w:sz w:val="21"/>
                <w:szCs w:val="21"/>
                <w:highlight w:val="none"/>
                <w:lang w:val="en-US"/>
              </w:rPr>
            </w:pPr>
            <w:r>
              <w:rPr>
                <w:rFonts w:hint="default" w:ascii="Times New Roman" w:hAnsi="Times New Roman" w:eastAsia="宋体" w:cs="Times New Roman"/>
                <w:color w:val="auto"/>
                <w:spacing w:val="0"/>
                <w:sz w:val="21"/>
                <w:szCs w:val="21"/>
                <w:highlight w:val="none"/>
              </w:rPr>
              <w:t>表1-</w:t>
            </w:r>
            <w:r>
              <w:rPr>
                <w:rFonts w:hint="default" w:ascii="Times New Roman" w:hAnsi="Times New Roman" w:eastAsia="宋体" w:cs="Times New Roman"/>
                <w:color w:val="auto"/>
                <w:spacing w:val="0"/>
                <w:sz w:val="21"/>
                <w:szCs w:val="21"/>
                <w:highlight w:val="none"/>
                <w:lang w:val="en-US" w:eastAsia="zh-CN"/>
              </w:rPr>
              <w:t>6  项目与《挥发性有机物无组织排放控制标准》相符性分析一览表</w:t>
            </w:r>
          </w:p>
          <w:tbl>
            <w:tblPr>
              <w:tblStyle w:val="431"/>
              <w:tblW w:w="4997" w:type="pct"/>
              <w:tblInd w:w="-6"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0" w:type="dxa"/>
                <w:left w:w="0" w:type="dxa"/>
                <w:bottom w:w="0" w:type="dxa"/>
                <w:right w:w="0" w:type="dxa"/>
              </w:tblCellMar>
            </w:tblPr>
            <w:tblGrid>
              <w:gridCol w:w="3125"/>
              <w:gridCol w:w="3295"/>
              <w:gridCol w:w="782"/>
            </w:tblGrid>
            <w:tr w14:paraId="472E70A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69" w:type="pct"/>
                  <w:tcBorders>
                    <w:tl2br w:val="nil"/>
                    <w:tr2bl w:val="nil"/>
                  </w:tcBorders>
                  <w:vAlign w:val="center"/>
                </w:tcPr>
                <w:p w14:paraId="68AF5BA3">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smallCaps w:val="0"/>
                      <w:color w:val="auto"/>
                      <w:spacing w:val="0"/>
                      <w:w w:val="100"/>
                      <w:position w:val="0"/>
                      <w:sz w:val="21"/>
                      <w:szCs w:val="21"/>
                      <w:vertAlign w:val="baseline"/>
                      <w:lang w:val="en-US" w:eastAsia="zh-CN"/>
                    </w:rPr>
                  </w:pPr>
                  <w:r>
                    <w:rPr>
                      <w:rFonts w:hint="default" w:ascii="Times New Roman" w:hAnsi="Times New Roman" w:eastAsia="宋体" w:cs="Times New Roman"/>
                      <w:b/>
                      <w:bCs w:val="0"/>
                      <w:smallCaps w:val="0"/>
                      <w:color w:val="auto"/>
                      <w:spacing w:val="0"/>
                      <w:w w:val="100"/>
                      <w:position w:val="0"/>
                      <w:sz w:val="21"/>
                      <w:szCs w:val="21"/>
                      <w:vertAlign w:val="baseline"/>
                      <w:lang w:eastAsia="zh-CN"/>
                    </w:rPr>
                    <w:t>《挥发性有机物无组织排放控制标准》</w:t>
                  </w:r>
                  <w:r>
                    <w:rPr>
                      <w:rFonts w:hint="default" w:ascii="Times New Roman" w:hAnsi="Times New Roman" w:eastAsia="宋体" w:cs="Times New Roman"/>
                      <w:b/>
                      <w:bCs w:val="0"/>
                      <w:smallCaps w:val="0"/>
                      <w:color w:val="auto"/>
                      <w:spacing w:val="0"/>
                      <w:w w:val="100"/>
                      <w:position w:val="0"/>
                      <w:sz w:val="21"/>
                      <w:szCs w:val="21"/>
                      <w:vertAlign w:val="baseline"/>
                      <w:lang w:val="en-US" w:eastAsia="zh-CN"/>
                    </w:rPr>
                    <w:t>要求</w:t>
                  </w:r>
                </w:p>
              </w:tc>
              <w:tc>
                <w:tcPr>
                  <w:tcW w:w="2287" w:type="pct"/>
                  <w:tcBorders>
                    <w:tl2br w:val="nil"/>
                    <w:tr2bl w:val="nil"/>
                  </w:tcBorders>
                  <w:vAlign w:val="center"/>
                </w:tcPr>
                <w:p w14:paraId="16247374">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smallCaps w:val="0"/>
                      <w:color w:val="auto"/>
                      <w:spacing w:val="0"/>
                      <w:w w:val="100"/>
                      <w:position w:val="0"/>
                      <w:sz w:val="21"/>
                      <w:szCs w:val="21"/>
                      <w:vertAlign w:val="baseline"/>
                      <w:lang w:eastAsia="zh-CN"/>
                    </w:rPr>
                  </w:pPr>
                  <w:r>
                    <w:rPr>
                      <w:rFonts w:hint="default" w:ascii="Times New Roman" w:hAnsi="Times New Roman" w:eastAsia="宋体" w:cs="Times New Roman"/>
                      <w:b/>
                      <w:bCs w:val="0"/>
                      <w:smallCaps w:val="0"/>
                      <w:color w:val="auto"/>
                      <w:spacing w:val="0"/>
                      <w:w w:val="100"/>
                      <w:position w:val="0"/>
                      <w:sz w:val="21"/>
                      <w:szCs w:val="21"/>
                      <w:vertAlign w:val="baseline"/>
                      <w:lang w:eastAsia="zh-CN"/>
                    </w:rPr>
                    <w:t>本项目情况</w:t>
                  </w:r>
                </w:p>
              </w:tc>
              <w:tc>
                <w:tcPr>
                  <w:tcW w:w="543" w:type="pct"/>
                  <w:tcBorders>
                    <w:tl2br w:val="nil"/>
                    <w:tr2bl w:val="nil"/>
                  </w:tcBorders>
                  <w:vAlign w:val="center"/>
                </w:tcPr>
                <w:p w14:paraId="3FECFAA3">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smallCaps w:val="0"/>
                      <w:color w:val="auto"/>
                      <w:spacing w:val="0"/>
                      <w:w w:val="100"/>
                      <w:kern w:val="2"/>
                      <w:position w:val="0"/>
                      <w:sz w:val="21"/>
                      <w:szCs w:val="21"/>
                      <w:vertAlign w:val="baseline"/>
                      <w:lang w:val="en-US" w:eastAsia="zh-CN" w:bidi="ar-SA"/>
                    </w:rPr>
                  </w:pPr>
                  <w:r>
                    <w:rPr>
                      <w:rFonts w:hint="default" w:ascii="Times New Roman" w:hAnsi="Times New Roman" w:eastAsia="宋体" w:cs="Times New Roman"/>
                      <w:b/>
                      <w:bCs w:val="0"/>
                      <w:smallCaps w:val="0"/>
                      <w:color w:val="auto"/>
                      <w:spacing w:val="0"/>
                      <w:w w:val="100"/>
                      <w:kern w:val="2"/>
                      <w:position w:val="0"/>
                      <w:sz w:val="21"/>
                      <w:szCs w:val="21"/>
                      <w:vertAlign w:val="baseline"/>
                      <w:lang w:val="en-US" w:eastAsia="zh-CN" w:bidi="ar-SA"/>
                    </w:rPr>
                    <w:t>符合</w:t>
                  </w:r>
                </w:p>
                <w:p w14:paraId="47AF75A6">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smallCaps w:val="0"/>
                      <w:color w:val="auto"/>
                      <w:spacing w:val="0"/>
                      <w:w w:val="100"/>
                      <w:kern w:val="2"/>
                      <w:position w:val="0"/>
                      <w:sz w:val="21"/>
                      <w:szCs w:val="21"/>
                      <w:vertAlign w:val="baseline"/>
                      <w:lang w:val="en-US" w:eastAsia="zh-CN" w:bidi="ar-SA"/>
                    </w:rPr>
                  </w:pPr>
                  <w:r>
                    <w:rPr>
                      <w:rFonts w:hint="default" w:ascii="Times New Roman" w:hAnsi="Times New Roman" w:eastAsia="宋体" w:cs="Times New Roman"/>
                      <w:b/>
                      <w:bCs w:val="0"/>
                      <w:smallCaps w:val="0"/>
                      <w:color w:val="auto"/>
                      <w:spacing w:val="0"/>
                      <w:w w:val="100"/>
                      <w:kern w:val="2"/>
                      <w:position w:val="0"/>
                      <w:sz w:val="21"/>
                      <w:szCs w:val="21"/>
                      <w:vertAlign w:val="baseline"/>
                      <w:lang w:val="en-US" w:eastAsia="zh-CN" w:bidi="ar-SA"/>
                    </w:rPr>
                    <w:t>情况</w:t>
                  </w:r>
                </w:p>
              </w:tc>
            </w:tr>
            <w:tr w14:paraId="2742CA5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69" w:type="pct"/>
                  <w:tcBorders>
                    <w:tl2br w:val="nil"/>
                    <w:tr2bl w:val="nil"/>
                  </w:tcBorders>
                  <w:vAlign w:val="center"/>
                </w:tcPr>
                <w:p w14:paraId="7B60D5AA">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Cs/>
                      <w:smallCaps w:val="0"/>
                      <w:color w:val="auto"/>
                      <w:spacing w:val="0"/>
                      <w:w w:val="100"/>
                      <w:position w:val="0"/>
                      <w:sz w:val="21"/>
                      <w:szCs w:val="21"/>
                      <w:vertAlign w:val="baseline"/>
                      <w:lang w:eastAsia="zh-CN"/>
                    </w:rPr>
                  </w:pPr>
                  <w:r>
                    <w:rPr>
                      <w:rFonts w:hint="default" w:ascii="Times New Roman" w:hAnsi="Times New Roman" w:eastAsia="宋体" w:cs="Times New Roman"/>
                      <w:bCs/>
                      <w:smallCaps w:val="0"/>
                      <w:color w:val="auto"/>
                      <w:spacing w:val="0"/>
                      <w:w w:val="100"/>
                      <w:position w:val="0"/>
                      <w:sz w:val="21"/>
                      <w:szCs w:val="21"/>
                      <w:vertAlign w:val="baseline"/>
                      <w:lang w:eastAsia="zh-CN"/>
                    </w:rPr>
                    <w:t>涉 VOCs 物料的化工生产过程：a）液态 VOCs 物料应采用密闭管道输送方式或采用高位槽（罐）、桶泵等给料方式密闭投加。无法密闭投加的，应在密闭空间内操作，或进行局部气体收集，废气应排至 VOCs 废气收集处理系统。</w:t>
                  </w:r>
                </w:p>
                <w:p w14:paraId="743F184F">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Cs/>
                      <w:smallCaps w:val="0"/>
                      <w:color w:val="auto"/>
                      <w:spacing w:val="0"/>
                      <w:w w:val="100"/>
                      <w:position w:val="0"/>
                      <w:sz w:val="21"/>
                      <w:szCs w:val="21"/>
                      <w:vertAlign w:val="baseline"/>
                      <w:lang w:eastAsia="zh-CN"/>
                    </w:rPr>
                  </w:pPr>
                  <w:r>
                    <w:rPr>
                      <w:rFonts w:hint="default" w:ascii="Times New Roman" w:hAnsi="Times New Roman" w:eastAsia="宋体" w:cs="Times New Roman"/>
                      <w:bCs/>
                      <w:smallCaps w:val="0"/>
                      <w:color w:val="auto"/>
                      <w:spacing w:val="0"/>
                      <w:w w:val="100"/>
                      <w:position w:val="0"/>
                      <w:sz w:val="21"/>
                      <w:szCs w:val="21"/>
                      <w:vertAlign w:val="baseline"/>
                      <w:lang w:eastAsia="zh-CN"/>
                    </w:rPr>
                    <w:t>b）粉状、粒状 VOCs 物料应采用气力输送方式或采用密闭固体投料器等给料方式密闭投加。无法密闭投加的，应在密闭空间内操作，或进行局部气体收集，废气应排至除尘设施、VOCs 废气收集处理系统。c）VOCs 物料卸（出、放）料过程应密闭，卸料废气应排至 VOCs 废气收集处理系统；无法密闭的，应采取局部气体收集措施，废气应排至 VOCs 废气收集处理系统。</w:t>
                  </w:r>
                </w:p>
              </w:tc>
              <w:tc>
                <w:tcPr>
                  <w:tcW w:w="2287" w:type="pct"/>
                  <w:tcBorders>
                    <w:tl2br w:val="nil"/>
                    <w:tr2bl w:val="nil"/>
                  </w:tcBorders>
                  <w:vAlign w:val="center"/>
                </w:tcPr>
                <w:p w14:paraId="02F1F984">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smallCaps w:val="0"/>
                      <w:color w:val="auto"/>
                      <w:spacing w:val="0"/>
                      <w:w w:val="100"/>
                      <w:position w:val="0"/>
                      <w:sz w:val="21"/>
                      <w:szCs w:val="21"/>
                      <w:vertAlign w:val="baseline"/>
                      <w:lang w:eastAsia="zh-CN"/>
                    </w:rPr>
                  </w:pPr>
                  <w:r>
                    <w:rPr>
                      <w:rFonts w:hint="default" w:ascii="Times New Roman" w:hAnsi="Times New Roman" w:eastAsia="宋体" w:cs="Times New Roman"/>
                      <w:bCs/>
                      <w:smallCaps w:val="0"/>
                      <w:color w:val="auto"/>
                      <w:spacing w:val="0"/>
                      <w:w w:val="100"/>
                      <w:position w:val="0"/>
                      <w:sz w:val="21"/>
                      <w:szCs w:val="21"/>
                      <w:vertAlign w:val="baseline"/>
                      <w:lang w:eastAsia="zh-CN"/>
                    </w:rPr>
                    <w:t>项目产生的</w:t>
                  </w:r>
                  <w:r>
                    <w:rPr>
                      <w:rFonts w:hint="eastAsia" w:ascii="Times New Roman" w:hAnsi="Times New Roman" w:eastAsia="宋体" w:cs="Times New Roman"/>
                      <w:bCs/>
                      <w:smallCaps w:val="0"/>
                      <w:color w:val="auto"/>
                      <w:spacing w:val="0"/>
                      <w:w w:val="100"/>
                      <w:position w:val="0"/>
                      <w:sz w:val="21"/>
                      <w:szCs w:val="21"/>
                      <w:vertAlign w:val="baseline"/>
                      <w:lang w:val="en-US" w:eastAsia="zh-CN"/>
                    </w:rPr>
                    <w:t>制模废气、</w:t>
                  </w:r>
                  <w:r>
                    <w:rPr>
                      <w:rFonts w:hint="default" w:ascii="Times New Roman" w:hAnsi="Times New Roman" w:eastAsia="宋体" w:cs="Times New Roman"/>
                      <w:bCs/>
                      <w:smallCaps w:val="0"/>
                      <w:color w:val="auto"/>
                      <w:spacing w:val="0"/>
                      <w:w w:val="100"/>
                      <w:position w:val="0"/>
                      <w:sz w:val="21"/>
                      <w:szCs w:val="21"/>
                      <w:vertAlign w:val="baseline"/>
                      <w:lang w:eastAsia="zh-CN"/>
                    </w:rPr>
                    <w:t>熔化废气、造型/浇注废气、落砂废气和清理废气（抛丸废气、机加工废气）分别经集气罩收集后统一经1套布袋除尘器+1套二级活性炭吸附处理达标后经一根15m 排气筒（DA001）排放，共用风机风量 20000 m³/h，尘效率按90%计。</w:t>
                  </w:r>
                </w:p>
              </w:tc>
              <w:tc>
                <w:tcPr>
                  <w:tcW w:w="543" w:type="pct"/>
                  <w:tcBorders>
                    <w:tl2br w:val="nil"/>
                    <w:tr2bl w:val="nil"/>
                  </w:tcBorders>
                  <w:vAlign w:val="center"/>
                </w:tcPr>
                <w:p w14:paraId="541B67CD">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smallCaps w:val="0"/>
                      <w:color w:val="auto"/>
                      <w:spacing w:val="0"/>
                      <w:w w:val="100"/>
                      <w:kern w:val="2"/>
                      <w:position w:val="0"/>
                      <w:sz w:val="21"/>
                      <w:szCs w:val="21"/>
                      <w:vertAlign w:val="baseline"/>
                      <w:lang w:val="en-US" w:eastAsia="zh-CN" w:bidi="ar-SA"/>
                    </w:rPr>
                  </w:pPr>
                  <w:r>
                    <w:rPr>
                      <w:rFonts w:hint="default" w:ascii="Times New Roman" w:hAnsi="Times New Roman" w:eastAsia="宋体" w:cs="Times New Roman"/>
                      <w:bCs/>
                      <w:smallCaps w:val="0"/>
                      <w:color w:val="auto"/>
                      <w:spacing w:val="0"/>
                      <w:w w:val="100"/>
                      <w:kern w:val="2"/>
                      <w:position w:val="0"/>
                      <w:sz w:val="21"/>
                      <w:szCs w:val="21"/>
                      <w:vertAlign w:val="baseline"/>
                      <w:lang w:val="en-US" w:eastAsia="zh-CN" w:bidi="ar-SA"/>
                    </w:rPr>
                    <w:t>符合</w:t>
                  </w:r>
                </w:p>
              </w:tc>
            </w:tr>
            <w:tr w14:paraId="083AAA9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69" w:type="pct"/>
                  <w:tcBorders>
                    <w:tl2br w:val="nil"/>
                    <w:tr2bl w:val="nil"/>
                  </w:tcBorders>
                  <w:vAlign w:val="center"/>
                </w:tcPr>
                <w:p w14:paraId="7D6985B5">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Cs/>
                      <w:smallCaps w:val="0"/>
                      <w:color w:val="auto"/>
                      <w:spacing w:val="0"/>
                      <w:w w:val="100"/>
                      <w:position w:val="0"/>
                      <w:sz w:val="21"/>
                      <w:szCs w:val="21"/>
                      <w:vertAlign w:val="baseline"/>
                      <w:lang w:eastAsia="zh-CN"/>
                    </w:rPr>
                  </w:pPr>
                  <w:r>
                    <w:rPr>
                      <w:rFonts w:hint="default" w:ascii="Times New Roman" w:hAnsi="Times New Roman" w:eastAsia="宋体" w:cs="Times New Roman"/>
                      <w:bCs/>
                      <w:smallCaps w:val="0"/>
                      <w:color w:val="auto"/>
                      <w:spacing w:val="0"/>
                      <w:w w:val="100"/>
                      <w:position w:val="0"/>
                      <w:sz w:val="21"/>
                      <w:szCs w:val="21"/>
                      <w:vertAlign w:val="baseline"/>
                      <w:lang w:eastAsia="zh-CN"/>
                    </w:rPr>
                    <w:t>含 VOCs 产品的使用过程：VOCs 质量占比大于等于 10%的含 VOCs 产品，其使用过程应采用密闭设备或在密闭空间内操作，废气应排至 VOCs 废气收集处理系统；无法密闭的，应采取局部气体收集措施，废气应排至 VOCs废气收集处理系统。含 VOCs 产品的使用过程包括但不限于以下作业：a）调配（混合、搅拌等）；b）涂装（喷涂、浸涂、淋涂、辊涂、刷涂、涂布等）；c）印刷（平版、凸版、凹版、孔版等）；d）粘结（涂胶、热压、复合、贴合等）；e）印染（染色、印花、定型等）；f）干燥（烘干、风干、晾干等）；g）清洗（浸洗、喷洗、淋洗、冲洗、擦洗等）。</w:t>
                  </w:r>
                </w:p>
              </w:tc>
              <w:tc>
                <w:tcPr>
                  <w:tcW w:w="2287" w:type="pct"/>
                  <w:tcBorders>
                    <w:tl2br w:val="nil"/>
                    <w:tr2bl w:val="nil"/>
                  </w:tcBorders>
                  <w:vAlign w:val="center"/>
                </w:tcPr>
                <w:p w14:paraId="18DF7827">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smallCaps w:val="0"/>
                      <w:color w:val="auto"/>
                      <w:spacing w:val="0"/>
                      <w:w w:val="100"/>
                      <w:position w:val="0"/>
                      <w:sz w:val="21"/>
                      <w:szCs w:val="21"/>
                      <w:vertAlign w:val="baseline"/>
                      <w:lang w:eastAsia="zh-CN"/>
                    </w:rPr>
                  </w:pPr>
                  <w:r>
                    <w:rPr>
                      <w:rFonts w:hint="default" w:ascii="Times New Roman" w:hAnsi="Times New Roman" w:eastAsia="宋体" w:cs="Times New Roman"/>
                      <w:bCs/>
                      <w:smallCaps w:val="0"/>
                      <w:color w:val="auto"/>
                      <w:spacing w:val="0"/>
                      <w:w w:val="100"/>
                      <w:position w:val="0"/>
                      <w:sz w:val="21"/>
                      <w:szCs w:val="21"/>
                      <w:vertAlign w:val="baseline"/>
                      <w:lang w:eastAsia="zh-CN"/>
                    </w:rPr>
                    <w:t>项目产生的</w:t>
                  </w:r>
                  <w:r>
                    <w:rPr>
                      <w:rFonts w:hint="eastAsia" w:ascii="Times New Roman" w:hAnsi="Times New Roman" w:eastAsia="宋体" w:cs="Times New Roman"/>
                      <w:bCs/>
                      <w:smallCaps w:val="0"/>
                      <w:color w:val="auto"/>
                      <w:spacing w:val="0"/>
                      <w:w w:val="100"/>
                      <w:position w:val="0"/>
                      <w:sz w:val="21"/>
                      <w:szCs w:val="21"/>
                      <w:vertAlign w:val="baseline"/>
                      <w:lang w:val="en-US" w:eastAsia="zh-CN"/>
                    </w:rPr>
                    <w:t>制模废气、</w:t>
                  </w:r>
                  <w:r>
                    <w:rPr>
                      <w:rFonts w:hint="default" w:ascii="Times New Roman" w:hAnsi="Times New Roman" w:eastAsia="宋体" w:cs="Times New Roman"/>
                      <w:bCs/>
                      <w:smallCaps w:val="0"/>
                      <w:color w:val="auto"/>
                      <w:spacing w:val="0"/>
                      <w:w w:val="100"/>
                      <w:position w:val="0"/>
                      <w:sz w:val="21"/>
                      <w:szCs w:val="21"/>
                      <w:vertAlign w:val="baseline"/>
                      <w:lang w:eastAsia="zh-CN"/>
                    </w:rPr>
                    <w:t>熔化废气、造型/浇注废气、落砂废气和清理废气（抛丸废气、机加工废气）分别经集气罩收集后统一经1套布袋除尘器+1套二级活性炭吸附处理达标后经一根15m 排气筒（DA001）排放，共用风机风量 20000 m³/h，尘效率按90%计。</w:t>
                  </w:r>
                </w:p>
              </w:tc>
              <w:tc>
                <w:tcPr>
                  <w:tcW w:w="543" w:type="pct"/>
                  <w:tcBorders>
                    <w:tl2br w:val="nil"/>
                    <w:tr2bl w:val="nil"/>
                  </w:tcBorders>
                  <w:vAlign w:val="center"/>
                </w:tcPr>
                <w:p w14:paraId="3800B39A">
                  <w:pPr>
                    <w:pStyle w:val="4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smallCaps w:val="0"/>
                      <w:color w:val="auto"/>
                      <w:spacing w:val="0"/>
                      <w:w w:val="100"/>
                      <w:kern w:val="2"/>
                      <w:position w:val="0"/>
                      <w:sz w:val="21"/>
                      <w:szCs w:val="21"/>
                      <w:vertAlign w:val="baseline"/>
                      <w:lang w:val="en-US" w:eastAsia="zh-CN" w:bidi="ar-SA"/>
                    </w:rPr>
                  </w:pPr>
                  <w:r>
                    <w:rPr>
                      <w:rFonts w:hint="default" w:ascii="Times New Roman" w:hAnsi="Times New Roman" w:eastAsia="宋体" w:cs="Times New Roman"/>
                      <w:bCs/>
                      <w:smallCaps w:val="0"/>
                      <w:color w:val="auto"/>
                      <w:spacing w:val="0"/>
                      <w:w w:val="100"/>
                      <w:kern w:val="2"/>
                      <w:position w:val="0"/>
                      <w:sz w:val="21"/>
                      <w:szCs w:val="21"/>
                      <w:vertAlign w:val="baseline"/>
                      <w:lang w:val="en-US" w:eastAsia="zh-CN" w:bidi="ar-SA"/>
                    </w:rPr>
                    <w:t>符合</w:t>
                  </w:r>
                </w:p>
              </w:tc>
            </w:tr>
          </w:tbl>
          <w:p w14:paraId="6D87AB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default" w:ascii="Times New Roman" w:hAnsi="Times New Roman" w:eastAsia="宋体" w:cs="Times New Roman"/>
                <w:bCs/>
                <w:smallCaps w:val="0"/>
                <w:color w:val="auto"/>
                <w:spacing w:val="0"/>
                <w:w w:val="100"/>
                <w:position w:val="0"/>
                <w:sz w:val="24"/>
                <w:szCs w:val="24"/>
                <w:highlight w:val="none"/>
                <w:lang w:val="en-US" w:eastAsia="zh-CN"/>
              </w:rPr>
            </w:pPr>
            <w:r>
              <w:rPr>
                <w:rFonts w:hint="default" w:ascii="Times New Roman" w:hAnsi="Times New Roman" w:eastAsia="宋体" w:cs="Times New Roman"/>
                <w:bCs/>
                <w:smallCaps w:val="0"/>
                <w:color w:val="auto"/>
                <w:spacing w:val="0"/>
                <w:w w:val="100"/>
                <w:position w:val="0"/>
                <w:sz w:val="24"/>
                <w:szCs w:val="24"/>
                <w:highlight w:val="none"/>
                <w:lang w:val="en-US" w:eastAsia="zh-CN"/>
              </w:rPr>
              <w:t>5、项目用地符合性分析</w:t>
            </w:r>
          </w:p>
          <w:p w14:paraId="5C6D07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default" w:ascii="Times New Roman" w:hAnsi="Times New Roman" w:eastAsia="宋体" w:cs="Times New Roman"/>
                <w:bCs/>
                <w:smallCaps w:val="0"/>
                <w:color w:val="auto"/>
                <w:spacing w:val="0"/>
                <w:w w:val="100"/>
                <w:position w:val="0"/>
                <w:sz w:val="24"/>
                <w:szCs w:val="24"/>
                <w:highlight w:val="none"/>
                <w:lang w:val="en-US" w:eastAsia="zh-CN"/>
              </w:rPr>
            </w:pPr>
            <w:r>
              <w:rPr>
                <w:rFonts w:hint="default" w:ascii="Times New Roman" w:hAnsi="Times New Roman" w:eastAsia="宋体" w:cs="Times New Roman"/>
                <w:bCs/>
                <w:smallCaps w:val="0"/>
                <w:color w:val="auto"/>
                <w:spacing w:val="0"/>
                <w:w w:val="100"/>
                <w:position w:val="0"/>
                <w:sz w:val="24"/>
                <w:szCs w:val="24"/>
                <w:highlight w:val="none"/>
                <w:lang w:val="en-US" w:eastAsia="zh-CN"/>
              </w:rPr>
              <w:t>（1）用地性质：本项目位于</w:t>
            </w:r>
            <w:r>
              <w:rPr>
                <w:rFonts w:hint="default" w:ascii="Times New Roman" w:hAnsi="Times New Roman" w:eastAsia="宋体" w:cs="Times New Roman"/>
                <w:b w:val="0"/>
                <w:bCs w:val="0"/>
                <w:color w:val="auto"/>
                <w:spacing w:val="0"/>
                <w:w w:val="100"/>
                <w:position w:val="0"/>
                <w:sz w:val="24"/>
                <w:szCs w:val="24"/>
                <w:lang w:val="en-US" w:eastAsia="zh-CN"/>
              </w:rPr>
              <w:t>广西壮族自治区柳州市鹿寨县鹿寨镇金鸡路53号之广西鹿寨化肥有限责任公司厂区内</w:t>
            </w:r>
            <w:r>
              <w:rPr>
                <w:rFonts w:hint="default" w:ascii="Times New Roman" w:hAnsi="Times New Roman" w:eastAsia="宋体" w:cs="Times New Roman"/>
                <w:bCs/>
                <w:smallCaps w:val="0"/>
                <w:color w:val="auto"/>
                <w:spacing w:val="0"/>
                <w:w w:val="100"/>
                <w:position w:val="0"/>
                <w:sz w:val="24"/>
                <w:szCs w:val="24"/>
                <w:highlight w:val="none"/>
                <w:lang w:val="en-US" w:eastAsia="zh-CN"/>
              </w:rPr>
              <w:t>，根据不动产权证（附件4）可知，项目所在地块地类（用途）为工业用地，项目用地性质符合。</w:t>
            </w:r>
          </w:p>
          <w:p w14:paraId="4B488D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default" w:ascii="Times New Roman" w:hAnsi="Times New Roman" w:eastAsia="宋体" w:cs="Times New Roman"/>
                <w:bCs/>
                <w:smallCaps w:val="0"/>
                <w:color w:val="auto"/>
                <w:spacing w:val="0"/>
                <w:w w:val="100"/>
                <w:position w:val="0"/>
                <w:sz w:val="24"/>
                <w:szCs w:val="24"/>
                <w:highlight w:val="none"/>
                <w:lang w:val="en-US" w:eastAsia="zh-CN"/>
              </w:rPr>
            </w:pPr>
            <w:r>
              <w:rPr>
                <w:rFonts w:hint="default" w:ascii="Times New Roman" w:hAnsi="Times New Roman" w:eastAsia="宋体" w:cs="Times New Roman"/>
                <w:bCs/>
                <w:smallCaps w:val="0"/>
                <w:color w:val="auto"/>
                <w:spacing w:val="0"/>
                <w:w w:val="100"/>
                <w:position w:val="0"/>
                <w:sz w:val="24"/>
                <w:szCs w:val="24"/>
                <w:highlight w:val="none"/>
                <w:lang w:val="en-US" w:eastAsia="zh-CN"/>
              </w:rPr>
              <w:t>（2）产业定位：鹿寨高新区的产业定位可概括“3+3+3”，即重点发展先进制造、生态环保和新材料产业，兼顾发展大健康、电子信息和新能源与节能产业，配套发展科技服务、商贸服务和现代物流等产业。本项目为属于新材料产业，符合园区用地规划要求。</w:t>
            </w:r>
          </w:p>
          <w:p w14:paraId="73572C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rPr>
                <w:rFonts w:hint="default" w:ascii="Times New Roman" w:hAnsi="Times New Roman" w:eastAsia="宋体" w:cs="Times New Roman"/>
                <w:bCs/>
                <w:smallCaps w:val="0"/>
                <w:color w:val="auto"/>
                <w:spacing w:val="0"/>
                <w:w w:val="100"/>
                <w:position w:val="0"/>
                <w:sz w:val="24"/>
                <w:szCs w:val="24"/>
                <w:highlight w:val="none"/>
                <w:lang w:val="en-US" w:eastAsia="zh-CN"/>
              </w:rPr>
            </w:pPr>
            <w:r>
              <w:rPr>
                <w:rFonts w:hint="default" w:ascii="Times New Roman" w:hAnsi="Times New Roman" w:eastAsia="宋体" w:cs="Times New Roman"/>
                <w:bCs/>
                <w:smallCaps w:val="0"/>
                <w:color w:val="auto"/>
                <w:spacing w:val="0"/>
                <w:w w:val="100"/>
                <w:position w:val="0"/>
                <w:sz w:val="24"/>
                <w:szCs w:val="24"/>
                <w:highlight w:val="none"/>
                <w:lang w:val="en-US" w:eastAsia="zh-CN"/>
              </w:rPr>
              <w:t>因此，本项目选址符合相关用地要求。</w:t>
            </w:r>
          </w:p>
          <w:p w14:paraId="2D49D07A">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firstLine="482" w:firstLineChars="200"/>
              <w:jc w:val="both"/>
              <w:textAlignment w:val="auto"/>
              <w:rPr>
                <w:rFonts w:hint="default" w:ascii="Times New Roman" w:hAnsi="Times New Roman" w:eastAsia="宋体" w:cs="Times New Roman"/>
                <w:b/>
                <w:bCs/>
                <w:color w:val="auto"/>
                <w:spacing w:val="0"/>
                <w:w w:val="100"/>
                <w:kern w:val="0"/>
                <w:position w:val="0"/>
                <w:sz w:val="24"/>
                <w:szCs w:val="24"/>
                <w:lang w:val="en-US" w:eastAsia="zh-CN"/>
              </w:rPr>
            </w:pPr>
          </w:p>
          <w:p w14:paraId="5F5AA08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firstLine="482" w:firstLineChars="200"/>
              <w:jc w:val="both"/>
              <w:textAlignment w:val="auto"/>
              <w:rPr>
                <w:rFonts w:hint="default" w:ascii="Times New Roman" w:hAnsi="Times New Roman" w:eastAsia="宋体" w:cs="Times New Roman"/>
                <w:b/>
                <w:bCs/>
                <w:color w:val="auto"/>
                <w:spacing w:val="0"/>
                <w:w w:val="100"/>
                <w:kern w:val="0"/>
                <w:position w:val="0"/>
                <w:sz w:val="24"/>
                <w:szCs w:val="24"/>
                <w:lang w:val="en-US" w:eastAsia="zh-CN"/>
              </w:rPr>
            </w:pPr>
          </w:p>
          <w:p w14:paraId="4968F3E9">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firstLine="482" w:firstLineChars="200"/>
              <w:jc w:val="both"/>
              <w:textAlignment w:val="auto"/>
              <w:rPr>
                <w:rFonts w:hint="default" w:ascii="Times New Roman" w:hAnsi="Times New Roman" w:eastAsia="宋体" w:cs="Times New Roman"/>
                <w:b/>
                <w:bCs/>
                <w:color w:val="auto"/>
                <w:spacing w:val="0"/>
                <w:w w:val="100"/>
                <w:kern w:val="0"/>
                <w:position w:val="0"/>
                <w:sz w:val="24"/>
                <w:szCs w:val="24"/>
                <w:lang w:val="en-US" w:eastAsia="zh-CN"/>
              </w:rPr>
            </w:pPr>
          </w:p>
          <w:p w14:paraId="14EFAB3C">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firstLine="482" w:firstLineChars="200"/>
              <w:jc w:val="both"/>
              <w:textAlignment w:val="auto"/>
              <w:rPr>
                <w:rFonts w:hint="default" w:ascii="Times New Roman" w:hAnsi="Times New Roman" w:eastAsia="宋体" w:cs="Times New Roman"/>
                <w:b/>
                <w:bCs/>
                <w:color w:val="auto"/>
                <w:spacing w:val="0"/>
                <w:w w:val="100"/>
                <w:kern w:val="0"/>
                <w:position w:val="0"/>
                <w:sz w:val="24"/>
                <w:szCs w:val="24"/>
                <w:lang w:val="en-US" w:eastAsia="zh-CN"/>
              </w:rPr>
            </w:pPr>
          </w:p>
          <w:p w14:paraId="563190B5">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leftChars="0" w:right="0" w:firstLine="482" w:firstLineChars="200"/>
              <w:jc w:val="both"/>
              <w:textAlignment w:val="auto"/>
              <w:rPr>
                <w:rFonts w:hint="default" w:ascii="Times New Roman" w:hAnsi="Times New Roman" w:eastAsia="宋体" w:cs="Times New Roman"/>
                <w:b/>
                <w:bCs/>
                <w:color w:val="auto"/>
                <w:spacing w:val="0"/>
                <w:w w:val="100"/>
                <w:kern w:val="0"/>
                <w:position w:val="0"/>
                <w:sz w:val="24"/>
                <w:szCs w:val="24"/>
                <w:lang w:val="en-US" w:eastAsia="zh-CN"/>
              </w:rPr>
            </w:pPr>
          </w:p>
          <w:p w14:paraId="5E88D0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rPr>
                <w:rFonts w:hint="default" w:ascii="Times New Roman" w:hAnsi="Times New Roman" w:eastAsia="宋体" w:cs="Times New Roman"/>
                <w:color w:val="auto"/>
                <w:spacing w:val="0"/>
                <w:w w:val="100"/>
                <w:kern w:val="0"/>
                <w:position w:val="0"/>
                <w:sz w:val="24"/>
                <w:szCs w:val="24"/>
                <w:lang w:val="en-US" w:eastAsia="zh-CN"/>
              </w:rPr>
            </w:pPr>
          </w:p>
        </w:tc>
      </w:tr>
    </w:tbl>
    <w:p w14:paraId="49B4E420">
      <w:pPr>
        <w:pStyle w:val="57"/>
        <w:keepNext w:val="0"/>
        <w:keepLines w:val="0"/>
        <w:pageBreakBefore w:val="0"/>
        <w:widowControl/>
        <w:kinsoku/>
        <w:wordWrap/>
        <w:overflowPunct/>
        <w:topLinePunct w:val="0"/>
        <w:autoSpaceDE/>
        <w:autoSpaceDN/>
        <w:bidi w:val="0"/>
        <w:adjustRightInd/>
        <w:snapToGrid/>
        <w:spacing w:before="0" w:beforeAutospacing="0" w:after="0" w:afterAutospacing="0"/>
        <w:ind w:firstLine="0" w:firstLineChars="0"/>
        <w:jc w:val="center"/>
        <w:textAlignment w:val="auto"/>
        <w:outlineLvl w:val="0"/>
        <w:rPr>
          <w:rFonts w:hint="default" w:ascii="Times New Roman" w:hAnsi="Times New Roman" w:eastAsia="黑体" w:cs="Times New Roman"/>
          <w:b/>
          <w:bCs w:val="0"/>
          <w:snapToGrid w:val="0"/>
          <w:color w:val="auto"/>
          <w:spacing w:val="0"/>
          <w:w w:val="100"/>
          <w:position w:val="0"/>
          <w:sz w:val="30"/>
          <w:szCs w:val="30"/>
        </w:rPr>
        <w:sectPr>
          <w:pgSz w:w="11906" w:h="16838"/>
          <w:pgMar w:top="1134" w:right="1701" w:bottom="1134" w:left="1701" w:header="567" w:footer="567" w:gutter="0"/>
          <w:pgBorders>
            <w:top w:val="none" w:sz="0" w:space="0"/>
            <w:left w:val="none" w:sz="0" w:space="0"/>
            <w:bottom w:val="none" w:sz="0" w:space="0"/>
            <w:right w:val="none" w:sz="0" w:space="0"/>
          </w:pgBorders>
          <w:pgNumType w:fmt="decimal" w:start="1"/>
          <w:cols w:space="720" w:num="1"/>
          <w:docGrid w:type="lines" w:linePitch="312" w:charSpace="0"/>
        </w:sectPr>
      </w:pPr>
    </w:p>
    <w:p w14:paraId="70A0B852">
      <w:pPr>
        <w:pStyle w:val="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baseline"/>
        <w:outlineLvl w:val="0"/>
        <w:rPr>
          <w:rFonts w:hint="default" w:ascii="Times New Roman" w:hAnsi="Times New Roman" w:eastAsia="黑体" w:cs="Times New Roman"/>
          <w:b/>
          <w:bCs/>
          <w:color w:val="auto"/>
          <w:spacing w:val="0"/>
          <w:w w:val="100"/>
          <w:position w:val="0"/>
          <w:sz w:val="30"/>
          <w:szCs w:val="30"/>
          <w:lang w:val="en-US" w:eastAsia="zh-CN"/>
        </w:rPr>
      </w:pPr>
      <w:bookmarkStart w:id="9" w:name="_Toc11829"/>
      <w:r>
        <w:rPr>
          <w:rFonts w:hint="default" w:ascii="Times New Roman" w:hAnsi="Times New Roman" w:eastAsia="黑体" w:cs="Times New Roman"/>
          <w:b/>
          <w:bCs/>
          <w:color w:val="auto"/>
          <w:spacing w:val="0"/>
          <w:w w:val="100"/>
          <w:position w:val="0"/>
          <w:sz w:val="30"/>
          <w:szCs w:val="30"/>
          <w:lang w:val="en-US" w:eastAsia="zh-CN"/>
        </w:rPr>
        <w:t>二、建设项目工程分析</w:t>
      </w:r>
      <w:bookmarkEnd w:id="9"/>
    </w:p>
    <w:tbl>
      <w:tblPr>
        <w:tblStyle w:val="59"/>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26"/>
        <w:gridCol w:w="8191"/>
      </w:tblGrid>
      <w:tr w14:paraId="00DB16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302" w:type="pct"/>
            <w:tcBorders>
              <w:bottom w:val="single" w:color="auto" w:sz="8" w:space="0"/>
            </w:tcBorders>
            <w:noWrap w:val="0"/>
            <w:vAlign w:val="center"/>
          </w:tcPr>
          <w:p w14:paraId="3139A66C">
            <w:pPr>
              <w:pStyle w:val="5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等线" w:cs="Times New Roman"/>
                <w:color w:val="auto"/>
                <w:spacing w:val="0"/>
                <w:w w:val="100"/>
                <w:position w:val="0"/>
                <w:sz w:val="21"/>
                <w:szCs w:val="21"/>
                <w:lang w:eastAsia="zh-CN"/>
              </w:rPr>
            </w:pPr>
            <w:r>
              <w:rPr>
                <w:rFonts w:hint="default" w:ascii="Times New Roman" w:hAnsi="Times New Roman" w:eastAsia="宋体" w:cs="Times New Roman"/>
                <w:color w:val="auto"/>
                <w:spacing w:val="0"/>
                <w:w w:val="100"/>
                <w:position w:val="0"/>
                <w:szCs w:val="24"/>
                <w:lang w:val="en-US" w:eastAsia="zh-CN"/>
              </w:rPr>
              <w:t>建设内容</w:t>
            </w:r>
          </w:p>
        </w:tc>
        <w:tc>
          <w:tcPr>
            <w:tcW w:w="4697" w:type="pct"/>
            <w:tcBorders>
              <w:bottom w:val="single" w:color="auto" w:sz="8" w:space="0"/>
            </w:tcBorders>
            <w:noWrap w:val="0"/>
            <w:vAlign w:val="top"/>
          </w:tcPr>
          <w:p w14:paraId="2D9799D9">
            <w:pPr>
              <w:pStyle w:val="12"/>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baseline"/>
              <w:rPr>
                <w:rFonts w:hint="default" w:ascii="Times New Roman" w:hAnsi="Times New Roman" w:eastAsia="宋体" w:cs="Times New Roman"/>
                <w:b/>
                <w:bCs/>
                <w:color w:val="auto"/>
                <w:spacing w:val="0"/>
                <w:w w:val="100"/>
                <w:position w:val="0"/>
                <w:sz w:val="24"/>
                <w:szCs w:val="24"/>
                <w:lang w:val="en-US" w:eastAsia="zh-CN"/>
              </w:rPr>
            </w:pPr>
            <w:r>
              <w:rPr>
                <w:rFonts w:hint="default" w:ascii="Times New Roman" w:hAnsi="Times New Roman" w:eastAsia="宋体" w:cs="Times New Roman"/>
                <w:b/>
                <w:bCs/>
                <w:color w:val="auto"/>
                <w:spacing w:val="0"/>
                <w:w w:val="100"/>
                <w:position w:val="0"/>
                <w:sz w:val="24"/>
                <w:szCs w:val="24"/>
                <w:lang w:val="en-US" w:eastAsia="zh-CN"/>
              </w:rPr>
              <w:t>1、项目概况</w:t>
            </w:r>
          </w:p>
          <w:p w14:paraId="058EFDE3">
            <w:pPr>
              <w:pStyle w:val="12"/>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项目名称：造纸制浆高端磨片及耐磨件生产项目</w:t>
            </w:r>
          </w:p>
          <w:p w14:paraId="64B28068">
            <w:pPr>
              <w:pStyle w:val="12"/>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建设单位：柳州航城合金材料有限公司</w:t>
            </w:r>
          </w:p>
          <w:p w14:paraId="5F3D8776">
            <w:pPr>
              <w:pStyle w:val="12"/>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建设地点：</w:t>
            </w:r>
            <w:r>
              <w:rPr>
                <w:rFonts w:hint="eastAsia" w:ascii="Times New Roman" w:hAnsi="Times New Roman" w:eastAsia="宋体" w:cs="Times New Roman"/>
                <w:b w:val="0"/>
                <w:bCs w:val="0"/>
                <w:color w:val="auto"/>
                <w:spacing w:val="0"/>
                <w:w w:val="100"/>
                <w:position w:val="0"/>
                <w:sz w:val="24"/>
                <w:szCs w:val="24"/>
                <w:lang w:val="en-US" w:eastAsia="zh-CN"/>
              </w:rPr>
              <w:t>**</w:t>
            </w:r>
          </w:p>
          <w:p w14:paraId="6AF263B5">
            <w:pPr>
              <w:pStyle w:val="12"/>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中心坐标：</w:t>
            </w:r>
            <w:r>
              <w:rPr>
                <w:rFonts w:hint="eastAsia" w:ascii="Times New Roman" w:hAnsi="Times New Roman" w:eastAsia="宋体" w:cs="Times New Roman"/>
                <w:b w:val="0"/>
                <w:bCs w:val="0"/>
                <w:color w:val="auto"/>
                <w:spacing w:val="0"/>
                <w:w w:val="100"/>
                <w:position w:val="0"/>
                <w:sz w:val="24"/>
                <w:szCs w:val="24"/>
                <w:lang w:val="en-US" w:eastAsia="zh-CN"/>
              </w:rPr>
              <w:t>**</w:t>
            </w:r>
          </w:p>
          <w:p w14:paraId="69E7CD73">
            <w:pPr>
              <w:pStyle w:val="12"/>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项目投资：</w:t>
            </w:r>
            <w:r>
              <w:rPr>
                <w:rFonts w:hint="eastAsia" w:ascii="Times New Roman" w:hAnsi="Times New Roman" w:eastAsia="宋体" w:cs="Times New Roman"/>
                <w:b w:val="0"/>
                <w:bCs w:val="0"/>
                <w:color w:val="auto"/>
                <w:spacing w:val="0"/>
                <w:w w:val="100"/>
                <w:position w:val="0"/>
                <w:sz w:val="24"/>
                <w:szCs w:val="24"/>
                <w:lang w:val="en-US" w:eastAsia="zh-CN"/>
              </w:rPr>
              <w:t>**</w:t>
            </w:r>
          </w:p>
          <w:p w14:paraId="2F24FCEB">
            <w:pPr>
              <w:pStyle w:val="12"/>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工程性质：新建</w:t>
            </w:r>
          </w:p>
          <w:p w14:paraId="6481B926">
            <w:pPr>
              <w:pStyle w:val="12"/>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占地面积：3686m</w:t>
            </w:r>
            <w:r>
              <w:rPr>
                <w:rFonts w:hint="default" w:ascii="Times New Roman" w:hAnsi="Times New Roman" w:eastAsia="宋体" w:cs="Times New Roman"/>
                <w:b w:val="0"/>
                <w:bCs w:val="0"/>
                <w:color w:val="auto"/>
                <w:spacing w:val="0"/>
                <w:w w:val="100"/>
                <w:position w:val="0"/>
                <w:sz w:val="24"/>
                <w:szCs w:val="24"/>
                <w:vertAlign w:val="superscript"/>
                <w:lang w:val="en-US" w:eastAsia="zh-CN"/>
              </w:rPr>
              <w:t>2</w:t>
            </w:r>
          </w:p>
          <w:p w14:paraId="51EA62D4">
            <w:pPr>
              <w:pStyle w:val="12"/>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建设规模及内容：项目租赁厂房，总占地面积3686平方米，总建筑面积约1724平方米，主要建设生产车间区，成品仓库区，研发检测室，主要设备中有中频感应熔炉、全自动泡沫成型机、加热炉、数控淬火炉、数控车床等，</w:t>
            </w:r>
            <w:r>
              <w:rPr>
                <w:rFonts w:hint="default" w:ascii="Times New Roman" w:hAnsi="Times New Roman" w:eastAsia="宋体" w:cs="Times New Roman"/>
                <w:b w:val="0"/>
                <w:bCs w:val="0"/>
                <w:color w:val="auto"/>
                <w:spacing w:val="0"/>
                <w:w w:val="100"/>
                <w:position w:val="0"/>
                <w:sz w:val="24"/>
                <w:szCs w:val="24"/>
                <w:highlight w:val="none"/>
                <w:lang w:val="en-US" w:eastAsia="zh-CN"/>
              </w:rPr>
              <w:t>预计年产各类耐磨磨片3000 套，同时年维修螺旋部件100 件，折合铸件总产能约</w:t>
            </w:r>
            <w:r>
              <w:rPr>
                <w:rFonts w:hint="eastAsia" w:ascii="Times New Roman" w:hAnsi="Times New Roman" w:eastAsia="宋体" w:cs="Times New Roman"/>
                <w:b w:val="0"/>
                <w:bCs w:val="0"/>
                <w:color w:val="auto"/>
                <w:spacing w:val="0"/>
                <w:w w:val="100"/>
                <w:position w:val="0"/>
                <w:sz w:val="24"/>
                <w:szCs w:val="24"/>
                <w:highlight w:val="none"/>
                <w:lang w:val="en-US" w:eastAsia="zh-CN"/>
              </w:rPr>
              <w:t>2000</w:t>
            </w:r>
            <w:r>
              <w:rPr>
                <w:rFonts w:hint="default" w:ascii="Times New Roman" w:hAnsi="Times New Roman" w:eastAsia="宋体" w:cs="Times New Roman"/>
                <w:b w:val="0"/>
                <w:bCs w:val="0"/>
                <w:color w:val="auto"/>
                <w:spacing w:val="0"/>
                <w:w w:val="100"/>
                <w:position w:val="0"/>
                <w:sz w:val="24"/>
                <w:szCs w:val="24"/>
                <w:highlight w:val="none"/>
                <w:lang w:val="en-US" w:eastAsia="zh-CN"/>
              </w:rPr>
              <w:t xml:space="preserve"> t/a。</w:t>
            </w:r>
          </w:p>
          <w:p w14:paraId="29F92DD4">
            <w:pPr>
              <w:pStyle w:val="12"/>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劳动定员：企业总人数</w:t>
            </w:r>
            <w:r>
              <w:rPr>
                <w:rFonts w:hint="eastAsia" w:ascii="Times New Roman" w:hAnsi="Times New Roman" w:eastAsia="宋体" w:cs="Times New Roman"/>
                <w:b w:val="0"/>
                <w:bCs w:val="0"/>
                <w:color w:val="auto"/>
                <w:spacing w:val="0"/>
                <w:w w:val="100"/>
                <w:position w:val="0"/>
                <w:sz w:val="24"/>
                <w:szCs w:val="24"/>
                <w:lang w:val="en-US" w:eastAsia="zh-CN"/>
              </w:rPr>
              <w:t>*</w:t>
            </w:r>
            <w:r>
              <w:rPr>
                <w:rFonts w:hint="default" w:ascii="Times New Roman" w:hAnsi="Times New Roman" w:eastAsia="宋体" w:cs="Times New Roman"/>
                <w:b w:val="0"/>
                <w:bCs w:val="0"/>
                <w:color w:val="auto"/>
                <w:spacing w:val="0"/>
                <w:w w:val="100"/>
                <w:position w:val="0"/>
                <w:sz w:val="24"/>
                <w:szCs w:val="24"/>
                <w:lang w:val="en-US" w:eastAsia="zh-CN"/>
              </w:rPr>
              <w:t>人，均不在厂区内食宿。</w:t>
            </w:r>
          </w:p>
          <w:p w14:paraId="4CCCB863">
            <w:pPr>
              <w:pStyle w:val="12"/>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 w:val="0"/>
                <w:bCs w:val="0"/>
                <w:color w:val="auto"/>
                <w:spacing w:val="0"/>
                <w:w w:val="100"/>
                <w:position w:val="0"/>
                <w:sz w:val="24"/>
                <w:szCs w:val="24"/>
                <w:highlight w:val="yellow"/>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工作制度：</w:t>
            </w:r>
            <w:r>
              <w:rPr>
                <w:rFonts w:hint="default" w:ascii="Times New Roman" w:hAnsi="Times New Roman" w:eastAsia="宋体" w:cs="Times New Roman"/>
                <w:b w:val="0"/>
                <w:bCs w:val="0"/>
                <w:color w:val="auto"/>
                <w:spacing w:val="0"/>
                <w:w w:val="100"/>
                <w:position w:val="0"/>
                <w:sz w:val="24"/>
                <w:szCs w:val="24"/>
                <w:highlight w:val="none"/>
                <w:lang w:val="en-US" w:eastAsia="zh-CN"/>
              </w:rPr>
              <w:t>年工作时间为300天，生产班制为2班制，8h/班，夜间开展生产。</w:t>
            </w:r>
          </w:p>
          <w:p w14:paraId="72306E2C">
            <w:pPr>
              <w:pStyle w:val="12"/>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环评类别：根据《建设项目环境影响评价分类管理名录（2021年版）》本项目属于的</w:t>
            </w:r>
            <w:r>
              <w:rPr>
                <w:rFonts w:hint="default" w:ascii="Times New Roman" w:hAnsi="Times New Roman" w:eastAsia="宋体" w:cs="Times New Roman"/>
                <w:b w:val="0"/>
                <w:bCs w:val="0"/>
                <w:color w:val="auto"/>
                <w:spacing w:val="0"/>
                <w:w w:val="100"/>
                <w:position w:val="0"/>
                <w:sz w:val="24"/>
                <w:szCs w:val="24"/>
                <w:highlight w:val="none"/>
                <w:lang w:val="en-US" w:eastAsia="zh-CN"/>
              </w:rPr>
              <w:t>68铸造及其他金属制品制造339-其他(仅分割、焊接、组装的除外)</w:t>
            </w:r>
            <w:r>
              <w:rPr>
                <w:rFonts w:hint="default" w:ascii="Times New Roman" w:hAnsi="Times New Roman" w:eastAsia="宋体" w:cs="Times New Roman"/>
                <w:b w:val="0"/>
                <w:bCs w:val="0"/>
                <w:color w:val="auto"/>
                <w:spacing w:val="0"/>
                <w:w w:val="100"/>
                <w:position w:val="0"/>
                <w:sz w:val="24"/>
                <w:szCs w:val="24"/>
                <w:lang w:val="en-US" w:eastAsia="zh-CN"/>
              </w:rPr>
              <w:t>，本项目</w:t>
            </w:r>
            <w:r>
              <w:rPr>
                <w:rFonts w:hint="default" w:ascii="Times New Roman" w:hAnsi="Times New Roman" w:eastAsia="宋体" w:cs="Times New Roman"/>
                <w:b w:val="0"/>
                <w:bCs w:val="0"/>
                <w:color w:val="auto"/>
                <w:spacing w:val="0"/>
                <w:w w:val="100"/>
                <w:position w:val="0"/>
                <w:sz w:val="24"/>
                <w:szCs w:val="24"/>
                <w:highlight w:val="none"/>
                <w:lang w:val="en-US" w:eastAsia="zh-CN"/>
              </w:rPr>
              <w:t>预计年产各类耐磨磨片3000套，同时年维修螺旋部件100件，折合铸件总产能约</w:t>
            </w:r>
            <w:r>
              <w:rPr>
                <w:rFonts w:hint="eastAsia" w:ascii="Times New Roman" w:hAnsi="Times New Roman" w:eastAsia="宋体" w:cs="Times New Roman"/>
                <w:b w:val="0"/>
                <w:bCs w:val="0"/>
                <w:color w:val="auto"/>
                <w:spacing w:val="0"/>
                <w:w w:val="100"/>
                <w:position w:val="0"/>
                <w:sz w:val="24"/>
                <w:szCs w:val="24"/>
                <w:highlight w:val="none"/>
                <w:lang w:val="en-US" w:eastAsia="zh-CN"/>
              </w:rPr>
              <w:t>2000</w:t>
            </w:r>
            <w:r>
              <w:rPr>
                <w:rFonts w:hint="default" w:ascii="Times New Roman" w:hAnsi="Times New Roman" w:eastAsia="宋体" w:cs="Times New Roman"/>
                <w:b w:val="0"/>
                <w:bCs w:val="0"/>
                <w:color w:val="auto"/>
                <w:spacing w:val="0"/>
                <w:w w:val="100"/>
                <w:position w:val="0"/>
                <w:sz w:val="24"/>
                <w:szCs w:val="24"/>
                <w:highlight w:val="none"/>
                <w:lang w:val="en-US" w:eastAsia="zh-CN"/>
              </w:rPr>
              <w:t xml:space="preserve"> t/a。根据产能，</w:t>
            </w:r>
            <w:r>
              <w:rPr>
                <w:rFonts w:hint="default" w:ascii="Times New Roman" w:hAnsi="Times New Roman" w:eastAsia="宋体" w:cs="Times New Roman"/>
                <w:b w:val="0"/>
                <w:bCs w:val="0"/>
                <w:color w:val="auto"/>
                <w:spacing w:val="0"/>
                <w:w w:val="100"/>
                <w:position w:val="0"/>
                <w:sz w:val="24"/>
                <w:szCs w:val="24"/>
                <w:lang w:val="en-US" w:eastAsia="zh-CN"/>
              </w:rPr>
              <w:t>应编制环境影响报告表。</w:t>
            </w:r>
          </w:p>
          <w:p w14:paraId="32B1E350">
            <w:pPr>
              <w:pStyle w:val="12"/>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baseline"/>
              <w:rPr>
                <w:rFonts w:hint="default" w:ascii="Times New Roman" w:hAnsi="Times New Roman" w:eastAsia="宋体" w:cs="Times New Roman"/>
                <w:b/>
                <w:bCs/>
                <w:color w:val="auto"/>
                <w:spacing w:val="0"/>
                <w:w w:val="100"/>
                <w:position w:val="0"/>
                <w:sz w:val="24"/>
                <w:szCs w:val="24"/>
                <w:highlight w:val="none"/>
                <w:lang w:val="en-US" w:eastAsia="zh-CN"/>
              </w:rPr>
            </w:pPr>
            <w:r>
              <w:rPr>
                <w:rFonts w:hint="default" w:ascii="Times New Roman" w:hAnsi="Times New Roman" w:eastAsia="宋体" w:cs="Times New Roman"/>
                <w:b/>
                <w:bCs/>
                <w:color w:val="auto"/>
                <w:spacing w:val="0"/>
                <w:w w:val="100"/>
                <w:position w:val="0"/>
                <w:sz w:val="24"/>
                <w:szCs w:val="24"/>
                <w:lang w:val="en-US" w:eastAsia="zh-CN"/>
              </w:rPr>
              <w:t>2、</w:t>
            </w:r>
            <w:r>
              <w:rPr>
                <w:rFonts w:hint="default" w:ascii="Times New Roman" w:hAnsi="Times New Roman" w:eastAsia="宋体" w:cs="Times New Roman"/>
                <w:b/>
                <w:bCs/>
                <w:color w:val="auto"/>
                <w:spacing w:val="0"/>
                <w:w w:val="100"/>
                <w:position w:val="0"/>
                <w:sz w:val="24"/>
                <w:szCs w:val="24"/>
                <w:highlight w:val="none"/>
                <w:lang w:val="en-US" w:eastAsia="zh-CN"/>
              </w:rPr>
              <w:t>主要建设内容</w:t>
            </w:r>
          </w:p>
          <w:p w14:paraId="7B373C8B">
            <w:pPr>
              <w:pStyle w:val="12"/>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baseline"/>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项目主要建设内容见表2-1。</w:t>
            </w:r>
          </w:p>
          <w:p w14:paraId="41B01009">
            <w:pPr>
              <w:pStyle w:val="11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textAlignment w:val="auto"/>
              <w:rPr>
                <w:rFonts w:hint="default" w:ascii="Times New Roman" w:hAnsi="Times New Roman" w:eastAsia="宋体" w:cs="Times New Roman"/>
                <w:bCs/>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rPr>
              <w:t>表2-</w:t>
            </w:r>
            <w:r>
              <w:rPr>
                <w:rFonts w:hint="default" w:ascii="Times New Roman" w:hAnsi="Times New Roman" w:eastAsia="宋体" w:cs="Times New Roman"/>
                <w:color w:val="auto"/>
                <w:spacing w:val="0"/>
                <w:w w:val="100"/>
                <w:position w:val="0"/>
                <w:sz w:val="21"/>
                <w:szCs w:val="21"/>
                <w:lang w:val="en-US" w:eastAsia="zh-CN"/>
              </w:rPr>
              <w:t>1</w:t>
            </w:r>
            <w:r>
              <w:rPr>
                <w:rFonts w:hint="default" w:ascii="Times New Roman" w:hAnsi="Times New Roman" w:eastAsia="宋体" w:cs="Times New Roman"/>
                <w:color w:val="auto"/>
                <w:spacing w:val="0"/>
                <w:w w:val="100"/>
                <w:position w:val="0"/>
                <w:sz w:val="21"/>
                <w:szCs w:val="21"/>
              </w:rPr>
              <w:t xml:space="preserve"> </w:t>
            </w:r>
            <w:r>
              <w:rPr>
                <w:rFonts w:hint="default" w:ascii="Times New Roman" w:hAnsi="Times New Roman" w:eastAsia="宋体" w:cs="Times New Roman"/>
                <w:color w:val="auto"/>
                <w:spacing w:val="0"/>
                <w:w w:val="100"/>
                <w:position w:val="0"/>
                <w:sz w:val="21"/>
                <w:szCs w:val="21"/>
                <w:lang w:val="en-US" w:eastAsia="zh-CN"/>
              </w:rPr>
              <w:t>本项目</w:t>
            </w:r>
            <w:r>
              <w:rPr>
                <w:rFonts w:hint="default" w:ascii="Times New Roman" w:hAnsi="Times New Roman" w:eastAsia="宋体" w:cs="Times New Roman"/>
                <w:bCs/>
                <w:color w:val="auto"/>
                <w:spacing w:val="0"/>
                <w:w w:val="100"/>
                <w:position w:val="0"/>
                <w:sz w:val="21"/>
                <w:szCs w:val="21"/>
                <w:lang w:val="en-US" w:eastAsia="zh-CN"/>
              </w:rPr>
              <w:t>主要建设内容一览表</w:t>
            </w:r>
          </w:p>
          <w:tbl>
            <w:tblPr>
              <w:tblStyle w:val="5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4"/>
              <w:gridCol w:w="1205"/>
              <w:gridCol w:w="5358"/>
              <w:gridCol w:w="805"/>
            </w:tblGrid>
            <w:tr w14:paraId="45823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373" w:type="pct"/>
                  <w:noWrap w:val="0"/>
                  <w:vAlign w:val="center"/>
                </w:tcPr>
                <w:p w14:paraId="59D59466">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序号</w:t>
                  </w:r>
                </w:p>
              </w:tc>
              <w:tc>
                <w:tcPr>
                  <w:tcW w:w="757" w:type="pct"/>
                  <w:noWrap w:val="0"/>
                  <w:vAlign w:val="center"/>
                </w:tcPr>
                <w:p w14:paraId="6DBC89B8">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项目名称</w:t>
                  </w:r>
                </w:p>
              </w:tc>
              <w:tc>
                <w:tcPr>
                  <w:tcW w:w="3365" w:type="pct"/>
                  <w:noWrap w:val="0"/>
                  <w:vAlign w:val="center"/>
                </w:tcPr>
                <w:p w14:paraId="6674E066">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主要建设内容</w:t>
                  </w:r>
                </w:p>
              </w:tc>
              <w:tc>
                <w:tcPr>
                  <w:tcW w:w="504" w:type="pct"/>
                  <w:noWrap w:val="0"/>
                  <w:vAlign w:val="center"/>
                </w:tcPr>
                <w:p w14:paraId="609F5868">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备注</w:t>
                  </w:r>
                </w:p>
              </w:tc>
            </w:tr>
            <w:tr w14:paraId="71F63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5000" w:type="pct"/>
                  <w:gridSpan w:val="4"/>
                  <w:noWrap w:val="0"/>
                  <w:vAlign w:val="center"/>
                </w:tcPr>
                <w:p w14:paraId="37A1F7C8">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一、主体工程</w:t>
                  </w:r>
                </w:p>
              </w:tc>
            </w:tr>
            <w:tr w14:paraId="02FF9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373" w:type="pct"/>
                  <w:noWrap w:val="0"/>
                  <w:vAlign w:val="center"/>
                </w:tcPr>
                <w:p w14:paraId="5A611157">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default" w:ascii="Times New Roman" w:hAnsi="Times New Roman" w:eastAsia="宋体" w:cs="Times New Roman"/>
                      <w:b w:val="0"/>
                      <w:bCs w:val="0"/>
                      <w:color w:val="auto"/>
                      <w:spacing w:val="0"/>
                      <w:w w:val="100"/>
                      <w:position w:val="0"/>
                      <w:sz w:val="21"/>
                      <w:szCs w:val="21"/>
                      <w:highlight w:val="none"/>
                      <w:lang w:val="en-US" w:eastAsia="zh-CN"/>
                    </w:rPr>
                    <w:t>1</w:t>
                  </w:r>
                </w:p>
              </w:tc>
              <w:tc>
                <w:tcPr>
                  <w:tcW w:w="757" w:type="pct"/>
                  <w:noWrap w:val="0"/>
                  <w:vAlign w:val="center"/>
                </w:tcPr>
                <w:p w14:paraId="47675E51">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default" w:ascii="Times New Roman" w:hAnsi="Times New Roman" w:eastAsia="宋体" w:cs="Times New Roman"/>
                      <w:b w:val="0"/>
                      <w:bCs w:val="0"/>
                      <w:color w:val="auto"/>
                      <w:spacing w:val="0"/>
                      <w:w w:val="100"/>
                      <w:position w:val="0"/>
                      <w:sz w:val="21"/>
                      <w:szCs w:val="21"/>
                      <w:highlight w:val="none"/>
                      <w:lang w:val="en-US" w:eastAsia="zh-CN"/>
                    </w:rPr>
                    <w:t>生产厂房</w:t>
                  </w:r>
                </w:p>
              </w:tc>
              <w:tc>
                <w:tcPr>
                  <w:tcW w:w="3365" w:type="pct"/>
                  <w:noWrap w:val="0"/>
                  <w:vAlign w:val="center"/>
                </w:tcPr>
                <w:p w14:paraId="5AD3BD22">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default" w:ascii="Times New Roman" w:hAnsi="Times New Roman" w:eastAsia="宋体" w:cs="Times New Roman"/>
                      <w:b w:val="0"/>
                      <w:bCs w:val="0"/>
                      <w:color w:val="auto"/>
                      <w:spacing w:val="0"/>
                      <w:w w:val="100"/>
                      <w:position w:val="0"/>
                      <w:sz w:val="21"/>
                      <w:szCs w:val="21"/>
                      <w:highlight w:val="none"/>
                      <w:lang w:val="en-US" w:eastAsia="zh-CN"/>
                    </w:rPr>
                    <w:t>钢架结构，层高约5m，共1层，厂房内部划分生产区、原料区、</w:t>
                  </w:r>
                  <w:r>
                    <w:rPr>
                      <w:rFonts w:hint="default" w:ascii="Times New Roman" w:hAnsi="Times New Roman" w:eastAsia="宋体" w:cs="Times New Roman"/>
                      <w:b w:val="0"/>
                      <w:bCs w:val="0"/>
                      <w:color w:val="auto"/>
                      <w:spacing w:val="0"/>
                      <w:w w:val="100"/>
                      <w:position w:val="0"/>
                      <w:sz w:val="21"/>
                      <w:szCs w:val="21"/>
                      <w:highlight w:val="none"/>
                    </w:rPr>
                    <w:t>成品</w:t>
                  </w:r>
                  <w:r>
                    <w:rPr>
                      <w:rFonts w:hint="default" w:ascii="Times New Roman" w:hAnsi="Times New Roman" w:eastAsia="宋体" w:cs="Times New Roman"/>
                      <w:b w:val="0"/>
                      <w:bCs w:val="0"/>
                      <w:color w:val="auto"/>
                      <w:spacing w:val="0"/>
                      <w:w w:val="100"/>
                      <w:position w:val="0"/>
                      <w:sz w:val="21"/>
                      <w:szCs w:val="21"/>
                      <w:highlight w:val="none"/>
                      <w:lang w:val="en-US" w:eastAsia="zh-CN"/>
                    </w:rPr>
                    <w:t>区等。</w:t>
                  </w:r>
                </w:p>
              </w:tc>
              <w:tc>
                <w:tcPr>
                  <w:tcW w:w="504" w:type="pct"/>
                  <w:noWrap w:val="0"/>
                  <w:vAlign w:val="center"/>
                </w:tcPr>
                <w:p w14:paraId="7E228A47">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default" w:ascii="Times New Roman" w:hAnsi="Times New Roman" w:eastAsia="宋体" w:cs="Times New Roman"/>
                      <w:b w:val="0"/>
                      <w:bCs w:val="0"/>
                      <w:color w:val="auto"/>
                      <w:spacing w:val="0"/>
                      <w:w w:val="100"/>
                      <w:position w:val="0"/>
                      <w:sz w:val="21"/>
                      <w:szCs w:val="21"/>
                      <w:highlight w:val="none"/>
                      <w:lang w:val="en-US" w:eastAsia="zh-CN"/>
                    </w:rPr>
                    <w:t>新建</w:t>
                  </w:r>
                </w:p>
              </w:tc>
            </w:tr>
            <w:tr w14:paraId="44379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5000" w:type="pct"/>
                  <w:gridSpan w:val="4"/>
                  <w:noWrap w:val="0"/>
                  <w:vAlign w:val="center"/>
                </w:tcPr>
                <w:p w14:paraId="409CC65B">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二、储运工程</w:t>
                  </w:r>
                </w:p>
              </w:tc>
            </w:tr>
            <w:tr w14:paraId="0E66E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373" w:type="pct"/>
                  <w:noWrap w:val="0"/>
                  <w:vAlign w:val="center"/>
                </w:tcPr>
                <w:p w14:paraId="74FB085B">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1</w:t>
                  </w:r>
                </w:p>
              </w:tc>
              <w:tc>
                <w:tcPr>
                  <w:tcW w:w="757" w:type="pct"/>
                  <w:noWrap w:val="0"/>
                  <w:vAlign w:val="center"/>
                </w:tcPr>
                <w:p w14:paraId="46E89196">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lang w:eastAsia="zh-CN"/>
                    </w:rPr>
                  </w:pPr>
                  <w:r>
                    <w:rPr>
                      <w:rFonts w:hint="default" w:ascii="Times New Roman" w:hAnsi="Times New Roman" w:eastAsia="宋体" w:cs="Times New Roman"/>
                      <w:b w:val="0"/>
                      <w:bCs w:val="0"/>
                      <w:color w:val="auto"/>
                      <w:spacing w:val="0"/>
                      <w:w w:val="100"/>
                      <w:position w:val="0"/>
                      <w:sz w:val="21"/>
                      <w:szCs w:val="21"/>
                      <w:highlight w:val="none"/>
                      <w:lang w:val="en-US" w:eastAsia="zh-CN"/>
                    </w:rPr>
                    <w:t>原料区</w:t>
                  </w:r>
                </w:p>
              </w:tc>
              <w:tc>
                <w:tcPr>
                  <w:tcW w:w="3365" w:type="pct"/>
                  <w:noWrap w:val="0"/>
                  <w:vAlign w:val="center"/>
                </w:tcPr>
                <w:p w14:paraId="612FB718">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lang w:val="en-US" w:eastAsia="zh-CN"/>
                    </w:rPr>
                    <w:t>厂房内部划分，主要用于暂存原料</w:t>
                  </w:r>
                  <w:r>
                    <w:rPr>
                      <w:rFonts w:hint="default" w:ascii="Times New Roman" w:hAnsi="Times New Roman" w:eastAsia="宋体" w:cs="Times New Roman"/>
                      <w:b w:val="0"/>
                      <w:bCs w:val="0"/>
                      <w:color w:val="auto"/>
                      <w:spacing w:val="0"/>
                      <w:w w:val="100"/>
                      <w:position w:val="0"/>
                      <w:sz w:val="21"/>
                      <w:szCs w:val="21"/>
                      <w:highlight w:val="none"/>
                    </w:rPr>
                    <w:t>。</w:t>
                  </w:r>
                </w:p>
              </w:tc>
              <w:tc>
                <w:tcPr>
                  <w:tcW w:w="504" w:type="pct"/>
                  <w:noWrap w:val="0"/>
                  <w:vAlign w:val="center"/>
                </w:tcPr>
                <w:p w14:paraId="386C205F">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lang w:val="en-US" w:eastAsia="zh-CN"/>
                    </w:rPr>
                    <w:t>新建</w:t>
                  </w:r>
                </w:p>
              </w:tc>
            </w:tr>
            <w:tr w14:paraId="60767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373" w:type="pct"/>
                  <w:noWrap w:val="0"/>
                  <w:vAlign w:val="center"/>
                </w:tcPr>
                <w:p w14:paraId="1E1052C3">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2</w:t>
                  </w:r>
                </w:p>
              </w:tc>
              <w:tc>
                <w:tcPr>
                  <w:tcW w:w="757" w:type="pct"/>
                  <w:noWrap w:val="0"/>
                  <w:vAlign w:val="center"/>
                </w:tcPr>
                <w:p w14:paraId="2B68D60E">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lang w:eastAsia="zh-CN"/>
                    </w:rPr>
                  </w:pPr>
                  <w:r>
                    <w:rPr>
                      <w:rFonts w:hint="default" w:ascii="Times New Roman" w:hAnsi="Times New Roman" w:eastAsia="宋体" w:cs="Times New Roman"/>
                      <w:b w:val="0"/>
                      <w:bCs w:val="0"/>
                      <w:color w:val="auto"/>
                      <w:spacing w:val="0"/>
                      <w:w w:val="100"/>
                      <w:position w:val="0"/>
                      <w:sz w:val="21"/>
                      <w:szCs w:val="21"/>
                      <w:highlight w:val="none"/>
                    </w:rPr>
                    <w:t>成品</w:t>
                  </w:r>
                  <w:r>
                    <w:rPr>
                      <w:rFonts w:hint="default" w:ascii="Times New Roman" w:hAnsi="Times New Roman" w:eastAsia="宋体" w:cs="Times New Roman"/>
                      <w:b w:val="0"/>
                      <w:bCs w:val="0"/>
                      <w:color w:val="auto"/>
                      <w:spacing w:val="0"/>
                      <w:w w:val="100"/>
                      <w:position w:val="0"/>
                      <w:sz w:val="21"/>
                      <w:szCs w:val="21"/>
                      <w:highlight w:val="none"/>
                      <w:lang w:val="en-US" w:eastAsia="zh-CN"/>
                    </w:rPr>
                    <w:t>区</w:t>
                  </w:r>
                </w:p>
              </w:tc>
              <w:tc>
                <w:tcPr>
                  <w:tcW w:w="3365" w:type="pct"/>
                  <w:noWrap w:val="0"/>
                  <w:vAlign w:val="center"/>
                </w:tcPr>
                <w:p w14:paraId="168C0E90">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lang w:val="en-US" w:eastAsia="zh-CN"/>
                    </w:rPr>
                    <w:t>厂房内部划分，</w:t>
                  </w:r>
                  <w:r>
                    <w:rPr>
                      <w:rFonts w:hint="default" w:ascii="Times New Roman" w:hAnsi="Times New Roman" w:eastAsia="宋体" w:cs="Times New Roman"/>
                      <w:b w:val="0"/>
                      <w:bCs w:val="0"/>
                      <w:color w:val="auto"/>
                      <w:spacing w:val="0"/>
                      <w:w w:val="100"/>
                      <w:position w:val="0"/>
                      <w:sz w:val="21"/>
                      <w:szCs w:val="21"/>
                      <w:highlight w:val="none"/>
                    </w:rPr>
                    <w:t>主要用于暂存成品。</w:t>
                  </w:r>
                </w:p>
              </w:tc>
              <w:tc>
                <w:tcPr>
                  <w:tcW w:w="504" w:type="pct"/>
                  <w:noWrap w:val="0"/>
                  <w:vAlign w:val="center"/>
                </w:tcPr>
                <w:p w14:paraId="75D2B2BC">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lang w:val="en-US" w:eastAsia="zh-CN"/>
                    </w:rPr>
                    <w:t>新建</w:t>
                  </w:r>
                </w:p>
              </w:tc>
            </w:tr>
            <w:tr w14:paraId="0089B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5000" w:type="pct"/>
                  <w:gridSpan w:val="4"/>
                  <w:noWrap w:val="0"/>
                  <w:vAlign w:val="center"/>
                </w:tcPr>
                <w:p w14:paraId="6B94889A">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三、辅助工程</w:t>
                  </w:r>
                </w:p>
              </w:tc>
            </w:tr>
            <w:tr w14:paraId="7470B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373" w:type="pct"/>
                  <w:noWrap w:val="0"/>
                  <w:vAlign w:val="center"/>
                </w:tcPr>
                <w:p w14:paraId="73F9687A">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1</w:t>
                  </w:r>
                </w:p>
              </w:tc>
              <w:tc>
                <w:tcPr>
                  <w:tcW w:w="757" w:type="pct"/>
                  <w:noWrap w:val="0"/>
                  <w:vAlign w:val="center"/>
                </w:tcPr>
                <w:p w14:paraId="013C4B1B">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lang w:eastAsia="zh-CN"/>
                    </w:rPr>
                  </w:pPr>
                  <w:r>
                    <w:rPr>
                      <w:rFonts w:hint="default" w:ascii="Times New Roman" w:hAnsi="Times New Roman" w:eastAsia="宋体" w:cs="Times New Roman"/>
                      <w:b w:val="0"/>
                      <w:bCs w:val="0"/>
                      <w:color w:val="auto"/>
                      <w:spacing w:val="0"/>
                      <w:w w:val="100"/>
                      <w:position w:val="0"/>
                      <w:sz w:val="21"/>
                      <w:szCs w:val="21"/>
                      <w:highlight w:val="none"/>
                    </w:rPr>
                    <w:t>办公</w:t>
                  </w:r>
                  <w:r>
                    <w:rPr>
                      <w:rFonts w:hint="default" w:ascii="Times New Roman" w:hAnsi="Times New Roman" w:eastAsia="宋体" w:cs="Times New Roman"/>
                      <w:b w:val="0"/>
                      <w:bCs w:val="0"/>
                      <w:color w:val="auto"/>
                      <w:spacing w:val="0"/>
                      <w:w w:val="100"/>
                      <w:position w:val="0"/>
                      <w:sz w:val="21"/>
                      <w:szCs w:val="21"/>
                      <w:highlight w:val="none"/>
                      <w:lang w:val="en-US" w:eastAsia="zh-CN"/>
                    </w:rPr>
                    <w:t>室</w:t>
                  </w:r>
                </w:p>
              </w:tc>
              <w:tc>
                <w:tcPr>
                  <w:tcW w:w="3365" w:type="pct"/>
                  <w:noWrap w:val="0"/>
                  <w:vAlign w:val="center"/>
                </w:tcPr>
                <w:p w14:paraId="222BEC9C">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主要用于日常办公。</w:t>
                  </w:r>
                </w:p>
              </w:tc>
              <w:tc>
                <w:tcPr>
                  <w:tcW w:w="504" w:type="pct"/>
                  <w:noWrap w:val="0"/>
                  <w:vAlign w:val="center"/>
                </w:tcPr>
                <w:p w14:paraId="7335F887">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lang w:val="en-US" w:eastAsia="zh-CN"/>
                    </w:rPr>
                    <w:t>新建</w:t>
                  </w:r>
                </w:p>
              </w:tc>
            </w:tr>
            <w:tr w14:paraId="7031F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5000" w:type="pct"/>
                  <w:gridSpan w:val="4"/>
                  <w:noWrap w:val="0"/>
                  <w:vAlign w:val="center"/>
                </w:tcPr>
                <w:p w14:paraId="1BD72155">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四、公用工程</w:t>
                  </w:r>
                </w:p>
              </w:tc>
            </w:tr>
            <w:tr w14:paraId="5D095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373" w:type="pct"/>
                  <w:noWrap w:val="0"/>
                  <w:vAlign w:val="center"/>
                </w:tcPr>
                <w:p w14:paraId="09B5BD53">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1</w:t>
                  </w:r>
                </w:p>
              </w:tc>
              <w:tc>
                <w:tcPr>
                  <w:tcW w:w="757" w:type="pct"/>
                  <w:noWrap w:val="0"/>
                  <w:vAlign w:val="center"/>
                </w:tcPr>
                <w:p w14:paraId="02029377">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给水系统</w:t>
                  </w:r>
                </w:p>
              </w:tc>
              <w:tc>
                <w:tcPr>
                  <w:tcW w:w="3365" w:type="pct"/>
                  <w:noWrap w:val="0"/>
                  <w:vAlign w:val="center"/>
                </w:tcPr>
                <w:p w14:paraId="20A69B85">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项目用水由市政自来水管网供给。</w:t>
                  </w:r>
                </w:p>
              </w:tc>
              <w:tc>
                <w:tcPr>
                  <w:tcW w:w="504" w:type="pct"/>
                  <w:noWrap w:val="0"/>
                  <w:vAlign w:val="center"/>
                </w:tcPr>
                <w:p w14:paraId="49AD02FD">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w:t>
                  </w:r>
                </w:p>
              </w:tc>
            </w:tr>
            <w:tr w14:paraId="0B2AA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373" w:type="pct"/>
                  <w:noWrap w:val="0"/>
                  <w:vAlign w:val="center"/>
                </w:tcPr>
                <w:p w14:paraId="78DF2990">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2</w:t>
                  </w:r>
                </w:p>
              </w:tc>
              <w:tc>
                <w:tcPr>
                  <w:tcW w:w="757" w:type="pct"/>
                  <w:noWrap w:val="0"/>
                  <w:vAlign w:val="center"/>
                </w:tcPr>
                <w:p w14:paraId="73642993">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排水系统</w:t>
                  </w:r>
                </w:p>
              </w:tc>
              <w:tc>
                <w:tcPr>
                  <w:tcW w:w="3365" w:type="pct"/>
                  <w:noWrap w:val="0"/>
                  <w:vAlign w:val="center"/>
                </w:tcPr>
                <w:p w14:paraId="7F26D048">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lang w:val="en-US" w:eastAsia="zh-CN"/>
                    </w:rPr>
                    <w:t>生活污水经化粪池处理达《污水综合排放标准》（GB8978-1996）表4中三级标准限值后前期用吸粪车定期清运至污水厂，后期待管网接通后排入污水管网通过市政污水管网输送至鹿寨县城第二污水处理厂处理后排入洛清江。</w:t>
                  </w:r>
                </w:p>
              </w:tc>
              <w:tc>
                <w:tcPr>
                  <w:tcW w:w="504" w:type="pct"/>
                  <w:noWrap w:val="0"/>
                  <w:vAlign w:val="center"/>
                </w:tcPr>
                <w:p w14:paraId="4CF558F5">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lang w:eastAsia="zh-CN"/>
                    </w:rPr>
                  </w:pPr>
                  <w:r>
                    <w:rPr>
                      <w:rFonts w:hint="default" w:ascii="Times New Roman" w:hAnsi="Times New Roman" w:eastAsia="宋体" w:cs="Times New Roman"/>
                      <w:b w:val="0"/>
                      <w:bCs w:val="0"/>
                      <w:color w:val="auto"/>
                      <w:spacing w:val="0"/>
                      <w:w w:val="100"/>
                      <w:position w:val="0"/>
                      <w:sz w:val="21"/>
                      <w:szCs w:val="21"/>
                      <w:highlight w:val="none"/>
                    </w:rPr>
                    <w:t>——</w:t>
                  </w:r>
                </w:p>
              </w:tc>
            </w:tr>
            <w:tr w14:paraId="2AE70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373" w:type="pct"/>
                  <w:noWrap w:val="0"/>
                  <w:vAlign w:val="center"/>
                </w:tcPr>
                <w:p w14:paraId="64F0BD5B">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3</w:t>
                  </w:r>
                </w:p>
              </w:tc>
              <w:tc>
                <w:tcPr>
                  <w:tcW w:w="757" w:type="pct"/>
                  <w:noWrap w:val="0"/>
                  <w:vAlign w:val="center"/>
                </w:tcPr>
                <w:p w14:paraId="7D3B1F2C">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供电系统</w:t>
                  </w:r>
                </w:p>
              </w:tc>
              <w:tc>
                <w:tcPr>
                  <w:tcW w:w="3365" w:type="pct"/>
                  <w:noWrap w:val="0"/>
                  <w:vAlign w:val="center"/>
                </w:tcPr>
                <w:p w14:paraId="6A1F16E8">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项目用电由市政电网供给。</w:t>
                  </w:r>
                </w:p>
              </w:tc>
              <w:tc>
                <w:tcPr>
                  <w:tcW w:w="504" w:type="pct"/>
                  <w:noWrap w:val="0"/>
                  <w:vAlign w:val="center"/>
                </w:tcPr>
                <w:p w14:paraId="3B74393B">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w:t>
                  </w:r>
                </w:p>
              </w:tc>
            </w:tr>
            <w:tr w14:paraId="719E7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5000" w:type="pct"/>
                  <w:gridSpan w:val="4"/>
                  <w:noWrap w:val="0"/>
                  <w:vAlign w:val="center"/>
                </w:tcPr>
                <w:p w14:paraId="54A474D4">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五、环保工程</w:t>
                  </w:r>
                </w:p>
              </w:tc>
            </w:tr>
            <w:tr w14:paraId="73CE1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3" w:type="pct"/>
                  <w:noWrap w:val="0"/>
                  <w:vAlign w:val="center"/>
                </w:tcPr>
                <w:p w14:paraId="2C879665">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1</w:t>
                  </w:r>
                </w:p>
              </w:tc>
              <w:tc>
                <w:tcPr>
                  <w:tcW w:w="757" w:type="pct"/>
                  <w:noWrap w:val="0"/>
                  <w:vAlign w:val="center"/>
                </w:tcPr>
                <w:p w14:paraId="5A9C2A54">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废气处理</w:t>
                  </w:r>
                </w:p>
              </w:tc>
              <w:tc>
                <w:tcPr>
                  <w:tcW w:w="3365" w:type="pct"/>
                  <w:noWrap w:val="0"/>
                  <w:vAlign w:val="center"/>
                </w:tcPr>
                <w:p w14:paraId="476542B4">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lang w:val="en-US" w:eastAsia="zh-CN"/>
                    </w:rPr>
                    <w:t>项目产生的</w:t>
                  </w:r>
                  <w:r>
                    <w:rPr>
                      <w:rFonts w:hint="eastAsia" w:ascii="Times New Roman" w:hAnsi="Times New Roman" w:eastAsia="宋体" w:cs="Times New Roman"/>
                      <w:b w:val="0"/>
                      <w:bCs w:val="0"/>
                      <w:color w:val="auto"/>
                      <w:spacing w:val="0"/>
                      <w:w w:val="100"/>
                      <w:position w:val="0"/>
                      <w:sz w:val="21"/>
                      <w:szCs w:val="21"/>
                      <w:highlight w:val="none"/>
                      <w:lang w:val="en-US" w:eastAsia="zh-CN"/>
                    </w:rPr>
                    <w:t>制模废气、</w:t>
                  </w:r>
                  <w:r>
                    <w:rPr>
                      <w:rFonts w:hint="default" w:ascii="Times New Roman" w:hAnsi="Times New Roman" w:eastAsia="宋体" w:cs="Times New Roman"/>
                      <w:b w:val="0"/>
                      <w:bCs w:val="0"/>
                      <w:color w:val="auto"/>
                      <w:spacing w:val="0"/>
                      <w:w w:val="100"/>
                      <w:position w:val="0"/>
                      <w:sz w:val="21"/>
                      <w:szCs w:val="21"/>
                      <w:highlight w:val="none"/>
                      <w:lang w:val="en-US" w:eastAsia="zh-CN"/>
                    </w:rPr>
                    <w:t>熔化废气、造型/浇注废气、落砂废气和清理废气（抛丸废气、机加工废气）分别经集气罩收集后统一经1套布袋除尘器+1套二级活性炭吸附处理达标后经一根15m 排气筒（DA001）排放，共用风机风量 20000 m³/h，尘效率按90%计。</w:t>
                  </w:r>
                </w:p>
              </w:tc>
              <w:tc>
                <w:tcPr>
                  <w:tcW w:w="504" w:type="pct"/>
                  <w:noWrap w:val="0"/>
                  <w:vAlign w:val="center"/>
                </w:tcPr>
                <w:p w14:paraId="506A0426">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新建</w:t>
                  </w:r>
                </w:p>
              </w:tc>
            </w:tr>
            <w:tr w14:paraId="4BD79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9" w:hRule="atLeast"/>
              </w:trPr>
              <w:tc>
                <w:tcPr>
                  <w:tcW w:w="373" w:type="pct"/>
                  <w:noWrap w:val="0"/>
                  <w:vAlign w:val="center"/>
                </w:tcPr>
                <w:p w14:paraId="38C14F96">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2</w:t>
                  </w:r>
                </w:p>
              </w:tc>
              <w:tc>
                <w:tcPr>
                  <w:tcW w:w="757" w:type="pct"/>
                  <w:noWrap w:val="0"/>
                  <w:vAlign w:val="center"/>
                </w:tcPr>
                <w:p w14:paraId="6CCC074B">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废水处理</w:t>
                  </w:r>
                </w:p>
              </w:tc>
              <w:tc>
                <w:tcPr>
                  <w:tcW w:w="3365" w:type="pct"/>
                  <w:noWrap w:val="0"/>
                  <w:vAlign w:val="center"/>
                </w:tcPr>
                <w:p w14:paraId="3C374094">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lang w:val="en-US" w:eastAsia="zh-CN"/>
                    </w:rPr>
                    <w:t>生活污水经化粪池处理达《污水综合排放标准》（GB8978-1996）表4中三级标准限值后前期用吸粪车定期清运至污水厂，后期待管网接通后排入污水管网通过市政污水管网输送至鹿寨县城第二污水处理厂处理后排入洛清江。</w:t>
                  </w:r>
                </w:p>
              </w:tc>
              <w:tc>
                <w:tcPr>
                  <w:tcW w:w="504" w:type="pct"/>
                  <w:noWrap w:val="0"/>
                  <w:vAlign w:val="center"/>
                </w:tcPr>
                <w:p w14:paraId="20797471">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lang w:val="en-US"/>
                    </w:rPr>
                  </w:pPr>
                  <w:r>
                    <w:rPr>
                      <w:rFonts w:hint="default" w:ascii="Times New Roman" w:hAnsi="Times New Roman" w:eastAsia="宋体" w:cs="Times New Roman"/>
                      <w:b w:val="0"/>
                      <w:bCs w:val="0"/>
                      <w:color w:val="auto"/>
                      <w:spacing w:val="0"/>
                      <w:w w:val="100"/>
                      <w:position w:val="0"/>
                      <w:sz w:val="21"/>
                      <w:szCs w:val="21"/>
                      <w:highlight w:val="none"/>
                      <w:lang w:val="en-US" w:eastAsia="zh-CN"/>
                    </w:rPr>
                    <w:t>新建</w:t>
                  </w:r>
                </w:p>
              </w:tc>
            </w:tr>
            <w:tr w14:paraId="54559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noWrap w:val="0"/>
                  <w:vAlign w:val="center"/>
                </w:tcPr>
                <w:p w14:paraId="7C29B057">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3</w:t>
                  </w:r>
                </w:p>
              </w:tc>
              <w:tc>
                <w:tcPr>
                  <w:tcW w:w="757" w:type="pct"/>
                  <w:noWrap w:val="0"/>
                  <w:vAlign w:val="center"/>
                </w:tcPr>
                <w:p w14:paraId="6AE77CBA">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固体废物</w:t>
                  </w:r>
                </w:p>
              </w:tc>
              <w:tc>
                <w:tcPr>
                  <w:tcW w:w="3365" w:type="pct"/>
                  <w:noWrap w:val="0"/>
                  <w:vAlign w:val="center"/>
                </w:tcPr>
                <w:p w14:paraId="27866054">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①生活垃圾：</w:t>
                  </w:r>
                  <w:r>
                    <w:rPr>
                      <w:rFonts w:hint="default" w:ascii="Times New Roman" w:hAnsi="Times New Roman" w:eastAsia="宋体" w:cs="Times New Roman"/>
                      <w:b w:val="0"/>
                      <w:bCs w:val="0"/>
                      <w:color w:val="auto"/>
                      <w:spacing w:val="0"/>
                      <w:w w:val="100"/>
                      <w:position w:val="0"/>
                      <w:sz w:val="21"/>
                      <w:szCs w:val="21"/>
                      <w:highlight w:val="none"/>
                      <w:lang w:val="en-US" w:eastAsia="zh-CN"/>
                    </w:rPr>
                    <w:t>统一收集后</w:t>
                  </w:r>
                  <w:r>
                    <w:rPr>
                      <w:rFonts w:hint="default" w:ascii="Times New Roman" w:hAnsi="Times New Roman" w:eastAsia="宋体" w:cs="Times New Roman"/>
                      <w:b w:val="0"/>
                      <w:bCs w:val="0"/>
                      <w:color w:val="auto"/>
                      <w:spacing w:val="0"/>
                      <w:w w:val="100"/>
                      <w:position w:val="0"/>
                      <w:sz w:val="21"/>
                      <w:szCs w:val="21"/>
                      <w:highlight w:val="none"/>
                    </w:rPr>
                    <w:t>由</w:t>
                  </w:r>
                  <w:r>
                    <w:rPr>
                      <w:rFonts w:hint="default" w:ascii="Times New Roman" w:hAnsi="Times New Roman" w:eastAsia="宋体" w:cs="Times New Roman"/>
                      <w:b w:val="0"/>
                      <w:bCs w:val="0"/>
                      <w:color w:val="auto"/>
                      <w:spacing w:val="0"/>
                      <w:w w:val="100"/>
                      <w:position w:val="0"/>
                      <w:sz w:val="21"/>
                      <w:szCs w:val="21"/>
                      <w:highlight w:val="none"/>
                      <w:lang w:eastAsia="zh-CN"/>
                    </w:rPr>
                    <w:t>环卫部门清运处理</w:t>
                  </w:r>
                  <w:r>
                    <w:rPr>
                      <w:rFonts w:hint="default" w:ascii="Times New Roman" w:hAnsi="Times New Roman" w:eastAsia="宋体" w:cs="Times New Roman"/>
                      <w:b w:val="0"/>
                      <w:bCs w:val="0"/>
                      <w:color w:val="auto"/>
                      <w:spacing w:val="0"/>
                      <w:w w:val="100"/>
                      <w:position w:val="0"/>
                      <w:sz w:val="21"/>
                      <w:szCs w:val="21"/>
                      <w:highlight w:val="none"/>
                    </w:rPr>
                    <w:t>。</w:t>
                  </w:r>
                </w:p>
                <w:p w14:paraId="770BB531">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②一般固废：设置一般固废暂存区，</w:t>
                  </w:r>
                  <w:r>
                    <w:rPr>
                      <w:rFonts w:hint="default" w:ascii="Times New Roman" w:hAnsi="Times New Roman" w:eastAsia="宋体" w:cs="Times New Roman"/>
                      <w:b w:val="0"/>
                      <w:bCs w:val="0"/>
                      <w:color w:val="auto"/>
                      <w:spacing w:val="0"/>
                      <w:w w:val="100"/>
                      <w:position w:val="0"/>
                      <w:sz w:val="21"/>
                      <w:szCs w:val="21"/>
                      <w:highlight w:val="none"/>
                      <w:lang w:val="en-US" w:eastAsia="zh-CN"/>
                    </w:rPr>
                    <w:t>占地</w:t>
                  </w:r>
                  <w:r>
                    <w:rPr>
                      <w:rFonts w:hint="default" w:ascii="Times New Roman" w:hAnsi="Times New Roman" w:eastAsia="宋体" w:cs="Times New Roman"/>
                      <w:b w:val="0"/>
                      <w:bCs w:val="0"/>
                      <w:color w:val="auto"/>
                      <w:spacing w:val="0"/>
                      <w:w w:val="100"/>
                      <w:position w:val="0"/>
                      <w:sz w:val="21"/>
                      <w:szCs w:val="21"/>
                      <w:highlight w:val="none"/>
                    </w:rPr>
                    <w:t>面积</w:t>
                  </w:r>
                  <w:r>
                    <w:rPr>
                      <w:rFonts w:hint="default" w:ascii="Times New Roman" w:hAnsi="Times New Roman" w:eastAsia="宋体" w:cs="Times New Roman"/>
                      <w:b w:val="0"/>
                      <w:bCs w:val="0"/>
                      <w:color w:val="auto"/>
                      <w:spacing w:val="0"/>
                      <w:w w:val="100"/>
                      <w:position w:val="0"/>
                      <w:sz w:val="21"/>
                      <w:szCs w:val="21"/>
                      <w:highlight w:val="none"/>
                      <w:lang w:val="en-US" w:eastAsia="zh-CN"/>
                    </w:rPr>
                    <w:t>1</w:t>
                  </w:r>
                  <w:r>
                    <w:rPr>
                      <w:rFonts w:hint="default" w:ascii="Times New Roman" w:hAnsi="Times New Roman" w:eastAsia="宋体" w:cs="Times New Roman"/>
                      <w:b w:val="0"/>
                      <w:bCs w:val="0"/>
                      <w:color w:val="auto"/>
                      <w:spacing w:val="0"/>
                      <w:w w:val="100"/>
                      <w:position w:val="0"/>
                      <w:sz w:val="21"/>
                      <w:szCs w:val="21"/>
                      <w:highlight w:val="none"/>
                    </w:rPr>
                    <w:t>0m</w:t>
                  </w:r>
                  <w:r>
                    <w:rPr>
                      <w:rFonts w:hint="default" w:ascii="Times New Roman" w:hAnsi="Times New Roman" w:eastAsia="宋体" w:cs="Times New Roman"/>
                      <w:b w:val="0"/>
                      <w:bCs w:val="0"/>
                      <w:color w:val="auto"/>
                      <w:spacing w:val="0"/>
                      <w:w w:val="100"/>
                      <w:position w:val="0"/>
                      <w:sz w:val="21"/>
                      <w:szCs w:val="21"/>
                      <w:highlight w:val="none"/>
                      <w:vertAlign w:val="superscript"/>
                    </w:rPr>
                    <w:t>2</w:t>
                  </w:r>
                  <w:r>
                    <w:rPr>
                      <w:rFonts w:hint="default" w:ascii="Times New Roman" w:hAnsi="Times New Roman" w:eastAsia="宋体" w:cs="Times New Roman"/>
                      <w:b w:val="0"/>
                      <w:bCs w:val="0"/>
                      <w:color w:val="auto"/>
                      <w:spacing w:val="0"/>
                      <w:w w:val="100"/>
                      <w:position w:val="0"/>
                      <w:sz w:val="21"/>
                      <w:szCs w:val="21"/>
                      <w:highlight w:val="none"/>
                    </w:rPr>
                    <w:t>，一般固废综合利用处置。</w:t>
                  </w:r>
                </w:p>
                <w:p w14:paraId="309D643D">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lang w:val="en-GB"/>
                    </w:rPr>
                    <w:t>③</w:t>
                  </w:r>
                  <w:r>
                    <w:rPr>
                      <w:rFonts w:hint="default" w:ascii="Times New Roman" w:hAnsi="Times New Roman" w:eastAsia="宋体" w:cs="Times New Roman"/>
                      <w:b w:val="0"/>
                      <w:bCs w:val="0"/>
                      <w:color w:val="auto"/>
                      <w:spacing w:val="0"/>
                      <w:w w:val="100"/>
                      <w:position w:val="0"/>
                      <w:sz w:val="21"/>
                      <w:szCs w:val="21"/>
                      <w:highlight w:val="none"/>
                      <w:lang w:val="en-US" w:eastAsia="zh-CN"/>
                    </w:rPr>
                    <w:t>危险废物：</w:t>
                  </w:r>
                  <w:r>
                    <w:rPr>
                      <w:rFonts w:hint="default" w:ascii="Times New Roman" w:hAnsi="Times New Roman" w:eastAsia="宋体" w:cs="Times New Roman"/>
                      <w:b w:val="0"/>
                      <w:bCs w:val="0"/>
                      <w:color w:val="auto"/>
                      <w:spacing w:val="0"/>
                      <w:w w:val="100"/>
                      <w:position w:val="0"/>
                      <w:sz w:val="21"/>
                      <w:szCs w:val="21"/>
                      <w:highlight w:val="none"/>
                    </w:rPr>
                    <w:t>设置</w:t>
                  </w:r>
                  <w:r>
                    <w:rPr>
                      <w:rFonts w:hint="default" w:ascii="Times New Roman" w:hAnsi="Times New Roman" w:eastAsia="宋体" w:cs="Times New Roman"/>
                      <w:b w:val="0"/>
                      <w:bCs w:val="0"/>
                      <w:color w:val="auto"/>
                      <w:spacing w:val="0"/>
                      <w:w w:val="100"/>
                      <w:position w:val="0"/>
                      <w:sz w:val="21"/>
                      <w:szCs w:val="21"/>
                      <w:highlight w:val="none"/>
                      <w:lang w:val="en-US" w:eastAsia="zh-CN"/>
                    </w:rPr>
                    <w:t>1间</w:t>
                  </w:r>
                  <w:r>
                    <w:rPr>
                      <w:rFonts w:hint="default" w:ascii="Times New Roman" w:hAnsi="Times New Roman" w:eastAsia="宋体" w:cs="Times New Roman"/>
                      <w:b w:val="0"/>
                      <w:bCs w:val="0"/>
                      <w:color w:val="auto"/>
                      <w:spacing w:val="0"/>
                      <w:w w:val="100"/>
                      <w:position w:val="0"/>
                      <w:sz w:val="21"/>
                      <w:szCs w:val="21"/>
                      <w:highlight w:val="none"/>
                      <w:lang w:eastAsia="zh-CN"/>
                    </w:rPr>
                    <w:t>危废</w:t>
                  </w:r>
                  <w:r>
                    <w:rPr>
                      <w:rFonts w:hint="default" w:ascii="Times New Roman" w:hAnsi="Times New Roman" w:eastAsia="宋体" w:cs="Times New Roman"/>
                      <w:b w:val="0"/>
                      <w:bCs w:val="0"/>
                      <w:color w:val="auto"/>
                      <w:spacing w:val="0"/>
                      <w:w w:val="100"/>
                      <w:position w:val="0"/>
                      <w:sz w:val="21"/>
                      <w:szCs w:val="21"/>
                      <w:highlight w:val="none"/>
                    </w:rPr>
                    <w:t>暂存</w:t>
                  </w:r>
                  <w:r>
                    <w:rPr>
                      <w:rFonts w:hint="default" w:ascii="Times New Roman" w:hAnsi="Times New Roman" w:eastAsia="宋体" w:cs="Times New Roman"/>
                      <w:b w:val="0"/>
                      <w:bCs w:val="0"/>
                      <w:color w:val="auto"/>
                      <w:spacing w:val="0"/>
                      <w:w w:val="100"/>
                      <w:position w:val="0"/>
                      <w:sz w:val="21"/>
                      <w:szCs w:val="21"/>
                      <w:highlight w:val="none"/>
                      <w:lang w:val="en-US" w:eastAsia="zh-CN"/>
                    </w:rPr>
                    <w:t>间</w:t>
                  </w:r>
                  <w:r>
                    <w:rPr>
                      <w:rFonts w:hint="default" w:ascii="Times New Roman" w:hAnsi="Times New Roman" w:eastAsia="宋体" w:cs="Times New Roman"/>
                      <w:b w:val="0"/>
                      <w:bCs w:val="0"/>
                      <w:color w:val="auto"/>
                      <w:spacing w:val="0"/>
                      <w:w w:val="100"/>
                      <w:position w:val="0"/>
                      <w:sz w:val="21"/>
                      <w:szCs w:val="21"/>
                      <w:highlight w:val="none"/>
                    </w:rPr>
                    <w:t>，</w:t>
                  </w:r>
                  <w:r>
                    <w:rPr>
                      <w:rFonts w:hint="default" w:ascii="Times New Roman" w:hAnsi="Times New Roman" w:eastAsia="宋体" w:cs="Times New Roman"/>
                      <w:b w:val="0"/>
                      <w:bCs w:val="0"/>
                      <w:color w:val="auto"/>
                      <w:spacing w:val="0"/>
                      <w:w w:val="100"/>
                      <w:position w:val="0"/>
                      <w:sz w:val="21"/>
                      <w:szCs w:val="21"/>
                      <w:highlight w:val="none"/>
                      <w:lang w:val="en-US" w:eastAsia="zh-CN"/>
                    </w:rPr>
                    <w:t>建筑</w:t>
                  </w:r>
                  <w:r>
                    <w:rPr>
                      <w:rFonts w:hint="default" w:ascii="Times New Roman" w:hAnsi="Times New Roman" w:eastAsia="宋体" w:cs="Times New Roman"/>
                      <w:b w:val="0"/>
                      <w:bCs w:val="0"/>
                      <w:color w:val="auto"/>
                      <w:spacing w:val="0"/>
                      <w:w w:val="100"/>
                      <w:position w:val="0"/>
                      <w:sz w:val="21"/>
                      <w:szCs w:val="21"/>
                      <w:highlight w:val="none"/>
                    </w:rPr>
                    <w:t>面积</w:t>
                  </w:r>
                  <w:r>
                    <w:rPr>
                      <w:rFonts w:hint="default" w:ascii="Times New Roman" w:hAnsi="Times New Roman" w:eastAsia="宋体" w:cs="Times New Roman"/>
                      <w:b w:val="0"/>
                      <w:bCs w:val="0"/>
                      <w:color w:val="auto"/>
                      <w:spacing w:val="0"/>
                      <w:w w:val="100"/>
                      <w:position w:val="0"/>
                      <w:sz w:val="21"/>
                      <w:szCs w:val="21"/>
                      <w:highlight w:val="none"/>
                      <w:lang w:val="en-US" w:eastAsia="zh-CN"/>
                    </w:rPr>
                    <w:t>10</w:t>
                  </w:r>
                  <w:r>
                    <w:rPr>
                      <w:rFonts w:hint="default" w:ascii="Times New Roman" w:hAnsi="Times New Roman" w:eastAsia="宋体" w:cs="Times New Roman"/>
                      <w:b w:val="0"/>
                      <w:bCs w:val="0"/>
                      <w:color w:val="auto"/>
                      <w:spacing w:val="0"/>
                      <w:w w:val="100"/>
                      <w:position w:val="0"/>
                      <w:sz w:val="21"/>
                      <w:szCs w:val="21"/>
                      <w:highlight w:val="none"/>
                    </w:rPr>
                    <w:t>m</w:t>
                  </w:r>
                  <w:r>
                    <w:rPr>
                      <w:rFonts w:hint="default" w:ascii="Times New Roman" w:hAnsi="Times New Roman" w:eastAsia="宋体" w:cs="Times New Roman"/>
                      <w:b w:val="0"/>
                      <w:bCs w:val="0"/>
                      <w:color w:val="auto"/>
                      <w:spacing w:val="0"/>
                      <w:w w:val="100"/>
                      <w:position w:val="0"/>
                      <w:sz w:val="21"/>
                      <w:szCs w:val="21"/>
                      <w:highlight w:val="none"/>
                      <w:vertAlign w:val="superscript"/>
                    </w:rPr>
                    <w:t>2</w:t>
                  </w:r>
                  <w:r>
                    <w:rPr>
                      <w:rFonts w:hint="default" w:ascii="Times New Roman" w:hAnsi="Times New Roman" w:eastAsia="宋体" w:cs="Times New Roman"/>
                      <w:b w:val="0"/>
                      <w:bCs w:val="0"/>
                      <w:color w:val="auto"/>
                      <w:spacing w:val="0"/>
                      <w:w w:val="100"/>
                      <w:position w:val="0"/>
                      <w:sz w:val="21"/>
                      <w:szCs w:val="21"/>
                      <w:highlight w:val="none"/>
                    </w:rPr>
                    <w:t>，</w:t>
                  </w:r>
                  <w:r>
                    <w:rPr>
                      <w:rFonts w:hint="default" w:ascii="Times New Roman" w:hAnsi="Times New Roman" w:eastAsia="宋体" w:cs="Times New Roman"/>
                      <w:b w:val="0"/>
                      <w:bCs w:val="0"/>
                      <w:color w:val="auto"/>
                      <w:spacing w:val="0"/>
                      <w:w w:val="100"/>
                      <w:position w:val="0"/>
                      <w:sz w:val="21"/>
                      <w:szCs w:val="21"/>
                      <w:highlight w:val="none"/>
                      <w:lang w:val="en-US" w:eastAsia="zh-CN"/>
                    </w:rPr>
                    <w:t>废机油和</w:t>
                  </w:r>
                  <w:r>
                    <w:rPr>
                      <w:rFonts w:hint="default" w:ascii="Times New Roman" w:hAnsi="Times New Roman" w:eastAsia="宋体" w:cs="Times New Roman"/>
                      <w:b w:val="0"/>
                      <w:bCs w:val="0"/>
                      <w:color w:val="auto"/>
                      <w:spacing w:val="0"/>
                      <w:w w:val="100"/>
                      <w:position w:val="0"/>
                      <w:sz w:val="21"/>
                      <w:szCs w:val="21"/>
                      <w:highlight w:val="none"/>
                      <w:lang w:eastAsia="zh-CN"/>
                    </w:rPr>
                    <w:t>废活性炭集中收集后暂存于危废暂存间，定期委托有危险废物处置资质的单位转运处置</w:t>
                  </w:r>
                  <w:r>
                    <w:rPr>
                      <w:rFonts w:hint="default" w:ascii="Times New Roman" w:hAnsi="Times New Roman" w:eastAsia="宋体" w:cs="Times New Roman"/>
                      <w:b w:val="0"/>
                      <w:bCs w:val="0"/>
                      <w:color w:val="auto"/>
                      <w:spacing w:val="0"/>
                      <w:w w:val="100"/>
                      <w:position w:val="0"/>
                      <w:sz w:val="21"/>
                      <w:szCs w:val="21"/>
                      <w:highlight w:val="none"/>
                    </w:rPr>
                    <w:t>。</w:t>
                  </w:r>
                </w:p>
              </w:tc>
              <w:tc>
                <w:tcPr>
                  <w:tcW w:w="504" w:type="pct"/>
                  <w:noWrap w:val="0"/>
                  <w:vAlign w:val="center"/>
                </w:tcPr>
                <w:p w14:paraId="07CEDF7C">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lang w:val="en-US" w:eastAsia="zh-CN"/>
                    </w:rPr>
                    <w:t>新建</w:t>
                  </w:r>
                </w:p>
              </w:tc>
            </w:tr>
            <w:tr w14:paraId="03AA5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noWrap w:val="0"/>
                  <w:vAlign w:val="center"/>
                </w:tcPr>
                <w:p w14:paraId="73DA94C8">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4</w:t>
                  </w:r>
                </w:p>
              </w:tc>
              <w:tc>
                <w:tcPr>
                  <w:tcW w:w="757" w:type="pct"/>
                  <w:noWrap w:val="0"/>
                  <w:vAlign w:val="center"/>
                </w:tcPr>
                <w:p w14:paraId="3A601768">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噪声控制</w:t>
                  </w:r>
                </w:p>
              </w:tc>
              <w:tc>
                <w:tcPr>
                  <w:tcW w:w="3365" w:type="pct"/>
                  <w:noWrap w:val="0"/>
                  <w:vAlign w:val="center"/>
                </w:tcPr>
                <w:p w14:paraId="5D6B97DA">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rPr>
                    <w:t>采取基础减振、合理布局、科学管理、隔声等降噪措施。</w:t>
                  </w:r>
                </w:p>
              </w:tc>
              <w:tc>
                <w:tcPr>
                  <w:tcW w:w="504" w:type="pct"/>
                  <w:noWrap w:val="0"/>
                  <w:vAlign w:val="center"/>
                </w:tcPr>
                <w:p w14:paraId="1DE163DB">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lang w:val="en-US" w:eastAsia="zh-CN"/>
                    </w:rPr>
                    <w:t>新建</w:t>
                  </w:r>
                </w:p>
              </w:tc>
            </w:tr>
            <w:tr w14:paraId="6EBE9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noWrap w:val="0"/>
                  <w:vAlign w:val="center"/>
                </w:tcPr>
                <w:p w14:paraId="480A9A33">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default" w:ascii="Times New Roman" w:hAnsi="Times New Roman" w:eastAsia="宋体" w:cs="Times New Roman"/>
                      <w:b w:val="0"/>
                      <w:bCs w:val="0"/>
                      <w:color w:val="auto"/>
                      <w:spacing w:val="0"/>
                      <w:w w:val="100"/>
                      <w:position w:val="0"/>
                      <w:sz w:val="21"/>
                      <w:szCs w:val="21"/>
                      <w:highlight w:val="none"/>
                      <w:lang w:val="en-US" w:eastAsia="zh-CN"/>
                    </w:rPr>
                    <w:t>5</w:t>
                  </w:r>
                </w:p>
              </w:tc>
              <w:tc>
                <w:tcPr>
                  <w:tcW w:w="757" w:type="pct"/>
                  <w:noWrap w:val="0"/>
                  <w:vAlign w:val="center"/>
                </w:tcPr>
                <w:p w14:paraId="3AA73600">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default" w:ascii="Times New Roman" w:hAnsi="Times New Roman" w:eastAsia="宋体" w:cs="Times New Roman"/>
                      <w:b w:val="0"/>
                      <w:bCs w:val="0"/>
                      <w:color w:val="auto"/>
                      <w:spacing w:val="0"/>
                      <w:w w:val="100"/>
                      <w:position w:val="0"/>
                      <w:sz w:val="21"/>
                      <w:szCs w:val="21"/>
                      <w:highlight w:val="none"/>
                      <w:lang w:val="en-US" w:eastAsia="zh-CN"/>
                    </w:rPr>
                    <w:t>重点防渗区</w:t>
                  </w:r>
                </w:p>
              </w:tc>
              <w:tc>
                <w:tcPr>
                  <w:tcW w:w="3365" w:type="pct"/>
                  <w:noWrap w:val="0"/>
                  <w:vAlign w:val="center"/>
                </w:tcPr>
                <w:p w14:paraId="3E99EC2C">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default" w:ascii="Times New Roman" w:hAnsi="Times New Roman" w:eastAsia="宋体" w:cs="Times New Roman"/>
                      <w:b w:val="0"/>
                      <w:bCs w:val="0"/>
                      <w:color w:val="auto"/>
                      <w:spacing w:val="0"/>
                      <w:w w:val="100"/>
                      <w:position w:val="0"/>
                      <w:sz w:val="21"/>
                      <w:szCs w:val="21"/>
                      <w:highlight w:val="none"/>
                    </w:rPr>
                    <w:t>根据不同区域采取相应的防腐防渗措施，地面防渗采用25cm厚的C25混凝土硬化防渗+2mm厚的高密度聚乙烯或其他人工材料，耐酸性、耐碱性强。防渗效果达到防渗层渗透系数≤10</w:t>
                  </w:r>
                  <w:r>
                    <w:rPr>
                      <w:rFonts w:hint="default" w:ascii="Times New Roman" w:hAnsi="Times New Roman" w:eastAsia="宋体" w:cs="Times New Roman"/>
                      <w:b w:val="0"/>
                      <w:bCs w:val="0"/>
                      <w:color w:val="auto"/>
                      <w:spacing w:val="0"/>
                      <w:w w:val="100"/>
                      <w:position w:val="0"/>
                      <w:sz w:val="21"/>
                      <w:szCs w:val="21"/>
                      <w:highlight w:val="none"/>
                      <w:vertAlign w:val="superscript"/>
                    </w:rPr>
                    <w:t>-10</w:t>
                  </w:r>
                  <w:r>
                    <w:rPr>
                      <w:rFonts w:hint="default" w:ascii="Times New Roman" w:hAnsi="Times New Roman" w:eastAsia="宋体" w:cs="Times New Roman"/>
                      <w:b w:val="0"/>
                      <w:bCs w:val="0"/>
                      <w:color w:val="auto"/>
                      <w:spacing w:val="0"/>
                      <w:w w:val="100"/>
                      <w:position w:val="0"/>
                      <w:sz w:val="21"/>
                      <w:szCs w:val="21"/>
                      <w:highlight w:val="none"/>
                    </w:rPr>
                    <w:t>cm/s</w:t>
                  </w:r>
                  <w:r>
                    <w:rPr>
                      <w:rFonts w:hint="default" w:ascii="Times New Roman" w:hAnsi="Times New Roman" w:eastAsia="宋体" w:cs="Times New Roman"/>
                      <w:b w:val="0"/>
                      <w:bCs w:val="0"/>
                      <w:color w:val="auto"/>
                      <w:spacing w:val="0"/>
                      <w:w w:val="100"/>
                      <w:position w:val="0"/>
                      <w:sz w:val="21"/>
                      <w:szCs w:val="21"/>
                      <w:highlight w:val="none"/>
                      <w:lang w:eastAsia="zh-CN"/>
                    </w:rPr>
                    <w:t>。</w:t>
                  </w:r>
                </w:p>
              </w:tc>
              <w:tc>
                <w:tcPr>
                  <w:tcW w:w="504" w:type="pct"/>
                  <w:noWrap w:val="0"/>
                  <w:vAlign w:val="center"/>
                </w:tcPr>
                <w:p w14:paraId="2DE4A8FF">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lang w:val="en-US" w:eastAsia="zh-CN"/>
                    </w:rPr>
                    <w:t>新建</w:t>
                  </w:r>
                </w:p>
              </w:tc>
            </w:tr>
            <w:tr w14:paraId="00BDE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noWrap w:val="0"/>
                  <w:vAlign w:val="center"/>
                </w:tcPr>
                <w:p w14:paraId="7442E93F">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default" w:ascii="Times New Roman" w:hAnsi="Times New Roman" w:eastAsia="宋体" w:cs="Times New Roman"/>
                      <w:b w:val="0"/>
                      <w:bCs w:val="0"/>
                      <w:color w:val="auto"/>
                      <w:spacing w:val="0"/>
                      <w:w w:val="100"/>
                      <w:position w:val="0"/>
                      <w:sz w:val="21"/>
                      <w:szCs w:val="21"/>
                      <w:highlight w:val="none"/>
                      <w:lang w:val="en-US" w:eastAsia="zh-CN"/>
                    </w:rPr>
                    <w:t>6</w:t>
                  </w:r>
                </w:p>
              </w:tc>
              <w:tc>
                <w:tcPr>
                  <w:tcW w:w="757" w:type="pct"/>
                  <w:noWrap w:val="0"/>
                  <w:vAlign w:val="center"/>
                </w:tcPr>
                <w:p w14:paraId="2119792E">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default" w:ascii="Times New Roman" w:hAnsi="Times New Roman" w:eastAsia="宋体" w:cs="Times New Roman"/>
                      <w:b w:val="0"/>
                      <w:bCs w:val="0"/>
                      <w:color w:val="auto"/>
                      <w:spacing w:val="0"/>
                      <w:w w:val="100"/>
                      <w:position w:val="0"/>
                      <w:sz w:val="21"/>
                      <w:szCs w:val="21"/>
                      <w:highlight w:val="none"/>
                    </w:rPr>
                    <w:t>一般防渗区</w:t>
                  </w:r>
                </w:p>
              </w:tc>
              <w:tc>
                <w:tcPr>
                  <w:tcW w:w="3365" w:type="pct"/>
                  <w:noWrap w:val="0"/>
                  <w:vAlign w:val="center"/>
                </w:tcPr>
                <w:p w14:paraId="2CE09416">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default" w:ascii="Times New Roman" w:hAnsi="Times New Roman" w:eastAsia="宋体" w:cs="Times New Roman"/>
                      <w:b w:val="0"/>
                      <w:bCs w:val="0"/>
                      <w:color w:val="auto"/>
                      <w:spacing w:val="0"/>
                      <w:w w:val="100"/>
                      <w:position w:val="0"/>
                      <w:sz w:val="21"/>
                      <w:szCs w:val="21"/>
                      <w:highlight w:val="none"/>
                      <w:lang w:val="en-US" w:eastAsia="zh-CN"/>
                    </w:rPr>
                    <w:t>地面防渗采用25cm厚的C25混凝土硬化防渗，管道采用强度高、腐蚀裕度大的管道材料（如无缝钢管）和高等级防腐材料，尽量使用焊接连接，不得使用承插管，以达到防渗漏目的，防渗层渗透系数≤10</w:t>
                  </w:r>
                  <w:r>
                    <w:rPr>
                      <w:rFonts w:hint="default" w:ascii="Times New Roman" w:hAnsi="Times New Roman" w:eastAsia="宋体" w:cs="Times New Roman"/>
                      <w:b w:val="0"/>
                      <w:bCs w:val="0"/>
                      <w:color w:val="auto"/>
                      <w:spacing w:val="0"/>
                      <w:w w:val="100"/>
                      <w:position w:val="0"/>
                      <w:sz w:val="21"/>
                      <w:szCs w:val="21"/>
                      <w:highlight w:val="none"/>
                      <w:vertAlign w:val="superscript"/>
                      <w:lang w:val="en-US" w:eastAsia="zh-CN"/>
                    </w:rPr>
                    <w:t>-7</w:t>
                  </w:r>
                  <w:r>
                    <w:rPr>
                      <w:rFonts w:hint="default" w:ascii="Times New Roman" w:hAnsi="Times New Roman" w:eastAsia="宋体" w:cs="Times New Roman"/>
                      <w:b w:val="0"/>
                      <w:bCs w:val="0"/>
                      <w:color w:val="auto"/>
                      <w:spacing w:val="0"/>
                      <w:w w:val="100"/>
                      <w:position w:val="0"/>
                      <w:sz w:val="21"/>
                      <w:szCs w:val="21"/>
                      <w:highlight w:val="none"/>
                      <w:lang w:val="en-US" w:eastAsia="zh-CN"/>
                    </w:rPr>
                    <w:t>cm/s。</w:t>
                  </w:r>
                </w:p>
              </w:tc>
              <w:tc>
                <w:tcPr>
                  <w:tcW w:w="504" w:type="pct"/>
                  <w:noWrap w:val="0"/>
                  <w:vAlign w:val="center"/>
                </w:tcPr>
                <w:p w14:paraId="65F473BA">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lang w:val="en-US" w:eastAsia="zh-CN"/>
                    </w:rPr>
                    <w:t>新建</w:t>
                  </w:r>
                </w:p>
              </w:tc>
            </w:tr>
            <w:tr w14:paraId="07E43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73" w:type="pct"/>
                  <w:noWrap w:val="0"/>
                  <w:vAlign w:val="center"/>
                </w:tcPr>
                <w:p w14:paraId="3715018A">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default" w:ascii="Times New Roman" w:hAnsi="Times New Roman" w:eastAsia="宋体" w:cs="Times New Roman"/>
                      <w:b w:val="0"/>
                      <w:bCs w:val="0"/>
                      <w:color w:val="auto"/>
                      <w:spacing w:val="0"/>
                      <w:w w:val="100"/>
                      <w:position w:val="0"/>
                      <w:sz w:val="21"/>
                      <w:szCs w:val="21"/>
                      <w:highlight w:val="none"/>
                      <w:lang w:val="en-US" w:eastAsia="zh-CN"/>
                    </w:rPr>
                    <w:t>7</w:t>
                  </w:r>
                </w:p>
              </w:tc>
              <w:tc>
                <w:tcPr>
                  <w:tcW w:w="757" w:type="pct"/>
                  <w:noWrap w:val="0"/>
                  <w:vAlign w:val="center"/>
                </w:tcPr>
                <w:p w14:paraId="5807491B">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default" w:ascii="Times New Roman" w:hAnsi="Times New Roman" w:eastAsia="宋体" w:cs="Times New Roman"/>
                      <w:b w:val="0"/>
                      <w:bCs w:val="0"/>
                      <w:color w:val="auto"/>
                      <w:spacing w:val="0"/>
                      <w:w w:val="100"/>
                      <w:position w:val="0"/>
                      <w:sz w:val="21"/>
                      <w:szCs w:val="21"/>
                      <w:highlight w:val="none"/>
                    </w:rPr>
                    <w:t>简单防渗区</w:t>
                  </w:r>
                </w:p>
              </w:tc>
              <w:tc>
                <w:tcPr>
                  <w:tcW w:w="3365" w:type="pct"/>
                  <w:noWrap w:val="0"/>
                  <w:vAlign w:val="center"/>
                </w:tcPr>
                <w:p w14:paraId="1E1B0D6F">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lang w:val="en-US" w:eastAsia="zh-CN"/>
                    </w:rPr>
                  </w:pPr>
                  <w:r>
                    <w:rPr>
                      <w:rFonts w:hint="default" w:ascii="Times New Roman" w:hAnsi="Times New Roman" w:eastAsia="宋体" w:cs="Times New Roman"/>
                      <w:b w:val="0"/>
                      <w:bCs w:val="0"/>
                      <w:color w:val="auto"/>
                      <w:spacing w:val="0"/>
                      <w:w w:val="100"/>
                      <w:position w:val="0"/>
                      <w:sz w:val="21"/>
                      <w:szCs w:val="21"/>
                      <w:highlight w:val="none"/>
                    </w:rPr>
                    <w:t>地面采用混凝土硬化地面</w:t>
                  </w:r>
                  <w:r>
                    <w:rPr>
                      <w:rFonts w:hint="default" w:ascii="Times New Roman" w:hAnsi="Times New Roman" w:eastAsia="宋体" w:cs="Times New Roman"/>
                      <w:b w:val="0"/>
                      <w:bCs w:val="0"/>
                      <w:color w:val="auto"/>
                      <w:spacing w:val="0"/>
                      <w:w w:val="100"/>
                      <w:position w:val="0"/>
                      <w:sz w:val="21"/>
                      <w:szCs w:val="21"/>
                      <w:highlight w:val="none"/>
                      <w:lang w:eastAsia="zh-CN"/>
                    </w:rPr>
                    <w:t>。</w:t>
                  </w:r>
                </w:p>
              </w:tc>
              <w:tc>
                <w:tcPr>
                  <w:tcW w:w="504" w:type="pct"/>
                  <w:noWrap w:val="0"/>
                  <w:vAlign w:val="center"/>
                </w:tcPr>
                <w:p w14:paraId="120AB6FD">
                  <w:pPr>
                    <w:pStyle w:val="117"/>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val="0"/>
                      <w:bCs w:val="0"/>
                      <w:color w:val="auto"/>
                      <w:spacing w:val="0"/>
                      <w:w w:val="100"/>
                      <w:position w:val="0"/>
                      <w:sz w:val="21"/>
                      <w:szCs w:val="21"/>
                      <w:highlight w:val="none"/>
                    </w:rPr>
                  </w:pPr>
                  <w:r>
                    <w:rPr>
                      <w:rFonts w:hint="default" w:ascii="Times New Roman" w:hAnsi="Times New Roman" w:eastAsia="宋体" w:cs="Times New Roman"/>
                      <w:b w:val="0"/>
                      <w:bCs w:val="0"/>
                      <w:color w:val="auto"/>
                      <w:spacing w:val="0"/>
                      <w:w w:val="100"/>
                      <w:position w:val="0"/>
                      <w:sz w:val="21"/>
                      <w:szCs w:val="21"/>
                      <w:highlight w:val="none"/>
                      <w:lang w:val="en-US" w:eastAsia="zh-CN"/>
                    </w:rPr>
                    <w:t>新建</w:t>
                  </w:r>
                </w:p>
              </w:tc>
            </w:tr>
          </w:tbl>
          <w:p w14:paraId="176459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bCs/>
                <w:color w:val="auto"/>
                <w:spacing w:val="0"/>
                <w:w w:val="100"/>
                <w:position w:val="0"/>
                <w:sz w:val="24"/>
                <w:lang w:val="en-US" w:eastAsia="zh-CN"/>
              </w:rPr>
            </w:pPr>
            <w:r>
              <w:rPr>
                <w:rFonts w:hint="default" w:ascii="Times New Roman" w:hAnsi="Times New Roman" w:cs="Times New Roman"/>
                <w:b/>
                <w:bCs/>
                <w:color w:val="auto"/>
                <w:spacing w:val="0"/>
                <w:w w:val="100"/>
                <w:position w:val="0"/>
                <w:sz w:val="24"/>
                <w:szCs w:val="24"/>
                <w:lang w:val="en-US" w:eastAsia="zh-CN"/>
              </w:rPr>
              <w:t>3</w:t>
            </w:r>
            <w:r>
              <w:rPr>
                <w:rFonts w:hint="default" w:ascii="Times New Roman" w:hAnsi="Times New Roman" w:eastAsia="宋体" w:cs="Times New Roman"/>
                <w:b/>
                <w:bCs/>
                <w:color w:val="auto"/>
                <w:spacing w:val="0"/>
                <w:w w:val="100"/>
                <w:position w:val="0"/>
                <w:sz w:val="24"/>
                <w:lang w:val="en-US" w:eastAsia="zh-CN"/>
              </w:rPr>
              <w:t>、产品方案</w:t>
            </w:r>
          </w:p>
          <w:p w14:paraId="5BED10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pacing w:val="0"/>
                <w:w w:val="100"/>
                <w:position w:val="0"/>
                <w:sz w:val="24"/>
                <w:lang w:val="en-US" w:eastAsia="zh-CN"/>
              </w:rPr>
            </w:pPr>
            <w:r>
              <w:rPr>
                <w:rFonts w:hint="default" w:ascii="Times New Roman" w:hAnsi="Times New Roman" w:eastAsia="宋体" w:cs="Times New Roman"/>
                <w:color w:val="auto"/>
                <w:spacing w:val="0"/>
                <w:w w:val="100"/>
                <w:position w:val="0"/>
                <w:sz w:val="24"/>
                <w:lang w:val="en-US" w:eastAsia="zh-CN"/>
              </w:rPr>
              <w:t>本项目</w:t>
            </w:r>
            <w:r>
              <w:rPr>
                <w:rFonts w:hint="default" w:ascii="Times New Roman" w:hAnsi="Times New Roman" w:eastAsia="宋体" w:cs="Times New Roman"/>
                <w:color w:val="auto"/>
                <w:spacing w:val="0"/>
                <w:w w:val="100"/>
                <w:position w:val="0"/>
                <w:sz w:val="24"/>
              </w:rPr>
              <w:t>产品方案见表</w:t>
            </w:r>
            <w:r>
              <w:rPr>
                <w:rFonts w:hint="default" w:ascii="Times New Roman" w:hAnsi="Times New Roman" w:eastAsia="宋体" w:cs="Times New Roman"/>
                <w:color w:val="auto"/>
                <w:spacing w:val="0"/>
                <w:w w:val="100"/>
                <w:position w:val="0"/>
                <w:sz w:val="24"/>
                <w:lang w:val="en-US" w:eastAsia="zh-CN"/>
              </w:rPr>
              <w:t>2-2</w:t>
            </w:r>
            <w:r>
              <w:rPr>
                <w:rFonts w:hint="default" w:ascii="Times New Roman" w:hAnsi="Times New Roman" w:eastAsia="宋体" w:cs="Times New Roman"/>
                <w:color w:val="auto"/>
                <w:spacing w:val="0"/>
                <w:w w:val="100"/>
                <w:position w:val="0"/>
                <w:sz w:val="24"/>
              </w:rPr>
              <w:t>。</w:t>
            </w:r>
          </w:p>
          <w:p w14:paraId="629C3F08">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outlineLvl w:val="9"/>
              <w:rPr>
                <w:rFonts w:hint="default" w:ascii="Times New Roman" w:hAnsi="Times New Roman" w:eastAsia="宋体" w:cs="Times New Roman"/>
                <w:b w:val="0"/>
                <w:bCs/>
                <w:snapToGrid w:val="0"/>
                <w:color w:val="auto"/>
                <w:spacing w:val="0"/>
                <w:w w:val="100"/>
                <w:position w:val="0"/>
                <w:sz w:val="24"/>
                <w:szCs w:val="24"/>
                <w:lang w:val="en-US" w:eastAsia="zh-CN"/>
              </w:rPr>
            </w:pPr>
            <w:r>
              <w:rPr>
                <w:rFonts w:hint="default" w:ascii="Times New Roman" w:hAnsi="Times New Roman" w:eastAsia="宋体" w:cs="Times New Roman"/>
                <w:b/>
                <w:bCs w:val="0"/>
                <w:snapToGrid w:val="0"/>
                <w:color w:val="auto"/>
                <w:spacing w:val="0"/>
                <w:w w:val="100"/>
                <w:position w:val="0"/>
                <w:sz w:val="21"/>
                <w:szCs w:val="21"/>
                <w:lang w:val="en-US" w:eastAsia="zh-CN"/>
              </w:rPr>
              <w:t>表2-2 本项目产品方案一览表</w:t>
            </w:r>
          </w:p>
          <w:tbl>
            <w:tblPr>
              <w:tblStyle w:val="59"/>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32"/>
              <w:gridCol w:w="2181"/>
              <w:gridCol w:w="1939"/>
              <w:gridCol w:w="1694"/>
              <w:gridCol w:w="1306"/>
            </w:tblGrid>
            <w:tr w14:paraId="2B57C9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noWrap w:val="0"/>
                  <w:vAlign w:val="center"/>
                </w:tcPr>
                <w:p w14:paraId="705E918F">
                  <w:pPr>
                    <w:pStyle w:val="57"/>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val="0"/>
                      <w:snapToGrid w:val="0"/>
                      <w:color w:val="auto"/>
                      <w:spacing w:val="0"/>
                      <w:w w:val="100"/>
                      <w:position w:val="0"/>
                      <w:sz w:val="21"/>
                      <w:szCs w:val="21"/>
                      <w:lang w:val="en-US" w:eastAsia="zh-CN"/>
                    </w:rPr>
                  </w:pPr>
                  <w:r>
                    <w:rPr>
                      <w:rFonts w:hint="default" w:ascii="Times New Roman" w:hAnsi="Times New Roman" w:eastAsia="宋体" w:cs="Times New Roman"/>
                      <w:b/>
                      <w:bCs w:val="0"/>
                      <w:snapToGrid w:val="0"/>
                      <w:color w:val="auto"/>
                      <w:spacing w:val="0"/>
                      <w:w w:val="100"/>
                      <w:position w:val="0"/>
                      <w:sz w:val="21"/>
                      <w:szCs w:val="21"/>
                      <w:lang w:val="en-US" w:eastAsia="zh-CN"/>
                    </w:rPr>
                    <w:t>序号</w:t>
                  </w:r>
                </w:p>
              </w:tc>
              <w:tc>
                <w:tcPr>
                  <w:tcW w:w="1371" w:type="pct"/>
                  <w:tcBorders>
                    <w:tl2br w:val="nil"/>
                    <w:tr2bl w:val="nil"/>
                  </w:tcBorders>
                  <w:noWrap w:val="0"/>
                  <w:vAlign w:val="center"/>
                </w:tcPr>
                <w:p w14:paraId="3661F322">
                  <w:pPr>
                    <w:pStyle w:val="57"/>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outlineLvl w:val="9"/>
                    <w:rPr>
                      <w:rFonts w:hint="default" w:ascii="Times New Roman" w:hAnsi="Times New Roman" w:eastAsia="宋体" w:cs="Times New Roman"/>
                      <w:b/>
                      <w:bCs w:val="0"/>
                      <w:snapToGrid w:val="0"/>
                      <w:color w:val="auto"/>
                      <w:spacing w:val="0"/>
                      <w:w w:val="100"/>
                      <w:position w:val="0"/>
                      <w:sz w:val="21"/>
                      <w:szCs w:val="21"/>
                      <w:lang w:val="en-US" w:eastAsia="zh-CN"/>
                    </w:rPr>
                  </w:pPr>
                  <w:r>
                    <w:rPr>
                      <w:rFonts w:hint="default" w:ascii="Times New Roman" w:hAnsi="Times New Roman" w:eastAsia="宋体" w:cs="Times New Roman"/>
                      <w:b/>
                      <w:bCs w:val="0"/>
                      <w:snapToGrid w:val="0"/>
                      <w:color w:val="auto"/>
                      <w:spacing w:val="0"/>
                      <w:w w:val="100"/>
                      <w:position w:val="0"/>
                      <w:sz w:val="21"/>
                      <w:szCs w:val="21"/>
                      <w:lang w:val="en-US" w:eastAsia="zh-CN"/>
                    </w:rPr>
                    <w:t>产品名称</w:t>
                  </w:r>
                </w:p>
              </w:tc>
              <w:tc>
                <w:tcPr>
                  <w:tcW w:w="1219" w:type="pct"/>
                  <w:tcBorders>
                    <w:tl2br w:val="nil"/>
                    <w:tr2bl w:val="nil"/>
                  </w:tcBorders>
                  <w:noWrap w:val="0"/>
                  <w:vAlign w:val="center"/>
                </w:tcPr>
                <w:p w14:paraId="04742D7C">
                  <w:pPr>
                    <w:pStyle w:val="57"/>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outlineLvl w:val="9"/>
                    <w:rPr>
                      <w:rFonts w:hint="default" w:ascii="Times New Roman" w:hAnsi="Times New Roman" w:eastAsia="宋体" w:cs="Times New Roman"/>
                      <w:b/>
                      <w:bCs w:val="0"/>
                      <w:snapToGrid w:val="0"/>
                      <w:color w:val="auto"/>
                      <w:spacing w:val="0"/>
                      <w:w w:val="100"/>
                      <w:kern w:val="0"/>
                      <w:position w:val="0"/>
                      <w:sz w:val="21"/>
                      <w:szCs w:val="21"/>
                      <w:highlight w:val="none"/>
                      <w:lang w:val="en-US" w:eastAsia="zh-CN"/>
                    </w:rPr>
                  </w:pPr>
                  <w:r>
                    <w:rPr>
                      <w:rFonts w:hint="default" w:ascii="Times New Roman" w:hAnsi="Times New Roman" w:eastAsia="宋体" w:cs="Times New Roman"/>
                      <w:b/>
                      <w:bCs w:val="0"/>
                      <w:snapToGrid w:val="0"/>
                      <w:color w:val="auto"/>
                      <w:spacing w:val="0"/>
                      <w:w w:val="100"/>
                      <w:position w:val="0"/>
                      <w:sz w:val="21"/>
                      <w:szCs w:val="21"/>
                      <w:lang w:val="en-US" w:eastAsia="zh-CN"/>
                    </w:rPr>
                    <w:t>年产量</w:t>
                  </w:r>
                </w:p>
              </w:tc>
              <w:tc>
                <w:tcPr>
                  <w:tcW w:w="1065" w:type="pct"/>
                  <w:tcBorders>
                    <w:tl2br w:val="nil"/>
                    <w:tr2bl w:val="nil"/>
                  </w:tcBorders>
                  <w:noWrap w:val="0"/>
                  <w:vAlign w:val="center"/>
                </w:tcPr>
                <w:p w14:paraId="6D2FD86D">
                  <w:pPr>
                    <w:pStyle w:val="57"/>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outlineLvl w:val="9"/>
                    <w:rPr>
                      <w:rFonts w:hint="default" w:ascii="Times New Roman" w:hAnsi="Times New Roman" w:eastAsia="宋体" w:cs="Times New Roman"/>
                      <w:b/>
                      <w:bCs w:val="0"/>
                      <w:snapToGrid w:val="0"/>
                      <w:color w:val="auto"/>
                      <w:spacing w:val="0"/>
                      <w:w w:val="100"/>
                      <w:position w:val="0"/>
                      <w:sz w:val="21"/>
                      <w:szCs w:val="21"/>
                      <w:highlight w:val="none"/>
                      <w:lang w:val="en-US" w:eastAsia="zh-CN"/>
                    </w:rPr>
                  </w:pPr>
                  <w:r>
                    <w:rPr>
                      <w:rFonts w:hint="default" w:ascii="Times New Roman" w:hAnsi="Times New Roman" w:eastAsia="宋体" w:cs="Times New Roman"/>
                      <w:b/>
                      <w:bCs w:val="0"/>
                      <w:snapToGrid w:val="0"/>
                      <w:color w:val="auto"/>
                      <w:spacing w:val="0"/>
                      <w:w w:val="100"/>
                      <w:position w:val="0"/>
                      <w:sz w:val="21"/>
                      <w:szCs w:val="21"/>
                      <w:highlight w:val="none"/>
                      <w:lang w:val="en-US" w:eastAsia="zh-CN"/>
                    </w:rPr>
                    <w:t>规格</w:t>
                  </w:r>
                </w:p>
              </w:tc>
              <w:tc>
                <w:tcPr>
                  <w:tcW w:w="820" w:type="pct"/>
                  <w:tcBorders>
                    <w:tl2br w:val="nil"/>
                    <w:tr2bl w:val="nil"/>
                  </w:tcBorders>
                  <w:noWrap w:val="0"/>
                  <w:vAlign w:val="center"/>
                </w:tcPr>
                <w:p w14:paraId="5D91CEC2">
                  <w:pPr>
                    <w:pStyle w:val="57"/>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outlineLvl w:val="9"/>
                    <w:rPr>
                      <w:rFonts w:hint="default" w:ascii="Times New Roman" w:hAnsi="Times New Roman" w:eastAsia="宋体" w:cs="Times New Roman"/>
                      <w:b/>
                      <w:bCs w:val="0"/>
                      <w:snapToGrid w:val="0"/>
                      <w:color w:val="auto"/>
                      <w:spacing w:val="0"/>
                      <w:w w:val="100"/>
                      <w:position w:val="0"/>
                      <w:sz w:val="21"/>
                      <w:szCs w:val="21"/>
                      <w:lang w:val="en-US" w:eastAsia="zh-CN"/>
                    </w:rPr>
                  </w:pPr>
                  <w:r>
                    <w:rPr>
                      <w:rFonts w:hint="default" w:ascii="Times New Roman" w:hAnsi="Times New Roman" w:eastAsia="宋体" w:cs="Times New Roman"/>
                      <w:b/>
                      <w:bCs w:val="0"/>
                      <w:snapToGrid w:val="0"/>
                      <w:color w:val="auto"/>
                      <w:spacing w:val="0"/>
                      <w:w w:val="100"/>
                      <w:position w:val="0"/>
                      <w:sz w:val="21"/>
                      <w:szCs w:val="21"/>
                      <w:lang w:val="en-US" w:eastAsia="zh-CN"/>
                    </w:rPr>
                    <w:t>储存位置</w:t>
                  </w:r>
                </w:p>
              </w:tc>
            </w:tr>
            <w:tr w14:paraId="312FBB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noWrap w:val="0"/>
                  <w:vAlign w:val="center"/>
                </w:tcPr>
                <w:p w14:paraId="19FE17CA">
                  <w:pPr>
                    <w:pStyle w:val="57"/>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outlineLvl w:val="9"/>
                    <w:rPr>
                      <w:rFonts w:hint="default" w:ascii="Times New Roman" w:hAnsi="Times New Roman" w:eastAsia="宋体" w:cs="Times New Roman"/>
                      <w:b w:val="0"/>
                      <w:bCs/>
                      <w:snapToGrid w:val="0"/>
                      <w:color w:val="auto"/>
                      <w:spacing w:val="0"/>
                      <w:w w:val="100"/>
                      <w:position w:val="0"/>
                      <w:sz w:val="21"/>
                      <w:szCs w:val="21"/>
                      <w:lang w:val="en-US" w:eastAsia="zh-CN"/>
                    </w:rPr>
                  </w:pPr>
                  <w:r>
                    <w:rPr>
                      <w:rFonts w:hint="default" w:ascii="Times New Roman" w:hAnsi="Times New Roman" w:eastAsia="宋体" w:cs="Times New Roman"/>
                      <w:b w:val="0"/>
                      <w:bCs/>
                      <w:snapToGrid w:val="0"/>
                      <w:color w:val="auto"/>
                      <w:spacing w:val="0"/>
                      <w:w w:val="100"/>
                      <w:position w:val="0"/>
                      <w:sz w:val="21"/>
                      <w:szCs w:val="21"/>
                      <w:lang w:val="en-US" w:eastAsia="zh-CN"/>
                    </w:rPr>
                    <w:t>1</w:t>
                  </w:r>
                </w:p>
              </w:tc>
              <w:tc>
                <w:tcPr>
                  <w:tcW w:w="1371" w:type="pct"/>
                  <w:tcBorders>
                    <w:tl2br w:val="nil"/>
                    <w:tr2bl w:val="nil"/>
                  </w:tcBorders>
                  <w:shd w:val="clear" w:color="auto" w:fill="auto"/>
                  <w:noWrap w:val="0"/>
                  <w:vAlign w:val="center"/>
                </w:tcPr>
                <w:p w14:paraId="28E51366">
                  <w:pPr>
                    <w:pStyle w:val="57"/>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outlineLvl w:val="9"/>
                    <w:rPr>
                      <w:rFonts w:hint="default" w:ascii="Times New Roman" w:hAnsi="Times New Roman" w:eastAsia="宋体" w:cs="Times New Roman"/>
                      <w:b w:val="0"/>
                      <w:bCs/>
                      <w:snapToGrid w:val="0"/>
                      <w:color w:val="auto"/>
                      <w:spacing w:val="0"/>
                      <w:w w:val="100"/>
                      <w:position w:val="0"/>
                      <w:sz w:val="21"/>
                      <w:szCs w:val="21"/>
                      <w:lang w:val="en-US" w:eastAsia="zh-CN"/>
                    </w:rPr>
                  </w:pPr>
                  <w:r>
                    <w:rPr>
                      <w:rFonts w:hint="default" w:ascii="Times New Roman" w:hAnsi="Times New Roman" w:eastAsia="宋体" w:cs="Times New Roman"/>
                      <w:b w:val="0"/>
                      <w:bCs/>
                      <w:snapToGrid w:val="0"/>
                      <w:color w:val="auto"/>
                      <w:spacing w:val="0"/>
                      <w:w w:val="100"/>
                      <w:position w:val="0"/>
                      <w:sz w:val="21"/>
                      <w:szCs w:val="21"/>
                      <w:lang w:val="en-US" w:eastAsia="zh-CN"/>
                    </w:rPr>
                    <w:t>耐磨件</w:t>
                  </w:r>
                </w:p>
              </w:tc>
              <w:tc>
                <w:tcPr>
                  <w:tcW w:w="1219" w:type="pct"/>
                  <w:tcBorders>
                    <w:tl2br w:val="nil"/>
                    <w:tr2bl w:val="nil"/>
                  </w:tcBorders>
                  <w:noWrap w:val="0"/>
                  <w:vAlign w:val="center"/>
                </w:tcPr>
                <w:p w14:paraId="56DE916E">
                  <w:pPr>
                    <w:pStyle w:val="57"/>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outlineLvl w:val="9"/>
                    <w:rPr>
                      <w:rFonts w:hint="default" w:ascii="Times New Roman" w:hAnsi="Times New Roman" w:eastAsia="宋体" w:cs="Times New Roman"/>
                      <w:b w:val="0"/>
                      <w:bCs/>
                      <w:snapToGrid w:val="0"/>
                      <w:color w:val="auto"/>
                      <w:spacing w:val="0"/>
                      <w:w w:val="100"/>
                      <w:position w:val="0"/>
                      <w:sz w:val="21"/>
                      <w:szCs w:val="21"/>
                      <w:lang w:val="en-US" w:eastAsia="zh-CN"/>
                    </w:rPr>
                  </w:pPr>
                  <w:r>
                    <w:rPr>
                      <w:rFonts w:hint="default" w:ascii="Times New Roman" w:hAnsi="Times New Roman" w:eastAsia="宋体" w:cs="Times New Roman"/>
                      <w:b w:val="0"/>
                      <w:bCs/>
                      <w:snapToGrid w:val="0"/>
                      <w:color w:val="auto"/>
                      <w:spacing w:val="0"/>
                      <w:w w:val="100"/>
                      <w:position w:val="0"/>
                      <w:sz w:val="21"/>
                      <w:szCs w:val="21"/>
                      <w:lang w:val="en-US" w:eastAsia="zh-CN"/>
                    </w:rPr>
                    <w:t>3000 套</w:t>
                  </w:r>
                </w:p>
              </w:tc>
              <w:tc>
                <w:tcPr>
                  <w:tcW w:w="1065" w:type="pct"/>
                  <w:tcBorders>
                    <w:tl2br w:val="nil"/>
                    <w:tr2bl w:val="nil"/>
                  </w:tcBorders>
                  <w:noWrap w:val="0"/>
                  <w:vAlign w:val="center"/>
                </w:tcPr>
                <w:p w14:paraId="0C0C8720">
                  <w:pPr>
                    <w:pStyle w:val="57"/>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outlineLvl w:val="9"/>
                    <w:rPr>
                      <w:rFonts w:hint="default" w:ascii="Times New Roman" w:hAnsi="Times New Roman" w:eastAsia="宋体" w:cs="Times New Roman"/>
                      <w:b w:val="0"/>
                      <w:bCs/>
                      <w:snapToGrid w:val="0"/>
                      <w:color w:val="auto"/>
                      <w:spacing w:val="0"/>
                      <w:w w:val="100"/>
                      <w:position w:val="0"/>
                      <w:sz w:val="21"/>
                      <w:szCs w:val="21"/>
                      <w:highlight w:val="none"/>
                      <w:lang w:val="en-US" w:eastAsia="zh-CN"/>
                    </w:rPr>
                  </w:pPr>
                  <w:r>
                    <w:rPr>
                      <w:rFonts w:hint="default" w:ascii="Times New Roman" w:hAnsi="Times New Roman" w:eastAsia="宋体" w:cs="Times New Roman"/>
                      <w:b w:val="0"/>
                      <w:bCs/>
                      <w:snapToGrid w:val="0"/>
                      <w:color w:val="auto"/>
                      <w:spacing w:val="0"/>
                      <w:w w:val="100"/>
                      <w:position w:val="0"/>
                      <w:sz w:val="21"/>
                      <w:szCs w:val="21"/>
                      <w:highlight w:val="none"/>
                      <w:lang w:val="en-US" w:eastAsia="zh-CN"/>
                    </w:rPr>
                    <w:t>根据客户要求</w:t>
                  </w:r>
                </w:p>
              </w:tc>
              <w:tc>
                <w:tcPr>
                  <w:tcW w:w="820" w:type="pct"/>
                  <w:vMerge w:val="restart"/>
                  <w:tcBorders>
                    <w:tl2br w:val="nil"/>
                    <w:tr2bl w:val="nil"/>
                  </w:tcBorders>
                  <w:noWrap w:val="0"/>
                  <w:vAlign w:val="center"/>
                </w:tcPr>
                <w:p w14:paraId="0846D88B">
                  <w:pPr>
                    <w:pStyle w:val="57"/>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outlineLvl w:val="9"/>
                    <w:rPr>
                      <w:rFonts w:hint="default" w:ascii="Times New Roman" w:hAnsi="Times New Roman" w:eastAsia="宋体" w:cs="Times New Roman"/>
                      <w:b w:val="0"/>
                      <w:bCs/>
                      <w:snapToGrid w:val="0"/>
                      <w:color w:val="auto"/>
                      <w:spacing w:val="0"/>
                      <w:w w:val="100"/>
                      <w:position w:val="0"/>
                      <w:sz w:val="21"/>
                      <w:szCs w:val="21"/>
                      <w:lang w:val="en-US" w:eastAsia="zh-CN"/>
                    </w:rPr>
                  </w:pPr>
                  <w:r>
                    <w:rPr>
                      <w:rFonts w:hint="default" w:ascii="Times New Roman" w:hAnsi="Times New Roman" w:eastAsia="宋体" w:cs="Times New Roman"/>
                      <w:b w:val="0"/>
                      <w:bCs/>
                      <w:snapToGrid w:val="0"/>
                      <w:color w:val="auto"/>
                      <w:spacing w:val="0"/>
                      <w:w w:val="100"/>
                      <w:position w:val="0"/>
                      <w:sz w:val="21"/>
                      <w:szCs w:val="21"/>
                      <w:lang w:val="en-US" w:eastAsia="zh-CN"/>
                    </w:rPr>
                    <w:t>成品暂存间</w:t>
                  </w:r>
                </w:p>
              </w:tc>
            </w:tr>
            <w:tr w14:paraId="1ABC88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noWrap w:val="0"/>
                  <w:vAlign w:val="center"/>
                </w:tcPr>
                <w:p w14:paraId="0081C361">
                  <w:pPr>
                    <w:pStyle w:val="57"/>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outlineLvl w:val="9"/>
                    <w:rPr>
                      <w:rFonts w:hint="default" w:ascii="Times New Roman" w:hAnsi="Times New Roman" w:eastAsia="宋体" w:cs="Times New Roman"/>
                      <w:b w:val="0"/>
                      <w:bCs/>
                      <w:snapToGrid w:val="0"/>
                      <w:color w:val="auto"/>
                      <w:spacing w:val="0"/>
                      <w:w w:val="100"/>
                      <w:position w:val="0"/>
                      <w:sz w:val="21"/>
                      <w:szCs w:val="21"/>
                      <w:lang w:val="en-US" w:eastAsia="zh-CN"/>
                    </w:rPr>
                  </w:pPr>
                  <w:r>
                    <w:rPr>
                      <w:rFonts w:hint="default" w:ascii="Times New Roman" w:hAnsi="Times New Roman" w:eastAsia="宋体" w:cs="Times New Roman"/>
                      <w:b w:val="0"/>
                      <w:bCs/>
                      <w:snapToGrid w:val="0"/>
                      <w:color w:val="auto"/>
                      <w:spacing w:val="0"/>
                      <w:w w:val="100"/>
                      <w:position w:val="0"/>
                      <w:sz w:val="21"/>
                      <w:szCs w:val="21"/>
                      <w:lang w:val="en-US" w:eastAsia="zh-CN"/>
                    </w:rPr>
                    <w:t>2</w:t>
                  </w:r>
                </w:p>
              </w:tc>
              <w:tc>
                <w:tcPr>
                  <w:tcW w:w="1371" w:type="pct"/>
                  <w:tcBorders>
                    <w:tl2br w:val="nil"/>
                    <w:tr2bl w:val="nil"/>
                  </w:tcBorders>
                  <w:shd w:val="clear" w:color="auto" w:fill="auto"/>
                  <w:noWrap w:val="0"/>
                  <w:vAlign w:val="center"/>
                </w:tcPr>
                <w:p w14:paraId="14CB8843">
                  <w:pPr>
                    <w:pStyle w:val="57"/>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outlineLvl w:val="9"/>
                    <w:rPr>
                      <w:rFonts w:hint="default" w:ascii="Times New Roman" w:hAnsi="Times New Roman" w:eastAsia="宋体" w:cs="Times New Roman"/>
                      <w:b w:val="0"/>
                      <w:bCs/>
                      <w:snapToGrid w:val="0"/>
                      <w:color w:val="auto"/>
                      <w:spacing w:val="0"/>
                      <w:w w:val="100"/>
                      <w:position w:val="0"/>
                      <w:sz w:val="21"/>
                      <w:szCs w:val="21"/>
                      <w:lang w:val="en-US" w:eastAsia="zh-CN"/>
                    </w:rPr>
                  </w:pPr>
                  <w:r>
                    <w:rPr>
                      <w:rFonts w:hint="default" w:ascii="Times New Roman" w:hAnsi="Times New Roman" w:eastAsia="宋体" w:cs="Times New Roman"/>
                      <w:b w:val="0"/>
                      <w:bCs/>
                      <w:snapToGrid w:val="0"/>
                      <w:color w:val="auto"/>
                      <w:spacing w:val="0"/>
                      <w:w w:val="100"/>
                      <w:position w:val="0"/>
                      <w:sz w:val="21"/>
                      <w:szCs w:val="21"/>
                      <w:lang w:val="en-US" w:eastAsia="zh-CN"/>
                    </w:rPr>
                    <w:t>年维修螺旋部件</w:t>
                  </w:r>
                </w:p>
              </w:tc>
              <w:tc>
                <w:tcPr>
                  <w:tcW w:w="1219" w:type="pct"/>
                  <w:tcBorders>
                    <w:tl2br w:val="nil"/>
                    <w:tr2bl w:val="nil"/>
                  </w:tcBorders>
                  <w:noWrap w:val="0"/>
                  <w:vAlign w:val="center"/>
                </w:tcPr>
                <w:p w14:paraId="41DA91F8">
                  <w:pPr>
                    <w:pStyle w:val="57"/>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outlineLvl w:val="9"/>
                    <w:rPr>
                      <w:rFonts w:hint="default" w:ascii="Times New Roman" w:hAnsi="Times New Roman" w:eastAsia="宋体" w:cs="Times New Roman"/>
                      <w:b w:val="0"/>
                      <w:bCs/>
                      <w:snapToGrid w:val="0"/>
                      <w:color w:val="auto"/>
                      <w:spacing w:val="0"/>
                      <w:w w:val="100"/>
                      <w:position w:val="0"/>
                      <w:sz w:val="21"/>
                      <w:szCs w:val="21"/>
                      <w:lang w:val="en-US" w:eastAsia="zh-CN"/>
                    </w:rPr>
                  </w:pPr>
                  <w:r>
                    <w:rPr>
                      <w:rFonts w:hint="default" w:ascii="Times New Roman" w:hAnsi="Times New Roman" w:eastAsia="宋体" w:cs="Times New Roman"/>
                      <w:b w:val="0"/>
                      <w:bCs/>
                      <w:snapToGrid w:val="0"/>
                      <w:color w:val="auto"/>
                      <w:spacing w:val="0"/>
                      <w:w w:val="100"/>
                      <w:position w:val="0"/>
                      <w:sz w:val="21"/>
                      <w:szCs w:val="21"/>
                      <w:lang w:val="en-US" w:eastAsia="zh-CN"/>
                    </w:rPr>
                    <w:t>100 套</w:t>
                  </w:r>
                </w:p>
              </w:tc>
              <w:tc>
                <w:tcPr>
                  <w:tcW w:w="1065" w:type="pct"/>
                  <w:tcBorders>
                    <w:tl2br w:val="nil"/>
                    <w:tr2bl w:val="nil"/>
                  </w:tcBorders>
                  <w:noWrap w:val="0"/>
                  <w:vAlign w:val="center"/>
                </w:tcPr>
                <w:p w14:paraId="7CE90E6F">
                  <w:pPr>
                    <w:pStyle w:val="57"/>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outlineLvl w:val="9"/>
                    <w:rPr>
                      <w:rFonts w:hint="default" w:ascii="Times New Roman" w:hAnsi="Times New Roman" w:eastAsia="宋体" w:cs="Times New Roman"/>
                      <w:b w:val="0"/>
                      <w:bCs/>
                      <w:snapToGrid w:val="0"/>
                      <w:color w:val="auto"/>
                      <w:spacing w:val="0"/>
                      <w:w w:val="100"/>
                      <w:position w:val="0"/>
                      <w:sz w:val="21"/>
                      <w:szCs w:val="21"/>
                      <w:highlight w:val="none"/>
                      <w:lang w:val="en-US" w:eastAsia="zh-CN"/>
                    </w:rPr>
                  </w:pPr>
                  <w:r>
                    <w:rPr>
                      <w:rFonts w:hint="default" w:ascii="Times New Roman" w:hAnsi="Times New Roman" w:eastAsia="宋体" w:cs="Times New Roman"/>
                      <w:b w:val="0"/>
                      <w:bCs/>
                      <w:snapToGrid w:val="0"/>
                      <w:color w:val="auto"/>
                      <w:spacing w:val="0"/>
                      <w:w w:val="100"/>
                      <w:position w:val="0"/>
                      <w:sz w:val="21"/>
                      <w:szCs w:val="21"/>
                      <w:highlight w:val="none"/>
                      <w:lang w:val="en-US" w:eastAsia="zh-CN"/>
                    </w:rPr>
                    <w:t>/</w:t>
                  </w:r>
                </w:p>
              </w:tc>
              <w:tc>
                <w:tcPr>
                  <w:tcW w:w="820" w:type="pct"/>
                  <w:vMerge w:val="continue"/>
                  <w:tcBorders>
                    <w:tl2br w:val="nil"/>
                    <w:tr2bl w:val="nil"/>
                  </w:tcBorders>
                  <w:noWrap w:val="0"/>
                  <w:vAlign w:val="center"/>
                </w:tcPr>
                <w:p w14:paraId="47F0098D">
                  <w:pPr>
                    <w:pStyle w:val="57"/>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outlineLvl w:val="9"/>
                    <w:rPr>
                      <w:rFonts w:hint="default" w:ascii="Times New Roman" w:hAnsi="Times New Roman" w:eastAsia="宋体" w:cs="Times New Roman"/>
                      <w:b w:val="0"/>
                      <w:bCs/>
                      <w:snapToGrid w:val="0"/>
                      <w:color w:val="auto"/>
                      <w:spacing w:val="0"/>
                      <w:w w:val="100"/>
                      <w:position w:val="0"/>
                      <w:sz w:val="21"/>
                      <w:szCs w:val="21"/>
                      <w:lang w:val="en-US" w:eastAsia="zh-CN"/>
                    </w:rPr>
                  </w:pPr>
                </w:p>
              </w:tc>
            </w:tr>
          </w:tbl>
          <w:p w14:paraId="2F8CC64F">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b w:val="0"/>
                <w:bCs w:val="0"/>
                <w:color w:val="auto"/>
                <w:spacing w:val="0"/>
                <w:w w:val="100"/>
                <w:kern w:val="2"/>
                <w:position w:val="0"/>
                <w:sz w:val="24"/>
                <w:szCs w:val="24"/>
                <w:lang w:val="en-US" w:eastAsia="zh-CN"/>
              </w:rPr>
            </w:pPr>
            <w:r>
              <w:rPr>
                <w:rFonts w:hint="default" w:ascii="Times New Roman" w:hAnsi="Times New Roman" w:eastAsia="宋体" w:cs="Times New Roman"/>
                <w:b/>
                <w:bCs/>
                <w:color w:val="auto"/>
                <w:spacing w:val="0"/>
                <w:w w:val="100"/>
                <w:kern w:val="2"/>
                <w:position w:val="0"/>
                <w:sz w:val="24"/>
                <w:szCs w:val="24"/>
                <w:lang w:val="en-US" w:eastAsia="zh-CN"/>
              </w:rPr>
              <w:t>4、本项目生产设备</w:t>
            </w:r>
          </w:p>
          <w:p w14:paraId="7326DF45">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b w:val="0"/>
                <w:bCs w:val="0"/>
                <w:color w:val="auto"/>
                <w:spacing w:val="0"/>
                <w:w w:val="100"/>
                <w:kern w:val="2"/>
                <w:position w:val="0"/>
                <w:sz w:val="24"/>
                <w:szCs w:val="24"/>
                <w:lang w:val="en-US" w:eastAsia="zh-CN"/>
              </w:rPr>
            </w:pPr>
            <w:r>
              <w:rPr>
                <w:rFonts w:hint="default" w:ascii="Times New Roman" w:hAnsi="Times New Roman" w:eastAsia="宋体" w:cs="Times New Roman"/>
                <w:b w:val="0"/>
                <w:bCs w:val="0"/>
                <w:color w:val="auto"/>
                <w:spacing w:val="0"/>
                <w:w w:val="100"/>
                <w:kern w:val="2"/>
                <w:position w:val="0"/>
                <w:sz w:val="24"/>
                <w:szCs w:val="24"/>
                <w:lang w:val="en-US" w:eastAsia="zh-CN"/>
              </w:rPr>
              <w:t>项目主要生产单元、主要工艺、生产设施及设施参数见下表。</w:t>
            </w:r>
          </w:p>
          <w:p w14:paraId="64BB1155">
            <w:pPr>
              <w:pStyle w:val="58"/>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表</w:t>
            </w:r>
            <w:r>
              <w:rPr>
                <w:rFonts w:hint="default" w:ascii="Times New Roman" w:hAnsi="Times New Roman" w:eastAsia="宋体" w:cs="Times New Roman"/>
                <w:b/>
                <w:bCs/>
                <w:color w:val="auto"/>
                <w:spacing w:val="0"/>
                <w:w w:val="100"/>
                <w:position w:val="0"/>
                <w:sz w:val="21"/>
                <w:szCs w:val="21"/>
                <w:lang w:val="en-US" w:eastAsia="zh-CN"/>
              </w:rPr>
              <w:t>2-</w:t>
            </w:r>
            <w:r>
              <w:rPr>
                <w:rFonts w:hint="default" w:ascii="Times New Roman" w:hAnsi="Times New Roman" w:cs="Times New Roman"/>
                <w:b/>
                <w:bCs/>
                <w:color w:val="auto"/>
                <w:spacing w:val="0"/>
                <w:w w:val="100"/>
                <w:position w:val="0"/>
                <w:sz w:val="21"/>
                <w:szCs w:val="21"/>
                <w:lang w:val="en-US" w:eastAsia="zh-CN"/>
              </w:rPr>
              <w:t>3</w:t>
            </w:r>
            <w:r>
              <w:rPr>
                <w:rFonts w:hint="default" w:ascii="Times New Roman" w:hAnsi="Times New Roman" w:eastAsia="宋体" w:cs="Times New Roman"/>
                <w:b/>
                <w:bCs/>
                <w:color w:val="auto"/>
                <w:spacing w:val="0"/>
                <w:w w:val="100"/>
                <w:position w:val="0"/>
                <w:sz w:val="21"/>
                <w:szCs w:val="21"/>
              </w:rPr>
              <w:t xml:space="preserve"> </w:t>
            </w:r>
            <w:r>
              <w:rPr>
                <w:rFonts w:hint="default" w:ascii="Times New Roman" w:hAnsi="Times New Roman" w:cs="Times New Roman"/>
                <w:b/>
                <w:bCs/>
                <w:color w:val="auto"/>
                <w:spacing w:val="0"/>
                <w:w w:val="100"/>
                <w:position w:val="0"/>
                <w:sz w:val="21"/>
                <w:szCs w:val="21"/>
                <w:lang w:val="en-US" w:eastAsia="zh-CN"/>
              </w:rPr>
              <w:t>本项目</w:t>
            </w:r>
            <w:r>
              <w:rPr>
                <w:rFonts w:hint="default" w:ascii="Times New Roman" w:hAnsi="Times New Roman" w:eastAsia="宋体" w:cs="Times New Roman"/>
                <w:b/>
                <w:bCs/>
                <w:color w:val="auto"/>
                <w:spacing w:val="0"/>
                <w:w w:val="100"/>
                <w:position w:val="0"/>
                <w:sz w:val="21"/>
                <w:szCs w:val="21"/>
                <w:lang w:val="en-US" w:eastAsia="zh-CN"/>
              </w:rPr>
              <w:t>生产设备一览</w:t>
            </w:r>
            <w:r>
              <w:rPr>
                <w:rFonts w:hint="default" w:ascii="Times New Roman" w:hAnsi="Times New Roman" w:eastAsia="宋体" w:cs="Times New Roman"/>
                <w:b/>
                <w:bCs/>
                <w:color w:val="auto"/>
                <w:spacing w:val="0"/>
                <w:w w:val="100"/>
                <w:position w:val="0"/>
                <w:sz w:val="21"/>
                <w:szCs w:val="21"/>
              </w:rPr>
              <w:t>表</w:t>
            </w:r>
          </w:p>
          <w:tbl>
            <w:tblPr>
              <w:tblStyle w:val="5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2"/>
              <w:gridCol w:w="1125"/>
              <w:gridCol w:w="1501"/>
              <w:gridCol w:w="1976"/>
              <w:gridCol w:w="2178"/>
            </w:tblGrid>
            <w:tr w14:paraId="50BB9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noWrap w:val="0"/>
                  <w:vAlign w:val="center"/>
                </w:tcPr>
                <w:p w14:paraId="3E60D0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主要生产单元</w:t>
                  </w:r>
                </w:p>
              </w:tc>
              <w:tc>
                <w:tcPr>
                  <w:tcW w:w="706" w:type="pct"/>
                  <w:noWrap w:val="0"/>
                  <w:vAlign w:val="center"/>
                </w:tcPr>
                <w:p w14:paraId="786CBC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主要工艺</w:t>
                  </w:r>
                </w:p>
              </w:tc>
              <w:tc>
                <w:tcPr>
                  <w:tcW w:w="942" w:type="pct"/>
                  <w:noWrap w:val="0"/>
                  <w:vAlign w:val="center"/>
                </w:tcPr>
                <w:p w14:paraId="469813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生产设施</w:t>
                  </w:r>
                </w:p>
              </w:tc>
              <w:tc>
                <w:tcPr>
                  <w:tcW w:w="1240" w:type="pct"/>
                  <w:noWrap w:val="0"/>
                  <w:vAlign w:val="center"/>
                </w:tcPr>
                <w:p w14:paraId="508550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规格/型号</w:t>
                  </w:r>
                </w:p>
              </w:tc>
              <w:tc>
                <w:tcPr>
                  <w:tcW w:w="1366" w:type="pct"/>
                  <w:noWrap w:val="0"/>
                  <w:vAlign w:val="center"/>
                </w:tcPr>
                <w:p w14:paraId="00BB08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数量（台/套）</w:t>
                  </w:r>
                </w:p>
              </w:tc>
            </w:tr>
            <w:tr w14:paraId="0A66B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noWrap w:val="0"/>
                  <w:vAlign w:val="center"/>
                </w:tcPr>
                <w:p w14:paraId="710EF6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熔化</w:t>
                  </w:r>
                </w:p>
              </w:tc>
              <w:tc>
                <w:tcPr>
                  <w:tcW w:w="706" w:type="pct"/>
                  <w:noWrap w:val="0"/>
                  <w:vAlign w:val="center"/>
                </w:tcPr>
                <w:p w14:paraId="2BEF65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熔化</w:t>
                  </w:r>
                </w:p>
              </w:tc>
              <w:tc>
                <w:tcPr>
                  <w:tcW w:w="942" w:type="pct"/>
                  <w:noWrap w:val="0"/>
                  <w:vAlign w:val="center"/>
                </w:tcPr>
                <w:p w14:paraId="05B4E2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中频炉</w:t>
                  </w:r>
                </w:p>
              </w:tc>
              <w:tc>
                <w:tcPr>
                  <w:tcW w:w="1240" w:type="pct"/>
                  <w:noWrap w:val="0"/>
                  <w:vAlign w:val="center"/>
                </w:tcPr>
                <w:p w14:paraId="5E8CCA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GW-0.75T/GW-1T</w:t>
                  </w:r>
                </w:p>
              </w:tc>
              <w:tc>
                <w:tcPr>
                  <w:tcW w:w="1366" w:type="pct"/>
                  <w:noWrap w:val="0"/>
                  <w:vAlign w:val="center"/>
                </w:tcPr>
                <w:p w14:paraId="3FFA63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2</w:t>
                  </w:r>
                </w:p>
              </w:tc>
            </w:tr>
            <w:tr w14:paraId="444F7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vMerge w:val="restart"/>
                  <w:noWrap w:val="0"/>
                  <w:vAlign w:val="center"/>
                </w:tcPr>
                <w:p w14:paraId="43A976C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抛丸</w:t>
                  </w:r>
                </w:p>
              </w:tc>
              <w:tc>
                <w:tcPr>
                  <w:tcW w:w="706" w:type="pct"/>
                  <w:vMerge w:val="restart"/>
                  <w:noWrap w:val="0"/>
                  <w:vAlign w:val="center"/>
                </w:tcPr>
                <w:p w14:paraId="017523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抛丸</w:t>
                  </w:r>
                </w:p>
              </w:tc>
              <w:tc>
                <w:tcPr>
                  <w:tcW w:w="942" w:type="pct"/>
                  <w:noWrap w:val="0"/>
                  <w:vAlign w:val="center"/>
                </w:tcPr>
                <w:p w14:paraId="44D094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吊钩抛丸机</w:t>
                  </w:r>
                </w:p>
              </w:tc>
              <w:tc>
                <w:tcPr>
                  <w:tcW w:w="1240" w:type="pct"/>
                  <w:noWrap w:val="0"/>
                  <w:vAlign w:val="center"/>
                </w:tcPr>
                <w:p w14:paraId="40FBB6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noWrap w:val="0"/>
                  <w:vAlign w:val="center"/>
                </w:tcPr>
                <w:p w14:paraId="17F0D56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w:t>
                  </w:r>
                </w:p>
              </w:tc>
            </w:tr>
            <w:tr w14:paraId="0B985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vMerge w:val="continue"/>
                  <w:noWrap w:val="0"/>
                  <w:vAlign w:val="center"/>
                </w:tcPr>
                <w:p w14:paraId="5BE9251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706" w:type="pct"/>
                  <w:vMerge w:val="continue"/>
                  <w:noWrap w:val="0"/>
                  <w:vAlign w:val="center"/>
                </w:tcPr>
                <w:p w14:paraId="6DDE23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942" w:type="pct"/>
                  <w:noWrap w:val="0"/>
                  <w:vAlign w:val="center"/>
                </w:tcPr>
                <w:p w14:paraId="3A51202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履带式抛丸机</w:t>
                  </w:r>
                </w:p>
              </w:tc>
              <w:tc>
                <w:tcPr>
                  <w:tcW w:w="1240" w:type="pct"/>
                  <w:noWrap w:val="0"/>
                  <w:vAlign w:val="center"/>
                </w:tcPr>
                <w:p w14:paraId="2681DD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noWrap w:val="0"/>
                  <w:vAlign w:val="center"/>
                </w:tcPr>
                <w:p w14:paraId="32F97D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w:t>
                  </w:r>
                </w:p>
              </w:tc>
            </w:tr>
            <w:tr w14:paraId="16BCC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noWrap w:val="0"/>
                  <w:vAlign w:val="center"/>
                </w:tcPr>
                <w:p w14:paraId="5BCBDD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热处理</w:t>
                  </w:r>
                </w:p>
              </w:tc>
              <w:tc>
                <w:tcPr>
                  <w:tcW w:w="706" w:type="pct"/>
                  <w:noWrap w:val="0"/>
                  <w:vAlign w:val="center"/>
                </w:tcPr>
                <w:p w14:paraId="1643B6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热处理</w:t>
                  </w:r>
                </w:p>
              </w:tc>
              <w:tc>
                <w:tcPr>
                  <w:tcW w:w="942" w:type="pct"/>
                  <w:noWrap w:val="0"/>
                  <w:vAlign w:val="center"/>
                </w:tcPr>
                <w:p w14:paraId="24815C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热处理炉</w:t>
                  </w:r>
                </w:p>
              </w:tc>
              <w:tc>
                <w:tcPr>
                  <w:tcW w:w="1240" w:type="pct"/>
                  <w:noWrap w:val="0"/>
                  <w:vAlign w:val="center"/>
                </w:tcPr>
                <w:p w14:paraId="38BF559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 xml:space="preserve">RT-120-12/RT-75-9 </w:t>
                  </w:r>
                </w:p>
              </w:tc>
              <w:tc>
                <w:tcPr>
                  <w:tcW w:w="1366" w:type="pct"/>
                  <w:noWrap w:val="0"/>
                  <w:vAlign w:val="center"/>
                </w:tcPr>
                <w:p w14:paraId="6B72C8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3</w:t>
                  </w:r>
                </w:p>
              </w:tc>
            </w:tr>
            <w:tr w14:paraId="2FF27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vMerge w:val="restart"/>
                  <w:noWrap w:val="0"/>
                  <w:vAlign w:val="center"/>
                </w:tcPr>
                <w:p w14:paraId="614E1B5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造型</w:t>
                  </w:r>
                </w:p>
              </w:tc>
              <w:tc>
                <w:tcPr>
                  <w:tcW w:w="706" w:type="pct"/>
                  <w:vMerge w:val="restart"/>
                  <w:noWrap w:val="0"/>
                  <w:vAlign w:val="center"/>
                </w:tcPr>
                <w:p w14:paraId="4D3F48E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造型</w:t>
                  </w:r>
                </w:p>
              </w:tc>
              <w:tc>
                <w:tcPr>
                  <w:tcW w:w="942" w:type="pct"/>
                  <w:shd w:val="clear" w:color="auto" w:fill="auto"/>
                  <w:noWrap w:val="0"/>
                  <w:vAlign w:val="center"/>
                </w:tcPr>
                <w:p w14:paraId="033FC5F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射心机</w:t>
                  </w:r>
                </w:p>
              </w:tc>
              <w:tc>
                <w:tcPr>
                  <w:tcW w:w="1240" w:type="pct"/>
                  <w:shd w:val="clear" w:color="auto" w:fill="auto"/>
                  <w:noWrap w:val="0"/>
                  <w:vAlign w:val="center"/>
                </w:tcPr>
                <w:p w14:paraId="0C80A7F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shd w:val="clear" w:color="auto" w:fill="auto"/>
                  <w:noWrap w:val="0"/>
                  <w:vAlign w:val="center"/>
                </w:tcPr>
                <w:p w14:paraId="7FDD072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5</w:t>
                  </w:r>
                </w:p>
              </w:tc>
            </w:tr>
            <w:tr w14:paraId="0D0E4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vMerge w:val="continue"/>
                  <w:noWrap w:val="0"/>
                  <w:vAlign w:val="center"/>
                </w:tcPr>
                <w:p w14:paraId="66E9B45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706" w:type="pct"/>
                  <w:vMerge w:val="continue"/>
                  <w:noWrap w:val="0"/>
                  <w:vAlign w:val="center"/>
                </w:tcPr>
                <w:p w14:paraId="1109353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942" w:type="pct"/>
                  <w:noWrap w:val="0"/>
                  <w:vAlign w:val="center"/>
                </w:tcPr>
                <w:p w14:paraId="1D517E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造型机</w:t>
                  </w:r>
                </w:p>
              </w:tc>
              <w:tc>
                <w:tcPr>
                  <w:tcW w:w="1240" w:type="pct"/>
                  <w:noWrap w:val="0"/>
                  <w:vAlign w:val="center"/>
                </w:tcPr>
                <w:p w14:paraId="1D7A61F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noWrap w:val="0"/>
                  <w:vAlign w:val="center"/>
                </w:tcPr>
                <w:p w14:paraId="485037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8</w:t>
                  </w:r>
                </w:p>
              </w:tc>
            </w:tr>
            <w:tr w14:paraId="24B7E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noWrap w:val="0"/>
                  <w:vAlign w:val="center"/>
                </w:tcPr>
                <w:p w14:paraId="69E5439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烘干</w:t>
                  </w:r>
                </w:p>
              </w:tc>
              <w:tc>
                <w:tcPr>
                  <w:tcW w:w="706" w:type="pct"/>
                  <w:noWrap w:val="0"/>
                  <w:vAlign w:val="center"/>
                </w:tcPr>
                <w:p w14:paraId="5B59DA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烘干</w:t>
                  </w:r>
                </w:p>
              </w:tc>
              <w:tc>
                <w:tcPr>
                  <w:tcW w:w="942" w:type="pct"/>
                  <w:noWrap w:val="0"/>
                  <w:vAlign w:val="center"/>
                </w:tcPr>
                <w:p w14:paraId="64CE26D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烘房</w:t>
                  </w:r>
                </w:p>
              </w:tc>
              <w:tc>
                <w:tcPr>
                  <w:tcW w:w="1240" w:type="pct"/>
                  <w:noWrap w:val="0"/>
                  <w:vAlign w:val="center"/>
                </w:tcPr>
                <w:p w14:paraId="274280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noWrap w:val="0"/>
                  <w:vAlign w:val="center"/>
                </w:tcPr>
                <w:p w14:paraId="7D788C3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w:t>
                  </w:r>
                </w:p>
              </w:tc>
            </w:tr>
            <w:tr w14:paraId="65A23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noWrap w:val="0"/>
                  <w:vAlign w:val="center"/>
                </w:tcPr>
                <w:p w14:paraId="7C048F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b w:val="0"/>
                      <w:bCs/>
                      <w:color w:val="auto"/>
                      <w:sz w:val="21"/>
                      <w:szCs w:val="21"/>
                    </w:rPr>
                    <w:t>铸造</w:t>
                  </w:r>
                </w:p>
              </w:tc>
              <w:tc>
                <w:tcPr>
                  <w:tcW w:w="706" w:type="pct"/>
                  <w:noWrap w:val="0"/>
                  <w:vAlign w:val="center"/>
                </w:tcPr>
                <w:p w14:paraId="7EF2DE4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b w:val="0"/>
                      <w:bCs/>
                      <w:color w:val="auto"/>
                      <w:sz w:val="21"/>
                      <w:szCs w:val="21"/>
                    </w:rPr>
                    <w:t>铸造</w:t>
                  </w:r>
                </w:p>
              </w:tc>
              <w:tc>
                <w:tcPr>
                  <w:tcW w:w="942" w:type="pct"/>
                  <w:noWrap w:val="0"/>
                  <w:vAlign w:val="center"/>
                </w:tcPr>
                <w:p w14:paraId="786006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消失模机组</w:t>
                  </w:r>
                </w:p>
              </w:tc>
              <w:tc>
                <w:tcPr>
                  <w:tcW w:w="1240" w:type="pct"/>
                  <w:noWrap w:val="0"/>
                  <w:vAlign w:val="center"/>
                </w:tcPr>
                <w:p w14:paraId="0BD77A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noWrap w:val="0"/>
                  <w:vAlign w:val="center"/>
                </w:tcPr>
                <w:p w14:paraId="553EE25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w:t>
                  </w:r>
                </w:p>
              </w:tc>
            </w:tr>
            <w:tr w14:paraId="4E372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vMerge w:val="restart"/>
                  <w:noWrap w:val="0"/>
                  <w:vAlign w:val="center"/>
                </w:tcPr>
                <w:p w14:paraId="2D827D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机加工</w:t>
                  </w:r>
                </w:p>
              </w:tc>
              <w:tc>
                <w:tcPr>
                  <w:tcW w:w="706" w:type="pct"/>
                  <w:vMerge w:val="restart"/>
                  <w:noWrap w:val="0"/>
                  <w:vAlign w:val="center"/>
                </w:tcPr>
                <w:p w14:paraId="21ADD9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机加工（打磨、打孔、精磨）</w:t>
                  </w:r>
                </w:p>
              </w:tc>
              <w:tc>
                <w:tcPr>
                  <w:tcW w:w="942" w:type="pct"/>
                  <w:noWrap w:val="0"/>
                  <w:vAlign w:val="center"/>
                </w:tcPr>
                <w:p w14:paraId="73A5D0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圆盘磨床</w:t>
                  </w:r>
                </w:p>
              </w:tc>
              <w:tc>
                <w:tcPr>
                  <w:tcW w:w="1240" w:type="pct"/>
                  <w:noWrap w:val="0"/>
                  <w:vAlign w:val="center"/>
                </w:tcPr>
                <w:p w14:paraId="3A8846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noWrap w:val="0"/>
                  <w:vAlign w:val="center"/>
                </w:tcPr>
                <w:p w14:paraId="1AC314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5</w:t>
                  </w:r>
                </w:p>
              </w:tc>
            </w:tr>
            <w:tr w14:paraId="5E7FA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vMerge w:val="continue"/>
                  <w:noWrap w:val="0"/>
                  <w:vAlign w:val="center"/>
                </w:tcPr>
                <w:p w14:paraId="0FAB3CD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706" w:type="pct"/>
                  <w:vMerge w:val="continue"/>
                  <w:noWrap w:val="0"/>
                  <w:vAlign w:val="center"/>
                </w:tcPr>
                <w:p w14:paraId="1F1AAD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942" w:type="pct"/>
                  <w:noWrap w:val="0"/>
                  <w:vAlign w:val="center"/>
                </w:tcPr>
                <w:p w14:paraId="7735FF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平面磨床</w:t>
                  </w:r>
                </w:p>
              </w:tc>
              <w:tc>
                <w:tcPr>
                  <w:tcW w:w="1240" w:type="pct"/>
                  <w:noWrap w:val="0"/>
                  <w:vAlign w:val="center"/>
                </w:tcPr>
                <w:p w14:paraId="509519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noWrap w:val="0"/>
                  <w:vAlign w:val="center"/>
                </w:tcPr>
                <w:p w14:paraId="2D19AA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5</w:t>
                  </w:r>
                </w:p>
              </w:tc>
            </w:tr>
            <w:tr w14:paraId="1BFCA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vMerge w:val="continue"/>
                  <w:noWrap w:val="0"/>
                  <w:vAlign w:val="center"/>
                </w:tcPr>
                <w:p w14:paraId="471B913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706" w:type="pct"/>
                  <w:vMerge w:val="continue"/>
                  <w:noWrap w:val="0"/>
                  <w:vAlign w:val="center"/>
                </w:tcPr>
                <w:p w14:paraId="428D16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942" w:type="pct"/>
                  <w:noWrap w:val="0"/>
                  <w:vAlign w:val="center"/>
                </w:tcPr>
                <w:p w14:paraId="2F8745A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立车</w:t>
                  </w:r>
                </w:p>
              </w:tc>
              <w:tc>
                <w:tcPr>
                  <w:tcW w:w="1240" w:type="pct"/>
                  <w:noWrap w:val="0"/>
                  <w:vAlign w:val="center"/>
                </w:tcPr>
                <w:p w14:paraId="5FECEC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noWrap w:val="0"/>
                  <w:vAlign w:val="center"/>
                </w:tcPr>
                <w:p w14:paraId="2B7132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5</w:t>
                  </w:r>
                </w:p>
              </w:tc>
            </w:tr>
            <w:tr w14:paraId="06EEE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vMerge w:val="continue"/>
                  <w:noWrap w:val="0"/>
                  <w:vAlign w:val="center"/>
                </w:tcPr>
                <w:p w14:paraId="5C63C01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706" w:type="pct"/>
                  <w:vMerge w:val="continue"/>
                  <w:noWrap w:val="0"/>
                  <w:vAlign w:val="center"/>
                </w:tcPr>
                <w:p w14:paraId="2BD029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942" w:type="pct"/>
                  <w:noWrap w:val="0"/>
                  <w:vAlign w:val="center"/>
                </w:tcPr>
                <w:p w14:paraId="1D7CB5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平衡机</w:t>
                  </w:r>
                </w:p>
              </w:tc>
              <w:tc>
                <w:tcPr>
                  <w:tcW w:w="1240" w:type="pct"/>
                  <w:noWrap w:val="0"/>
                  <w:vAlign w:val="center"/>
                </w:tcPr>
                <w:p w14:paraId="43C3EA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noWrap w:val="0"/>
                  <w:vAlign w:val="center"/>
                </w:tcPr>
                <w:p w14:paraId="345F99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2</w:t>
                  </w:r>
                </w:p>
              </w:tc>
            </w:tr>
            <w:tr w14:paraId="55128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vMerge w:val="continue"/>
                  <w:noWrap w:val="0"/>
                  <w:vAlign w:val="center"/>
                </w:tcPr>
                <w:p w14:paraId="2D8C104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706" w:type="pct"/>
                  <w:vMerge w:val="continue"/>
                  <w:noWrap w:val="0"/>
                  <w:vAlign w:val="center"/>
                </w:tcPr>
                <w:p w14:paraId="27F0FD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942" w:type="pct"/>
                  <w:noWrap w:val="0"/>
                  <w:vAlign w:val="center"/>
                </w:tcPr>
                <w:p w14:paraId="1D2AD4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龙门铣</w:t>
                  </w:r>
                </w:p>
              </w:tc>
              <w:tc>
                <w:tcPr>
                  <w:tcW w:w="1240" w:type="pct"/>
                  <w:noWrap w:val="0"/>
                  <w:vAlign w:val="center"/>
                </w:tcPr>
                <w:p w14:paraId="5480913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noWrap w:val="0"/>
                  <w:vAlign w:val="center"/>
                </w:tcPr>
                <w:p w14:paraId="227FB7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w:t>
                  </w:r>
                </w:p>
              </w:tc>
            </w:tr>
            <w:tr w14:paraId="54FEA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vMerge w:val="continue"/>
                  <w:noWrap w:val="0"/>
                  <w:vAlign w:val="center"/>
                </w:tcPr>
                <w:p w14:paraId="603D44C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706" w:type="pct"/>
                  <w:vMerge w:val="continue"/>
                  <w:noWrap w:val="0"/>
                  <w:vAlign w:val="center"/>
                </w:tcPr>
                <w:p w14:paraId="46FC281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942" w:type="pct"/>
                  <w:noWrap w:val="0"/>
                  <w:vAlign w:val="center"/>
                </w:tcPr>
                <w:p w14:paraId="7E1F42E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车床</w:t>
                  </w:r>
                </w:p>
              </w:tc>
              <w:tc>
                <w:tcPr>
                  <w:tcW w:w="1240" w:type="pct"/>
                  <w:noWrap w:val="0"/>
                  <w:vAlign w:val="center"/>
                </w:tcPr>
                <w:p w14:paraId="5A0EE4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noWrap w:val="0"/>
                  <w:vAlign w:val="center"/>
                </w:tcPr>
                <w:p w14:paraId="15896D7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2</w:t>
                  </w:r>
                </w:p>
              </w:tc>
            </w:tr>
            <w:tr w14:paraId="218B2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vMerge w:val="continue"/>
                  <w:noWrap w:val="0"/>
                  <w:vAlign w:val="center"/>
                </w:tcPr>
                <w:p w14:paraId="752131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706" w:type="pct"/>
                  <w:vMerge w:val="continue"/>
                  <w:noWrap w:val="0"/>
                  <w:vAlign w:val="center"/>
                </w:tcPr>
                <w:p w14:paraId="75596C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942" w:type="pct"/>
                  <w:noWrap w:val="0"/>
                  <w:vAlign w:val="center"/>
                </w:tcPr>
                <w:p w14:paraId="2D5ACD2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钻床</w:t>
                  </w:r>
                </w:p>
              </w:tc>
              <w:tc>
                <w:tcPr>
                  <w:tcW w:w="1240" w:type="pct"/>
                  <w:noWrap w:val="0"/>
                  <w:vAlign w:val="center"/>
                </w:tcPr>
                <w:p w14:paraId="1A1CAE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noWrap w:val="0"/>
                  <w:vAlign w:val="center"/>
                </w:tcPr>
                <w:p w14:paraId="38B232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2</w:t>
                  </w:r>
                </w:p>
              </w:tc>
            </w:tr>
            <w:tr w14:paraId="65D0A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vMerge w:val="continue"/>
                  <w:noWrap w:val="0"/>
                  <w:vAlign w:val="center"/>
                </w:tcPr>
                <w:p w14:paraId="6A862FA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706" w:type="pct"/>
                  <w:vMerge w:val="continue"/>
                  <w:noWrap w:val="0"/>
                  <w:vAlign w:val="center"/>
                </w:tcPr>
                <w:p w14:paraId="03A1F8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942" w:type="pct"/>
                  <w:noWrap w:val="0"/>
                  <w:vAlign w:val="center"/>
                </w:tcPr>
                <w:p w14:paraId="360798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内外圆磨床</w:t>
                  </w:r>
                </w:p>
              </w:tc>
              <w:tc>
                <w:tcPr>
                  <w:tcW w:w="1240" w:type="pct"/>
                  <w:noWrap w:val="0"/>
                  <w:vAlign w:val="center"/>
                </w:tcPr>
                <w:p w14:paraId="1ED57FE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noWrap w:val="0"/>
                  <w:vAlign w:val="center"/>
                </w:tcPr>
                <w:p w14:paraId="6410D83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2</w:t>
                  </w:r>
                </w:p>
              </w:tc>
            </w:tr>
            <w:tr w14:paraId="57D74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vMerge w:val="continue"/>
                  <w:noWrap w:val="0"/>
                  <w:vAlign w:val="center"/>
                </w:tcPr>
                <w:p w14:paraId="73672A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706" w:type="pct"/>
                  <w:vMerge w:val="continue"/>
                  <w:noWrap w:val="0"/>
                  <w:vAlign w:val="center"/>
                </w:tcPr>
                <w:p w14:paraId="5DE62F4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942" w:type="pct"/>
                  <w:noWrap w:val="0"/>
                  <w:vAlign w:val="center"/>
                </w:tcPr>
                <w:p w14:paraId="5B096B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数控铣床</w:t>
                  </w:r>
                </w:p>
              </w:tc>
              <w:tc>
                <w:tcPr>
                  <w:tcW w:w="1240" w:type="pct"/>
                  <w:noWrap w:val="0"/>
                  <w:vAlign w:val="center"/>
                </w:tcPr>
                <w:p w14:paraId="6356F4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noWrap w:val="0"/>
                  <w:vAlign w:val="center"/>
                </w:tcPr>
                <w:p w14:paraId="14B2C1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3</w:t>
                  </w:r>
                </w:p>
              </w:tc>
            </w:tr>
            <w:tr w14:paraId="5BC08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noWrap w:val="0"/>
                  <w:vAlign w:val="center"/>
                </w:tcPr>
                <w:p w14:paraId="0708E41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检验</w:t>
                  </w:r>
                </w:p>
              </w:tc>
              <w:tc>
                <w:tcPr>
                  <w:tcW w:w="706" w:type="pct"/>
                  <w:noWrap w:val="0"/>
                  <w:vAlign w:val="center"/>
                </w:tcPr>
                <w:p w14:paraId="72D23D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检验</w:t>
                  </w:r>
                </w:p>
              </w:tc>
              <w:tc>
                <w:tcPr>
                  <w:tcW w:w="942" w:type="pct"/>
                  <w:noWrap w:val="0"/>
                  <w:vAlign w:val="center"/>
                </w:tcPr>
                <w:p w14:paraId="24C4E8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光谱仪</w:t>
                  </w:r>
                </w:p>
              </w:tc>
              <w:tc>
                <w:tcPr>
                  <w:tcW w:w="1240" w:type="pct"/>
                  <w:noWrap w:val="0"/>
                  <w:vAlign w:val="center"/>
                </w:tcPr>
                <w:p w14:paraId="71EBC4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noWrap w:val="0"/>
                  <w:vAlign w:val="center"/>
                </w:tcPr>
                <w:p w14:paraId="4ADAC3E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w:t>
                  </w:r>
                </w:p>
              </w:tc>
            </w:tr>
            <w:tr w14:paraId="55DC9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noWrap w:val="0"/>
                  <w:vAlign w:val="center"/>
                </w:tcPr>
                <w:p w14:paraId="2083E1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其他</w:t>
                  </w:r>
                </w:p>
              </w:tc>
              <w:tc>
                <w:tcPr>
                  <w:tcW w:w="706" w:type="pct"/>
                  <w:noWrap w:val="0"/>
                  <w:vAlign w:val="center"/>
                </w:tcPr>
                <w:p w14:paraId="703D8B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942" w:type="pct"/>
                  <w:shd w:val="clear" w:color="auto" w:fill="auto"/>
                  <w:noWrap w:val="0"/>
                  <w:vAlign w:val="center"/>
                </w:tcPr>
                <w:p w14:paraId="137A20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空压机</w:t>
                  </w:r>
                </w:p>
              </w:tc>
              <w:tc>
                <w:tcPr>
                  <w:tcW w:w="1240" w:type="pct"/>
                  <w:shd w:val="clear" w:color="auto" w:fill="auto"/>
                  <w:noWrap w:val="0"/>
                  <w:vAlign w:val="center"/>
                </w:tcPr>
                <w:p w14:paraId="3226713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shd w:val="clear" w:color="auto" w:fill="auto"/>
                  <w:noWrap w:val="0"/>
                  <w:vAlign w:val="center"/>
                </w:tcPr>
                <w:p w14:paraId="17BB63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2</w:t>
                  </w:r>
                </w:p>
              </w:tc>
            </w:tr>
            <w:tr w14:paraId="29A70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vMerge w:val="restart"/>
                  <w:noWrap w:val="0"/>
                  <w:vAlign w:val="center"/>
                </w:tcPr>
                <w:p w14:paraId="632BFF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公用单元</w:t>
                  </w:r>
                </w:p>
              </w:tc>
              <w:tc>
                <w:tcPr>
                  <w:tcW w:w="706" w:type="pct"/>
                  <w:noWrap w:val="0"/>
                  <w:vAlign w:val="center"/>
                </w:tcPr>
                <w:p w14:paraId="64395E6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废水处理</w:t>
                  </w:r>
                </w:p>
              </w:tc>
              <w:tc>
                <w:tcPr>
                  <w:tcW w:w="942" w:type="pct"/>
                  <w:noWrap w:val="0"/>
                  <w:vAlign w:val="center"/>
                </w:tcPr>
                <w:p w14:paraId="1B274D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化粪池</w:t>
                  </w:r>
                </w:p>
              </w:tc>
              <w:tc>
                <w:tcPr>
                  <w:tcW w:w="1240" w:type="pct"/>
                  <w:noWrap w:val="0"/>
                  <w:vAlign w:val="center"/>
                </w:tcPr>
                <w:p w14:paraId="77203B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shd w:val="clear" w:color="auto" w:fill="auto"/>
                  <w:noWrap w:val="0"/>
                  <w:vAlign w:val="center"/>
                </w:tcPr>
                <w:p w14:paraId="3A762B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1套</w:t>
                  </w:r>
                </w:p>
              </w:tc>
            </w:tr>
            <w:tr w14:paraId="5B75E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vMerge w:val="continue"/>
                  <w:noWrap w:val="0"/>
                  <w:vAlign w:val="center"/>
                </w:tcPr>
                <w:p w14:paraId="3CB255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706" w:type="pct"/>
                  <w:vMerge w:val="restart"/>
                  <w:noWrap w:val="0"/>
                  <w:vAlign w:val="center"/>
                </w:tcPr>
                <w:p w14:paraId="59B607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废气处理</w:t>
                  </w:r>
                </w:p>
              </w:tc>
              <w:tc>
                <w:tcPr>
                  <w:tcW w:w="942" w:type="pct"/>
                  <w:noWrap w:val="0"/>
                  <w:vAlign w:val="center"/>
                </w:tcPr>
                <w:p w14:paraId="58D687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布袋除尘器</w:t>
                  </w:r>
                </w:p>
              </w:tc>
              <w:tc>
                <w:tcPr>
                  <w:tcW w:w="1240" w:type="pct"/>
                  <w:noWrap w:val="0"/>
                  <w:vAlign w:val="center"/>
                </w:tcPr>
                <w:p w14:paraId="73956E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shd w:val="clear" w:color="auto" w:fill="auto"/>
                  <w:noWrap w:val="0"/>
                  <w:vAlign w:val="center"/>
                </w:tcPr>
                <w:p w14:paraId="31D55C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3套</w:t>
                  </w:r>
                </w:p>
              </w:tc>
            </w:tr>
            <w:tr w14:paraId="33DF3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vMerge w:val="continue"/>
                  <w:noWrap w:val="0"/>
                  <w:vAlign w:val="center"/>
                </w:tcPr>
                <w:p w14:paraId="692DB4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706" w:type="pct"/>
                  <w:vMerge w:val="continue"/>
                  <w:noWrap w:val="0"/>
                  <w:vAlign w:val="center"/>
                </w:tcPr>
                <w:p w14:paraId="2BF911C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942" w:type="pct"/>
                  <w:noWrap w:val="0"/>
                  <w:vAlign w:val="center"/>
                </w:tcPr>
                <w:p w14:paraId="36996B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布袋除尘器+二级活性炭吸附装置</w:t>
                  </w:r>
                </w:p>
              </w:tc>
              <w:tc>
                <w:tcPr>
                  <w:tcW w:w="1240" w:type="pct"/>
                  <w:noWrap w:val="0"/>
                  <w:vAlign w:val="center"/>
                </w:tcPr>
                <w:p w14:paraId="423720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1366" w:type="pct"/>
                  <w:noWrap w:val="0"/>
                  <w:vAlign w:val="center"/>
                </w:tcPr>
                <w:p w14:paraId="2BEC907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1套</w:t>
                  </w:r>
                </w:p>
              </w:tc>
            </w:tr>
          </w:tbl>
          <w:p w14:paraId="6EA865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bCs/>
                <w:color w:val="auto"/>
                <w:spacing w:val="0"/>
                <w:w w:val="100"/>
                <w:position w:val="0"/>
                <w:sz w:val="24"/>
                <w:szCs w:val="24"/>
                <w:lang w:val="en-US" w:eastAsia="zh-CN"/>
              </w:rPr>
              <w:t>5、本项目主要原辅料及能源消耗</w:t>
            </w:r>
          </w:p>
          <w:p w14:paraId="78059C11">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baseline"/>
              <w:rPr>
                <w:rFonts w:hint="default" w:ascii="Times New Roman" w:hAnsi="Times New Roman" w:eastAsia="宋体" w:cs="Times New Roman"/>
                <w:b w:val="0"/>
                <w:bCs w:val="0"/>
                <w:color w:val="auto"/>
                <w:spacing w:val="0"/>
                <w:w w:val="100"/>
                <w:kern w:val="2"/>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①本项目</w:t>
            </w:r>
            <w:r>
              <w:rPr>
                <w:rFonts w:hint="default" w:ascii="Times New Roman" w:hAnsi="Times New Roman" w:eastAsia="宋体" w:cs="Times New Roman"/>
                <w:bCs/>
                <w:color w:val="auto"/>
                <w:spacing w:val="0"/>
                <w:w w:val="100"/>
                <w:position w:val="0"/>
                <w:sz w:val="24"/>
                <w:lang w:val="en-US" w:eastAsia="zh-CN"/>
              </w:rPr>
              <w:t>原辅料消耗</w:t>
            </w:r>
            <w:r>
              <w:rPr>
                <w:rFonts w:hint="default" w:ascii="Times New Roman" w:hAnsi="Times New Roman" w:eastAsia="宋体" w:cs="Times New Roman"/>
                <w:bCs/>
                <w:color w:val="auto"/>
                <w:spacing w:val="0"/>
                <w:w w:val="100"/>
                <w:position w:val="0"/>
                <w:sz w:val="24"/>
              </w:rPr>
              <w:t>见表2-</w:t>
            </w:r>
            <w:r>
              <w:rPr>
                <w:rFonts w:hint="default" w:ascii="Times New Roman" w:hAnsi="Times New Roman" w:eastAsia="宋体" w:cs="Times New Roman"/>
                <w:bCs/>
                <w:color w:val="auto"/>
                <w:spacing w:val="0"/>
                <w:w w:val="100"/>
                <w:position w:val="0"/>
                <w:sz w:val="24"/>
                <w:lang w:val="en-US" w:eastAsia="zh-CN"/>
              </w:rPr>
              <w:t>4。</w:t>
            </w:r>
          </w:p>
          <w:p w14:paraId="20A3961E">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outlineLvl w:val="0"/>
              <w:rPr>
                <w:rFonts w:hint="default" w:ascii="Times New Roman" w:hAnsi="Times New Roman" w:eastAsia="宋体" w:cs="Times New Roman"/>
                <w:b/>
                <w:bCs w:val="0"/>
                <w:snapToGrid w:val="0"/>
                <w:color w:val="auto"/>
                <w:spacing w:val="0"/>
                <w:w w:val="100"/>
                <w:position w:val="0"/>
                <w:sz w:val="21"/>
                <w:szCs w:val="21"/>
                <w:lang w:val="en-US" w:eastAsia="zh-CN"/>
              </w:rPr>
            </w:pPr>
            <w:bookmarkStart w:id="10" w:name="_Toc5894"/>
            <w:bookmarkStart w:id="11" w:name="_Toc16702"/>
            <w:bookmarkStart w:id="12" w:name="_Toc6273"/>
            <w:r>
              <w:rPr>
                <w:rFonts w:hint="default" w:ascii="Times New Roman" w:hAnsi="Times New Roman" w:eastAsia="宋体" w:cs="Times New Roman"/>
                <w:b/>
                <w:bCs w:val="0"/>
                <w:snapToGrid w:val="0"/>
                <w:color w:val="auto"/>
                <w:spacing w:val="0"/>
                <w:w w:val="100"/>
                <w:position w:val="0"/>
                <w:sz w:val="21"/>
                <w:szCs w:val="21"/>
                <w:lang w:val="en-US" w:eastAsia="zh-CN"/>
              </w:rPr>
              <w:t>表2-4 本项目原辅料消耗一览表</w:t>
            </w:r>
            <w:bookmarkEnd w:id="10"/>
            <w:bookmarkEnd w:id="11"/>
            <w:bookmarkEnd w:id="12"/>
          </w:p>
          <w:tbl>
            <w:tblPr>
              <w:tblStyle w:val="59"/>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
              <w:gridCol w:w="1351"/>
              <w:gridCol w:w="1287"/>
              <w:gridCol w:w="1263"/>
              <w:gridCol w:w="1086"/>
              <w:gridCol w:w="1406"/>
              <w:gridCol w:w="1102"/>
            </w:tblGrid>
            <w:tr w14:paraId="587F4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91" w:type="pct"/>
                  <w:noWrap w:val="0"/>
                  <w:vAlign w:val="center"/>
                </w:tcPr>
                <w:p w14:paraId="72CBB9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序号</w:t>
                  </w:r>
                </w:p>
              </w:tc>
              <w:tc>
                <w:tcPr>
                  <w:tcW w:w="848" w:type="pct"/>
                  <w:noWrap w:val="0"/>
                  <w:vAlign w:val="center"/>
                </w:tcPr>
                <w:p w14:paraId="0AA748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原辅料贮存位置</w:t>
                  </w:r>
                </w:p>
              </w:tc>
              <w:tc>
                <w:tcPr>
                  <w:tcW w:w="808" w:type="pct"/>
                  <w:noWrap w:val="0"/>
                  <w:vAlign w:val="center"/>
                </w:tcPr>
                <w:p w14:paraId="2FD1D8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原辅材料名称</w:t>
                  </w:r>
                </w:p>
              </w:tc>
              <w:tc>
                <w:tcPr>
                  <w:tcW w:w="793" w:type="pct"/>
                  <w:noWrap w:val="0"/>
                  <w:vAlign w:val="center"/>
                </w:tcPr>
                <w:p w14:paraId="317D1D1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年消耗量</w:t>
                  </w:r>
                </w:p>
              </w:tc>
              <w:tc>
                <w:tcPr>
                  <w:tcW w:w="682" w:type="pct"/>
                  <w:noWrap w:val="0"/>
                  <w:vAlign w:val="center"/>
                </w:tcPr>
                <w:p w14:paraId="293E02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最大贮存量</w:t>
                  </w:r>
                </w:p>
              </w:tc>
              <w:tc>
                <w:tcPr>
                  <w:tcW w:w="883" w:type="pct"/>
                  <w:noWrap w:val="0"/>
                  <w:vAlign w:val="center"/>
                </w:tcPr>
                <w:p w14:paraId="6D6EC4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形态</w:t>
                  </w:r>
                </w:p>
              </w:tc>
              <w:tc>
                <w:tcPr>
                  <w:tcW w:w="692" w:type="pct"/>
                  <w:noWrap w:val="0"/>
                  <w:vAlign w:val="center"/>
                </w:tcPr>
                <w:p w14:paraId="044CB23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来源</w:t>
                  </w:r>
                </w:p>
              </w:tc>
            </w:tr>
            <w:tr w14:paraId="499F6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1" w:type="pct"/>
                  <w:noWrap w:val="0"/>
                  <w:vAlign w:val="center"/>
                </w:tcPr>
                <w:p w14:paraId="7AE025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w:t>
                  </w:r>
                </w:p>
              </w:tc>
              <w:tc>
                <w:tcPr>
                  <w:tcW w:w="848" w:type="pct"/>
                  <w:vMerge w:val="restart"/>
                  <w:noWrap w:val="0"/>
                  <w:vAlign w:val="center"/>
                </w:tcPr>
                <w:p w14:paraId="0C026D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原料区</w:t>
                  </w:r>
                </w:p>
              </w:tc>
              <w:tc>
                <w:tcPr>
                  <w:tcW w:w="808" w:type="pct"/>
                  <w:noWrap w:val="0"/>
                  <w:vAlign w:val="center"/>
                </w:tcPr>
                <w:p w14:paraId="154E774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合金钢</w:t>
                  </w:r>
                </w:p>
              </w:tc>
              <w:tc>
                <w:tcPr>
                  <w:tcW w:w="793" w:type="pct"/>
                  <w:noWrap w:val="0"/>
                  <w:vAlign w:val="center"/>
                </w:tcPr>
                <w:p w14:paraId="792D9B1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1500t</w:t>
                  </w:r>
                </w:p>
              </w:tc>
              <w:tc>
                <w:tcPr>
                  <w:tcW w:w="682" w:type="pct"/>
                  <w:noWrap w:val="0"/>
                  <w:vAlign w:val="center"/>
                </w:tcPr>
                <w:p w14:paraId="3F6BDDD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50t</w:t>
                  </w:r>
                </w:p>
              </w:tc>
              <w:tc>
                <w:tcPr>
                  <w:tcW w:w="883" w:type="pct"/>
                  <w:noWrap w:val="0"/>
                  <w:vAlign w:val="center"/>
                </w:tcPr>
                <w:p w14:paraId="0817B0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固态</w:t>
                  </w:r>
                </w:p>
              </w:tc>
              <w:tc>
                <w:tcPr>
                  <w:tcW w:w="692" w:type="pct"/>
                  <w:noWrap w:val="0"/>
                  <w:vAlign w:val="center"/>
                </w:tcPr>
                <w:p w14:paraId="69D6D0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外购</w:t>
                  </w:r>
                </w:p>
              </w:tc>
            </w:tr>
            <w:tr w14:paraId="668AD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1" w:type="pct"/>
                  <w:noWrap w:val="0"/>
                  <w:vAlign w:val="center"/>
                </w:tcPr>
                <w:p w14:paraId="1B4B91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2</w:t>
                  </w:r>
                </w:p>
              </w:tc>
              <w:tc>
                <w:tcPr>
                  <w:tcW w:w="848" w:type="pct"/>
                  <w:vMerge w:val="continue"/>
                  <w:noWrap w:val="0"/>
                  <w:vAlign w:val="center"/>
                </w:tcPr>
                <w:p w14:paraId="7664EB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808" w:type="pct"/>
                  <w:noWrap w:val="0"/>
                  <w:vAlign w:val="center"/>
                </w:tcPr>
                <w:p w14:paraId="0C291E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高铬钢</w:t>
                  </w:r>
                </w:p>
              </w:tc>
              <w:tc>
                <w:tcPr>
                  <w:tcW w:w="793" w:type="pct"/>
                  <w:noWrap w:val="0"/>
                  <w:vAlign w:val="center"/>
                </w:tcPr>
                <w:p w14:paraId="372EFF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500t</w:t>
                  </w:r>
                </w:p>
              </w:tc>
              <w:tc>
                <w:tcPr>
                  <w:tcW w:w="682" w:type="pct"/>
                  <w:noWrap w:val="0"/>
                  <w:vAlign w:val="center"/>
                </w:tcPr>
                <w:p w14:paraId="20F6A5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10t</w:t>
                  </w:r>
                </w:p>
              </w:tc>
              <w:tc>
                <w:tcPr>
                  <w:tcW w:w="883" w:type="pct"/>
                  <w:noWrap w:val="0"/>
                  <w:vAlign w:val="center"/>
                </w:tcPr>
                <w:p w14:paraId="1A3E41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固态</w:t>
                  </w:r>
                </w:p>
              </w:tc>
              <w:tc>
                <w:tcPr>
                  <w:tcW w:w="692" w:type="pct"/>
                  <w:noWrap w:val="0"/>
                  <w:vAlign w:val="center"/>
                </w:tcPr>
                <w:p w14:paraId="3EC070B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外购</w:t>
                  </w:r>
                </w:p>
              </w:tc>
            </w:tr>
            <w:tr w14:paraId="0D26F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1" w:type="pct"/>
                  <w:noWrap w:val="0"/>
                  <w:vAlign w:val="center"/>
                </w:tcPr>
                <w:p w14:paraId="78577CE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3</w:t>
                  </w:r>
                </w:p>
              </w:tc>
              <w:tc>
                <w:tcPr>
                  <w:tcW w:w="848" w:type="pct"/>
                  <w:vMerge w:val="continue"/>
                  <w:noWrap w:val="0"/>
                  <w:vAlign w:val="center"/>
                </w:tcPr>
                <w:p w14:paraId="5582D4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808" w:type="pct"/>
                  <w:noWrap w:val="0"/>
                  <w:vAlign w:val="center"/>
                </w:tcPr>
                <w:p w14:paraId="3DC12D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镍板</w:t>
                  </w:r>
                </w:p>
              </w:tc>
              <w:tc>
                <w:tcPr>
                  <w:tcW w:w="793" w:type="pct"/>
                  <w:noWrap w:val="0"/>
                  <w:vAlign w:val="center"/>
                </w:tcPr>
                <w:p w14:paraId="4E9FCF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5t</w:t>
                  </w:r>
                </w:p>
              </w:tc>
              <w:tc>
                <w:tcPr>
                  <w:tcW w:w="682" w:type="pct"/>
                  <w:noWrap w:val="0"/>
                  <w:vAlign w:val="center"/>
                </w:tcPr>
                <w:p w14:paraId="0C8145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1t</w:t>
                  </w:r>
                </w:p>
              </w:tc>
              <w:tc>
                <w:tcPr>
                  <w:tcW w:w="883" w:type="pct"/>
                  <w:noWrap w:val="0"/>
                  <w:vAlign w:val="center"/>
                </w:tcPr>
                <w:p w14:paraId="772B11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固态</w:t>
                  </w:r>
                </w:p>
              </w:tc>
              <w:tc>
                <w:tcPr>
                  <w:tcW w:w="692" w:type="pct"/>
                  <w:noWrap w:val="0"/>
                  <w:vAlign w:val="center"/>
                </w:tcPr>
                <w:p w14:paraId="4FA290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外购</w:t>
                  </w:r>
                </w:p>
              </w:tc>
            </w:tr>
            <w:tr w14:paraId="6687A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1" w:type="pct"/>
                  <w:noWrap w:val="0"/>
                  <w:vAlign w:val="center"/>
                </w:tcPr>
                <w:p w14:paraId="7490C1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4</w:t>
                  </w:r>
                </w:p>
              </w:tc>
              <w:tc>
                <w:tcPr>
                  <w:tcW w:w="848" w:type="pct"/>
                  <w:vMerge w:val="continue"/>
                  <w:noWrap w:val="0"/>
                  <w:vAlign w:val="center"/>
                </w:tcPr>
                <w:p w14:paraId="01428F5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808" w:type="pct"/>
                  <w:noWrap w:val="0"/>
                  <w:vAlign w:val="center"/>
                </w:tcPr>
                <w:p w14:paraId="25425D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钼铁</w:t>
                  </w:r>
                </w:p>
              </w:tc>
              <w:tc>
                <w:tcPr>
                  <w:tcW w:w="793" w:type="pct"/>
                  <w:noWrap w:val="0"/>
                  <w:vAlign w:val="center"/>
                </w:tcPr>
                <w:p w14:paraId="22D08D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30t</w:t>
                  </w:r>
                </w:p>
              </w:tc>
              <w:tc>
                <w:tcPr>
                  <w:tcW w:w="682" w:type="pct"/>
                  <w:noWrap w:val="0"/>
                  <w:vAlign w:val="center"/>
                </w:tcPr>
                <w:p w14:paraId="464E74E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2t</w:t>
                  </w:r>
                </w:p>
              </w:tc>
              <w:tc>
                <w:tcPr>
                  <w:tcW w:w="883" w:type="pct"/>
                  <w:noWrap w:val="0"/>
                  <w:vAlign w:val="center"/>
                </w:tcPr>
                <w:p w14:paraId="79E6D53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固态</w:t>
                  </w:r>
                </w:p>
              </w:tc>
              <w:tc>
                <w:tcPr>
                  <w:tcW w:w="692" w:type="pct"/>
                  <w:noWrap w:val="0"/>
                  <w:vAlign w:val="center"/>
                </w:tcPr>
                <w:p w14:paraId="20EB11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外购</w:t>
                  </w:r>
                </w:p>
              </w:tc>
            </w:tr>
            <w:tr w14:paraId="4FBB2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1" w:type="pct"/>
                  <w:noWrap w:val="0"/>
                  <w:vAlign w:val="center"/>
                </w:tcPr>
                <w:p w14:paraId="39BAC7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5</w:t>
                  </w:r>
                </w:p>
              </w:tc>
              <w:tc>
                <w:tcPr>
                  <w:tcW w:w="848" w:type="pct"/>
                  <w:vMerge w:val="restart"/>
                  <w:noWrap w:val="0"/>
                  <w:vAlign w:val="center"/>
                </w:tcPr>
                <w:p w14:paraId="04ABF1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808" w:type="pct"/>
                  <w:noWrap w:val="0"/>
                  <w:vAlign w:val="center"/>
                </w:tcPr>
                <w:p w14:paraId="7B9210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稀土</w:t>
                  </w:r>
                </w:p>
              </w:tc>
              <w:tc>
                <w:tcPr>
                  <w:tcW w:w="793" w:type="pct"/>
                  <w:noWrap w:val="0"/>
                  <w:vAlign w:val="center"/>
                </w:tcPr>
                <w:p w14:paraId="6833B9E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0.5t</w:t>
                  </w:r>
                </w:p>
              </w:tc>
              <w:tc>
                <w:tcPr>
                  <w:tcW w:w="682" w:type="pct"/>
                  <w:noWrap w:val="0"/>
                  <w:vAlign w:val="center"/>
                </w:tcPr>
                <w:p w14:paraId="59EDE3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0.5t</w:t>
                  </w:r>
                </w:p>
              </w:tc>
              <w:tc>
                <w:tcPr>
                  <w:tcW w:w="883" w:type="pct"/>
                  <w:noWrap w:val="0"/>
                  <w:vAlign w:val="center"/>
                </w:tcPr>
                <w:p w14:paraId="62EB117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固态</w:t>
                  </w:r>
                </w:p>
              </w:tc>
              <w:tc>
                <w:tcPr>
                  <w:tcW w:w="692" w:type="pct"/>
                  <w:noWrap w:val="0"/>
                  <w:vAlign w:val="center"/>
                </w:tcPr>
                <w:p w14:paraId="5E7D4D5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外购</w:t>
                  </w:r>
                </w:p>
              </w:tc>
            </w:tr>
            <w:tr w14:paraId="628F9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291" w:type="pct"/>
                  <w:noWrap w:val="0"/>
                  <w:vAlign w:val="center"/>
                </w:tcPr>
                <w:p w14:paraId="1FD02A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6</w:t>
                  </w:r>
                </w:p>
              </w:tc>
              <w:tc>
                <w:tcPr>
                  <w:tcW w:w="848" w:type="pct"/>
                  <w:vMerge w:val="continue"/>
                  <w:noWrap w:val="0"/>
                  <w:vAlign w:val="center"/>
                </w:tcPr>
                <w:p w14:paraId="2A7EAA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808" w:type="pct"/>
                  <w:noWrap w:val="0"/>
                  <w:vAlign w:val="center"/>
                </w:tcPr>
                <w:p w14:paraId="573D0C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除渣剂</w:t>
                  </w:r>
                </w:p>
              </w:tc>
              <w:tc>
                <w:tcPr>
                  <w:tcW w:w="793" w:type="pct"/>
                  <w:noWrap w:val="0"/>
                  <w:vAlign w:val="center"/>
                </w:tcPr>
                <w:p w14:paraId="7E3471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0.3t</w:t>
                  </w:r>
                </w:p>
              </w:tc>
              <w:tc>
                <w:tcPr>
                  <w:tcW w:w="682" w:type="pct"/>
                  <w:noWrap w:val="0"/>
                  <w:vAlign w:val="center"/>
                </w:tcPr>
                <w:p w14:paraId="2E4226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0.3t</w:t>
                  </w:r>
                </w:p>
              </w:tc>
              <w:tc>
                <w:tcPr>
                  <w:tcW w:w="883" w:type="pct"/>
                  <w:noWrap w:val="0"/>
                  <w:vAlign w:val="center"/>
                </w:tcPr>
                <w:p w14:paraId="0AFAFA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固态</w:t>
                  </w:r>
                </w:p>
              </w:tc>
              <w:tc>
                <w:tcPr>
                  <w:tcW w:w="692" w:type="pct"/>
                  <w:noWrap w:val="0"/>
                  <w:vAlign w:val="center"/>
                </w:tcPr>
                <w:p w14:paraId="241945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外购</w:t>
                  </w:r>
                </w:p>
              </w:tc>
            </w:tr>
            <w:tr w14:paraId="59001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1" w:type="pct"/>
                  <w:noWrap w:val="0"/>
                  <w:vAlign w:val="center"/>
                </w:tcPr>
                <w:p w14:paraId="112ED7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7</w:t>
                  </w:r>
                </w:p>
              </w:tc>
              <w:tc>
                <w:tcPr>
                  <w:tcW w:w="848" w:type="pct"/>
                  <w:vMerge w:val="continue"/>
                  <w:noWrap w:val="0"/>
                  <w:vAlign w:val="center"/>
                </w:tcPr>
                <w:p w14:paraId="7169BD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808" w:type="pct"/>
                  <w:noWrap w:val="0"/>
                  <w:vAlign w:val="center"/>
                </w:tcPr>
                <w:p w14:paraId="062596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铜</w:t>
                  </w:r>
                </w:p>
              </w:tc>
              <w:tc>
                <w:tcPr>
                  <w:tcW w:w="793" w:type="pct"/>
                  <w:noWrap w:val="0"/>
                  <w:vAlign w:val="center"/>
                </w:tcPr>
                <w:p w14:paraId="3956257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5t</w:t>
                  </w:r>
                </w:p>
              </w:tc>
              <w:tc>
                <w:tcPr>
                  <w:tcW w:w="682" w:type="pct"/>
                  <w:noWrap w:val="0"/>
                  <w:vAlign w:val="center"/>
                </w:tcPr>
                <w:p w14:paraId="57B35E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1t</w:t>
                  </w:r>
                </w:p>
              </w:tc>
              <w:tc>
                <w:tcPr>
                  <w:tcW w:w="883" w:type="pct"/>
                  <w:noWrap w:val="0"/>
                  <w:vAlign w:val="center"/>
                </w:tcPr>
                <w:p w14:paraId="06E9F5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固态</w:t>
                  </w:r>
                </w:p>
              </w:tc>
              <w:tc>
                <w:tcPr>
                  <w:tcW w:w="692" w:type="pct"/>
                  <w:noWrap w:val="0"/>
                  <w:vAlign w:val="center"/>
                </w:tcPr>
                <w:p w14:paraId="4AB00D7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外购</w:t>
                  </w:r>
                </w:p>
              </w:tc>
            </w:tr>
            <w:tr w14:paraId="15A70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1" w:type="pct"/>
                  <w:noWrap w:val="0"/>
                  <w:vAlign w:val="center"/>
                </w:tcPr>
                <w:p w14:paraId="4CF086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8</w:t>
                  </w:r>
                </w:p>
              </w:tc>
              <w:tc>
                <w:tcPr>
                  <w:tcW w:w="848" w:type="pct"/>
                  <w:vMerge w:val="continue"/>
                  <w:noWrap w:val="0"/>
                  <w:vAlign w:val="center"/>
                </w:tcPr>
                <w:p w14:paraId="7043824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808" w:type="pct"/>
                  <w:noWrap w:val="0"/>
                  <w:vAlign w:val="center"/>
                </w:tcPr>
                <w:p w14:paraId="3900BA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覆膜砂</w:t>
                  </w:r>
                </w:p>
              </w:tc>
              <w:tc>
                <w:tcPr>
                  <w:tcW w:w="793" w:type="pct"/>
                  <w:noWrap w:val="0"/>
                  <w:vAlign w:val="center"/>
                </w:tcPr>
                <w:p w14:paraId="374B17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1000t</w:t>
                  </w:r>
                </w:p>
              </w:tc>
              <w:tc>
                <w:tcPr>
                  <w:tcW w:w="682" w:type="pct"/>
                  <w:noWrap w:val="0"/>
                  <w:vAlign w:val="center"/>
                </w:tcPr>
                <w:p w14:paraId="4ED1A24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5t</w:t>
                  </w:r>
                </w:p>
              </w:tc>
              <w:tc>
                <w:tcPr>
                  <w:tcW w:w="883" w:type="pct"/>
                  <w:noWrap w:val="0"/>
                  <w:vAlign w:val="center"/>
                </w:tcPr>
                <w:p w14:paraId="66BC414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固态</w:t>
                  </w:r>
                </w:p>
              </w:tc>
              <w:tc>
                <w:tcPr>
                  <w:tcW w:w="692" w:type="pct"/>
                  <w:noWrap w:val="0"/>
                  <w:vAlign w:val="center"/>
                </w:tcPr>
                <w:p w14:paraId="416BC6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外购</w:t>
                  </w:r>
                </w:p>
              </w:tc>
            </w:tr>
            <w:tr w14:paraId="2846A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1" w:type="pct"/>
                  <w:noWrap w:val="0"/>
                  <w:vAlign w:val="center"/>
                </w:tcPr>
                <w:p w14:paraId="739274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9</w:t>
                  </w:r>
                </w:p>
              </w:tc>
              <w:tc>
                <w:tcPr>
                  <w:tcW w:w="848" w:type="pct"/>
                  <w:vMerge w:val="continue"/>
                  <w:noWrap w:val="0"/>
                  <w:vAlign w:val="center"/>
                </w:tcPr>
                <w:p w14:paraId="1AD575F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c>
                <w:tcPr>
                  <w:tcW w:w="808" w:type="pct"/>
                  <w:noWrap w:val="0"/>
                  <w:vAlign w:val="center"/>
                </w:tcPr>
                <w:p w14:paraId="5D24A54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水性涂料</w:t>
                  </w:r>
                </w:p>
              </w:tc>
              <w:tc>
                <w:tcPr>
                  <w:tcW w:w="793" w:type="pct"/>
                  <w:noWrap w:val="0"/>
                  <w:vAlign w:val="center"/>
                </w:tcPr>
                <w:p w14:paraId="5C9764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30t</w:t>
                  </w:r>
                </w:p>
              </w:tc>
              <w:tc>
                <w:tcPr>
                  <w:tcW w:w="682" w:type="pct"/>
                  <w:noWrap w:val="0"/>
                  <w:vAlign w:val="center"/>
                </w:tcPr>
                <w:p w14:paraId="391D162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2t</w:t>
                  </w:r>
                </w:p>
              </w:tc>
              <w:tc>
                <w:tcPr>
                  <w:tcW w:w="883" w:type="pct"/>
                  <w:noWrap w:val="0"/>
                  <w:vAlign w:val="center"/>
                </w:tcPr>
                <w:p w14:paraId="7260E3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液态</w:t>
                  </w:r>
                </w:p>
              </w:tc>
              <w:tc>
                <w:tcPr>
                  <w:tcW w:w="692" w:type="pct"/>
                  <w:noWrap w:val="0"/>
                  <w:vAlign w:val="center"/>
                </w:tcPr>
                <w:p w14:paraId="6EC636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外购</w:t>
                  </w:r>
                </w:p>
              </w:tc>
            </w:tr>
            <w:tr w14:paraId="44BA5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1" w:type="pct"/>
                  <w:noWrap w:val="0"/>
                  <w:vAlign w:val="center"/>
                </w:tcPr>
                <w:p w14:paraId="7B274D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10</w:t>
                  </w:r>
                </w:p>
              </w:tc>
              <w:tc>
                <w:tcPr>
                  <w:tcW w:w="848" w:type="pct"/>
                  <w:noWrap w:val="0"/>
                  <w:vAlign w:val="center"/>
                </w:tcPr>
                <w:p w14:paraId="64D3D4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808" w:type="pct"/>
                  <w:noWrap w:val="0"/>
                  <w:vAlign w:val="center"/>
                </w:tcPr>
                <w:p w14:paraId="41F775A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水</w:t>
                  </w:r>
                </w:p>
              </w:tc>
              <w:tc>
                <w:tcPr>
                  <w:tcW w:w="793" w:type="pct"/>
                  <w:shd w:val="clear" w:color="auto" w:fill="auto"/>
                  <w:noWrap w:val="0"/>
                  <w:vAlign w:val="center"/>
                </w:tcPr>
                <w:p w14:paraId="270678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912m</w:t>
                  </w:r>
                  <w:r>
                    <w:rPr>
                      <w:rFonts w:hint="default" w:ascii="Times New Roman" w:hAnsi="Times New Roman" w:eastAsia="宋体" w:cs="Times New Roman"/>
                      <w:color w:val="auto"/>
                      <w:spacing w:val="0"/>
                      <w:w w:val="100"/>
                      <w:position w:val="0"/>
                      <w:sz w:val="21"/>
                      <w:szCs w:val="21"/>
                      <w:highlight w:val="none"/>
                      <w:vertAlign w:val="superscript"/>
                      <w:lang w:val="en-US" w:eastAsia="zh-CN"/>
                    </w:rPr>
                    <w:t>3</w:t>
                  </w:r>
                  <w:r>
                    <w:rPr>
                      <w:rFonts w:hint="default" w:ascii="Times New Roman" w:hAnsi="Times New Roman" w:eastAsia="宋体" w:cs="Times New Roman"/>
                      <w:color w:val="auto"/>
                      <w:spacing w:val="0"/>
                      <w:w w:val="100"/>
                      <w:position w:val="0"/>
                      <w:sz w:val="21"/>
                      <w:szCs w:val="21"/>
                      <w:highlight w:val="none"/>
                      <w:lang w:val="en-US" w:eastAsia="zh-CN"/>
                    </w:rPr>
                    <w:t>/a</w:t>
                  </w:r>
                </w:p>
              </w:tc>
              <w:tc>
                <w:tcPr>
                  <w:tcW w:w="682" w:type="pct"/>
                  <w:noWrap w:val="0"/>
                  <w:vAlign w:val="center"/>
                </w:tcPr>
                <w:p w14:paraId="7314F9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883" w:type="pct"/>
                  <w:noWrap w:val="0"/>
                  <w:vAlign w:val="center"/>
                </w:tcPr>
                <w:p w14:paraId="0A4556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区域给水管网供给</w:t>
                  </w:r>
                </w:p>
              </w:tc>
              <w:tc>
                <w:tcPr>
                  <w:tcW w:w="692" w:type="pct"/>
                  <w:noWrap w:val="0"/>
                  <w:vAlign w:val="center"/>
                </w:tcPr>
                <w:p w14:paraId="3577E7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区域给水管网供给</w:t>
                  </w:r>
                </w:p>
              </w:tc>
            </w:tr>
            <w:tr w14:paraId="12276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91" w:type="pct"/>
                  <w:noWrap w:val="0"/>
                  <w:vAlign w:val="center"/>
                </w:tcPr>
                <w:p w14:paraId="46075E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11</w:t>
                  </w:r>
                </w:p>
              </w:tc>
              <w:tc>
                <w:tcPr>
                  <w:tcW w:w="848" w:type="pct"/>
                  <w:noWrap w:val="0"/>
                  <w:vAlign w:val="center"/>
                </w:tcPr>
                <w:p w14:paraId="104239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808" w:type="pct"/>
                  <w:noWrap w:val="0"/>
                  <w:vAlign w:val="center"/>
                </w:tcPr>
                <w:p w14:paraId="3E6807F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电</w:t>
                  </w:r>
                </w:p>
              </w:tc>
              <w:tc>
                <w:tcPr>
                  <w:tcW w:w="793" w:type="pct"/>
                  <w:shd w:val="clear" w:color="auto" w:fill="auto"/>
                  <w:noWrap w:val="0"/>
                  <w:vAlign w:val="center"/>
                </w:tcPr>
                <w:p w14:paraId="283F8E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15万Kw·h</w:t>
                  </w:r>
                </w:p>
              </w:tc>
              <w:tc>
                <w:tcPr>
                  <w:tcW w:w="682" w:type="pct"/>
                  <w:noWrap w:val="0"/>
                  <w:vAlign w:val="center"/>
                </w:tcPr>
                <w:p w14:paraId="069B51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883" w:type="pct"/>
                  <w:noWrap w:val="0"/>
                  <w:vAlign w:val="center"/>
                </w:tcPr>
                <w:p w14:paraId="3B9A44A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区域电网供给</w:t>
                  </w:r>
                </w:p>
              </w:tc>
              <w:tc>
                <w:tcPr>
                  <w:tcW w:w="692" w:type="pct"/>
                  <w:noWrap w:val="0"/>
                  <w:vAlign w:val="center"/>
                </w:tcPr>
                <w:p w14:paraId="3BAFD9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区域电网供给</w:t>
                  </w:r>
                </w:p>
              </w:tc>
            </w:tr>
          </w:tbl>
          <w:p w14:paraId="0FC627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pacing w:val="0"/>
                <w:w w:val="100"/>
                <w:position w:val="0"/>
                <w:sz w:val="24"/>
                <w:lang w:val="en-US" w:eastAsia="zh-CN"/>
              </w:rPr>
            </w:pPr>
            <w:r>
              <w:rPr>
                <w:rFonts w:hint="default" w:ascii="Times New Roman" w:hAnsi="Times New Roman" w:eastAsia="宋体" w:cs="Times New Roman"/>
                <w:color w:val="auto"/>
                <w:spacing w:val="0"/>
                <w:w w:val="100"/>
                <w:position w:val="0"/>
                <w:sz w:val="24"/>
                <w:lang w:val="en-US" w:eastAsia="zh-CN"/>
              </w:rPr>
              <w:t>②</w:t>
            </w:r>
            <w:r>
              <w:rPr>
                <w:rFonts w:hint="default" w:ascii="Times New Roman" w:hAnsi="Times New Roman" w:eastAsia="宋体" w:cs="Times New Roman"/>
                <w:color w:val="auto"/>
                <w:spacing w:val="0"/>
                <w:w w:val="100"/>
                <w:position w:val="0"/>
                <w:sz w:val="24"/>
              </w:rPr>
              <w:t>原辅材料理化性质</w:t>
            </w:r>
          </w:p>
          <w:p w14:paraId="0D780C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pacing w:val="0"/>
                <w:w w:val="100"/>
                <w:position w:val="0"/>
                <w:sz w:val="20"/>
                <w:lang w:val="en-US" w:eastAsia="zh-CN"/>
              </w:rPr>
            </w:pPr>
            <w:r>
              <w:rPr>
                <w:rFonts w:hint="default" w:ascii="Times New Roman" w:hAnsi="Times New Roman" w:eastAsia="宋体" w:cs="Times New Roman"/>
                <w:color w:val="auto"/>
                <w:spacing w:val="0"/>
                <w:w w:val="100"/>
                <w:position w:val="0"/>
                <w:sz w:val="24"/>
                <w:lang w:val="en-US" w:eastAsia="zh-CN"/>
              </w:rPr>
              <w:t>本项目</w:t>
            </w:r>
            <w:r>
              <w:rPr>
                <w:rFonts w:hint="default" w:ascii="Times New Roman" w:hAnsi="Times New Roman" w:eastAsia="宋体" w:cs="Times New Roman"/>
                <w:color w:val="auto"/>
                <w:spacing w:val="0"/>
                <w:w w:val="100"/>
                <w:position w:val="0"/>
                <w:sz w:val="24"/>
              </w:rPr>
              <w:t>原辅材料理化性质见表2-</w:t>
            </w:r>
            <w:r>
              <w:rPr>
                <w:rFonts w:hint="default" w:ascii="Times New Roman" w:hAnsi="Times New Roman" w:eastAsia="宋体" w:cs="Times New Roman"/>
                <w:color w:val="auto"/>
                <w:spacing w:val="0"/>
                <w:w w:val="100"/>
                <w:position w:val="0"/>
                <w:sz w:val="24"/>
                <w:lang w:val="en-US" w:eastAsia="zh-CN"/>
              </w:rPr>
              <w:t>5</w:t>
            </w:r>
            <w:r>
              <w:rPr>
                <w:rFonts w:hint="default" w:ascii="Times New Roman" w:hAnsi="Times New Roman" w:eastAsia="宋体" w:cs="Times New Roman"/>
                <w:color w:val="auto"/>
                <w:spacing w:val="0"/>
                <w:w w:val="100"/>
                <w:position w:val="0"/>
                <w:sz w:val="24"/>
              </w:rPr>
              <w:t>。</w:t>
            </w:r>
          </w:p>
          <w:p w14:paraId="0A0D0159">
            <w:pPr>
              <w:pStyle w:val="168"/>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360" w:lineRule="auto"/>
              <w:ind w:left="0" w:right="0" w:firstLineChars="0"/>
              <w:textAlignment w:val="baseline"/>
              <w:rPr>
                <w:rFonts w:hint="default" w:ascii="Times New Roman" w:hAnsi="Times New Roman" w:eastAsia="宋体" w:cs="Times New Roman"/>
                <w:b/>
                <w:color w:val="auto"/>
                <w:spacing w:val="0"/>
                <w:w w:val="100"/>
                <w:position w:val="0"/>
                <w:szCs w:val="21"/>
              </w:rPr>
            </w:pPr>
            <w:r>
              <w:rPr>
                <w:rFonts w:hint="default" w:ascii="Times New Roman" w:hAnsi="Times New Roman" w:eastAsia="宋体" w:cs="Times New Roman"/>
                <w:b/>
                <w:color w:val="auto"/>
                <w:spacing w:val="0"/>
                <w:w w:val="100"/>
                <w:position w:val="0"/>
              </w:rPr>
              <w:t>表2-</w:t>
            </w:r>
            <w:r>
              <w:rPr>
                <w:rFonts w:hint="default" w:ascii="Times New Roman" w:hAnsi="Times New Roman" w:eastAsia="宋体" w:cs="Times New Roman"/>
                <w:b/>
                <w:color w:val="auto"/>
                <w:spacing w:val="0"/>
                <w:w w:val="100"/>
                <w:position w:val="0"/>
                <w:lang w:val="en-US" w:eastAsia="zh-CN"/>
              </w:rPr>
              <w:t>5</w:t>
            </w:r>
            <w:r>
              <w:rPr>
                <w:rFonts w:hint="default" w:ascii="Times New Roman" w:hAnsi="Times New Roman" w:eastAsia="宋体" w:cs="Times New Roman"/>
                <w:b/>
                <w:color w:val="auto"/>
                <w:spacing w:val="0"/>
                <w:w w:val="100"/>
                <w:position w:val="0"/>
              </w:rPr>
              <w:t xml:space="preserve"> </w:t>
            </w:r>
            <w:r>
              <w:rPr>
                <w:rFonts w:hint="default" w:ascii="Times New Roman" w:hAnsi="Times New Roman" w:eastAsia="宋体" w:cs="Times New Roman"/>
                <w:b/>
                <w:color w:val="auto"/>
                <w:spacing w:val="0"/>
                <w:w w:val="100"/>
                <w:position w:val="0"/>
                <w:lang w:val="en-US" w:eastAsia="zh-CN"/>
              </w:rPr>
              <w:t>本项目原辅材料</w:t>
            </w:r>
            <w:r>
              <w:rPr>
                <w:rFonts w:hint="default" w:ascii="Times New Roman" w:hAnsi="Times New Roman" w:eastAsia="宋体" w:cs="Times New Roman"/>
                <w:b/>
                <w:color w:val="auto"/>
                <w:spacing w:val="0"/>
                <w:w w:val="100"/>
                <w:position w:val="0"/>
              </w:rPr>
              <w:t>理化性质一览表</w:t>
            </w:r>
          </w:p>
          <w:tbl>
            <w:tblPr>
              <w:tblStyle w:val="59"/>
              <w:tblW w:w="4998"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961"/>
              <w:gridCol w:w="6339"/>
            </w:tblGrid>
            <w:tr w14:paraId="47C25E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0" w:type="pct"/>
                  <w:tcBorders>
                    <w:tl2br w:val="nil"/>
                    <w:tr2bl w:val="nil"/>
                  </w:tcBorders>
                  <w:noWrap w:val="0"/>
                  <w:vAlign w:val="center"/>
                </w:tcPr>
                <w:p w14:paraId="67A00B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序号</w:t>
                  </w:r>
                </w:p>
              </w:tc>
              <w:tc>
                <w:tcPr>
                  <w:tcW w:w="604" w:type="pct"/>
                  <w:tcBorders>
                    <w:tl2br w:val="nil"/>
                    <w:tr2bl w:val="nil"/>
                  </w:tcBorders>
                  <w:noWrap w:val="0"/>
                  <w:vAlign w:val="center"/>
                </w:tcPr>
                <w:p w14:paraId="0305C7A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名称</w:t>
                  </w:r>
                </w:p>
              </w:tc>
              <w:tc>
                <w:tcPr>
                  <w:tcW w:w="3984" w:type="pct"/>
                  <w:tcBorders>
                    <w:tl2br w:val="nil"/>
                    <w:tr2bl w:val="nil"/>
                  </w:tcBorders>
                  <w:noWrap w:val="0"/>
                  <w:vAlign w:val="center"/>
                </w:tcPr>
                <w:p w14:paraId="3FD230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理化性质</w:t>
                  </w:r>
                </w:p>
              </w:tc>
            </w:tr>
            <w:tr w14:paraId="70179E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0" w:type="pct"/>
                  <w:tcBorders>
                    <w:tl2br w:val="nil"/>
                    <w:tr2bl w:val="nil"/>
                  </w:tcBorders>
                  <w:noWrap w:val="0"/>
                  <w:vAlign w:val="center"/>
                </w:tcPr>
                <w:p w14:paraId="249681C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1</w:t>
                  </w:r>
                </w:p>
              </w:tc>
              <w:tc>
                <w:tcPr>
                  <w:tcW w:w="604" w:type="pct"/>
                  <w:tcBorders>
                    <w:tl2br w:val="nil"/>
                    <w:tr2bl w:val="nil"/>
                  </w:tcBorders>
                  <w:shd w:val="clear" w:color="auto" w:fill="auto"/>
                  <w:noWrap w:val="0"/>
                  <w:vAlign w:val="center"/>
                </w:tcPr>
                <w:p w14:paraId="7D909E8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水性涂料</w:t>
                  </w:r>
                </w:p>
              </w:tc>
              <w:tc>
                <w:tcPr>
                  <w:tcW w:w="3984" w:type="pct"/>
                  <w:tcBorders>
                    <w:tl2br w:val="nil"/>
                    <w:tr2bl w:val="nil"/>
                  </w:tcBorders>
                  <w:noWrap w:val="0"/>
                  <w:vAlign w:val="center"/>
                </w:tcPr>
                <w:p w14:paraId="66A8EF9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以水为溶剂，常用粘结剂如聚乙烯醇(PVA)、羧甲基纤维素(CMC)、硅溶胶等。</w:t>
                  </w:r>
                </w:p>
                <w:p w14:paraId="67A3FB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特点：成本低、环保性好，涂层厚度较大(0.5-2mm)，强度较高，但透气性相对较差，需通过添加发泡剂或优化配方改善透气性。</w:t>
                  </w:r>
                </w:p>
                <w:p w14:paraId="052053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适用场景：适用于大多数铸铁、铸钢及有色金属铸件，尤其适合对环保要求高、生产周期较长的场景。</w:t>
                  </w:r>
                </w:p>
              </w:tc>
            </w:tr>
            <w:tr w14:paraId="536377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0" w:type="pct"/>
                  <w:tcBorders>
                    <w:tl2br w:val="nil"/>
                    <w:tr2bl w:val="nil"/>
                  </w:tcBorders>
                  <w:noWrap w:val="0"/>
                  <w:vAlign w:val="center"/>
                </w:tcPr>
                <w:p w14:paraId="2748F0A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2</w:t>
                  </w:r>
                </w:p>
              </w:tc>
              <w:tc>
                <w:tcPr>
                  <w:tcW w:w="604" w:type="pct"/>
                  <w:tcBorders>
                    <w:tl2br w:val="nil"/>
                    <w:tr2bl w:val="nil"/>
                  </w:tcBorders>
                  <w:shd w:val="clear" w:color="auto" w:fill="auto"/>
                  <w:noWrap w:val="0"/>
                  <w:vAlign w:val="center"/>
                </w:tcPr>
                <w:p w14:paraId="28C1F7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除渣剂</w:t>
                  </w:r>
                </w:p>
              </w:tc>
              <w:tc>
                <w:tcPr>
                  <w:tcW w:w="3984" w:type="pct"/>
                  <w:tcBorders>
                    <w:tl2br w:val="nil"/>
                    <w:tr2bl w:val="nil"/>
                  </w:tcBorders>
                  <w:noWrap w:val="0"/>
                  <w:vAlign w:val="center"/>
                </w:tcPr>
                <w:p w14:paraId="78BD043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外观与性质：灰白色 / 浅灰色颗粒状固体，无气味，粒度 18～80 目。</w:t>
                  </w:r>
                </w:p>
                <w:p w14:paraId="4F067DE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主要成分：二氧化硅 (SiO₂)、氧化铝 (Al₂O₃)、氧化钙 (CaO)、氧化镁 (MgO)、氧化铁 (Fe₂O₃) 等铝硅酸盐矿物。</w:t>
                  </w:r>
                </w:p>
                <w:p w14:paraId="79C6FF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理化性质：堆积密度 0.8～1.2g/cm³，pH6～8，不溶于水，熔点 1200～1550℃，常温下稳定不分解。</w:t>
                  </w:r>
                </w:p>
              </w:tc>
            </w:tr>
          </w:tbl>
          <w:p w14:paraId="4EEF77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outlineLvl w:val="9"/>
              <w:rPr>
                <w:rFonts w:hint="default" w:ascii="Times New Roman" w:hAnsi="Times New Roman" w:cs="Times New Roman" w:eastAsiaTheme="minorEastAsia"/>
                <w:b/>
                <w:bCs/>
                <w:color w:val="auto"/>
                <w:spacing w:val="0"/>
                <w:w w:val="100"/>
                <w:position w:val="0"/>
                <w:sz w:val="24"/>
                <w:highlight w:val="none"/>
                <w:lang w:val="en-US" w:eastAsia="zh-CN"/>
              </w:rPr>
            </w:pPr>
            <w:r>
              <w:rPr>
                <w:rFonts w:hint="default" w:ascii="Times New Roman" w:hAnsi="Times New Roman" w:eastAsia="宋体" w:cs="Times New Roman"/>
                <w:b/>
                <w:bCs/>
                <w:color w:val="auto"/>
                <w:spacing w:val="0"/>
                <w:w w:val="100"/>
                <w:position w:val="0"/>
                <w:sz w:val="24"/>
                <w:szCs w:val="24"/>
                <w:highlight w:val="none"/>
                <w:lang w:val="en-US" w:eastAsia="zh-CN"/>
              </w:rPr>
              <w:t>6、</w:t>
            </w:r>
            <w:r>
              <w:rPr>
                <w:rFonts w:hint="default" w:ascii="Times New Roman" w:hAnsi="Times New Roman" w:cs="Times New Roman" w:eastAsiaTheme="minorEastAsia"/>
                <w:b/>
                <w:bCs/>
                <w:color w:val="auto"/>
                <w:spacing w:val="0"/>
                <w:w w:val="100"/>
                <w:position w:val="0"/>
                <w:sz w:val="24"/>
                <w:highlight w:val="none"/>
                <w:lang w:val="en-US" w:eastAsia="zh-CN"/>
              </w:rPr>
              <w:t>公用工程</w:t>
            </w:r>
          </w:p>
          <w:p w14:paraId="7D65E63E">
            <w:pPr>
              <w:pStyle w:val="32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480"/>
              <w:jc w:val="both"/>
              <w:textAlignment w:val="auto"/>
              <w:outlineLvl w:val="9"/>
              <w:rPr>
                <w:rFonts w:hint="default" w:ascii="Times New Roman" w:hAnsi="Times New Roman" w:cs="Times New Roman" w:eastAsiaTheme="minorEastAsia"/>
                <w:color w:val="auto"/>
                <w:spacing w:val="0"/>
                <w:w w:val="100"/>
                <w:sz w:val="24"/>
                <w:szCs w:val="24"/>
                <w:highlight w:val="none"/>
                <w:lang w:val="en-US" w:eastAsia="zh-CN"/>
              </w:rPr>
            </w:pPr>
            <w:r>
              <w:rPr>
                <w:rFonts w:hint="default" w:ascii="Times New Roman" w:hAnsi="Times New Roman" w:cs="Times New Roman" w:eastAsiaTheme="minorEastAsia"/>
                <w:color w:val="auto"/>
                <w:spacing w:val="0"/>
                <w:w w:val="100"/>
                <w:sz w:val="24"/>
                <w:szCs w:val="24"/>
                <w:highlight w:val="none"/>
                <w:lang w:eastAsia="zh-CN"/>
              </w:rPr>
              <w:t>（</w:t>
            </w:r>
            <w:r>
              <w:rPr>
                <w:rFonts w:hint="default" w:ascii="Times New Roman" w:hAnsi="Times New Roman" w:cs="Times New Roman" w:eastAsiaTheme="minorEastAsia"/>
                <w:color w:val="auto"/>
                <w:spacing w:val="0"/>
                <w:w w:val="100"/>
                <w:sz w:val="24"/>
                <w:szCs w:val="24"/>
                <w:highlight w:val="none"/>
                <w:lang w:val="en-US" w:eastAsia="zh-CN"/>
              </w:rPr>
              <w:t>1</w:t>
            </w:r>
            <w:r>
              <w:rPr>
                <w:rFonts w:hint="default" w:ascii="Times New Roman" w:hAnsi="Times New Roman" w:cs="Times New Roman" w:eastAsiaTheme="minorEastAsia"/>
                <w:color w:val="auto"/>
                <w:spacing w:val="0"/>
                <w:w w:val="100"/>
                <w:sz w:val="24"/>
                <w:szCs w:val="24"/>
                <w:highlight w:val="none"/>
                <w:lang w:eastAsia="zh-CN"/>
              </w:rPr>
              <w:t>）</w:t>
            </w:r>
            <w:r>
              <w:rPr>
                <w:rFonts w:hint="default" w:ascii="Times New Roman" w:hAnsi="Times New Roman" w:cs="Times New Roman" w:eastAsiaTheme="minorEastAsia"/>
                <w:color w:val="auto"/>
                <w:spacing w:val="0"/>
                <w:w w:val="100"/>
                <w:sz w:val="24"/>
                <w:szCs w:val="24"/>
                <w:highlight w:val="none"/>
                <w:lang w:val="en-US" w:eastAsia="zh-CN"/>
              </w:rPr>
              <w:t>给排水</w:t>
            </w:r>
          </w:p>
          <w:p w14:paraId="01375A39">
            <w:pPr>
              <w:pStyle w:val="32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480"/>
              <w:jc w:val="both"/>
              <w:textAlignment w:val="auto"/>
              <w:outlineLvl w:val="9"/>
              <w:rPr>
                <w:rFonts w:hint="default" w:ascii="Times New Roman" w:hAnsi="Times New Roman" w:cs="Times New Roman" w:eastAsiaTheme="minorEastAsia"/>
                <w:color w:val="auto"/>
                <w:spacing w:val="0"/>
                <w:w w:val="100"/>
                <w:sz w:val="24"/>
                <w:szCs w:val="24"/>
                <w:highlight w:val="none"/>
              </w:rPr>
            </w:pPr>
            <w:r>
              <w:rPr>
                <w:rFonts w:hint="default" w:ascii="Times New Roman" w:hAnsi="Times New Roman" w:cs="Times New Roman" w:eastAsiaTheme="minorEastAsia"/>
                <w:color w:val="auto"/>
                <w:spacing w:val="0"/>
                <w:w w:val="100"/>
                <w:sz w:val="24"/>
                <w:szCs w:val="24"/>
                <w:highlight w:val="none"/>
              </w:rPr>
              <w:t>项目位于</w:t>
            </w:r>
            <w:r>
              <w:rPr>
                <w:rFonts w:hint="default" w:ascii="Times New Roman" w:hAnsi="Times New Roman" w:cs="Times New Roman" w:eastAsiaTheme="minorEastAsia"/>
                <w:color w:val="auto"/>
                <w:spacing w:val="0"/>
                <w:w w:val="100"/>
                <w:sz w:val="24"/>
                <w:szCs w:val="24"/>
                <w:highlight w:val="none"/>
                <w:lang w:eastAsia="zh-CN"/>
              </w:rPr>
              <w:t>广西壮族自治区柳州市鹿寨县鹿寨镇金鸡路53号之广西鹿寨化肥有限责任公司厂区内</w:t>
            </w:r>
            <w:r>
              <w:rPr>
                <w:rFonts w:hint="default" w:ascii="Times New Roman" w:hAnsi="Times New Roman" w:cs="Times New Roman" w:eastAsiaTheme="minorEastAsia"/>
                <w:color w:val="auto"/>
                <w:spacing w:val="0"/>
                <w:w w:val="100"/>
                <w:sz w:val="24"/>
                <w:szCs w:val="24"/>
                <w:highlight w:val="none"/>
              </w:rPr>
              <w:t>，区域内铺设有完整自来水管网。项目生产、生活用水接驳区域自来水，供水能力能够满足项目需求。</w:t>
            </w:r>
          </w:p>
          <w:p w14:paraId="7280A317">
            <w:pPr>
              <w:pStyle w:val="326"/>
              <w:keepNext w:val="0"/>
              <w:keepLines w:val="0"/>
              <w:pageBreakBefore w:val="0"/>
              <w:widowControl w:val="0"/>
              <w:suppressLineNumbers w:val="0"/>
              <w:kinsoku/>
              <w:wordWrap/>
              <w:overflowPunct/>
              <w:topLinePunct w:val="0"/>
              <w:bidi w:val="0"/>
              <w:adjustRightInd/>
              <w:snapToGrid/>
              <w:spacing w:before="0" w:beforeAutospacing="0" w:after="0" w:afterAutospacing="0" w:line="360" w:lineRule="auto"/>
              <w:ind w:left="0" w:right="0" w:firstLine="480"/>
              <w:jc w:val="both"/>
              <w:textAlignment w:val="auto"/>
              <w:outlineLvl w:val="9"/>
              <w:rPr>
                <w:rFonts w:hint="default" w:ascii="Times New Roman" w:hAnsi="Times New Roman" w:cs="Times New Roman" w:eastAsiaTheme="minorEastAsia"/>
                <w:color w:val="auto"/>
                <w:spacing w:val="0"/>
                <w:w w:val="100"/>
                <w:sz w:val="24"/>
                <w:szCs w:val="24"/>
                <w:highlight w:val="none"/>
                <w:lang w:val="en-US" w:eastAsia="zh-CN"/>
              </w:rPr>
            </w:pPr>
            <w:r>
              <w:rPr>
                <w:rFonts w:hint="default" w:ascii="Times New Roman" w:hAnsi="Times New Roman" w:cs="Times New Roman" w:eastAsiaTheme="minorEastAsia"/>
                <w:color w:val="auto"/>
                <w:spacing w:val="0"/>
                <w:w w:val="100"/>
                <w:sz w:val="24"/>
                <w:szCs w:val="24"/>
                <w:highlight w:val="none"/>
              </w:rPr>
              <w:t>本项目</w:t>
            </w:r>
            <w:r>
              <w:rPr>
                <w:rFonts w:hint="default" w:ascii="Times New Roman" w:hAnsi="Times New Roman" w:cs="Times New Roman" w:eastAsiaTheme="minorEastAsia"/>
                <w:color w:val="auto"/>
                <w:spacing w:val="0"/>
                <w:w w:val="100"/>
                <w:sz w:val="24"/>
                <w:szCs w:val="24"/>
                <w:highlight w:val="none"/>
                <w:lang w:val="en-US" w:eastAsia="zh-CN"/>
              </w:rPr>
              <w:t>用水主要为涂料调配用水、生活用水。</w:t>
            </w:r>
          </w:p>
          <w:p w14:paraId="22ADEC70">
            <w:pPr>
              <w:pStyle w:val="326"/>
              <w:keepNext w:val="0"/>
              <w:keepLines w:val="0"/>
              <w:pageBreakBefore w:val="0"/>
              <w:widowControl w:val="0"/>
              <w:numPr>
                <w:ilvl w:val="0"/>
                <w:numId w:val="0"/>
              </w:numPr>
              <w:suppressLineNumbers w:val="0"/>
              <w:tabs>
                <w:tab w:val="left" w:pos="954"/>
              </w:tabs>
              <w:kinsoku/>
              <w:wordWrap/>
              <w:overflowPunct/>
              <w:topLinePunct w:val="0"/>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pacing w:val="0"/>
                <w:w w:val="100"/>
                <w:kern w:val="2"/>
                <w:position w:val="0"/>
                <w:sz w:val="24"/>
                <w:szCs w:val="24"/>
                <w:lang w:val="en-US" w:eastAsia="zh-CN"/>
              </w:rPr>
            </w:pPr>
            <w:r>
              <w:rPr>
                <w:rFonts w:hint="default" w:ascii="Times New Roman" w:hAnsi="Times New Roman" w:cs="Times New Roman" w:eastAsiaTheme="minorEastAsia"/>
                <w:color w:val="auto"/>
                <w:spacing w:val="0"/>
                <w:w w:val="100"/>
                <w:sz w:val="24"/>
                <w:szCs w:val="24"/>
                <w:highlight w:val="none"/>
                <w:lang w:val="en-US" w:eastAsia="zh-CN"/>
              </w:rPr>
              <w:t>涂料调配用水：根据建设单位提供资料：100kg涂料中需加入40kg的水，本项目水性涂料年用量为30t，则涂料调配用水</w:t>
            </w:r>
            <w:r>
              <w:rPr>
                <w:rFonts w:hint="default" w:ascii="Times New Roman" w:hAnsi="Times New Roman" w:eastAsia="宋体" w:cs="Times New Roman"/>
                <w:color w:val="auto"/>
                <w:sz w:val="24"/>
                <w:szCs w:val="24"/>
              </w:rPr>
              <w:t>量</w:t>
            </w:r>
            <w:r>
              <w:rPr>
                <w:rFonts w:hint="default" w:ascii="Times New Roman" w:hAnsi="Times New Roman" w:eastAsia="宋体" w:cs="Times New Roman"/>
                <w:color w:val="auto"/>
                <w:spacing w:val="0"/>
                <w:w w:val="100"/>
                <w:kern w:val="2"/>
                <w:position w:val="0"/>
                <w:sz w:val="24"/>
                <w:szCs w:val="24"/>
              </w:rPr>
              <w:t>为</w:t>
            </w:r>
            <w:r>
              <w:rPr>
                <w:rFonts w:hint="default" w:ascii="Times New Roman" w:hAnsi="Times New Roman" w:cs="Times New Roman" w:eastAsiaTheme="minorEastAsia"/>
                <w:color w:val="auto"/>
                <w:spacing w:val="0"/>
                <w:w w:val="100"/>
                <w:sz w:val="24"/>
                <w:szCs w:val="24"/>
                <w:highlight w:val="none"/>
                <w:lang w:val="en-US" w:eastAsia="zh-CN"/>
              </w:rPr>
              <w:t>0.04m</w:t>
            </w:r>
            <w:r>
              <w:rPr>
                <w:rFonts w:hint="default" w:ascii="Times New Roman" w:hAnsi="Times New Roman" w:cs="Times New Roman" w:eastAsiaTheme="minorEastAsia"/>
                <w:color w:val="auto"/>
                <w:spacing w:val="0"/>
                <w:w w:val="100"/>
                <w:sz w:val="24"/>
                <w:szCs w:val="24"/>
                <w:highlight w:val="none"/>
                <w:vertAlign w:val="superscript"/>
                <w:lang w:val="en-US" w:eastAsia="zh-CN"/>
              </w:rPr>
              <w:t>3</w:t>
            </w:r>
            <w:r>
              <w:rPr>
                <w:rFonts w:hint="default" w:ascii="Times New Roman" w:hAnsi="Times New Roman" w:cs="Times New Roman" w:eastAsiaTheme="minorEastAsia"/>
                <w:color w:val="auto"/>
                <w:spacing w:val="0"/>
                <w:w w:val="100"/>
                <w:sz w:val="24"/>
                <w:szCs w:val="24"/>
                <w:highlight w:val="none"/>
                <w:lang w:val="en-US" w:eastAsia="zh-CN"/>
              </w:rPr>
              <w:t>/d</w:t>
            </w:r>
            <w:r>
              <w:rPr>
                <w:rFonts w:hint="default" w:ascii="Times New Roman" w:hAnsi="Times New Roman" w:eastAsia="宋体" w:cs="Times New Roman"/>
                <w:color w:val="auto"/>
                <w:spacing w:val="0"/>
                <w:w w:val="100"/>
                <w:kern w:val="2"/>
                <w:position w:val="0"/>
                <w:sz w:val="24"/>
                <w:szCs w:val="24"/>
                <w:lang w:eastAsia="zh-CN"/>
              </w:rPr>
              <w:t>（</w:t>
            </w:r>
            <w:r>
              <w:rPr>
                <w:rFonts w:hint="default" w:ascii="Times New Roman" w:hAnsi="Times New Roman" w:eastAsia="宋体" w:cs="Times New Roman"/>
                <w:color w:val="auto"/>
                <w:spacing w:val="0"/>
                <w:w w:val="100"/>
                <w:kern w:val="2"/>
                <w:position w:val="0"/>
                <w:sz w:val="24"/>
                <w:szCs w:val="24"/>
                <w:lang w:val="en-US" w:eastAsia="zh-CN"/>
              </w:rPr>
              <w:t>12</w:t>
            </w:r>
            <w:r>
              <w:rPr>
                <w:rFonts w:hint="default" w:ascii="Times New Roman" w:hAnsi="Times New Roman" w:eastAsia="宋体" w:cs="Times New Roman"/>
                <w:color w:val="auto"/>
                <w:spacing w:val="0"/>
                <w:w w:val="100"/>
                <w:kern w:val="2"/>
                <w:position w:val="0"/>
                <w:sz w:val="24"/>
                <w:szCs w:val="24"/>
              </w:rPr>
              <w:t>m</w:t>
            </w:r>
            <w:r>
              <w:rPr>
                <w:rFonts w:hint="default" w:ascii="Times New Roman" w:hAnsi="Times New Roman" w:eastAsia="宋体" w:cs="Times New Roman"/>
                <w:color w:val="auto"/>
                <w:spacing w:val="0"/>
                <w:w w:val="100"/>
                <w:kern w:val="2"/>
                <w:position w:val="0"/>
                <w:sz w:val="24"/>
                <w:szCs w:val="24"/>
                <w:vertAlign w:val="superscript"/>
              </w:rPr>
              <w:t>3</w:t>
            </w:r>
            <w:r>
              <w:rPr>
                <w:rFonts w:hint="default" w:ascii="Times New Roman" w:hAnsi="Times New Roman" w:eastAsia="宋体" w:cs="Times New Roman"/>
                <w:color w:val="auto"/>
                <w:spacing w:val="0"/>
                <w:w w:val="100"/>
                <w:kern w:val="2"/>
                <w:position w:val="0"/>
                <w:sz w:val="24"/>
                <w:szCs w:val="24"/>
              </w:rPr>
              <w:t xml:space="preserve"> /</w:t>
            </w:r>
            <w:r>
              <w:rPr>
                <w:rFonts w:hint="default" w:ascii="Times New Roman" w:hAnsi="Times New Roman" w:eastAsia="宋体" w:cs="Times New Roman"/>
                <w:color w:val="auto"/>
                <w:spacing w:val="0"/>
                <w:w w:val="100"/>
                <w:kern w:val="2"/>
                <w:position w:val="0"/>
                <w:sz w:val="24"/>
                <w:szCs w:val="24"/>
                <w:lang w:val="en-US" w:eastAsia="zh-CN"/>
              </w:rPr>
              <w:t>a</w:t>
            </w:r>
            <w:r>
              <w:rPr>
                <w:rFonts w:hint="default" w:ascii="Times New Roman" w:hAnsi="Times New Roman" w:eastAsia="宋体" w:cs="Times New Roman"/>
                <w:color w:val="auto"/>
                <w:spacing w:val="0"/>
                <w:w w:val="100"/>
                <w:kern w:val="2"/>
                <w:position w:val="0"/>
                <w:sz w:val="24"/>
                <w:szCs w:val="24"/>
                <w:lang w:eastAsia="zh-CN"/>
              </w:rPr>
              <w:t>），</w:t>
            </w:r>
            <w:r>
              <w:rPr>
                <w:rFonts w:hint="default" w:ascii="Times New Roman" w:hAnsi="Times New Roman" w:eastAsia="宋体" w:cs="Times New Roman"/>
                <w:color w:val="auto"/>
                <w:spacing w:val="0"/>
                <w:w w:val="100"/>
                <w:kern w:val="2"/>
                <w:position w:val="0"/>
                <w:sz w:val="24"/>
                <w:szCs w:val="24"/>
                <w:lang w:val="en-US" w:eastAsia="zh-CN"/>
              </w:rPr>
              <w:t>全部损耗，无废水产生。</w:t>
            </w:r>
          </w:p>
          <w:p w14:paraId="30A3B8DF">
            <w:pPr>
              <w:pStyle w:val="326"/>
              <w:keepNext w:val="0"/>
              <w:keepLines w:val="0"/>
              <w:pageBreakBefore w:val="0"/>
              <w:widowControl w:val="0"/>
              <w:numPr>
                <w:ilvl w:val="0"/>
                <w:numId w:val="0"/>
              </w:numPr>
              <w:suppressLineNumbers w:val="0"/>
              <w:tabs>
                <w:tab w:val="left" w:pos="954"/>
              </w:tabs>
              <w:kinsoku/>
              <w:wordWrap/>
              <w:overflowPunct/>
              <w:topLinePunct w:val="0"/>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default" w:ascii="Times New Roman" w:hAnsi="Times New Roman" w:cs="Times New Roman" w:eastAsiaTheme="minorEastAsia"/>
                <w:color w:val="auto"/>
                <w:spacing w:val="0"/>
                <w:w w:val="100"/>
                <w:sz w:val="24"/>
                <w:szCs w:val="24"/>
                <w:highlight w:val="none"/>
                <w:lang w:val="en-US" w:eastAsia="zh-CN"/>
              </w:rPr>
            </w:pPr>
            <w:r>
              <w:rPr>
                <w:rFonts w:hint="default" w:ascii="Times New Roman" w:hAnsi="Times New Roman" w:cs="Times New Roman" w:eastAsiaTheme="minorEastAsia"/>
                <w:color w:val="auto"/>
                <w:spacing w:val="0"/>
                <w:w w:val="100"/>
                <w:sz w:val="24"/>
                <w:szCs w:val="24"/>
                <w:highlight w:val="none"/>
                <w:lang w:val="en-US" w:eastAsia="zh-CN"/>
              </w:rPr>
              <w:t>生活用水：项目总定员为60人，均不住厂。根据《建筑给水排水设计标准》（GB50015-2019），不住厂员工生活用水量按50L/人·d计算，则项目员工日常生活用水量为3m</w:t>
            </w:r>
            <w:r>
              <w:rPr>
                <w:rFonts w:hint="default" w:ascii="Times New Roman" w:hAnsi="Times New Roman" w:cs="Times New Roman" w:eastAsiaTheme="minorEastAsia"/>
                <w:color w:val="auto"/>
                <w:spacing w:val="0"/>
                <w:w w:val="100"/>
                <w:sz w:val="24"/>
                <w:szCs w:val="24"/>
                <w:highlight w:val="none"/>
                <w:vertAlign w:val="superscript"/>
                <w:lang w:val="en-US" w:eastAsia="zh-CN"/>
              </w:rPr>
              <w:t>3</w:t>
            </w:r>
            <w:r>
              <w:rPr>
                <w:rFonts w:hint="default" w:ascii="Times New Roman" w:hAnsi="Times New Roman" w:cs="Times New Roman" w:eastAsiaTheme="minorEastAsia"/>
                <w:color w:val="auto"/>
                <w:spacing w:val="0"/>
                <w:w w:val="100"/>
                <w:sz w:val="24"/>
                <w:szCs w:val="24"/>
                <w:highlight w:val="none"/>
                <w:lang w:val="en-US" w:eastAsia="zh-CN"/>
              </w:rPr>
              <w:t>/d（900m</w:t>
            </w:r>
            <w:r>
              <w:rPr>
                <w:rFonts w:hint="default" w:ascii="Times New Roman" w:hAnsi="Times New Roman" w:cs="Times New Roman" w:eastAsiaTheme="minorEastAsia"/>
                <w:color w:val="auto"/>
                <w:spacing w:val="0"/>
                <w:w w:val="100"/>
                <w:sz w:val="24"/>
                <w:szCs w:val="24"/>
                <w:highlight w:val="none"/>
                <w:vertAlign w:val="superscript"/>
                <w:lang w:val="en-US" w:eastAsia="zh-CN"/>
              </w:rPr>
              <w:t>3</w:t>
            </w:r>
            <w:r>
              <w:rPr>
                <w:rFonts w:hint="default" w:ascii="Times New Roman" w:hAnsi="Times New Roman" w:cs="Times New Roman" w:eastAsiaTheme="minorEastAsia"/>
                <w:color w:val="auto"/>
                <w:spacing w:val="0"/>
                <w:w w:val="100"/>
                <w:sz w:val="24"/>
                <w:szCs w:val="24"/>
                <w:highlight w:val="none"/>
                <w:lang w:val="en-US" w:eastAsia="zh-CN"/>
              </w:rPr>
              <w:t>/a），排放量按用水量的80%计算，则项目生活污水量为2.4m</w:t>
            </w:r>
            <w:r>
              <w:rPr>
                <w:rFonts w:hint="default" w:ascii="Times New Roman" w:hAnsi="Times New Roman" w:cs="Times New Roman" w:eastAsiaTheme="minorEastAsia"/>
                <w:color w:val="auto"/>
                <w:spacing w:val="0"/>
                <w:w w:val="100"/>
                <w:sz w:val="24"/>
                <w:szCs w:val="24"/>
                <w:highlight w:val="none"/>
                <w:vertAlign w:val="superscript"/>
                <w:lang w:val="en-US" w:eastAsia="zh-CN"/>
              </w:rPr>
              <w:t>3</w:t>
            </w:r>
            <w:r>
              <w:rPr>
                <w:rFonts w:hint="default" w:ascii="Times New Roman" w:hAnsi="Times New Roman" w:cs="Times New Roman" w:eastAsiaTheme="minorEastAsia"/>
                <w:color w:val="auto"/>
                <w:spacing w:val="0"/>
                <w:w w:val="100"/>
                <w:sz w:val="24"/>
                <w:szCs w:val="24"/>
                <w:highlight w:val="none"/>
                <w:lang w:val="en-US" w:eastAsia="zh-CN"/>
              </w:rPr>
              <w:t>/d（720m</w:t>
            </w:r>
            <w:r>
              <w:rPr>
                <w:rFonts w:hint="default" w:ascii="Times New Roman" w:hAnsi="Times New Roman" w:cs="Times New Roman" w:eastAsiaTheme="minorEastAsia"/>
                <w:color w:val="auto"/>
                <w:spacing w:val="0"/>
                <w:w w:val="100"/>
                <w:sz w:val="24"/>
                <w:szCs w:val="24"/>
                <w:highlight w:val="none"/>
                <w:vertAlign w:val="superscript"/>
                <w:lang w:val="en-US" w:eastAsia="zh-CN"/>
              </w:rPr>
              <w:t>3</w:t>
            </w:r>
            <w:r>
              <w:rPr>
                <w:rFonts w:hint="default" w:ascii="Times New Roman" w:hAnsi="Times New Roman" w:cs="Times New Roman" w:eastAsiaTheme="minorEastAsia"/>
                <w:color w:val="auto"/>
                <w:spacing w:val="0"/>
                <w:w w:val="100"/>
                <w:sz w:val="24"/>
                <w:szCs w:val="24"/>
                <w:highlight w:val="none"/>
                <w:lang w:val="en-US" w:eastAsia="zh-CN"/>
              </w:rPr>
              <w:t>/a）。生活污水经化粪池处理达《污水综合排放标准》（GB8978-1996）表4中三级标准限值后前期用吸粪车定期清运至污水厂，后期待管网接通后排入污水管网通过市政污水管网输送至鹿寨县城第二污水处理厂处理后排入洛清江。</w:t>
            </w:r>
          </w:p>
          <w:p w14:paraId="19A50B21">
            <w:pPr>
              <w:keepNext w:val="0"/>
              <w:keepLines w:val="0"/>
              <w:widowControl/>
              <w:suppressLineNumbers w:val="0"/>
              <w:adjustRightInd/>
              <w:snapToGrid/>
              <w:spacing w:before="0" w:beforeAutospacing="0" w:after="0" w:afterAutospacing="0"/>
              <w:ind w:left="0" w:right="0" w:firstLine="480"/>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lang w:val="en-US" w:eastAsia="zh-CN"/>
              </w:rPr>
              <w:t>本项目</w:t>
            </w:r>
            <w:r>
              <w:rPr>
                <w:rFonts w:hint="default" w:ascii="Times New Roman" w:hAnsi="Times New Roman" w:eastAsia="宋体" w:cs="Times New Roman"/>
                <w:color w:val="auto"/>
                <w:spacing w:val="0"/>
                <w:w w:val="100"/>
                <w:position w:val="0"/>
                <w:sz w:val="24"/>
                <w:szCs w:val="24"/>
              </w:rPr>
              <w:t>水平衡图见图2-</w:t>
            </w:r>
            <w:r>
              <w:rPr>
                <w:rFonts w:hint="default" w:ascii="Times New Roman" w:hAnsi="Times New Roman" w:eastAsia="宋体" w:cs="Times New Roman"/>
                <w:color w:val="auto"/>
                <w:spacing w:val="0"/>
                <w:w w:val="100"/>
                <w:position w:val="0"/>
                <w:sz w:val="24"/>
                <w:szCs w:val="24"/>
                <w:lang w:val="en-US" w:eastAsia="zh-CN"/>
              </w:rPr>
              <w:t>1</w:t>
            </w:r>
            <w:r>
              <w:rPr>
                <w:rFonts w:hint="default" w:ascii="Times New Roman" w:hAnsi="Times New Roman" w:eastAsia="宋体" w:cs="Times New Roman"/>
                <w:color w:val="auto"/>
                <w:spacing w:val="0"/>
                <w:w w:val="100"/>
                <w:position w:val="0"/>
                <w:sz w:val="24"/>
                <w:szCs w:val="24"/>
              </w:rPr>
              <w:t>，水平衡表见表2-</w:t>
            </w:r>
            <w:r>
              <w:rPr>
                <w:rFonts w:hint="default" w:ascii="Times New Roman" w:hAnsi="Times New Roman" w:eastAsia="宋体" w:cs="Times New Roman"/>
                <w:color w:val="auto"/>
                <w:spacing w:val="0"/>
                <w:w w:val="100"/>
                <w:position w:val="0"/>
                <w:sz w:val="24"/>
                <w:szCs w:val="24"/>
                <w:lang w:val="en-US" w:eastAsia="zh-CN"/>
              </w:rPr>
              <w:t>7</w:t>
            </w:r>
            <w:r>
              <w:rPr>
                <w:rFonts w:hint="default" w:ascii="Times New Roman" w:hAnsi="Times New Roman" w:eastAsia="宋体" w:cs="Times New Roman"/>
                <w:color w:val="auto"/>
                <w:spacing w:val="0"/>
                <w:w w:val="100"/>
                <w:position w:val="0"/>
                <w:sz w:val="24"/>
                <w:szCs w:val="24"/>
              </w:rPr>
              <w:t>。</w:t>
            </w:r>
          </w:p>
          <w:p w14:paraId="230E4FB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等线" w:cs="Times New Roman"/>
                <w:color w:val="auto"/>
                <w:spacing w:val="0"/>
                <w:w w:val="100"/>
                <w:position w:val="0"/>
                <w:sz w:val="20"/>
                <w:lang w:val="en-US" w:eastAsia="zh-CN"/>
              </w:rPr>
            </w:pPr>
            <w:r>
              <w:rPr>
                <w:rFonts w:hint="eastAsia" w:ascii="Times New Roman" w:hAnsi="Times New Roman" w:cs="Times New Roman"/>
                <w:color w:val="auto"/>
                <w:spacing w:val="0"/>
                <w:w w:val="100"/>
                <w:position w:val="0"/>
                <w:sz w:val="20"/>
                <w:lang w:val="en-US" w:eastAsia="zh-CN"/>
              </w:rPr>
              <w:t>****</w:t>
            </w:r>
          </w:p>
          <w:p w14:paraId="2AEBF37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lang w:eastAsia="zh-CN"/>
              </w:rPr>
            </w:pPr>
            <w:r>
              <w:rPr>
                <w:rFonts w:hint="default" w:ascii="Times New Roman" w:hAnsi="Times New Roman" w:eastAsia="宋体" w:cs="Times New Roman"/>
                <w:b/>
                <w:bCs/>
                <w:color w:val="auto"/>
                <w:spacing w:val="0"/>
                <w:w w:val="100"/>
                <w:position w:val="0"/>
                <w:sz w:val="21"/>
              </w:rPr>
              <w:t>图2-</w:t>
            </w:r>
            <w:r>
              <w:rPr>
                <w:rFonts w:hint="default" w:ascii="Times New Roman" w:hAnsi="Times New Roman" w:eastAsia="宋体" w:cs="Times New Roman"/>
                <w:b/>
                <w:bCs/>
                <w:color w:val="auto"/>
                <w:spacing w:val="0"/>
                <w:w w:val="100"/>
                <w:position w:val="0"/>
                <w:sz w:val="21"/>
                <w:lang w:val="en-US" w:eastAsia="zh-CN"/>
              </w:rPr>
              <w:t>1</w:t>
            </w:r>
            <w:r>
              <w:rPr>
                <w:rFonts w:hint="default" w:ascii="Times New Roman" w:hAnsi="Times New Roman" w:eastAsia="宋体" w:cs="Times New Roman"/>
                <w:b/>
                <w:bCs/>
                <w:color w:val="auto"/>
                <w:spacing w:val="0"/>
                <w:w w:val="100"/>
                <w:position w:val="0"/>
                <w:sz w:val="21"/>
              </w:rPr>
              <w:t xml:space="preserve"> </w:t>
            </w:r>
            <w:r>
              <w:rPr>
                <w:rFonts w:hint="default" w:ascii="Times New Roman" w:hAnsi="Times New Roman" w:eastAsia="宋体" w:cs="Times New Roman"/>
                <w:b/>
                <w:bCs/>
                <w:color w:val="auto"/>
                <w:spacing w:val="0"/>
                <w:w w:val="100"/>
                <w:position w:val="0"/>
                <w:sz w:val="21"/>
                <w:lang w:eastAsia="zh-CN"/>
              </w:rPr>
              <w:t>本项目</w:t>
            </w:r>
            <w:r>
              <w:rPr>
                <w:rFonts w:hint="default" w:ascii="Times New Roman" w:hAnsi="Times New Roman" w:eastAsia="宋体" w:cs="Times New Roman"/>
                <w:b/>
                <w:bCs/>
                <w:color w:val="auto"/>
                <w:spacing w:val="0"/>
                <w:w w:val="100"/>
                <w:position w:val="0"/>
                <w:sz w:val="21"/>
              </w:rPr>
              <w:t>水平衡图 单位m</w:t>
            </w:r>
            <w:r>
              <w:rPr>
                <w:rFonts w:hint="default" w:ascii="Times New Roman" w:hAnsi="Times New Roman" w:eastAsia="宋体" w:cs="Times New Roman"/>
                <w:b/>
                <w:bCs/>
                <w:color w:val="auto"/>
                <w:spacing w:val="0"/>
                <w:w w:val="100"/>
                <w:position w:val="0"/>
                <w:sz w:val="21"/>
                <w:vertAlign w:val="superscript"/>
              </w:rPr>
              <w:t>3</w:t>
            </w:r>
            <w:r>
              <w:rPr>
                <w:rFonts w:hint="default" w:ascii="Times New Roman" w:hAnsi="Times New Roman" w:eastAsia="宋体" w:cs="Times New Roman"/>
                <w:b/>
                <w:bCs/>
                <w:color w:val="auto"/>
                <w:spacing w:val="0"/>
                <w:w w:val="100"/>
                <w:position w:val="0"/>
                <w:sz w:val="21"/>
              </w:rPr>
              <w:t>/</w:t>
            </w:r>
            <w:r>
              <w:rPr>
                <w:rFonts w:hint="default" w:ascii="Times New Roman" w:hAnsi="Times New Roman" w:eastAsia="宋体" w:cs="Times New Roman"/>
                <w:b/>
                <w:bCs/>
                <w:color w:val="auto"/>
                <w:spacing w:val="0"/>
                <w:w w:val="100"/>
                <w:position w:val="0"/>
                <w:sz w:val="21"/>
                <w:lang w:val="en-US" w:eastAsia="zh-CN"/>
              </w:rPr>
              <w:t>a</w:t>
            </w:r>
            <w:r>
              <w:rPr>
                <w:rFonts w:hint="eastAsia" w:ascii="Times New Roman" w:hAnsi="Times New Roman" w:eastAsia="宋体" w:cs="Times New Roman"/>
                <w:b/>
                <w:bCs/>
                <w:color w:val="auto"/>
                <w:spacing w:val="0"/>
                <w:w w:val="100"/>
                <w:position w:val="0"/>
                <w:sz w:val="21"/>
                <w:lang w:val="en-US" w:eastAsia="zh-CN"/>
              </w:rPr>
              <w:t>（注：前期用吸粪车定期清运至污水厂，后期待管网接通后排入污水管网通过市政污水管网输送至鹿寨县城第二污水处理厂）</w:t>
            </w:r>
          </w:p>
          <w:p w14:paraId="22588153">
            <w:pPr>
              <w:pStyle w:val="12"/>
              <w:keepNext w:val="0"/>
              <w:keepLines w:val="0"/>
              <w:suppressLineNumbers w:val="0"/>
              <w:adjustRightInd/>
              <w:snapToGrid/>
              <w:spacing w:before="0" w:beforeAutospacing="0" w:after="0" w:afterAutospacing="0" w:line="360" w:lineRule="auto"/>
              <w:ind w:left="0" w:right="0" w:firstLine="0" w:firstLineChars="0"/>
              <w:jc w:val="center"/>
              <w:rPr>
                <w:rFonts w:hint="default" w:ascii="Times New Roman" w:hAnsi="Times New Roman" w:eastAsia="宋体" w:cs="Times New Roman"/>
                <w:b/>
                <w:bCs/>
                <w:color w:val="auto"/>
                <w:spacing w:val="0"/>
                <w:w w:val="100"/>
                <w:position w:val="0"/>
                <w:sz w:val="21"/>
                <w:lang w:eastAsia="zh-CN"/>
              </w:rPr>
            </w:pPr>
            <w:r>
              <w:rPr>
                <w:rFonts w:hint="default" w:ascii="Times New Roman" w:hAnsi="Times New Roman" w:eastAsia="宋体" w:cs="Times New Roman"/>
                <w:b/>
                <w:bCs/>
                <w:color w:val="auto"/>
                <w:spacing w:val="0"/>
                <w:w w:val="100"/>
                <w:position w:val="0"/>
                <w:sz w:val="21"/>
              </w:rPr>
              <w:t>表2-</w:t>
            </w:r>
            <w:r>
              <w:rPr>
                <w:rFonts w:hint="default" w:ascii="Times New Roman" w:hAnsi="Times New Roman" w:eastAsia="宋体" w:cs="Times New Roman"/>
                <w:b/>
                <w:bCs/>
                <w:color w:val="auto"/>
                <w:spacing w:val="0"/>
                <w:w w:val="100"/>
                <w:position w:val="0"/>
                <w:sz w:val="21"/>
                <w:lang w:val="en-US" w:eastAsia="zh-CN"/>
              </w:rPr>
              <w:t>6</w:t>
            </w:r>
            <w:r>
              <w:rPr>
                <w:rFonts w:hint="default" w:ascii="Times New Roman" w:hAnsi="Times New Roman" w:eastAsia="宋体" w:cs="Times New Roman"/>
                <w:b/>
                <w:bCs/>
                <w:color w:val="auto"/>
                <w:spacing w:val="0"/>
                <w:w w:val="100"/>
                <w:position w:val="0"/>
                <w:sz w:val="21"/>
              </w:rPr>
              <w:t xml:space="preserve"> </w:t>
            </w:r>
            <w:r>
              <w:rPr>
                <w:rFonts w:hint="default" w:ascii="Times New Roman" w:hAnsi="Times New Roman" w:eastAsia="宋体" w:cs="Times New Roman"/>
                <w:b/>
                <w:bCs/>
                <w:color w:val="auto"/>
                <w:spacing w:val="0"/>
                <w:w w:val="100"/>
                <w:position w:val="0"/>
                <w:sz w:val="21"/>
                <w:lang w:eastAsia="zh-CN"/>
              </w:rPr>
              <w:t>本项目</w:t>
            </w:r>
            <w:r>
              <w:rPr>
                <w:rFonts w:hint="default" w:ascii="Times New Roman" w:hAnsi="Times New Roman" w:eastAsia="宋体" w:cs="Times New Roman"/>
                <w:b/>
                <w:bCs/>
                <w:color w:val="auto"/>
                <w:spacing w:val="0"/>
                <w:w w:val="100"/>
                <w:position w:val="0"/>
                <w:sz w:val="21"/>
              </w:rPr>
              <w:t>给排水平衡一览表 单位：m</w:t>
            </w:r>
            <w:r>
              <w:rPr>
                <w:rFonts w:hint="default" w:ascii="Times New Roman" w:hAnsi="Times New Roman" w:eastAsia="宋体" w:cs="Times New Roman"/>
                <w:b/>
                <w:bCs/>
                <w:color w:val="auto"/>
                <w:spacing w:val="0"/>
                <w:w w:val="100"/>
                <w:position w:val="0"/>
                <w:sz w:val="21"/>
                <w:vertAlign w:val="superscript"/>
              </w:rPr>
              <w:t>3</w:t>
            </w:r>
            <w:r>
              <w:rPr>
                <w:rFonts w:hint="default" w:ascii="Times New Roman" w:hAnsi="Times New Roman" w:eastAsia="宋体" w:cs="Times New Roman"/>
                <w:b/>
                <w:bCs/>
                <w:color w:val="auto"/>
                <w:spacing w:val="0"/>
                <w:w w:val="100"/>
                <w:position w:val="0"/>
                <w:sz w:val="21"/>
              </w:rPr>
              <w:t>/</w:t>
            </w:r>
            <w:r>
              <w:rPr>
                <w:rFonts w:hint="default" w:ascii="Times New Roman" w:hAnsi="Times New Roman" w:eastAsia="宋体" w:cs="Times New Roman"/>
                <w:b/>
                <w:bCs/>
                <w:color w:val="auto"/>
                <w:spacing w:val="0"/>
                <w:w w:val="100"/>
                <w:position w:val="0"/>
                <w:sz w:val="21"/>
                <w:lang w:val="en-US" w:eastAsia="zh-CN"/>
              </w:rPr>
              <w:t>a</w:t>
            </w:r>
          </w:p>
          <w:tbl>
            <w:tblPr>
              <w:tblStyle w:val="5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0"/>
              <w:gridCol w:w="2139"/>
              <w:gridCol w:w="1222"/>
              <w:gridCol w:w="1222"/>
              <w:gridCol w:w="2289"/>
            </w:tblGrid>
            <w:tr w14:paraId="110A2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027" w:type="pct"/>
                  <w:gridSpan w:val="2"/>
                  <w:noWrap w:val="0"/>
                  <w:vAlign w:val="center"/>
                </w:tcPr>
                <w:p w14:paraId="656570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序号</w:t>
                  </w:r>
                </w:p>
              </w:tc>
              <w:tc>
                <w:tcPr>
                  <w:tcW w:w="767" w:type="pct"/>
                  <w:noWrap w:val="0"/>
                  <w:vAlign w:val="center"/>
                </w:tcPr>
                <w:p w14:paraId="6805A2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w:t>
                  </w:r>
                </w:p>
              </w:tc>
              <w:tc>
                <w:tcPr>
                  <w:tcW w:w="767" w:type="pct"/>
                  <w:noWrap w:val="0"/>
                  <w:vAlign w:val="center"/>
                </w:tcPr>
                <w:p w14:paraId="12C038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2</w:t>
                  </w:r>
                </w:p>
              </w:tc>
              <w:tc>
                <w:tcPr>
                  <w:tcW w:w="1437" w:type="pct"/>
                  <w:vMerge w:val="restart"/>
                  <w:noWrap w:val="0"/>
                  <w:vAlign w:val="center"/>
                </w:tcPr>
                <w:p w14:paraId="56484D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合计</w:t>
                  </w:r>
                </w:p>
              </w:tc>
            </w:tr>
            <w:tr w14:paraId="2A289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027" w:type="pct"/>
                  <w:gridSpan w:val="2"/>
                  <w:noWrap w:val="0"/>
                  <w:vAlign w:val="center"/>
                </w:tcPr>
                <w:p w14:paraId="6704FB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用水环节</w:t>
                  </w:r>
                </w:p>
              </w:tc>
              <w:tc>
                <w:tcPr>
                  <w:tcW w:w="767" w:type="pct"/>
                  <w:noWrap w:val="0"/>
                  <w:vAlign w:val="center"/>
                </w:tcPr>
                <w:p w14:paraId="3006C8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涂料调配用水</w:t>
                  </w:r>
                </w:p>
              </w:tc>
              <w:tc>
                <w:tcPr>
                  <w:tcW w:w="767" w:type="pct"/>
                  <w:noWrap w:val="0"/>
                  <w:vAlign w:val="center"/>
                </w:tcPr>
                <w:p w14:paraId="192484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生活用水</w:t>
                  </w:r>
                </w:p>
              </w:tc>
              <w:tc>
                <w:tcPr>
                  <w:tcW w:w="1437" w:type="pct"/>
                  <w:vMerge w:val="continue"/>
                  <w:noWrap w:val="0"/>
                  <w:vAlign w:val="center"/>
                </w:tcPr>
                <w:p w14:paraId="0D8617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r>
            <w:tr w14:paraId="7D37D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027" w:type="pct"/>
                  <w:gridSpan w:val="2"/>
                  <w:noWrap w:val="0"/>
                  <w:vAlign w:val="center"/>
                </w:tcPr>
                <w:p w14:paraId="326D83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总用水量</w:t>
                  </w:r>
                </w:p>
              </w:tc>
              <w:tc>
                <w:tcPr>
                  <w:tcW w:w="767" w:type="pct"/>
                  <w:noWrap w:val="0"/>
                  <w:vAlign w:val="center"/>
                </w:tcPr>
                <w:p w14:paraId="6BEBAF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12</w:t>
                  </w:r>
                </w:p>
              </w:tc>
              <w:tc>
                <w:tcPr>
                  <w:tcW w:w="767" w:type="pct"/>
                  <w:noWrap w:val="0"/>
                  <w:vAlign w:val="center"/>
                </w:tcPr>
                <w:p w14:paraId="6F87EE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900</w:t>
                  </w:r>
                </w:p>
              </w:tc>
              <w:tc>
                <w:tcPr>
                  <w:tcW w:w="1437" w:type="pct"/>
                  <w:noWrap w:val="0"/>
                  <w:vAlign w:val="center"/>
                </w:tcPr>
                <w:p w14:paraId="497AEB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912</w:t>
                  </w:r>
                </w:p>
              </w:tc>
            </w:tr>
            <w:tr w14:paraId="23FEB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84" w:type="pct"/>
                  <w:vMerge w:val="restart"/>
                  <w:noWrap w:val="0"/>
                  <w:vAlign w:val="center"/>
                </w:tcPr>
                <w:p w14:paraId="4B3AE6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输入水量</w:t>
                  </w:r>
                </w:p>
              </w:tc>
              <w:tc>
                <w:tcPr>
                  <w:tcW w:w="1343" w:type="pct"/>
                  <w:noWrap w:val="0"/>
                  <w:vAlign w:val="center"/>
                </w:tcPr>
                <w:p w14:paraId="00B10DE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新水</w:t>
                  </w:r>
                </w:p>
              </w:tc>
              <w:tc>
                <w:tcPr>
                  <w:tcW w:w="767" w:type="pct"/>
                  <w:noWrap w:val="0"/>
                  <w:vAlign w:val="center"/>
                </w:tcPr>
                <w:p w14:paraId="6F2A64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12</w:t>
                  </w:r>
                </w:p>
              </w:tc>
              <w:tc>
                <w:tcPr>
                  <w:tcW w:w="767" w:type="pct"/>
                  <w:noWrap w:val="0"/>
                  <w:vAlign w:val="center"/>
                </w:tcPr>
                <w:p w14:paraId="6A22A5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900</w:t>
                  </w:r>
                </w:p>
              </w:tc>
              <w:tc>
                <w:tcPr>
                  <w:tcW w:w="1437" w:type="pct"/>
                  <w:vMerge w:val="restart"/>
                  <w:noWrap w:val="0"/>
                  <w:vAlign w:val="center"/>
                </w:tcPr>
                <w:p w14:paraId="369DB7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912</w:t>
                  </w:r>
                </w:p>
              </w:tc>
            </w:tr>
            <w:tr w14:paraId="62B20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84" w:type="pct"/>
                  <w:vMerge w:val="continue"/>
                  <w:noWrap w:val="0"/>
                  <w:vAlign w:val="center"/>
                </w:tcPr>
                <w:p w14:paraId="203203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p>
              </w:tc>
              <w:tc>
                <w:tcPr>
                  <w:tcW w:w="1343" w:type="pct"/>
                  <w:noWrap w:val="0"/>
                  <w:vAlign w:val="center"/>
                </w:tcPr>
                <w:p w14:paraId="4E36C38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原料带入</w:t>
                  </w:r>
                </w:p>
              </w:tc>
              <w:tc>
                <w:tcPr>
                  <w:tcW w:w="767" w:type="pct"/>
                  <w:noWrap w:val="0"/>
                  <w:vAlign w:val="center"/>
                </w:tcPr>
                <w:p w14:paraId="68A8D2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0</w:t>
                  </w:r>
                </w:p>
              </w:tc>
              <w:tc>
                <w:tcPr>
                  <w:tcW w:w="767" w:type="pct"/>
                  <w:noWrap w:val="0"/>
                  <w:vAlign w:val="center"/>
                </w:tcPr>
                <w:p w14:paraId="6483A97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0</w:t>
                  </w:r>
                </w:p>
              </w:tc>
              <w:tc>
                <w:tcPr>
                  <w:tcW w:w="1437" w:type="pct"/>
                  <w:vMerge w:val="continue"/>
                  <w:noWrap w:val="0"/>
                  <w:vAlign w:val="center"/>
                </w:tcPr>
                <w:p w14:paraId="6E7380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r>
            <w:tr w14:paraId="43CCB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84" w:type="pct"/>
                  <w:vMerge w:val="continue"/>
                  <w:noWrap w:val="0"/>
                  <w:vAlign w:val="center"/>
                </w:tcPr>
                <w:p w14:paraId="6D590B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p>
              </w:tc>
              <w:tc>
                <w:tcPr>
                  <w:tcW w:w="1343" w:type="pct"/>
                  <w:noWrap w:val="0"/>
                  <w:vAlign w:val="center"/>
                </w:tcPr>
                <w:p w14:paraId="4275CA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循环水</w:t>
                  </w:r>
                </w:p>
              </w:tc>
              <w:tc>
                <w:tcPr>
                  <w:tcW w:w="767" w:type="pct"/>
                  <w:noWrap w:val="0"/>
                  <w:vAlign w:val="center"/>
                </w:tcPr>
                <w:p w14:paraId="4817610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0</w:t>
                  </w:r>
                </w:p>
              </w:tc>
              <w:tc>
                <w:tcPr>
                  <w:tcW w:w="767" w:type="pct"/>
                  <w:noWrap w:val="0"/>
                  <w:vAlign w:val="center"/>
                </w:tcPr>
                <w:p w14:paraId="125431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0</w:t>
                  </w:r>
                </w:p>
              </w:tc>
              <w:tc>
                <w:tcPr>
                  <w:tcW w:w="1437" w:type="pct"/>
                  <w:vMerge w:val="continue"/>
                  <w:noWrap w:val="0"/>
                  <w:vAlign w:val="center"/>
                </w:tcPr>
                <w:p w14:paraId="12D827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r>
            <w:tr w14:paraId="6BCD2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84" w:type="pct"/>
                  <w:vMerge w:val="restart"/>
                  <w:noWrap w:val="0"/>
                  <w:vAlign w:val="center"/>
                </w:tcPr>
                <w:p w14:paraId="7BF9FAD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输出水量</w:t>
                  </w:r>
                </w:p>
              </w:tc>
              <w:tc>
                <w:tcPr>
                  <w:tcW w:w="1343" w:type="pct"/>
                  <w:noWrap w:val="0"/>
                  <w:vAlign w:val="center"/>
                </w:tcPr>
                <w:p w14:paraId="2B869D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循环水</w:t>
                  </w:r>
                </w:p>
              </w:tc>
              <w:tc>
                <w:tcPr>
                  <w:tcW w:w="767" w:type="pct"/>
                  <w:noWrap w:val="0"/>
                  <w:vAlign w:val="center"/>
                </w:tcPr>
                <w:p w14:paraId="5FF50B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0</w:t>
                  </w:r>
                </w:p>
              </w:tc>
              <w:tc>
                <w:tcPr>
                  <w:tcW w:w="767" w:type="pct"/>
                  <w:noWrap w:val="0"/>
                  <w:vAlign w:val="center"/>
                </w:tcPr>
                <w:p w14:paraId="7A4D51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0</w:t>
                  </w:r>
                </w:p>
              </w:tc>
              <w:tc>
                <w:tcPr>
                  <w:tcW w:w="1437" w:type="pct"/>
                  <w:vMerge w:val="restart"/>
                  <w:noWrap w:val="0"/>
                  <w:vAlign w:val="center"/>
                </w:tcPr>
                <w:p w14:paraId="54DFA6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912</w:t>
                  </w:r>
                </w:p>
              </w:tc>
            </w:tr>
            <w:tr w14:paraId="026A5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84" w:type="pct"/>
                  <w:vMerge w:val="continue"/>
                  <w:noWrap w:val="0"/>
                  <w:vAlign w:val="center"/>
                </w:tcPr>
                <w:p w14:paraId="264543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p>
              </w:tc>
              <w:tc>
                <w:tcPr>
                  <w:tcW w:w="1343" w:type="pct"/>
                  <w:noWrap w:val="0"/>
                  <w:vAlign w:val="center"/>
                </w:tcPr>
                <w:p w14:paraId="255517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损耗水</w:t>
                  </w:r>
                </w:p>
              </w:tc>
              <w:tc>
                <w:tcPr>
                  <w:tcW w:w="767" w:type="pct"/>
                  <w:noWrap w:val="0"/>
                  <w:vAlign w:val="center"/>
                </w:tcPr>
                <w:p w14:paraId="65BEF1E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12</w:t>
                  </w:r>
                </w:p>
              </w:tc>
              <w:tc>
                <w:tcPr>
                  <w:tcW w:w="767" w:type="pct"/>
                  <w:noWrap w:val="0"/>
                  <w:vAlign w:val="center"/>
                </w:tcPr>
                <w:p w14:paraId="764C4D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180</w:t>
                  </w:r>
                </w:p>
              </w:tc>
              <w:tc>
                <w:tcPr>
                  <w:tcW w:w="1437" w:type="pct"/>
                  <w:vMerge w:val="continue"/>
                  <w:noWrap w:val="0"/>
                  <w:vAlign w:val="center"/>
                </w:tcPr>
                <w:p w14:paraId="593881E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r>
            <w:tr w14:paraId="5483A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84" w:type="pct"/>
                  <w:vMerge w:val="continue"/>
                  <w:noWrap w:val="0"/>
                  <w:vAlign w:val="center"/>
                </w:tcPr>
                <w:p w14:paraId="4C5A18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p>
              </w:tc>
              <w:tc>
                <w:tcPr>
                  <w:tcW w:w="1343" w:type="pct"/>
                  <w:noWrap w:val="0"/>
                  <w:vAlign w:val="center"/>
                </w:tcPr>
                <w:p w14:paraId="5BC81B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排水</w:t>
                  </w:r>
                </w:p>
              </w:tc>
              <w:tc>
                <w:tcPr>
                  <w:tcW w:w="767" w:type="pct"/>
                  <w:noWrap w:val="0"/>
                  <w:vAlign w:val="center"/>
                </w:tcPr>
                <w:p w14:paraId="7F72A7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0</w:t>
                  </w:r>
                </w:p>
              </w:tc>
              <w:tc>
                <w:tcPr>
                  <w:tcW w:w="767" w:type="pct"/>
                  <w:noWrap w:val="0"/>
                  <w:vAlign w:val="center"/>
                </w:tcPr>
                <w:p w14:paraId="2E246C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720</w:t>
                  </w:r>
                </w:p>
              </w:tc>
              <w:tc>
                <w:tcPr>
                  <w:tcW w:w="1437" w:type="pct"/>
                  <w:vMerge w:val="continue"/>
                  <w:noWrap w:val="0"/>
                  <w:vAlign w:val="center"/>
                </w:tcPr>
                <w:p w14:paraId="2B464B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p>
              </w:tc>
            </w:tr>
            <w:tr w14:paraId="4DB2C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84" w:type="pct"/>
                  <w:vMerge w:val="continue"/>
                  <w:noWrap w:val="0"/>
                  <w:vAlign w:val="center"/>
                </w:tcPr>
                <w:p w14:paraId="24B475E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p>
              </w:tc>
              <w:tc>
                <w:tcPr>
                  <w:tcW w:w="1343" w:type="pct"/>
                  <w:noWrap w:val="0"/>
                  <w:vAlign w:val="center"/>
                </w:tcPr>
                <w:p w14:paraId="4BDE70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排放方式</w:t>
                  </w:r>
                </w:p>
              </w:tc>
              <w:tc>
                <w:tcPr>
                  <w:tcW w:w="1204" w:type="dxa"/>
                  <w:noWrap w:val="0"/>
                  <w:vAlign w:val="center"/>
                </w:tcPr>
                <w:p w14:paraId="74F28B2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不外排</w:t>
                  </w:r>
                </w:p>
              </w:tc>
              <w:tc>
                <w:tcPr>
                  <w:tcW w:w="1204" w:type="dxa"/>
                  <w:noWrap w:val="0"/>
                  <w:vAlign w:val="center"/>
                </w:tcPr>
                <w:p w14:paraId="5F7BB5E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间歇排放</w:t>
                  </w:r>
                </w:p>
              </w:tc>
              <w:tc>
                <w:tcPr>
                  <w:tcW w:w="1437" w:type="pct"/>
                  <w:noWrap w:val="0"/>
                  <w:vAlign w:val="center"/>
                </w:tcPr>
                <w:p w14:paraId="29ED2B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r>
          </w:tbl>
          <w:p w14:paraId="709C08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bCs/>
                <w:color w:val="auto"/>
                <w:spacing w:val="0"/>
                <w:w w:val="100"/>
                <w:kern w:val="0"/>
                <w:position w:val="0"/>
                <w:sz w:val="24"/>
                <w:szCs w:val="24"/>
                <w:lang w:val="en-US" w:eastAsia="zh-CN"/>
              </w:rPr>
              <w:t>7、劳动定员及工作制度</w:t>
            </w:r>
          </w:p>
          <w:p w14:paraId="42065B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eastAsia" w:ascii="Times New Roman" w:hAnsi="Times New Roman" w:eastAsia="宋体" w:cs="Times New Roman"/>
                <w:b w:val="0"/>
                <w:bCs w:val="0"/>
                <w:color w:val="auto"/>
                <w:spacing w:val="0"/>
                <w:w w:val="100"/>
                <w:kern w:val="0"/>
                <w:position w:val="0"/>
                <w:sz w:val="24"/>
                <w:szCs w:val="24"/>
                <w:lang w:val="en-US" w:eastAsia="zh-CN"/>
              </w:rPr>
              <w:t>*****</w:t>
            </w:r>
            <w:r>
              <w:rPr>
                <w:rFonts w:hint="default" w:ascii="Times New Roman" w:hAnsi="Times New Roman" w:eastAsia="宋体" w:cs="Times New Roman"/>
                <w:b w:val="0"/>
                <w:bCs w:val="0"/>
                <w:color w:val="auto"/>
                <w:spacing w:val="0"/>
                <w:w w:val="100"/>
                <w:kern w:val="0"/>
                <w:position w:val="0"/>
                <w:sz w:val="24"/>
                <w:szCs w:val="24"/>
                <w:lang w:val="en-US" w:eastAsia="zh-CN"/>
              </w:rPr>
              <w:t>。</w:t>
            </w:r>
          </w:p>
          <w:p w14:paraId="74797C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pacing w:val="0"/>
                <w:w w:val="100"/>
                <w:kern w:val="0"/>
                <w:position w:val="0"/>
                <w:sz w:val="24"/>
                <w:szCs w:val="24"/>
                <w:highlight w:val="none"/>
                <w:lang w:val="en-US" w:eastAsia="zh-CN"/>
              </w:rPr>
            </w:pPr>
            <w:r>
              <w:rPr>
                <w:rFonts w:hint="default" w:ascii="Times New Roman" w:hAnsi="Times New Roman" w:eastAsia="宋体" w:cs="Times New Roman"/>
                <w:b/>
                <w:bCs/>
                <w:color w:val="auto"/>
                <w:spacing w:val="0"/>
                <w:w w:val="100"/>
                <w:kern w:val="0"/>
                <w:position w:val="0"/>
                <w:sz w:val="24"/>
                <w:szCs w:val="24"/>
                <w:highlight w:val="none"/>
                <w:lang w:val="en-US" w:eastAsia="zh-CN"/>
              </w:rPr>
              <w:t>8、厂区平面布置</w:t>
            </w:r>
          </w:p>
          <w:p w14:paraId="6B9992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snapToGrid w:val="0"/>
                <w:color w:val="auto"/>
                <w:spacing w:val="0"/>
                <w:w w:val="100"/>
                <w:position w:val="0"/>
                <w:sz w:val="24"/>
                <w:lang w:val="en-US" w:eastAsia="zh-CN"/>
              </w:rPr>
            </w:pPr>
            <w:r>
              <w:rPr>
                <w:rFonts w:hint="default" w:ascii="Times New Roman" w:hAnsi="Times New Roman" w:eastAsia="宋体" w:cs="Times New Roman"/>
                <w:bCs/>
                <w:snapToGrid w:val="0"/>
                <w:color w:val="auto"/>
                <w:spacing w:val="0"/>
                <w:w w:val="100"/>
                <w:position w:val="0"/>
                <w:sz w:val="24"/>
                <w:highlight w:val="none"/>
                <w:lang w:val="en-US" w:eastAsia="zh-CN"/>
              </w:rPr>
              <w:t>项目位于广西壮族自治区柳州市鹿寨县鹿寨镇金鸡路53号，在广西鹿寨高新技术产业开发区</w:t>
            </w:r>
            <w:r>
              <w:rPr>
                <w:rFonts w:hint="default" w:ascii="Times New Roman" w:hAnsi="Times New Roman" w:eastAsia="宋体" w:cs="Times New Roman"/>
                <w:bCs/>
                <w:snapToGrid w:val="0"/>
                <w:color w:val="auto"/>
                <w:spacing w:val="0"/>
                <w:w w:val="100"/>
                <w:position w:val="0"/>
                <w:sz w:val="24"/>
                <w:lang w:val="en-US" w:eastAsia="zh-CN"/>
              </w:rPr>
              <w:t>内，占地面积为3686平方米，建设独立生产钢结构厂房。厂房内部主要划分为车间、成品仓库区、研发检测室、原料区、成品区及办公室等，各功能区分区明确，且预留通道位置，布置合理。</w:t>
            </w:r>
          </w:p>
        </w:tc>
      </w:tr>
      <w:tr w14:paraId="24D753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302" w:type="pct"/>
            <w:noWrap w:val="0"/>
            <w:vAlign w:val="center"/>
          </w:tcPr>
          <w:p w14:paraId="0A6BDB17">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0"/>
              <w:rPr>
                <w:rFonts w:hint="default" w:ascii="Times New Roman" w:hAnsi="Times New Roman" w:eastAsia="宋体" w:cs="Times New Roman"/>
                <w:b w:val="0"/>
                <w:bCs/>
                <w:color w:val="auto"/>
                <w:spacing w:val="0"/>
                <w:w w:val="100"/>
                <w:position w:val="0"/>
                <w:szCs w:val="24"/>
                <w:lang w:val="en-US" w:eastAsia="zh-CN"/>
              </w:rPr>
            </w:pPr>
            <w:bookmarkStart w:id="13" w:name="_Toc12481"/>
            <w:bookmarkStart w:id="14" w:name="_Toc28486"/>
            <w:bookmarkStart w:id="15" w:name="_Toc10462"/>
            <w:r>
              <w:rPr>
                <w:rFonts w:hint="default" w:ascii="Times New Roman" w:hAnsi="Times New Roman" w:eastAsia="宋体" w:cs="Times New Roman"/>
                <w:b w:val="0"/>
                <w:bCs/>
                <w:snapToGrid w:val="0"/>
                <w:color w:val="auto"/>
                <w:spacing w:val="0"/>
                <w:w w:val="100"/>
                <w:position w:val="0"/>
                <w:sz w:val="24"/>
                <w:szCs w:val="24"/>
              </w:rPr>
              <w:t>工艺流程和产排污环节</w:t>
            </w:r>
            <w:bookmarkEnd w:id="13"/>
            <w:bookmarkEnd w:id="14"/>
            <w:bookmarkEnd w:id="15"/>
          </w:p>
        </w:tc>
        <w:tc>
          <w:tcPr>
            <w:tcW w:w="4697" w:type="pct"/>
            <w:noWrap w:val="0"/>
            <w:vAlign w:val="top"/>
          </w:tcPr>
          <w:p w14:paraId="1DD74B3F">
            <w:pPr>
              <w:pStyle w:val="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jc w:val="both"/>
              <w:textAlignment w:val="auto"/>
              <w:outlineLvl w:val="9"/>
              <w:rPr>
                <w:rFonts w:hint="default" w:ascii="Times New Roman" w:hAnsi="Times New Roman" w:eastAsia="宋体" w:cs="Times New Roman"/>
                <w:b/>
                <w:bCs/>
                <w:color w:val="auto"/>
                <w:spacing w:val="0"/>
                <w:w w:val="100"/>
                <w:position w:val="0"/>
                <w:sz w:val="24"/>
                <w:szCs w:val="24"/>
                <w:highlight w:val="none"/>
                <w:lang w:val="en-US" w:eastAsia="zh-CN"/>
              </w:rPr>
            </w:pPr>
            <w:r>
              <w:rPr>
                <w:rFonts w:hint="default" w:ascii="Times New Roman" w:hAnsi="Times New Roman" w:eastAsia="宋体" w:cs="Times New Roman"/>
                <w:b/>
                <w:bCs/>
                <w:color w:val="auto"/>
                <w:spacing w:val="0"/>
                <w:w w:val="100"/>
                <w:position w:val="0"/>
                <w:sz w:val="24"/>
                <w:szCs w:val="24"/>
                <w:highlight w:val="none"/>
                <w:lang w:val="en-US" w:eastAsia="zh-CN"/>
              </w:rPr>
              <w:t>1、施工期施工流程</w:t>
            </w:r>
          </w:p>
          <w:p w14:paraId="4DBB5341">
            <w:pPr>
              <w:pStyle w:val="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本项目租用广西鹿寨化肥有限责任公司闲置车间，项目生产车间已建成，不涉及土建工程。施工期主要进行环保设备安装、调试。</w:t>
            </w:r>
          </w:p>
          <w:p w14:paraId="5561692D">
            <w:pPr>
              <w:pStyle w:val="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项目生产车间已建成，施工期主要进行环保设备安装、调试等，其主要土建等施工期已结束。在设备安装调试过程中，不会造成施工期典型的扬尘、施工机械尾气等污染。项目在设备安装过程中将产生一定的机械敲击噪声、安装过程中产生的包装废弃物等。</w:t>
            </w:r>
          </w:p>
          <w:p w14:paraId="17573748">
            <w:pPr>
              <w:pStyle w:val="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项目设备安装噪声为暂时的环境影响，施工期结束后影响消失。包装废弃物经分类收集后由环卫部门转运处置。</w:t>
            </w:r>
          </w:p>
          <w:p w14:paraId="5C97E545">
            <w:pPr>
              <w:pStyle w:val="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jc w:val="both"/>
              <w:textAlignment w:val="auto"/>
              <w:outlineLvl w:val="9"/>
              <w:rPr>
                <w:rFonts w:hint="default" w:ascii="Times New Roman" w:hAnsi="Times New Roman" w:eastAsia="宋体" w:cs="Times New Roman"/>
                <w:b/>
                <w:bCs/>
                <w:color w:val="auto"/>
                <w:spacing w:val="0"/>
                <w:w w:val="100"/>
                <w:position w:val="0"/>
                <w:sz w:val="24"/>
                <w:szCs w:val="24"/>
                <w:highlight w:val="none"/>
                <w:lang w:val="en-US" w:eastAsia="zh-CN"/>
              </w:rPr>
            </w:pPr>
            <w:r>
              <w:rPr>
                <w:rFonts w:hint="default" w:ascii="Times New Roman" w:hAnsi="Times New Roman" w:eastAsia="宋体" w:cs="Times New Roman"/>
                <w:b/>
                <w:bCs/>
                <w:color w:val="auto"/>
                <w:spacing w:val="0"/>
                <w:w w:val="100"/>
                <w:position w:val="0"/>
                <w:sz w:val="24"/>
                <w:szCs w:val="24"/>
                <w:highlight w:val="none"/>
                <w:lang w:val="en-US" w:eastAsia="zh-CN"/>
              </w:rPr>
              <w:t>2、运营期工艺流程</w:t>
            </w:r>
          </w:p>
          <w:p w14:paraId="58A88955">
            <w:pPr>
              <w:pStyle w:val="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项目生产工艺流程及产污环节图见图2-2。</w:t>
            </w:r>
          </w:p>
          <w:tbl>
            <w:tblPr>
              <w:tblStyle w:val="6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94"/>
            </w:tblGrid>
            <w:tr w14:paraId="28114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94" w:type="dxa"/>
                  <w:tcBorders>
                    <w:tl2br w:val="nil"/>
                    <w:tr2bl w:val="nil"/>
                  </w:tcBorders>
                </w:tcPr>
                <w:p w14:paraId="3EEF6DEC">
                  <w:pPr>
                    <w:keepNext w:val="0"/>
                    <w:keepLines w:val="0"/>
                    <w:suppressLineNumbers w:val="0"/>
                    <w:spacing w:before="0" w:beforeAutospacing="0" w:after="0" w:afterAutospacing="0"/>
                    <w:ind w:left="0" w:right="0" w:firstLine="0" w:firstLineChars="0"/>
                    <w:jc w:val="center"/>
                    <w:rPr>
                      <w:rFonts w:hint="eastAsia" w:ascii="Times New Roman" w:hAnsi="Times New Roman" w:eastAsia="宋体" w:cs="Times New Roman"/>
                      <w:b/>
                      <w:bCs/>
                      <w:color w:val="auto"/>
                      <w:spacing w:val="0"/>
                      <w:w w:val="100"/>
                      <w:position w:val="0"/>
                      <w:sz w:val="21"/>
                      <w:szCs w:val="21"/>
                      <w:lang w:val="en-US" w:eastAsia="zh-CN"/>
                    </w:rPr>
                  </w:pPr>
                  <w:r>
                    <w:rPr>
                      <w:rFonts w:hint="eastAsia" w:ascii="Times New Roman" w:hAnsi="Times New Roman" w:eastAsia="宋体" w:cs="Times New Roman"/>
                      <w:b/>
                      <w:bCs/>
                      <w:color w:val="auto"/>
                      <w:spacing w:val="0"/>
                      <w:w w:val="100"/>
                      <w:position w:val="0"/>
                      <w:sz w:val="21"/>
                      <w:szCs w:val="21"/>
                      <w:lang w:val="en-US" w:eastAsia="zh-CN"/>
                    </w:rPr>
                    <w:t>*******</w:t>
                  </w:r>
                </w:p>
                <w:p w14:paraId="76985684">
                  <w:pPr>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auto"/>
                      <w:spacing w:val="0"/>
                      <w:w w:val="100"/>
                      <w:position w:val="0"/>
                      <w:sz w:val="24"/>
                      <w:szCs w:val="24"/>
                      <w:highlight w:val="none"/>
                      <w:vertAlign w:val="baseline"/>
                      <w:lang w:val="en-US" w:eastAsia="zh-CN"/>
                    </w:rPr>
                  </w:pPr>
                  <w:r>
                    <w:rPr>
                      <w:rFonts w:hint="default" w:ascii="Times New Roman" w:hAnsi="Times New Roman" w:eastAsia="宋体" w:cs="Times New Roman"/>
                      <w:b/>
                      <w:bCs/>
                      <w:color w:val="auto"/>
                      <w:spacing w:val="0"/>
                      <w:w w:val="100"/>
                      <w:position w:val="0"/>
                      <w:sz w:val="21"/>
                      <w:szCs w:val="21"/>
                    </w:rPr>
                    <w:t>图2-</w:t>
                  </w:r>
                  <w:r>
                    <w:rPr>
                      <w:rFonts w:hint="default" w:ascii="Times New Roman" w:hAnsi="Times New Roman" w:eastAsia="宋体" w:cs="Times New Roman"/>
                      <w:b/>
                      <w:bCs/>
                      <w:color w:val="auto"/>
                      <w:spacing w:val="0"/>
                      <w:w w:val="100"/>
                      <w:position w:val="0"/>
                      <w:sz w:val="21"/>
                      <w:szCs w:val="21"/>
                      <w:lang w:val="en-US" w:eastAsia="zh-CN"/>
                    </w:rPr>
                    <w:t>2 项目生产</w:t>
                  </w:r>
                  <w:r>
                    <w:rPr>
                      <w:rFonts w:hint="default" w:ascii="Times New Roman" w:hAnsi="Times New Roman" w:eastAsia="宋体" w:cs="Times New Roman"/>
                      <w:b/>
                      <w:bCs/>
                      <w:color w:val="auto"/>
                      <w:spacing w:val="0"/>
                      <w:w w:val="100"/>
                      <w:position w:val="0"/>
                      <w:sz w:val="21"/>
                      <w:szCs w:val="21"/>
                    </w:rPr>
                    <w:t>工艺流程及产排污节点图</w:t>
                  </w:r>
                </w:p>
              </w:tc>
            </w:tr>
          </w:tbl>
          <w:p w14:paraId="180AE2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2" w:firstLineChars="200"/>
              <w:jc w:val="both"/>
              <w:textAlignment w:val="auto"/>
              <w:rPr>
                <w:rFonts w:hint="default" w:ascii="Times New Roman" w:hAnsi="Times New Roman" w:eastAsia="宋体" w:cs="Times New Roman"/>
                <w:b/>
                <w:bCs/>
                <w:color w:val="auto"/>
                <w:spacing w:val="0"/>
                <w:w w:val="100"/>
                <w:kern w:val="0"/>
                <w:position w:val="0"/>
                <w:sz w:val="24"/>
                <w:szCs w:val="24"/>
                <w:lang w:val="en-US" w:eastAsia="zh-CN"/>
              </w:rPr>
            </w:pPr>
            <w:bookmarkStart w:id="16" w:name="_Hlk196315381"/>
            <w:r>
              <w:rPr>
                <w:rFonts w:hint="default" w:ascii="Times New Roman" w:hAnsi="Times New Roman" w:eastAsia="宋体" w:cs="Times New Roman"/>
                <w:b/>
                <w:bCs/>
                <w:color w:val="auto"/>
                <w:spacing w:val="0"/>
                <w:w w:val="100"/>
                <w:kern w:val="0"/>
                <w:position w:val="0"/>
                <w:sz w:val="24"/>
                <w:szCs w:val="24"/>
                <w:lang w:val="en-US" w:eastAsia="zh-CN"/>
              </w:rPr>
              <w:t>生产工艺流程简述</w:t>
            </w:r>
            <w:bookmarkEnd w:id="16"/>
            <w:r>
              <w:rPr>
                <w:rFonts w:hint="default" w:ascii="Times New Roman" w:hAnsi="Times New Roman" w:eastAsia="宋体" w:cs="Times New Roman"/>
                <w:b/>
                <w:bCs/>
                <w:color w:val="auto"/>
                <w:spacing w:val="0"/>
                <w:w w:val="100"/>
                <w:kern w:val="0"/>
                <w:position w:val="0"/>
                <w:sz w:val="24"/>
                <w:szCs w:val="24"/>
                <w:lang w:val="en-US" w:eastAsia="zh-CN"/>
              </w:rPr>
              <w:t>：</w:t>
            </w:r>
          </w:p>
          <w:p w14:paraId="375B30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2" w:firstLineChars="200"/>
              <w:jc w:val="both"/>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bCs/>
                <w:color w:val="auto"/>
                <w:spacing w:val="0"/>
                <w:w w:val="100"/>
                <w:kern w:val="0"/>
                <w:position w:val="0"/>
                <w:sz w:val="24"/>
                <w:szCs w:val="24"/>
                <w:lang w:val="en-US" w:eastAsia="zh-CN"/>
              </w:rPr>
              <w:t>①制模工序</w:t>
            </w:r>
          </w:p>
          <w:p w14:paraId="48BCE4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将覆膜砂加入射芯机料斗，在气压驱动下射入钢模具之密闭型腔，钢模具之电热管确保模具恒温在200℃，待砂型热固化后开模取出砂芯。</w:t>
            </w:r>
          </w:p>
          <w:p w14:paraId="654231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蜡模是模壳浸入涂料，</w:t>
            </w:r>
            <w:r>
              <w:rPr>
                <w:rFonts w:hint="default" w:ascii="Times New Roman" w:hAnsi="Times New Roman" w:eastAsia="宋体" w:cs="Times New Roman"/>
                <w:color w:val="auto"/>
                <w:sz w:val="24"/>
                <w:szCs w:val="24"/>
              </w:rPr>
              <w:t>消失模耐火涂料与水以一定比例混合调配</w:t>
            </w:r>
            <w:r>
              <w:rPr>
                <w:rFonts w:hint="default" w:ascii="Times New Roman" w:hAnsi="Times New Roman" w:eastAsia="宋体" w:cs="Times New Roman"/>
                <w:b w:val="0"/>
                <w:bCs w:val="0"/>
                <w:color w:val="auto"/>
                <w:spacing w:val="0"/>
                <w:w w:val="100"/>
                <w:kern w:val="0"/>
                <w:position w:val="0"/>
                <w:sz w:val="24"/>
                <w:szCs w:val="24"/>
                <w:lang w:val="en-US" w:eastAsia="zh-CN"/>
              </w:rPr>
              <w:t>，人工搅匀。人工刷涂上一定厚度的涂料，涂料层厚度 0.4-0.5mm，提高模型表面砂型的冲刷能力、防止负压时模型变形、确保铸件尺寸精度。成品模样放进烘干房进行烘干，采用热风烘干，加热方式为电加热，烘干时间为 8-12 小时，烘干温度在 50℃左右。本项目消失模涂料主要由 Al</w:t>
            </w:r>
            <w:r>
              <w:rPr>
                <w:rFonts w:hint="default" w:ascii="Times New Roman" w:hAnsi="Times New Roman" w:eastAsia="宋体" w:cs="Times New Roman"/>
                <w:b w:val="0"/>
                <w:bCs w:val="0"/>
                <w:color w:val="auto"/>
                <w:spacing w:val="0"/>
                <w:w w:val="100"/>
                <w:kern w:val="0"/>
                <w:position w:val="0"/>
                <w:sz w:val="24"/>
                <w:szCs w:val="24"/>
                <w:vertAlign w:val="subscript"/>
                <w:lang w:val="en-US" w:eastAsia="zh-CN"/>
              </w:rPr>
              <w:t>2</w:t>
            </w:r>
            <w:r>
              <w:rPr>
                <w:rFonts w:hint="default" w:ascii="Times New Roman" w:hAnsi="Times New Roman" w:eastAsia="宋体" w:cs="Times New Roman"/>
                <w:b w:val="0"/>
                <w:bCs w:val="0"/>
                <w:color w:val="auto"/>
                <w:spacing w:val="0"/>
                <w:w w:val="100"/>
                <w:kern w:val="0"/>
                <w:position w:val="0"/>
                <w:sz w:val="24"/>
                <w:szCs w:val="24"/>
                <w:lang w:val="en-US" w:eastAsia="zh-CN"/>
              </w:rPr>
              <w:t>O</w:t>
            </w:r>
            <w:r>
              <w:rPr>
                <w:rFonts w:hint="default" w:ascii="Times New Roman" w:hAnsi="Times New Roman" w:eastAsia="宋体" w:cs="Times New Roman"/>
                <w:b w:val="0"/>
                <w:bCs w:val="0"/>
                <w:color w:val="auto"/>
                <w:spacing w:val="0"/>
                <w:w w:val="100"/>
                <w:kern w:val="0"/>
                <w:position w:val="0"/>
                <w:sz w:val="24"/>
                <w:szCs w:val="24"/>
                <w:vertAlign w:val="subscript"/>
                <w:lang w:val="en-US" w:eastAsia="zh-CN"/>
              </w:rPr>
              <w:t>3</w:t>
            </w:r>
            <w:r>
              <w:rPr>
                <w:rFonts w:hint="default" w:ascii="Times New Roman" w:hAnsi="Times New Roman" w:eastAsia="宋体" w:cs="Times New Roman"/>
                <w:b w:val="0"/>
                <w:bCs w:val="0"/>
                <w:color w:val="auto"/>
                <w:spacing w:val="0"/>
                <w:w w:val="100"/>
                <w:kern w:val="0"/>
                <w:position w:val="0"/>
                <w:sz w:val="24"/>
                <w:szCs w:val="24"/>
                <w:lang w:val="en-US" w:eastAsia="zh-CN"/>
              </w:rPr>
              <w:t>(5%)、SiO</w:t>
            </w:r>
            <w:r>
              <w:rPr>
                <w:rFonts w:hint="default" w:ascii="Times New Roman" w:hAnsi="Times New Roman" w:eastAsia="宋体" w:cs="Times New Roman"/>
                <w:b w:val="0"/>
                <w:bCs w:val="0"/>
                <w:color w:val="auto"/>
                <w:spacing w:val="0"/>
                <w:w w:val="100"/>
                <w:kern w:val="0"/>
                <w:position w:val="0"/>
                <w:sz w:val="24"/>
                <w:szCs w:val="24"/>
                <w:vertAlign w:val="subscript"/>
                <w:lang w:val="en-US" w:eastAsia="zh-CN"/>
              </w:rPr>
              <w:t>2</w:t>
            </w:r>
            <w:r>
              <w:rPr>
                <w:rFonts w:hint="default" w:ascii="Times New Roman" w:hAnsi="Times New Roman" w:eastAsia="宋体" w:cs="Times New Roman"/>
                <w:b w:val="0"/>
                <w:bCs w:val="0"/>
                <w:color w:val="auto"/>
                <w:spacing w:val="0"/>
                <w:w w:val="100"/>
                <w:kern w:val="0"/>
                <w:position w:val="0"/>
                <w:sz w:val="24"/>
                <w:szCs w:val="24"/>
                <w:lang w:val="en-US" w:eastAsia="zh-CN"/>
              </w:rPr>
              <w:t>(72%)、氧化铁粉(2%)、粘土(2%)、鳞片石墨(13%)等组成。此过程会产生有机废气（以非甲烷总烃计）和设备噪声。</w:t>
            </w:r>
          </w:p>
          <w:p w14:paraId="72F5E3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2" w:firstLineChars="200"/>
              <w:jc w:val="both"/>
              <w:textAlignment w:val="auto"/>
              <w:rPr>
                <w:rFonts w:hint="default" w:ascii="Times New Roman" w:hAnsi="Times New Roman" w:eastAsia="宋体" w:cs="Times New Roman"/>
                <w:b/>
                <w:bCs/>
                <w:color w:val="auto"/>
                <w:spacing w:val="0"/>
                <w:w w:val="100"/>
                <w:kern w:val="0"/>
                <w:position w:val="0"/>
                <w:sz w:val="24"/>
                <w:szCs w:val="24"/>
                <w:lang w:val="en-US" w:eastAsia="zh-CN"/>
              </w:rPr>
            </w:pPr>
            <w:r>
              <w:rPr>
                <w:rFonts w:hint="default" w:ascii="Times New Roman" w:hAnsi="Times New Roman" w:eastAsia="宋体" w:cs="Times New Roman"/>
                <w:b/>
                <w:bCs/>
                <w:color w:val="auto"/>
                <w:spacing w:val="0"/>
                <w:w w:val="100"/>
                <w:kern w:val="0"/>
                <w:position w:val="0"/>
                <w:sz w:val="24"/>
                <w:szCs w:val="24"/>
                <w:lang w:val="en-US" w:eastAsia="zh-CN"/>
              </w:rPr>
              <w:t>②熔化</w:t>
            </w:r>
          </w:p>
          <w:p w14:paraId="0963CF16">
            <w:pPr>
              <w:pStyle w:val="2"/>
              <w:keepNext w:val="0"/>
              <w:keepLines w:val="0"/>
              <w:suppressLineNumbers w:val="0"/>
              <w:spacing w:before="0" w:beforeAutospacing="0" w:afterAutospacing="0"/>
              <w:ind w:left="0" w:right="0"/>
              <w:rPr>
                <w:rFonts w:hint="default" w:ascii="Times New Roman" w:hAnsi="Times New Roman" w:cs="Times New Roman"/>
                <w:color w:val="auto"/>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将合金材料加入到中频无芯感应电炉中，通过电加热到原料熔化（1520℃左右）后出炉，</w:t>
            </w:r>
            <w:r>
              <w:rPr>
                <w:rFonts w:hint="default" w:ascii="Times New Roman" w:hAnsi="Times New Roman" w:eastAsia="宋体" w:cs="Times New Roman"/>
                <w:color w:val="auto"/>
                <w:sz w:val="24"/>
                <w:szCs w:val="24"/>
              </w:rPr>
              <w:t>用行车送到造型工段去浇注</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b w:val="0"/>
                <w:bCs w:val="0"/>
                <w:color w:val="auto"/>
                <w:spacing w:val="0"/>
                <w:w w:val="100"/>
                <w:kern w:val="0"/>
                <w:position w:val="0"/>
                <w:sz w:val="24"/>
                <w:szCs w:val="24"/>
                <w:lang w:val="en-US" w:eastAsia="zh-CN"/>
              </w:rPr>
              <w:t>熔炼时有少量废气（颗粒物）、噪声。</w:t>
            </w:r>
          </w:p>
          <w:p w14:paraId="249630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2" w:firstLineChars="200"/>
              <w:jc w:val="both"/>
              <w:textAlignment w:val="auto"/>
              <w:rPr>
                <w:rFonts w:hint="default" w:ascii="Times New Roman" w:hAnsi="Times New Roman" w:eastAsia="宋体" w:cs="Times New Roman"/>
                <w:b/>
                <w:bCs/>
                <w:color w:val="auto"/>
                <w:spacing w:val="0"/>
                <w:w w:val="100"/>
                <w:kern w:val="0"/>
                <w:position w:val="0"/>
                <w:sz w:val="24"/>
                <w:szCs w:val="24"/>
                <w:lang w:val="en-US" w:eastAsia="zh-CN"/>
              </w:rPr>
            </w:pPr>
            <w:r>
              <w:rPr>
                <w:rFonts w:hint="default" w:ascii="Times New Roman" w:hAnsi="Times New Roman" w:eastAsia="宋体" w:cs="Times New Roman"/>
                <w:b/>
                <w:bCs/>
                <w:color w:val="auto"/>
                <w:spacing w:val="0"/>
                <w:w w:val="100"/>
                <w:kern w:val="0"/>
                <w:position w:val="0"/>
                <w:sz w:val="24"/>
                <w:szCs w:val="24"/>
                <w:lang w:val="en-US" w:eastAsia="zh-CN"/>
              </w:rPr>
              <w:t>③浇注成型</w:t>
            </w:r>
          </w:p>
          <w:p w14:paraId="63E866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熔炼好的铁水转运到浇注车铁水包，定量浇注入提前造好的热芯盒或模壳型腔内，待模型中铁水固化冷却后。消失模铸造在浇注过程中，消失模全部发生热分解，会产生大量有机气体，大部分有机气体被高温金属液在浇冒口点燃焚烧，小部分有机气体成为有机废气。此过程会产生浇注废气（颗粒物、VOCs）、噪声。</w:t>
            </w:r>
          </w:p>
          <w:p w14:paraId="370863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2" w:firstLineChars="200"/>
              <w:jc w:val="both"/>
              <w:textAlignment w:val="auto"/>
              <w:rPr>
                <w:rFonts w:hint="default" w:ascii="Times New Roman" w:hAnsi="Times New Roman" w:eastAsia="宋体" w:cs="Times New Roman"/>
                <w:b/>
                <w:bCs/>
                <w:color w:val="auto"/>
                <w:spacing w:val="0"/>
                <w:w w:val="100"/>
                <w:kern w:val="0"/>
                <w:position w:val="0"/>
                <w:sz w:val="24"/>
                <w:szCs w:val="24"/>
                <w:lang w:val="en-US" w:eastAsia="zh-CN"/>
              </w:rPr>
            </w:pPr>
            <w:r>
              <w:rPr>
                <w:rFonts w:hint="default" w:ascii="Times New Roman" w:hAnsi="Times New Roman" w:eastAsia="宋体" w:cs="Times New Roman"/>
                <w:b/>
                <w:bCs/>
                <w:color w:val="auto"/>
                <w:spacing w:val="0"/>
                <w:w w:val="100"/>
                <w:kern w:val="0"/>
                <w:position w:val="0"/>
                <w:sz w:val="24"/>
                <w:szCs w:val="24"/>
                <w:lang w:val="en-US" w:eastAsia="zh-CN"/>
              </w:rPr>
              <w:t>④落砂</w:t>
            </w:r>
          </w:p>
          <w:p w14:paraId="16287B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浇注好的产品自然冷却后开箱，将铸件用手工及工装取出，取出铸件的过程即清理过程，清砂工序产生的旧砂，经筛选，去除因板结老化不能重新利用的部分，然后返回覆膜砂生产厂家。此过程会产生落砂废气（颗粒物）、噪声和固废</w:t>
            </w:r>
            <w:r>
              <w:rPr>
                <w:rFonts w:hint="default" w:ascii="Times New Roman" w:hAnsi="Times New Roman" w:eastAsia="宋体" w:cs="Times New Roman"/>
                <w:b w:val="0"/>
                <w:bCs w:val="0"/>
                <w:color w:val="auto"/>
                <w:spacing w:val="0"/>
                <w:w w:val="100"/>
                <w:kern w:val="0"/>
                <w:position w:val="0"/>
                <w:sz w:val="24"/>
                <w:lang w:val="en-US" w:eastAsia="zh-CN"/>
              </w:rPr>
              <w:t>（废铁屑、废砂）</w:t>
            </w:r>
            <w:r>
              <w:rPr>
                <w:rFonts w:hint="default" w:ascii="Times New Roman" w:hAnsi="Times New Roman" w:eastAsia="宋体" w:cs="Times New Roman"/>
                <w:b w:val="0"/>
                <w:bCs w:val="0"/>
                <w:color w:val="auto"/>
                <w:spacing w:val="0"/>
                <w:w w:val="100"/>
                <w:kern w:val="0"/>
                <w:position w:val="0"/>
                <w:sz w:val="24"/>
                <w:szCs w:val="24"/>
                <w:lang w:val="en-US" w:eastAsia="zh-CN"/>
              </w:rPr>
              <w:t>。</w:t>
            </w:r>
          </w:p>
          <w:p w14:paraId="62D96E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2" w:firstLineChars="200"/>
              <w:jc w:val="both"/>
              <w:textAlignment w:val="auto"/>
              <w:rPr>
                <w:rFonts w:hint="default" w:ascii="Times New Roman" w:hAnsi="Times New Roman" w:eastAsia="宋体" w:cs="Times New Roman"/>
                <w:b/>
                <w:bCs/>
                <w:color w:val="auto"/>
                <w:spacing w:val="0"/>
                <w:w w:val="100"/>
                <w:kern w:val="0"/>
                <w:position w:val="0"/>
                <w:sz w:val="24"/>
                <w:szCs w:val="24"/>
                <w:lang w:val="en-US" w:eastAsia="zh-CN"/>
              </w:rPr>
            </w:pPr>
            <w:r>
              <w:rPr>
                <w:rFonts w:hint="default" w:ascii="Times New Roman" w:hAnsi="Times New Roman" w:eastAsia="宋体" w:cs="Times New Roman"/>
                <w:b/>
                <w:bCs/>
                <w:color w:val="auto"/>
                <w:spacing w:val="0"/>
                <w:w w:val="100"/>
                <w:kern w:val="0"/>
                <w:position w:val="0"/>
                <w:sz w:val="24"/>
                <w:szCs w:val="24"/>
                <w:lang w:val="en-US" w:eastAsia="zh-CN"/>
              </w:rPr>
              <w:t>⑤热处理</w:t>
            </w:r>
          </w:p>
          <w:p w14:paraId="4CEFE8DD">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将工件放入热处理炉进行淬火、回火处理，且热处理炉使用电作为能源，且热处理过程不改变工件的形状和整体的化学成分，此过程无废气产生。</w:t>
            </w:r>
          </w:p>
          <w:p w14:paraId="79890F8E">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482" w:firstLineChars="200"/>
              <w:textAlignment w:val="auto"/>
              <w:rPr>
                <w:rFonts w:hint="default" w:ascii="Times New Roman" w:hAnsi="Times New Roman" w:eastAsia="宋体" w:cs="Times New Roman"/>
                <w:b/>
                <w:bCs/>
                <w:color w:val="auto"/>
                <w:spacing w:val="0"/>
                <w:w w:val="100"/>
                <w:kern w:val="0"/>
                <w:position w:val="0"/>
                <w:sz w:val="24"/>
                <w:szCs w:val="24"/>
                <w:lang w:val="en-US" w:eastAsia="zh-CN"/>
              </w:rPr>
            </w:pPr>
            <w:r>
              <w:rPr>
                <w:rFonts w:hint="default" w:ascii="Times New Roman" w:hAnsi="Times New Roman" w:eastAsia="宋体" w:cs="Times New Roman"/>
                <w:b/>
                <w:bCs/>
                <w:color w:val="auto"/>
                <w:spacing w:val="0"/>
                <w:w w:val="100"/>
                <w:kern w:val="0"/>
                <w:position w:val="0"/>
                <w:sz w:val="24"/>
                <w:szCs w:val="24"/>
                <w:lang w:val="en-US" w:eastAsia="zh-CN"/>
              </w:rPr>
              <w:t>⑥抛丸</w:t>
            </w:r>
          </w:p>
          <w:p w14:paraId="2F665B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为使铸件表面光洁，清除铸件表面的氧化皮和局部粘砂是必不可少的，抛丸清理是利用高速运转的抛丸器叶轮产生的离心力，将铁丸抛向铸件表面，借助铁丸的冲击作用，把铸件表面的残砂、粘砂和氧化皮除掉。此过程会产生废气（颗粒物）、噪声和固废</w:t>
            </w:r>
            <w:r>
              <w:rPr>
                <w:rFonts w:hint="default" w:ascii="Times New Roman" w:hAnsi="Times New Roman" w:eastAsia="宋体" w:cs="Times New Roman"/>
                <w:b w:val="0"/>
                <w:bCs w:val="0"/>
                <w:color w:val="auto"/>
                <w:spacing w:val="0"/>
                <w:w w:val="100"/>
                <w:kern w:val="0"/>
                <w:position w:val="0"/>
                <w:sz w:val="24"/>
                <w:lang w:val="en-US" w:eastAsia="zh-CN"/>
              </w:rPr>
              <w:t>（废铁屑、废砂）</w:t>
            </w:r>
            <w:r>
              <w:rPr>
                <w:rFonts w:hint="default" w:ascii="Times New Roman" w:hAnsi="Times New Roman" w:eastAsia="宋体" w:cs="Times New Roman"/>
                <w:b w:val="0"/>
                <w:bCs w:val="0"/>
                <w:color w:val="auto"/>
                <w:spacing w:val="0"/>
                <w:w w:val="100"/>
                <w:kern w:val="0"/>
                <w:position w:val="0"/>
                <w:sz w:val="24"/>
                <w:szCs w:val="24"/>
                <w:lang w:val="en-US" w:eastAsia="zh-CN"/>
              </w:rPr>
              <w:t>。</w:t>
            </w:r>
          </w:p>
          <w:p w14:paraId="3A6B6190">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482" w:firstLineChars="200"/>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bCs/>
                <w:color w:val="auto"/>
                <w:spacing w:val="0"/>
                <w:w w:val="100"/>
                <w:kern w:val="0"/>
                <w:position w:val="0"/>
                <w:sz w:val="24"/>
                <w:szCs w:val="24"/>
                <w:lang w:val="en-US" w:eastAsia="zh-CN"/>
              </w:rPr>
              <w:t>⑦机加工</w:t>
            </w:r>
          </w:p>
          <w:p w14:paraId="73F67E0B">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铸件清理干净后送到机加工工序经磨、车、铣、镗、刨、钻孔、攻牙等工序（干法加工），获得尺寸合格的零部件。此工序会产生废气（颗粒物）、噪声和固废</w:t>
            </w:r>
            <w:r>
              <w:rPr>
                <w:rFonts w:hint="default" w:ascii="Times New Roman" w:hAnsi="Times New Roman" w:eastAsia="宋体" w:cs="Times New Roman"/>
                <w:b w:val="0"/>
                <w:bCs w:val="0"/>
                <w:color w:val="auto"/>
                <w:spacing w:val="0"/>
                <w:w w:val="100"/>
                <w:kern w:val="0"/>
                <w:position w:val="0"/>
                <w:sz w:val="24"/>
                <w:lang w:val="en-US" w:eastAsia="zh-CN"/>
              </w:rPr>
              <w:t>（废铁屑、废砂）</w:t>
            </w:r>
            <w:r>
              <w:rPr>
                <w:rFonts w:hint="default" w:ascii="Times New Roman" w:hAnsi="Times New Roman" w:eastAsia="宋体" w:cs="Times New Roman"/>
                <w:b w:val="0"/>
                <w:bCs w:val="0"/>
                <w:color w:val="auto"/>
                <w:spacing w:val="0"/>
                <w:w w:val="100"/>
                <w:kern w:val="0"/>
                <w:position w:val="0"/>
                <w:sz w:val="24"/>
                <w:szCs w:val="24"/>
                <w:lang w:val="en-US" w:eastAsia="zh-CN"/>
              </w:rPr>
              <w:t>。</w:t>
            </w:r>
          </w:p>
          <w:p w14:paraId="0A9C490C">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482" w:firstLineChars="200"/>
              <w:textAlignment w:val="auto"/>
              <w:rPr>
                <w:rFonts w:hint="default" w:ascii="Times New Roman" w:hAnsi="Times New Roman" w:eastAsia="宋体" w:cs="Times New Roman"/>
                <w:b/>
                <w:bCs/>
                <w:color w:val="auto"/>
                <w:spacing w:val="0"/>
                <w:w w:val="100"/>
                <w:kern w:val="0"/>
                <w:position w:val="0"/>
                <w:sz w:val="24"/>
                <w:szCs w:val="24"/>
                <w:lang w:val="en-US" w:eastAsia="zh-CN"/>
              </w:rPr>
            </w:pPr>
            <w:r>
              <w:rPr>
                <w:rFonts w:hint="default" w:ascii="Times New Roman" w:hAnsi="Times New Roman" w:eastAsia="宋体" w:cs="Times New Roman"/>
                <w:b/>
                <w:bCs/>
                <w:color w:val="auto"/>
                <w:spacing w:val="0"/>
                <w:w w:val="100"/>
                <w:kern w:val="0"/>
                <w:position w:val="0"/>
                <w:sz w:val="24"/>
                <w:szCs w:val="24"/>
                <w:lang w:val="en-US" w:eastAsia="zh-CN"/>
              </w:rPr>
              <w:t>⑧检验</w:t>
            </w:r>
          </w:p>
          <w:p w14:paraId="235AAC53">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对加工完成的产品进行检验，检验合格后包装送入成品仓库。不合格回收。</w:t>
            </w:r>
          </w:p>
          <w:p w14:paraId="79F7B4FE">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482" w:firstLineChars="200"/>
              <w:textAlignment w:val="auto"/>
              <w:rPr>
                <w:rFonts w:hint="default" w:ascii="Times New Roman" w:hAnsi="Times New Roman" w:eastAsia="宋体" w:cs="Times New Roman"/>
                <w:b/>
                <w:bCs/>
                <w:color w:val="auto"/>
                <w:spacing w:val="0"/>
                <w:w w:val="100"/>
                <w:kern w:val="0"/>
                <w:position w:val="0"/>
                <w:sz w:val="24"/>
                <w:szCs w:val="24"/>
                <w:lang w:val="en-US" w:eastAsia="zh-CN"/>
              </w:rPr>
            </w:pPr>
            <w:r>
              <w:rPr>
                <w:rFonts w:hint="default" w:ascii="Times New Roman" w:hAnsi="Times New Roman" w:eastAsia="宋体" w:cs="Times New Roman"/>
                <w:b/>
                <w:bCs/>
                <w:color w:val="auto"/>
                <w:spacing w:val="0"/>
                <w:w w:val="100"/>
                <w:kern w:val="0"/>
                <w:position w:val="0"/>
                <w:sz w:val="24"/>
                <w:szCs w:val="24"/>
                <w:lang w:val="en-US" w:eastAsia="zh-CN"/>
              </w:rPr>
              <w:t>⑨维修</w:t>
            </w:r>
          </w:p>
          <w:p w14:paraId="5DA6FE0E">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480" w:firstLineChars="200"/>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对维修的螺旋零件的修复：在客户将所需维修的螺旋部件发到工厂后，检查哪些需要维修的部分进行维修，主要维修方式就是焊接耐磨材料、打磨、热处理、机床加工、检验，合格后发货。</w:t>
            </w:r>
          </w:p>
          <w:p w14:paraId="174B2CA3">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rPr>
                <w:rFonts w:hint="default" w:ascii="Times New Roman" w:hAnsi="Times New Roman" w:eastAsia="宋体" w:cs="Times New Roman"/>
                <w:b/>
                <w:bCs/>
                <w:color w:val="auto"/>
                <w:spacing w:val="0"/>
                <w:w w:val="100"/>
                <w:position w:val="0"/>
                <w:sz w:val="24"/>
                <w:szCs w:val="24"/>
                <w:lang w:val="en-US" w:eastAsia="zh-CN"/>
              </w:rPr>
            </w:pPr>
            <w:r>
              <w:rPr>
                <w:rFonts w:hint="default" w:ascii="Times New Roman" w:hAnsi="Times New Roman" w:eastAsia="宋体" w:cs="Times New Roman"/>
                <w:b/>
                <w:bCs/>
                <w:color w:val="auto"/>
                <w:spacing w:val="0"/>
                <w:w w:val="100"/>
                <w:position w:val="0"/>
                <w:sz w:val="24"/>
                <w:szCs w:val="24"/>
                <w:lang w:val="en-US" w:eastAsia="zh-CN"/>
              </w:rPr>
              <w:t>3、污染因素识别</w:t>
            </w:r>
          </w:p>
          <w:p w14:paraId="165E0423">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项目运营期污染因素识别见表2-7。</w:t>
            </w:r>
          </w:p>
          <w:p w14:paraId="79347194">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baseline"/>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表2-7  项目运营期污染因素识别一览表</w:t>
            </w:r>
          </w:p>
          <w:tbl>
            <w:tblPr>
              <w:tblStyle w:val="6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2"/>
              <w:gridCol w:w="1357"/>
              <w:gridCol w:w="1860"/>
              <w:gridCol w:w="3573"/>
            </w:tblGrid>
            <w:tr w14:paraId="7FD59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6" w:type="pct"/>
                  <w:noWrap w:val="0"/>
                  <w:vAlign w:val="center"/>
                </w:tcPr>
                <w:p w14:paraId="59437F9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污染物类型</w:t>
                  </w:r>
                </w:p>
              </w:tc>
              <w:tc>
                <w:tcPr>
                  <w:tcW w:w="852" w:type="pct"/>
                  <w:noWrap w:val="0"/>
                  <w:vAlign w:val="center"/>
                </w:tcPr>
                <w:p w14:paraId="54C2990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主要污染物</w:t>
                  </w:r>
                </w:p>
              </w:tc>
              <w:tc>
                <w:tcPr>
                  <w:tcW w:w="1168" w:type="pct"/>
                  <w:noWrap w:val="0"/>
                  <w:vAlign w:val="center"/>
                </w:tcPr>
                <w:p w14:paraId="6A35037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产生环节</w:t>
                  </w:r>
                </w:p>
              </w:tc>
              <w:tc>
                <w:tcPr>
                  <w:tcW w:w="2242" w:type="pct"/>
                  <w:noWrap w:val="0"/>
                  <w:vAlign w:val="center"/>
                </w:tcPr>
                <w:p w14:paraId="7E51379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治理措施</w:t>
                  </w:r>
                </w:p>
              </w:tc>
            </w:tr>
            <w:tr w14:paraId="6BE3B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0" w:type="pct"/>
                  <w:gridSpan w:val="4"/>
                  <w:noWrap w:val="0"/>
                  <w:vAlign w:val="center"/>
                </w:tcPr>
                <w:p w14:paraId="7C7A1EA5">
                  <w:pPr>
                    <w:keepNext w:val="0"/>
                    <w:keepLines w:val="0"/>
                    <w:suppressLineNumbers w:val="0"/>
                    <w:spacing w:before="0" w:beforeAutospacing="0" w:after="0" w:afterAutospacing="0" w:line="240" w:lineRule="auto"/>
                    <w:ind w:left="0" w:right="0" w:firstLine="0" w:firstLineChars="0"/>
                    <w:jc w:val="both"/>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运营期：</w:t>
                  </w:r>
                </w:p>
              </w:tc>
            </w:tr>
            <w:tr w14:paraId="38CD7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6" w:type="pct"/>
                  <w:vMerge w:val="restart"/>
                  <w:noWrap w:val="0"/>
                  <w:vAlign w:val="center"/>
                </w:tcPr>
                <w:p w14:paraId="0FB35A6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废气</w:t>
                  </w:r>
                </w:p>
              </w:tc>
              <w:tc>
                <w:tcPr>
                  <w:tcW w:w="852" w:type="pct"/>
                  <w:noWrap w:val="0"/>
                  <w:vAlign w:val="center"/>
                </w:tcPr>
                <w:p w14:paraId="145AEB8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颗粒物</w:t>
                  </w:r>
                </w:p>
              </w:tc>
              <w:tc>
                <w:tcPr>
                  <w:tcW w:w="1168" w:type="pct"/>
                  <w:noWrap w:val="0"/>
                  <w:vAlign w:val="center"/>
                </w:tcPr>
                <w:p w14:paraId="50926CD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电炉废气</w:t>
                  </w:r>
                </w:p>
              </w:tc>
              <w:tc>
                <w:tcPr>
                  <w:tcW w:w="2242" w:type="pct"/>
                  <w:vMerge w:val="restart"/>
                  <w:noWrap w:val="0"/>
                  <w:vAlign w:val="center"/>
                </w:tcPr>
                <w:p w14:paraId="3BA0058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项目产生的熔化废气、造型/浇注废气、落砂废气和清理废气（抛丸废气、机加工废气）分别经集气罩收集后统一经1套布袋除尘器+1套二级活性炭吸附处理达标后经一根15m 排气筒（DA001）排放，共用风机风量 20000 m³/h，尘效率按90%计。</w:t>
                  </w:r>
                </w:p>
              </w:tc>
            </w:tr>
            <w:tr w14:paraId="743B3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6" w:type="pct"/>
                  <w:vMerge w:val="continue"/>
                  <w:noWrap w:val="0"/>
                  <w:vAlign w:val="center"/>
                </w:tcPr>
                <w:p w14:paraId="3FC8417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p>
              </w:tc>
              <w:tc>
                <w:tcPr>
                  <w:tcW w:w="852" w:type="pct"/>
                  <w:noWrap w:val="0"/>
                  <w:vAlign w:val="center"/>
                </w:tcPr>
                <w:p w14:paraId="1E5D96A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颗粒物</w:t>
                  </w:r>
                </w:p>
              </w:tc>
              <w:tc>
                <w:tcPr>
                  <w:tcW w:w="1168" w:type="pct"/>
                  <w:noWrap w:val="0"/>
                  <w:vAlign w:val="center"/>
                </w:tcPr>
                <w:p w14:paraId="5CA72FF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造型废气</w:t>
                  </w:r>
                </w:p>
              </w:tc>
              <w:tc>
                <w:tcPr>
                  <w:tcW w:w="2242" w:type="pct"/>
                  <w:vMerge w:val="continue"/>
                  <w:noWrap w:val="0"/>
                  <w:vAlign w:val="center"/>
                </w:tcPr>
                <w:p w14:paraId="1E83B92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p>
              </w:tc>
            </w:tr>
            <w:tr w14:paraId="045AF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6" w:type="pct"/>
                  <w:vMerge w:val="continue"/>
                  <w:noWrap w:val="0"/>
                  <w:vAlign w:val="center"/>
                </w:tcPr>
                <w:p w14:paraId="347892B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p>
              </w:tc>
              <w:tc>
                <w:tcPr>
                  <w:tcW w:w="852" w:type="pct"/>
                  <w:noWrap w:val="0"/>
                  <w:vAlign w:val="center"/>
                </w:tcPr>
                <w:p w14:paraId="789733A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颗粒物、非甲烷总烃</w:t>
                  </w:r>
                </w:p>
              </w:tc>
              <w:tc>
                <w:tcPr>
                  <w:tcW w:w="1168" w:type="pct"/>
                  <w:noWrap w:val="0"/>
                  <w:vAlign w:val="center"/>
                </w:tcPr>
                <w:p w14:paraId="054191C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浇注废气</w:t>
                  </w:r>
                </w:p>
              </w:tc>
              <w:tc>
                <w:tcPr>
                  <w:tcW w:w="2242" w:type="pct"/>
                  <w:vMerge w:val="continue"/>
                  <w:noWrap w:val="0"/>
                  <w:vAlign w:val="center"/>
                </w:tcPr>
                <w:p w14:paraId="356913C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p>
              </w:tc>
            </w:tr>
            <w:tr w14:paraId="2BD88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6" w:type="pct"/>
                  <w:vMerge w:val="continue"/>
                  <w:noWrap w:val="0"/>
                  <w:vAlign w:val="center"/>
                </w:tcPr>
                <w:p w14:paraId="2C96D2D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p>
              </w:tc>
              <w:tc>
                <w:tcPr>
                  <w:tcW w:w="852" w:type="pct"/>
                  <w:noWrap w:val="0"/>
                  <w:vAlign w:val="center"/>
                </w:tcPr>
                <w:p w14:paraId="52359B3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颗粒物</w:t>
                  </w:r>
                </w:p>
              </w:tc>
              <w:tc>
                <w:tcPr>
                  <w:tcW w:w="1168" w:type="pct"/>
                  <w:noWrap w:val="0"/>
                  <w:vAlign w:val="center"/>
                </w:tcPr>
                <w:p w14:paraId="7A7B2A2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落砂废气</w:t>
                  </w:r>
                </w:p>
              </w:tc>
              <w:tc>
                <w:tcPr>
                  <w:tcW w:w="2242" w:type="pct"/>
                  <w:vMerge w:val="continue"/>
                  <w:noWrap w:val="0"/>
                  <w:vAlign w:val="center"/>
                </w:tcPr>
                <w:p w14:paraId="30BC78A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p>
              </w:tc>
            </w:tr>
            <w:tr w14:paraId="278D7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6" w:type="pct"/>
                  <w:vMerge w:val="continue"/>
                  <w:noWrap w:val="0"/>
                  <w:vAlign w:val="center"/>
                </w:tcPr>
                <w:p w14:paraId="5C312FE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p>
              </w:tc>
              <w:tc>
                <w:tcPr>
                  <w:tcW w:w="852" w:type="pct"/>
                  <w:noWrap w:val="0"/>
                  <w:vAlign w:val="center"/>
                </w:tcPr>
                <w:p w14:paraId="3B278C2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颗粒物</w:t>
                  </w:r>
                </w:p>
              </w:tc>
              <w:tc>
                <w:tcPr>
                  <w:tcW w:w="1168" w:type="pct"/>
                  <w:noWrap w:val="0"/>
                  <w:vAlign w:val="center"/>
                </w:tcPr>
                <w:p w14:paraId="3C89D6D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抛丸废气</w:t>
                  </w:r>
                </w:p>
              </w:tc>
              <w:tc>
                <w:tcPr>
                  <w:tcW w:w="2242" w:type="pct"/>
                  <w:vMerge w:val="continue"/>
                  <w:noWrap w:val="0"/>
                  <w:vAlign w:val="center"/>
                </w:tcPr>
                <w:p w14:paraId="6775705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p>
              </w:tc>
            </w:tr>
            <w:tr w14:paraId="33EE6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6" w:type="pct"/>
                  <w:vMerge w:val="continue"/>
                  <w:noWrap w:val="0"/>
                  <w:vAlign w:val="center"/>
                </w:tcPr>
                <w:p w14:paraId="74120E1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p>
              </w:tc>
              <w:tc>
                <w:tcPr>
                  <w:tcW w:w="852" w:type="pct"/>
                  <w:noWrap w:val="0"/>
                  <w:vAlign w:val="center"/>
                </w:tcPr>
                <w:p w14:paraId="79978A8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颗粒物</w:t>
                  </w:r>
                </w:p>
              </w:tc>
              <w:tc>
                <w:tcPr>
                  <w:tcW w:w="1168" w:type="pct"/>
                  <w:noWrap w:val="0"/>
                  <w:vAlign w:val="center"/>
                </w:tcPr>
                <w:p w14:paraId="7D95261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机加工废气</w:t>
                  </w:r>
                </w:p>
              </w:tc>
              <w:tc>
                <w:tcPr>
                  <w:tcW w:w="2242" w:type="pct"/>
                  <w:vMerge w:val="continue"/>
                  <w:noWrap w:val="0"/>
                  <w:vAlign w:val="center"/>
                </w:tcPr>
                <w:p w14:paraId="3FC3DC5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p>
              </w:tc>
            </w:tr>
            <w:tr w14:paraId="54C9A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pct"/>
                  <w:vMerge w:val="restart"/>
                  <w:noWrap w:val="0"/>
                  <w:vAlign w:val="center"/>
                </w:tcPr>
                <w:p w14:paraId="1D55C6B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p>
                <w:p w14:paraId="5468364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废水</w:t>
                  </w:r>
                </w:p>
              </w:tc>
              <w:tc>
                <w:tcPr>
                  <w:tcW w:w="852" w:type="pct"/>
                  <w:noWrap w:val="0"/>
                  <w:vAlign w:val="center"/>
                </w:tcPr>
                <w:p w14:paraId="68EF901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COD、BOD</w:t>
                  </w:r>
                  <w:r>
                    <w:rPr>
                      <w:rFonts w:hint="default" w:ascii="Times New Roman" w:hAnsi="Times New Roman" w:eastAsia="宋体" w:cs="Times New Roman"/>
                      <w:color w:val="auto"/>
                      <w:spacing w:val="0"/>
                      <w:sz w:val="21"/>
                      <w:vertAlign w:val="subscript"/>
                      <w:lang w:val="en-US" w:eastAsia="zh-CN"/>
                    </w:rPr>
                    <w:t>5</w:t>
                  </w:r>
                </w:p>
                <w:p w14:paraId="69F7658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SS、NH</w:t>
                  </w:r>
                  <w:r>
                    <w:rPr>
                      <w:rFonts w:hint="default" w:ascii="Times New Roman" w:hAnsi="Times New Roman" w:eastAsia="宋体" w:cs="Times New Roman"/>
                      <w:color w:val="auto"/>
                      <w:spacing w:val="0"/>
                      <w:sz w:val="21"/>
                      <w:vertAlign w:val="subscript"/>
                      <w:lang w:val="en-US" w:eastAsia="zh-CN"/>
                    </w:rPr>
                    <w:t>3</w:t>
                  </w:r>
                  <w:r>
                    <w:rPr>
                      <w:rFonts w:hint="default" w:ascii="Times New Roman" w:hAnsi="Times New Roman" w:eastAsia="宋体" w:cs="Times New Roman"/>
                      <w:color w:val="auto"/>
                      <w:spacing w:val="0"/>
                      <w:sz w:val="21"/>
                      <w:lang w:val="en-US" w:eastAsia="zh-CN"/>
                    </w:rPr>
                    <w:t>-N</w:t>
                  </w:r>
                </w:p>
              </w:tc>
              <w:tc>
                <w:tcPr>
                  <w:tcW w:w="1168" w:type="pct"/>
                  <w:noWrap w:val="0"/>
                  <w:vAlign w:val="center"/>
                </w:tcPr>
                <w:p w14:paraId="74E3414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员工日常生活</w:t>
                  </w:r>
                </w:p>
              </w:tc>
              <w:tc>
                <w:tcPr>
                  <w:tcW w:w="2242" w:type="pct"/>
                  <w:vMerge w:val="restart"/>
                  <w:noWrap w:val="0"/>
                  <w:vAlign w:val="center"/>
                </w:tcPr>
                <w:p w14:paraId="7E422D5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经化粪池收集处理达标后通过市政污水管网输送至鹿寨县城第二污水处理厂处理后排入洛清江</w:t>
                  </w:r>
                </w:p>
              </w:tc>
            </w:tr>
            <w:tr w14:paraId="15502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6" w:type="pct"/>
                  <w:vMerge w:val="restart"/>
                  <w:noWrap w:val="0"/>
                  <w:vAlign w:val="center"/>
                </w:tcPr>
                <w:p w14:paraId="71B977F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一般固体废物</w:t>
                  </w:r>
                </w:p>
              </w:tc>
              <w:tc>
                <w:tcPr>
                  <w:tcW w:w="852" w:type="pct"/>
                  <w:noWrap w:val="0"/>
                  <w:vAlign w:val="center"/>
                </w:tcPr>
                <w:p w14:paraId="30BD036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废铁屑</w:t>
                  </w:r>
                </w:p>
              </w:tc>
              <w:tc>
                <w:tcPr>
                  <w:tcW w:w="1168" w:type="pct"/>
                  <w:noWrap w:val="0"/>
                  <w:vAlign w:val="center"/>
                </w:tcPr>
                <w:p w14:paraId="448F9C1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抛丸、机加工工序</w:t>
                  </w:r>
                </w:p>
              </w:tc>
              <w:tc>
                <w:tcPr>
                  <w:tcW w:w="2242" w:type="pct"/>
                  <w:vMerge w:val="restart"/>
                  <w:noWrap w:val="0"/>
                  <w:vAlign w:val="center"/>
                </w:tcPr>
                <w:p w14:paraId="3072272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经分类收集后外售</w:t>
                  </w:r>
                </w:p>
              </w:tc>
            </w:tr>
            <w:tr w14:paraId="43299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6" w:type="pct"/>
                  <w:vMerge w:val="continue"/>
                  <w:noWrap w:val="0"/>
                  <w:vAlign w:val="center"/>
                </w:tcPr>
                <w:p w14:paraId="122B092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p>
              </w:tc>
              <w:tc>
                <w:tcPr>
                  <w:tcW w:w="852" w:type="pct"/>
                  <w:noWrap w:val="0"/>
                  <w:vAlign w:val="center"/>
                </w:tcPr>
                <w:p w14:paraId="515D618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废砂</w:t>
                  </w:r>
                </w:p>
              </w:tc>
              <w:tc>
                <w:tcPr>
                  <w:tcW w:w="1168" w:type="pct"/>
                  <w:noWrap w:val="0"/>
                  <w:vAlign w:val="center"/>
                </w:tcPr>
                <w:p w14:paraId="483AA55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落砂工序</w:t>
                  </w:r>
                </w:p>
              </w:tc>
              <w:tc>
                <w:tcPr>
                  <w:tcW w:w="2242" w:type="pct"/>
                  <w:vMerge w:val="continue"/>
                  <w:noWrap w:val="0"/>
                  <w:vAlign w:val="center"/>
                </w:tcPr>
                <w:p w14:paraId="4F77A9E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p>
              </w:tc>
            </w:tr>
            <w:tr w14:paraId="0245D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6" w:type="pct"/>
                  <w:vMerge w:val="continue"/>
                  <w:noWrap w:val="0"/>
                  <w:vAlign w:val="center"/>
                </w:tcPr>
                <w:p w14:paraId="43B1A8C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p>
              </w:tc>
              <w:tc>
                <w:tcPr>
                  <w:tcW w:w="852" w:type="pct"/>
                  <w:noWrap w:val="0"/>
                  <w:vAlign w:val="center"/>
                </w:tcPr>
                <w:p w14:paraId="7DA7AA8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炉渣</w:t>
                  </w:r>
                </w:p>
              </w:tc>
              <w:tc>
                <w:tcPr>
                  <w:tcW w:w="1168" w:type="pct"/>
                  <w:noWrap w:val="0"/>
                  <w:vAlign w:val="center"/>
                </w:tcPr>
                <w:p w14:paraId="084D776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生产工序</w:t>
                  </w:r>
                </w:p>
              </w:tc>
              <w:tc>
                <w:tcPr>
                  <w:tcW w:w="2242" w:type="pct"/>
                  <w:vMerge w:val="continue"/>
                  <w:noWrap w:val="0"/>
                  <w:vAlign w:val="center"/>
                </w:tcPr>
                <w:p w14:paraId="1D8392C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p>
              </w:tc>
            </w:tr>
            <w:tr w14:paraId="7297E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pct"/>
                  <w:vMerge w:val="continue"/>
                  <w:noWrap w:val="0"/>
                  <w:vAlign w:val="center"/>
                </w:tcPr>
                <w:p w14:paraId="6009247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p>
              </w:tc>
              <w:tc>
                <w:tcPr>
                  <w:tcW w:w="852" w:type="pct"/>
                  <w:noWrap w:val="0"/>
                  <w:vAlign w:val="center"/>
                </w:tcPr>
                <w:p w14:paraId="06D247A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布袋除尘灰</w:t>
                  </w:r>
                </w:p>
              </w:tc>
              <w:tc>
                <w:tcPr>
                  <w:tcW w:w="1168" w:type="pct"/>
                  <w:noWrap w:val="0"/>
                  <w:vAlign w:val="center"/>
                </w:tcPr>
                <w:p w14:paraId="42E6170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废气处理</w:t>
                  </w:r>
                </w:p>
              </w:tc>
              <w:tc>
                <w:tcPr>
                  <w:tcW w:w="2242" w:type="pct"/>
                  <w:vMerge w:val="continue"/>
                  <w:noWrap w:val="0"/>
                  <w:vAlign w:val="center"/>
                </w:tcPr>
                <w:p w14:paraId="5A12BFE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p>
              </w:tc>
            </w:tr>
            <w:tr w14:paraId="7B661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2" w:hRule="atLeast"/>
                <w:jc w:val="center"/>
              </w:trPr>
              <w:tc>
                <w:tcPr>
                  <w:tcW w:w="736" w:type="pct"/>
                  <w:noWrap w:val="0"/>
                  <w:vAlign w:val="center"/>
                </w:tcPr>
                <w:p w14:paraId="5E30F50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危险废物</w:t>
                  </w:r>
                </w:p>
              </w:tc>
              <w:tc>
                <w:tcPr>
                  <w:tcW w:w="852" w:type="pct"/>
                  <w:noWrap w:val="0"/>
                  <w:vAlign w:val="center"/>
                </w:tcPr>
                <w:p w14:paraId="34C4535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废活性炭</w:t>
                  </w:r>
                </w:p>
              </w:tc>
              <w:tc>
                <w:tcPr>
                  <w:tcW w:w="1168" w:type="pct"/>
                  <w:noWrap w:val="0"/>
                  <w:vAlign w:val="center"/>
                </w:tcPr>
                <w:p w14:paraId="7A11B7E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废气处理</w:t>
                  </w:r>
                </w:p>
              </w:tc>
              <w:tc>
                <w:tcPr>
                  <w:tcW w:w="2242" w:type="pct"/>
                  <w:noWrap w:val="0"/>
                  <w:vAlign w:val="center"/>
                </w:tcPr>
                <w:p w14:paraId="568CBD3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集中收集后暂存于危废暂存间，定期委托有危险废物处置资质的单位转运处置</w:t>
                  </w:r>
                </w:p>
              </w:tc>
            </w:tr>
            <w:tr w14:paraId="20C3F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6" w:type="pct"/>
                  <w:noWrap w:val="0"/>
                  <w:vAlign w:val="center"/>
                </w:tcPr>
                <w:p w14:paraId="34F32BB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w:t>
                  </w:r>
                </w:p>
              </w:tc>
              <w:tc>
                <w:tcPr>
                  <w:tcW w:w="852" w:type="pct"/>
                  <w:noWrap w:val="0"/>
                  <w:vAlign w:val="center"/>
                </w:tcPr>
                <w:p w14:paraId="00A9BCB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生活垃圾</w:t>
                  </w:r>
                </w:p>
              </w:tc>
              <w:tc>
                <w:tcPr>
                  <w:tcW w:w="1168" w:type="pct"/>
                  <w:noWrap w:val="0"/>
                  <w:vAlign w:val="center"/>
                </w:tcPr>
                <w:p w14:paraId="653E411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员工日常生活</w:t>
                  </w:r>
                </w:p>
              </w:tc>
              <w:tc>
                <w:tcPr>
                  <w:tcW w:w="2242" w:type="pct"/>
                  <w:noWrap w:val="0"/>
                  <w:vAlign w:val="center"/>
                </w:tcPr>
                <w:p w14:paraId="3FA5276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经垃圾桶分类收集后由环卫部门转运处置</w:t>
                  </w:r>
                </w:p>
              </w:tc>
            </w:tr>
            <w:tr w14:paraId="1D730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6" w:type="pct"/>
                  <w:noWrap w:val="0"/>
                  <w:vAlign w:val="center"/>
                </w:tcPr>
                <w:p w14:paraId="59609B4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噪声</w:t>
                  </w:r>
                </w:p>
              </w:tc>
              <w:tc>
                <w:tcPr>
                  <w:tcW w:w="852" w:type="pct"/>
                  <w:noWrap w:val="0"/>
                  <w:vAlign w:val="center"/>
                </w:tcPr>
                <w:p w14:paraId="4E0249E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噪声</w:t>
                  </w:r>
                </w:p>
              </w:tc>
              <w:tc>
                <w:tcPr>
                  <w:tcW w:w="1168" w:type="pct"/>
                  <w:noWrap w:val="0"/>
                  <w:vAlign w:val="center"/>
                </w:tcPr>
                <w:p w14:paraId="20AD69C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设备运行</w:t>
                  </w:r>
                </w:p>
              </w:tc>
              <w:tc>
                <w:tcPr>
                  <w:tcW w:w="2242" w:type="pct"/>
                  <w:noWrap w:val="0"/>
                  <w:vAlign w:val="center"/>
                </w:tcPr>
                <w:p w14:paraId="5D5DB5C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采取基础减振、厂房隔声、距离衰减等降噪措施</w:t>
                  </w:r>
                </w:p>
              </w:tc>
            </w:tr>
          </w:tbl>
          <w:p w14:paraId="5BE14335">
            <w:pPr>
              <w:pStyle w:val="57"/>
              <w:keepNext w:val="0"/>
              <w:keepLines w:val="0"/>
              <w:numPr>
                <w:ilvl w:val="0"/>
                <w:numId w:val="0"/>
              </w:numPr>
              <w:suppressLineNumbers w:val="0"/>
              <w:adjustRightInd/>
              <w:snapToGrid/>
              <w:spacing w:before="0" w:beforeAutospacing="0" w:after="0" w:afterAutospacing="0" w:line="240" w:lineRule="auto"/>
              <w:ind w:left="0" w:leftChars="0" w:right="0" w:firstLine="0" w:firstLineChars="0"/>
              <w:jc w:val="both"/>
              <w:outlineLvl w:val="0"/>
              <w:rPr>
                <w:rFonts w:hint="default" w:ascii="Times New Roman" w:hAnsi="Times New Roman" w:eastAsia="等线" w:cs="Times New Roman"/>
                <w:bCs/>
                <w:snapToGrid w:val="0"/>
                <w:color w:val="auto"/>
                <w:spacing w:val="0"/>
                <w:w w:val="100"/>
                <w:position w:val="0"/>
                <w:sz w:val="24"/>
                <w:lang w:val="en-US" w:eastAsia="zh-CN"/>
              </w:rPr>
            </w:pPr>
          </w:p>
          <w:p w14:paraId="56EBF0E4">
            <w:pPr>
              <w:pStyle w:val="57"/>
              <w:keepNext w:val="0"/>
              <w:keepLines w:val="0"/>
              <w:numPr>
                <w:ilvl w:val="0"/>
                <w:numId w:val="0"/>
              </w:numPr>
              <w:suppressLineNumbers w:val="0"/>
              <w:adjustRightInd/>
              <w:snapToGrid/>
              <w:spacing w:before="0" w:beforeAutospacing="0" w:after="0" w:afterAutospacing="0" w:line="240" w:lineRule="auto"/>
              <w:ind w:left="0" w:leftChars="0" w:right="0" w:firstLine="0" w:firstLineChars="0"/>
              <w:jc w:val="both"/>
              <w:outlineLvl w:val="0"/>
              <w:rPr>
                <w:rFonts w:hint="default" w:ascii="Times New Roman" w:hAnsi="Times New Roman" w:eastAsia="等线" w:cs="Times New Roman"/>
                <w:bCs/>
                <w:snapToGrid w:val="0"/>
                <w:color w:val="auto"/>
                <w:spacing w:val="0"/>
                <w:w w:val="100"/>
                <w:position w:val="0"/>
                <w:sz w:val="24"/>
                <w:lang w:val="en-US" w:eastAsia="zh-CN"/>
              </w:rPr>
            </w:pPr>
          </w:p>
        </w:tc>
      </w:tr>
      <w:tr w14:paraId="5E7017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302" w:type="pct"/>
            <w:noWrap w:val="0"/>
            <w:vAlign w:val="center"/>
          </w:tcPr>
          <w:p w14:paraId="20CFC910">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17" w:name="_Toc32107"/>
            <w:bookmarkStart w:id="18" w:name="_Toc14361"/>
            <w:bookmarkStart w:id="19" w:name="_Toc31670"/>
            <w:r>
              <w:rPr>
                <w:rFonts w:hint="default" w:ascii="Times New Roman" w:hAnsi="Times New Roman" w:eastAsia="宋体" w:cs="Times New Roman"/>
                <w:b w:val="0"/>
                <w:bCs/>
                <w:snapToGrid w:val="0"/>
                <w:color w:val="auto"/>
                <w:spacing w:val="0"/>
                <w:w w:val="100"/>
                <w:position w:val="0"/>
                <w:sz w:val="24"/>
                <w:szCs w:val="24"/>
                <w:lang w:val="en-US" w:eastAsia="zh-CN"/>
              </w:rPr>
              <w:t>与项目有关的原有环境污染问题</w:t>
            </w:r>
            <w:bookmarkEnd w:id="17"/>
            <w:bookmarkEnd w:id="18"/>
            <w:bookmarkEnd w:id="19"/>
          </w:p>
        </w:tc>
        <w:tc>
          <w:tcPr>
            <w:tcW w:w="4697" w:type="pct"/>
            <w:noWrap w:val="0"/>
            <w:vAlign w:val="top"/>
          </w:tcPr>
          <w:p w14:paraId="496B9FA5">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cs="Times New Roman"/>
                <w:bCs/>
                <w:snapToGrid w:val="0"/>
                <w:color w:val="auto"/>
                <w:spacing w:val="0"/>
                <w:w w:val="100"/>
                <w:position w:val="0"/>
                <w:sz w:val="24"/>
                <w:lang w:val="en-US" w:eastAsia="zh-CN"/>
              </w:rPr>
            </w:pPr>
            <w:r>
              <w:rPr>
                <w:rFonts w:hint="default" w:ascii="Times New Roman" w:hAnsi="Times New Roman" w:eastAsia="宋体" w:cs="Times New Roman"/>
                <w:color w:val="auto"/>
                <w:spacing w:val="0"/>
                <w:sz w:val="24"/>
                <w:szCs w:val="24"/>
                <w:highlight w:val="none"/>
                <w:lang w:eastAsia="zh-CN"/>
              </w:rPr>
              <w:t>项目</w:t>
            </w:r>
            <w:r>
              <w:rPr>
                <w:rFonts w:hint="default" w:ascii="Times New Roman" w:hAnsi="Times New Roman" w:eastAsia="宋体" w:cs="Times New Roman"/>
                <w:color w:val="auto"/>
                <w:spacing w:val="0"/>
                <w:sz w:val="24"/>
                <w:szCs w:val="24"/>
                <w:highlight w:val="none"/>
                <w:lang w:val="en-US" w:eastAsia="zh-CN"/>
              </w:rPr>
              <w:t>用地原为广西鹿寨化肥有限责任公司场地，项目用地北面、南面均为广西鹿寨化肥有限责任公司空地，东面为广西鹿寨化肥有限责任公司其它生产车间，西面约314m处为洛清江，该地块为闲置的生产车间，无遗留污染源。本项目</w:t>
            </w:r>
            <w:r>
              <w:rPr>
                <w:rFonts w:hint="default" w:ascii="Times New Roman" w:hAnsi="Times New Roman" w:eastAsia="宋体" w:cs="Times New Roman"/>
                <w:color w:val="auto"/>
                <w:spacing w:val="0"/>
                <w:sz w:val="24"/>
                <w:szCs w:val="24"/>
                <w:highlight w:val="none"/>
                <w:lang w:eastAsia="zh-CN"/>
              </w:rPr>
              <w:t>为新建项目，不存在与本项目有关的原有污染情况。</w:t>
            </w:r>
          </w:p>
        </w:tc>
      </w:tr>
    </w:tbl>
    <w:p w14:paraId="389FD237">
      <w:pPr>
        <w:pStyle w:val="5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360" w:lineRule="auto"/>
        <w:jc w:val="center"/>
        <w:textAlignment w:val="auto"/>
        <w:outlineLvl w:val="0"/>
        <w:rPr>
          <w:rFonts w:hint="default" w:ascii="Times New Roman" w:hAnsi="Times New Roman" w:eastAsia="黑体" w:cs="Times New Roman"/>
          <w:b/>
          <w:bCs w:val="0"/>
          <w:snapToGrid w:val="0"/>
          <w:color w:val="auto"/>
          <w:spacing w:val="0"/>
          <w:w w:val="100"/>
          <w:position w:val="0"/>
          <w:sz w:val="30"/>
          <w:szCs w:val="30"/>
        </w:rPr>
        <w:sectPr>
          <w:pgSz w:w="11906" w:h="16838"/>
          <w:pgMar w:top="1134" w:right="1701" w:bottom="1134" w:left="1701" w:header="567" w:footer="567" w:gutter="0"/>
          <w:pgBorders>
            <w:top w:val="none" w:sz="0" w:space="0"/>
            <w:left w:val="none" w:sz="0" w:space="0"/>
            <w:bottom w:val="none" w:sz="0" w:space="0"/>
            <w:right w:val="none" w:sz="0" w:space="0"/>
          </w:pgBorders>
          <w:pgNumType w:fmt="decimal"/>
          <w:cols w:space="720" w:num="1"/>
          <w:docGrid w:type="lines" w:linePitch="312" w:charSpace="0"/>
        </w:sectPr>
      </w:pPr>
    </w:p>
    <w:p w14:paraId="307FD21A">
      <w:pPr>
        <w:pStyle w:val="5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360" w:lineRule="auto"/>
        <w:jc w:val="center"/>
        <w:textAlignment w:val="auto"/>
        <w:outlineLvl w:val="0"/>
        <w:rPr>
          <w:rFonts w:hint="default" w:ascii="Times New Roman" w:hAnsi="Times New Roman" w:cs="Times New Roman"/>
          <w:b/>
          <w:snapToGrid w:val="0"/>
          <w:color w:val="auto"/>
          <w:spacing w:val="0"/>
          <w:w w:val="100"/>
          <w:position w:val="0"/>
          <w:sz w:val="36"/>
          <w:szCs w:val="36"/>
        </w:rPr>
      </w:pPr>
      <w:bookmarkStart w:id="20" w:name="_Toc28411"/>
      <w:r>
        <w:rPr>
          <w:rFonts w:hint="default" w:ascii="Times New Roman" w:hAnsi="Times New Roman" w:eastAsia="黑体" w:cs="Times New Roman"/>
          <w:b/>
          <w:bCs w:val="0"/>
          <w:snapToGrid w:val="0"/>
          <w:color w:val="auto"/>
          <w:spacing w:val="0"/>
          <w:w w:val="100"/>
          <w:position w:val="0"/>
          <w:sz w:val="30"/>
          <w:szCs w:val="30"/>
        </w:rPr>
        <w:t>三、区域环境质量现状、环境保护目标及评价标准</w:t>
      </w:r>
      <w:bookmarkEnd w:id="20"/>
    </w:p>
    <w:tbl>
      <w:tblPr>
        <w:tblStyle w:val="5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66"/>
        <w:gridCol w:w="8254"/>
      </w:tblGrid>
      <w:tr w14:paraId="2132C8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8" w:hRule="atLeast"/>
          <w:jc w:val="center"/>
        </w:trPr>
        <w:tc>
          <w:tcPr>
            <w:tcW w:w="456" w:type="dxa"/>
            <w:noWrap w:val="0"/>
            <w:vAlign w:val="center"/>
          </w:tcPr>
          <w:p w14:paraId="233004D8">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21" w:name="_Toc8402"/>
            <w:bookmarkStart w:id="22" w:name="_Toc30430"/>
            <w:bookmarkStart w:id="23" w:name="_Toc32725"/>
            <w:r>
              <w:rPr>
                <w:rFonts w:hint="default" w:ascii="Times New Roman" w:hAnsi="Times New Roman" w:eastAsia="宋体" w:cs="Times New Roman"/>
                <w:b w:val="0"/>
                <w:bCs/>
                <w:snapToGrid w:val="0"/>
                <w:color w:val="auto"/>
                <w:spacing w:val="0"/>
                <w:w w:val="100"/>
                <w:position w:val="0"/>
                <w:sz w:val="24"/>
                <w:szCs w:val="24"/>
              </w:rPr>
              <w:t>区</w:t>
            </w:r>
            <w:bookmarkEnd w:id="21"/>
            <w:bookmarkEnd w:id="22"/>
            <w:bookmarkEnd w:id="23"/>
          </w:p>
          <w:p w14:paraId="5B5AA77E">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24" w:name="_Toc22071"/>
            <w:bookmarkStart w:id="25" w:name="_Toc29199"/>
            <w:bookmarkStart w:id="26" w:name="_Toc30667"/>
            <w:r>
              <w:rPr>
                <w:rFonts w:hint="default" w:ascii="Times New Roman" w:hAnsi="Times New Roman" w:eastAsia="宋体" w:cs="Times New Roman"/>
                <w:b w:val="0"/>
                <w:bCs/>
                <w:snapToGrid w:val="0"/>
                <w:color w:val="auto"/>
                <w:spacing w:val="0"/>
                <w:w w:val="100"/>
                <w:position w:val="0"/>
                <w:sz w:val="24"/>
                <w:szCs w:val="24"/>
              </w:rPr>
              <w:t>域</w:t>
            </w:r>
            <w:bookmarkEnd w:id="24"/>
            <w:bookmarkEnd w:id="25"/>
            <w:bookmarkEnd w:id="26"/>
          </w:p>
          <w:p w14:paraId="4EE40703">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27" w:name="_Toc19289"/>
            <w:bookmarkStart w:id="28" w:name="_Toc12854"/>
            <w:bookmarkStart w:id="29" w:name="_Toc19363"/>
            <w:r>
              <w:rPr>
                <w:rFonts w:hint="default" w:ascii="Times New Roman" w:hAnsi="Times New Roman" w:eastAsia="宋体" w:cs="Times New Roman"/>
                <w:b w:val="0"/>
                <w:bCs/>
                <w:snapToGrid w:val="0"/>
                <w:color w:val="auto"/>
                <w:spacing w:val="0"/>
                <w:w w:val="100"/>
                <w:position w:val="0"/>
                <w:sz w:val="24"/>
                <w:szCs w:val="24"/>
              </w:rPr>
              <w:t>环</w:t>
            </w:r>
            <w:bookmarkEnd w:id="27"/>
            <w:bookmarkEnd w:id="28"/>
            <w:bookmarkEnd w:id="29"/>
          </w:p>
          <w:p w14:paraId="56D6918B">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30" w:name="_Toc616"/>
            <w:bookmarkStart w:id="31" w:name="_Toc10841"/>
            <w:bookmarkStart w:id="32" w:name="_Toc30353"/>
            <w:r>
              <w:rPr>
                <w:rFonts w:hint="default" w:ascii="Times New Roman" w:hAnsi="Times New Roman" w:eastAsia="宋体" w:cs="Times New Roman"/>
                <w:b w:val="0"/>
                <w:bCs/>
                <w:snapToGrid w:val="0"/>
                <w:color w:val="auto"/>
                <w:spacing w:val="0"/>
                <w:w w:val="100"/>
                <w:position w:val="0"/>
                <w:sz w:val="24"/>
                <w:szCs w:val="24"/>
              </w:rPr>
              <w:t>境</w:t>
            </w:r>
            <w:bookmarkEnd w:id="30"/>
            <w:bookmarkEnd w:id="31"/>
            <w:bookmarkEnd w:id="32"/>
          </w:p>
          <w:p w14:paraId="48D30571">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33" w:name="_Toc5948"/>
            <w:bookmarkStart w:id="34" w:name="_Toc3353"/>
            <w:bookmarkStart w:id="35" w:name="_Toc22186"/>
            <w:r>
              <w:rPr>
                <w:rFonts w:hint="default" w:ascii="Times New Roman" w:hAnsi="Times New Roman" w:eastAsia="宋体" w:cs="Times New Roman"/>
                <w:b w:val="0"/>
                <w:bCs/>
                <w:snapToGrid w:val="0"/>
                <w:color w:val="auto"/>
                <w:spacing w:val="0"/>
                <w:w w:val="100"/>
                <w:position w:val="0"/>
                <w:sz w:val="24"/>
                <w:szCs w:val="24"/>
              </w:rPr>
              <w:t>质</w:t>
            </w:r>
            <w:bookmarkEnd w:id="33"/>
            <w:bookmarkEnd w:id="34"/>
            <w:bookmarkEnd w:id="35"/>
          </w:p>
          <w:p w14:paraId="09A36FD2">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36" w:name="_Toc26372"/>
            <w:bookmarkStart w:id="37" w:name="_Toc9136"/>
            <w:bookmarkStart w:id="38" w:name="_Toc9063"/>
            <w:r>
              <w:rPr>
                <w:rFonts w:hint="default" w:ascii="Times New Roman" w:hAnsi="Times New Roman" w:eastAsia="宋体" w:cs="Times New Roman"/>
                <w:b w:val="0"/>
                <w:bCs/>
                <w:snapToGrid w:val="0"/>
                <w:color w:val="auto"/>
                <w:spacing w:val="0"/>
                <w:w w:val="100"/>
                <w:position w:val="0"/>
                <w:sz w:val="24"/>
                <w:szCs w:val="24"/>
              </w:rPr>
              <w:t>量</w:t>
            </w:r>
            <w:bookmarkEnd w:id="36"/>
            <w:bookmarkEnd w:id="37"/>
            <w:bookmarkEnd w:id="38"/>
          </w:p>
          <w:p w14:paraId="402D1AAA">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39" w:name="_Toc25156"/>
            <w:bookmarkStart w:id="40" w:name="_Toc31337"/>
            <w:bookmarkStart w:id="41" w:name="_Toc1218"/>
            <w:r>
              <w:rPr>
                <w:rFonts w:hint="default" w:ascii="Times New Roman" w:hAnsi="Times New Roman" w:eastAsia="宋体" w:cs="Times New Roman"/>
                <w:b w:val="0"/>
                <w:bCs/>
                <w:snapToGrid w:val="0"/>
                <w:color w:val="auto"/>
                <w:spacing w:val="0"/>
                <w:w w:val="100"/>
                <w:position w:val="0"/>
                <w:sz w:val="24"/>
                <w:szCs w:val="24"/>
              </w:rPr>
              <w:t>现</w:t>
            </w:r>
            <w:bookmarkEnd w:id="39"/>
            <w:bookmarkEnd w:id="40"/>
            <w:bookmarkEnd w:id="41"/>
          </w:p>
          <w:p w14:paraId="1B3573BA">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0"/>
              <w:rPr>
                <w:rFonts w:hint="default" w:ascii="Times New Roman" w:hAnsi="Times New Roman" w:cs="Times New Roman"/>
                <w:color w:val="auto"/>
                <w:spacing w:val="0"/>
                <w:w w:val="100"/>
                <w:kern w:val="0"/>
                <w:position w:val="0"/>
                <w:sz w:val="24"/>
              </w:rPr>
            </w:pPr>
            <w:bookmarkStart w:id="42" w:name="_Toc25010"/>
            <w:bookmarkStart w:id="43" w:name="_Toc12429"/>
            <w:bookmarkStart w:id="44" w:name="_Toc7697"/>
            <w:r>
              <w:rPr>
                <w:rFonts w:hint="default" w:ascii="Times New Roman" w:hAnsi="Times New Roman" w:eastAsia="宋体" w:cs="Times New Roman"/>
                <w:b w:val="0"/>
                <w:bCs/>
                <w:snapToGrid w:val="0"/>
                <w:color w:val="auto"/>
                <w:spacing w:val="0"/>
                <w:w w:val="100"/>
                <w:position w:val="0"/>
                <w:sz w:val="24"/>
                <w:szCs w:val="24"/>
              </w:rPr>
              <w:t>状</w:t>
            </w:r>
            <w:bookmarkEnd w:id="42"/>
            <w:bookmarkEnd w:id="43"/>
            <w:bookmarkEnd w:id="44"/>
          </w:p>
        </w:tc>
        <w:tc>
          <w:tcPr>
            <w:tcW w:w="8072" w:type="dxa"/>
            <w:noWrap w:val="0"/>
            <w:vAlign w:val="center"/>
          </w:tcPr>
          <w:p w14:paraId="54B4108E">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outlineLvl w:val="9"/>
              <w:rPr>
                <w:rFonts w:hint="default" w:ascii="Times New Roman" w:hAnsi="Times New Roman" w:eastAsia="宋体" w:cs="Times New Roman"/>
                <w:b/>
                <w:bCs w:val="0"/>
                <w:snapToGrid w:val="0"/>
                <w:color w:val="auto"/>
                <w:spacing w:val="0"/>
                <w:w w:val="100"/>
                <w:position w:val="0"/>
                <w:sz w:val="24"/>
                <w:szCs w:val="24"/>
                <w:lang w:val="en-US"/>
              </w:rPr>
            </w:pPr>
            <w:r>
              <w:rPr>
                <w:rFonts w:hint="default" w:ascii="Times New Roman" w:hAnsi="Times New Roman" w:eastAsia="宋体" w:cs="Times New Roman"/>
                <w:b/>
                <w:bCs w:val="0"/>
                <w:snapToGrid w:val="0"/>
                <w:color w:val="auto"/>
                <w:spacing w:val="0"/>
                <w:w w:val="100"/>
                <w:position w:val="0"/>
                <w:sz w:val="24"/>
                <w:szCs w:val="24"/>
              </w:rPr>
              <w:t>1、</w:t>
            </w:r>
            <w:r>
              <w:rPr>
                <w:rFonts w:hint="default" w:ascii="Times New Roman" w:hAnsi="Times New Roman" w:eastAsia="宋体" w:cs="Times New Roman"/>
                <w:b/>
                <w:bCs w:val="0"/>
                <w:snapToGrid w:val="0"/>
                <w:color w:val="auto"/>
                <w:spacing w:val="0"/>
                <w:w w:val="100"/>
                <w:position w:val="0"/>
                <w:sz w:val="24"/>
                <w:szCs w:val="24"/>
                <w:lang w:val="en-US" w:eastAsia="zh-CN"/>
              </w:rPr>
              <w:t>环境空气质量现状评价</w:t>
            </w:r>
          </w:p>
          <w:p w14:paraId="66E3F9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0"/>
              <w:jc w:val="both"/>
              <w:textAlignment w:val="auto"/>
              <w:outlineLvl w:val="9"/>
              <w:rPr>
                <w:rFonts w:hint="default" w:ascii="Times New Roman" w:hAnsi="Times New Roman" w:eastAsia="宋体" w:cs="Times New Roman"/>
                <w:b w:val="0"/>
                <w:bCs/>
                <w:color w:val="auto"/>
                <w:spacing w:val="0"/>
                <w:kern w:val="0"/>
                <w:position w:val="0"/>
                <w:sz w:val="24"/>
                <w:szCs w:val="24"/>
                <w:lang w:val="en-US" w:eastAsia="zh-CN"/>
              </w:rPr>
            </w:pPr>
            <w:r>
              <w:rPr>
                <w:rFonts w:hint="default" w:ascii="Times New Roman" w:hAnsi="Times New Roman" w:eastAsia="宋体" w:cs="Times New Roman"/>
                <w:b w:val="0"/>
                <w:bCs/>
                <w:color w:val="auto"/>
                <w:spacing w:val="0"/>
                <w:kern w:val="0"/>
                <w:position w:val="0"/>
                <w:sz w:val="24"/>
                <w:szCs w:val="24"/>
                <w:lang w:val="en-US" w:eastAsia="zh-CN"/>
              </w:rPr>
              <w:t>根据柳州市人民政府&lt;关于印发《柳州市城市环境空气功能区划分调整方案》的通知&gt;（柳政规〔2020〕29号），项目所在区域为二类大气环境功能区，执行《环境空气质量标准》（GB3095－2026）二级标准（执行过渡阶段浓度限值）执行《环境空气质量标准》（GB3095-2012）二级标准及其修改单。</w:t>
            </w:r>
          </w:p>
          <w:p w14:paraId="3DD6BB2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fldChar w:fldCharType="begin"/>
            </w:r>
            <w:r>
              <w:rPr>
                <w:rFonts w:hint="default" w:ascii="Times New Roman" w:hAnsi="Times New Roman" w:eastAsia="宋体" w:cs="Times New Roman"/>
                <w:color w:val="auto"/>
                <w:spacing w:val="0"/>
                <w:w w:val="100"/>
                <w:position w:val="0"/>
                <w:sz w:val="24"/>
                <w:szCs w:val="24"/>
                <w:highlight w:val="none"/>
                <w:lang w:val="en-US" w:eastAsia="zh-CN"/>
              </w:rPr>
              <w:instrText xml:space="preserve">= 1 \* ROMAN</w:instrText>
            </w:r>
            <w:r>
              <w:rPr>
                <w:rFonts w:hint="default" w:ascii="Times New Roman" w:hAnsi="Times New Roman" w:eastAsia="宋体" w:cs="Times New Roman"/>
                <w:color w:val="auto"/>
                <w:spacing w:val="0"/>
                <w:w w:val="100"/>
                <w:position w:val="0"/>
                <w:sz w:val="24"/>
                <w:szCs w:val="24"/>
                <w:highlight w:val="none"/>
                <w:lang w:val="en-US" w:eastAsia="zh-CN"/>
              </w:rPr>
              <w:fldChar w:fldCharType="separate"/>
            </w:r>
            <w:r>
              <w:rPr>
                <w:rFonts w:hint="default" w:ascii="Times New Roman" w:hAnsi="Times New Roman" w:eastAsia="宋体" w:cs="Times New Roman"/>
                <w:color w:val="auto"/>
                <w:spacing w:val="0"/>
                <w:w w:val="100"/>
                <w:position w:val="0"/>
                <w:sz w:val="24"/>
                <w:szCs w:val="24"/>
                <w:highlight w:val="none"/>
                <w:lang w:val="en-US" w:eastAsia="zh-CN"/>
              </w:rPr>
              <w:t>I</w:t>
            </w:r>
            <w:r>
              <w:rPr>
                <w:rFonts w:hint="default" w:ascii="Times New Roman" w:hAnsi="Times New Roman" w:eastAsia="宋体" w:cs="Times New Roman"/>
                <w:color w:val="auto"/>
                <w:spacing w:val="0"/>
                <w:w w:val="100"/>
                <w:position w:val="0"/>
                <w:sz w:val="24"/>
                <w:szCs w:val="24"/>
                <w:highlight w:val="none"/>
                <w:lang w:val="en-US" w:eastAsia="zh-CN"/>
              </w:rPr>
              <w:fldChar w:fldCharType="end"/>
            </w:r>
            <w:r>
              <w:rPr>
                <w:rFonts w:hint="default" w:ascii="Times New Roman" w:hAnsi="Times New Roman" w:eastAsia="宋体" w:cs="Times New Roman"/>
                <w:color w:val="auto"/>
                <w:spacing w:val="0"/>
                <w:w w:val="100"/>
                <w:position w:val="0"/>
                <w:sz w:val="24"/>
                <w:szCs w:val="24"/>
                <w:highlight w:val="none"/>
                <w:lang w:val="en-US" w:eastAsia="zh-CN"/>
              </w:rPr>
              <w:t>、空气质量达标判定</w:t>
            </w:r>
          </w:p>
          <w:p w14:paraId="2B7FBF9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根据柳州市生态环境局公布的《2024年柳州市生态环境状况公报》可知，2024年柳州市鹿寨县监测项目包括二氧化硫（SO</w:t>
            </w:r>
            <w:r>
              <w:rPr>
                <w:rFonts w:hint="default" w:ascii="Times New Roman" w:hAnsi="Times New Roman" w:eastAsia="宋体" w:cs="Times New Roman"/>
                <w:color w:val="auto"/>
                <w:spacing w:val="0"/>
                <w:w w:val="100"/>
                <w:position w:val="0"/>
                <w:sz w:val="24"/>
                <w:szCs w:val="24"/>
                <w:highlight w:val="none"/>
                <w:vertAlign w:val="sub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）、二氧化氮（NO</w:t>
            </w:r>
            <w:r>
              <w:rPr>
                <w:rFonts w:hint="default" w:ascii="Times New Roman" w:hAnsi="Times New Roman" w:eastAsia="宋体" w:cs="Times New Roman"/>
                <w:color w:val="auto"/>
                <w:spacing w:val="0"/>
                <w:w w:val="100"/>
                <w:position w:val="0"/>
                <w:sz w:val="24"/>
                <w:szCs w:val="24"/>
                <w:highlight w:val="none"/>
                <w:vertAlign w:val="sub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）、可吸入颗粒物（PM</w:t>
            </w:r>
            <w:r>
              <w:rPr>
                <w:rFonts w:hint="default" w:ascii="Times New Roman" w:hAnsi="Times New Roman" w:eastAsia="宋体" w:cs="Times New Roman"/>
                <w:color w:val="auto"/>
                <w:spacing w:val="0"/>
                <w:w w:val="100"/>
                <w:position w:val="0"/>
                <w:sz w:val="24"/>
                <w:szCs w:val="24"/>
                <w:highlight w:val="none"/>
                <w:vertAlign w:val="subscript"/>
                <w:lang w:val="en-US" w:eastAsia="zh-CN"/>
              </w:rPr>
              <w:t>10</w:t>
            </w:r>
            <w:r>
              <w:rPr>
                <w:rFonts w:hint="default" w:ascii="Times New Roman" w:hAnsi="Times New Roman" w:eastAsia="宋体" w:cs="Times New Roman"/>
                <w:color w:val="auto"/>
                <w:spacing w:val="0"/>
                <w:w w:val="100"/>
                <w:position w:val="0"/>
                <w:sz w:val="24"/>
                <w:szCs w:val="24"/>
                <w:highlight w:val="none"/>
                <w:lang w:val="en-US" w:eastAsia="zh-CN"/>
              </w:rPr>
              <w:t>）、细颗粒物（PM</w:t>
            </w:r>
            <w:r>
              <w:rPr>
                <w:rFonts w:hint="default" w:ascii="Times New Roman" w:hAnsi="Times New Roman" w:eastAsia="宋体" w:cs="Times New Roman"/>
                <w:color w:val="auto"/>
                <w:spacing w:val="0"/>
                <w:w w:val="100"/>
                <w:position w:val="0"/>
                <w:sz w:val="24"/>
                <w:szCs w:val="24"/>
                <w:highlight w:val="none"/>
                <w:vertAlign w:val="subscript"/>
                <w:lang w:val="en-US" w:eastAsia="zh-CN"/>
              </w:rPr>
              <w:t>2.5</w:t>
            </w:r>
            <w:r>
              <w:rPr>
                <w:rFonts w:hint="default" w:ascii="Times New Roman" w:hAnsi="Times New Roman" w:eastAsia="宋体" w:cs="Times New Roman"/>
                <w:color w:val="auto"/>
                <w:spacing w:val="0"/>
                <w:w w:val="100"/>
                <w:position w:val="0"/>
                <w:sz w:val="24"/>
                <w:szCs w:val="24"/>
                <w:highlight w:val="none"/>
                <w:lang w:val="en-US" w:eastAsia="zh-CN"/>
              </w:rPr>
              <w:t>）、一氧化碳（CO）及臭氧（O</w:t>
            </w:r>
            <w:r>
              <w:rPr>
                <w:rFonts w:hint="default" w:ascii="Times New Roman" w:hAnsi="Times New Roman" w:eastAsia="宋体" w:cs="Times New Roman"/>
                <w:color w:val="auto"/>
                <w:spacing w:val="0"/>
                <w:w w:val="100"/>
                <w:position w:val="0"/>
                <w:sz w:val="24"/>
                <w:szCs w:val="24"/>
                <w:highlight w:val="none"/>
                <w:vertAlign w:val="sub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）。其中SO</w:t>
            </w:r>
            <w:r>
              <w:rPr>
                <w:rFonts w:hint="default" w:ascii="Times New Roman" w:hAnsi="Times New Roman" w:eastAsia="宋体" w:cs="Times New Roman"/>
                <w:color w:val="auto"/>
                <w:spacing w:val="0"/>
                <w:w w:val="100"/>
                <w:position w:val="0"/>
                <w:sz w:val="24"/>
                <w:szCs w:val="24"/>
                <w:highlight w:val="none"/>
                <w:vertAlign w:val="sub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年平均浓度为6μg/m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，NO</w:t>
            </w:r>
            <w:r>
              <w:rPr>
                <w:rFonts w:hint="default" w:ascii="Times New Roman" w:hAnsi="Times New Roman" w:eastAsia="宋体" w:cs="Times New Roman"/>
                <w:color w:val="auto"/>
                <w:spacing w:val="0"/>
                <w:w w:val="100"/>
                <w:position w:val="0"/>
                <w:sz w:val="24"/>
                <w:szCs w:val="24"/>
                <w:highlight w:val="none"/>
                <w:vertAlign w:val="sub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年平均浓度为12μg/m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，PM</w:t>
            </w:r>
            <w:r>
              <w:rPr>
                <w:rFonts w:hint="default" w:ascii="Times New Roman" w:hAnsi="Times New Roman" w:eastAsia="宋体" w:cs="Times New Roman"/>
                <w:color w:val="auto"/>
                <w:spacing w:val="0"/>
                <w:w w:val="100"/>
                <w:position w:val="0"/>
                <w:sz w:val="24"/>
                <w:szCs w:val="24"/>
                <w:highlight w:val="none"/>
                <w:vertAlign w:val="subscript"/>
                <w:lang w:val="en-US" w:eastAsia="zh-CN"/>
              </w:rPr>
              <w:t>10</w:t>
            </w:r>
            <w:r>
              <w:rPr>
                <w:rFonts w:hint="default" w:ascii="Times New Roman" w:hAnsi="Times New Roman" w:eastAsia="宋体" w:cs="Times New Roman"/>
                <w:color w:val="auto"/>
                <w:spacing w:val="0"/>
                <w:w w:val="100"/>
                <w:position w:val="0"/>
                <w:sz w:val="24"/>
                <w:szCs w:val="24"/>
                <w:highlight w:val="none"/>
                <w:lang w:val="en-US" w:eastAsia="zh-CN"/>
              </w:rPr>
              <w:t>年平均浓度为37μg/m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，PM</w:t>
            </w:r>
            <w:r>
              <w:rPr>
                <w:rFonts w:hint="default" w:ascii="Times New Roman" w:hAnsi="Times New Roman" w:eastAsia="宋体" w:cs="Times New Roman"/>
                <w:color w:val="auto"/>
                <w:spacing w:val="0"/>
                <w:w w:val="100"/>
                <w:position w:val="0"/>
                <w:sz w:val="24"/>
                <w:szCs w:val="24"/>
                <w:highlight w:val="none"/>
                <w:vertAlign w:val="subscript"/>
                <w:lang w:val="en-US" w:eastAsia="zh-CN"/>
              </w:rPr>
              <w:t>2.5</w:t>
            </w:r>
            <w:r>
              <w:rPr>
                <w:rFonts w:hint="default" w:ascii="Times New Roman" w:hAnsi="Times New Roman" w:eastAsia="宋体" w:cs="Times New Roman"/>
                <w:color w:val="auto"/>
                <w:spacing w:val="0"/>
                <w:w w:val="100"/>
                <w:position w:val="0"/>
                <w:sz w:val="24"/>
                <w:szCs w:val="24"/>
                <w:highlight w:val="none"/>
                <w:lang w:val="en-US" w:eastAsia="zh-CN"/>
              </w:rPr>
              <w:t>年平均浓度为25μg/m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，O3日最大8小时滑动平均值的第90百位数为107μg/m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，一氧化碳24小时平均第95百位数为0.9mg/m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，均达到《环境空气质量标准》（GH3095-2012）二级标准要求。因此，判定项目所在区域为达标区。</w:t>
            </w:r>
          </w:p>
          <w:p w14:paraId="1F3269F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fldChar w:fldCharType="begin"/>
            </w:r>
            <w:r>
              <w:rPr>
                <w:rFonts w:hint="default" w:ascii="Times New Roman" w:hAnsi="Times New Roman" w:eastAsia="宋体" w:cs="Times New Roman"/>
                <w:color w:val="auto"/>
                <w:spacing w:val="0"/>
                <w:w w:val="100"/>
                <w:position w:val="0"/>
                <w:sz w:val="24"/>
                <w:szCs w:val="24"/>
                <w:highlight w:val="none"/>
                <w:lang w:val="en-US" w:eastAsia="zh-CN"/>
              </w:rPr>
              <w:instrText xml:space="preserve"> = 2 \* ROMAN \* MERGEFORMAT </w:instrText>
            </w:r>
            <w:r>
              <w:rPr>
                <w:rFonts w:hint="default" w:ascii="Times New Roman" w:hAnsi="Times New Roman" w:eastAsia="宋体" w:cs="Times New Roman"/>
                <w:color w:val="auto"/>
                <w:spacing w:val="0"/>
                <w:w w:val="100"/>
                <w:position w:val="0"/>
                <w:sz w:val="24"/>
                <w:szCs w:val="24"/>
                <w:highlight w:val="none"/>
                <w:lang w:val="en-US" w:eastAsia="zh-CN"/>
              </w:rPr>
              <w:fldChar w:fldCharType="separate"/>
            </w:r>
            <w:r>
              <w:rPr>
                <w:rFonts w:hint="default" w:ascii="Times New Roman" w:hAnsi="Times New Roman" w:eastAsia="宋体" w:cs="Times New Roman"/>
                <w:color w:val="auto"/>
                <w:spacing w:val="0"/>
                <w:w w:val="100"/>
                <w:position w:val="0"/>
                <w:sz w:val="24"/>
                <w:szCs w:val="24"/>
                <w:highlight w:val="none"/>
                <w:lang w:val="en-US" w:eastAsia="zh-CN"/>
              </w:rPr>
              <w:t>II</w:t>
            </w:r>
            <w:r>
              <w:rPr>
                <w:rFonts w:hint="default" w:ascii="Times New Roman" w:hAnsi="Times New Roman" w:eastAsia="宋体" w:cs="Times New Roman"/>
                <w:color w:val="auto"/>
                <w:spacing w:val="0"/>
                <w:w w:val="100"/>
                <w:position w:val="0"/>
                <w:sz w:val="24"/>
                <w:szCs w:val="24"/>
                <w:highlight w:val="none"/>
                <w:lang w:val="en-US" w:eastAsia="zh-CN"/>
              </w:rPr>
              <w:fldChar w:fldCharType="end"/>
            </w:r>
            <w:r>
              <w:rPr>
                <w:rFonts w:hint="default" w:ascii="Times New Roman" w:hAnsi="Times New Roman" w:eastAsia="宋体" w:cs="Times New Roman"/>
                <w:color w:val="auto"/>
                <w:spacing w:val="0"/>
                <w:w w:val="100"/>
                <w:position w:val="0"/>
                <w:sz w:val="24"/>
                <w:szCs w:val="24"/>
                <w:highlight w:val="none"/>
                <w:lang w:val="en-US" w:eastAsia="zh-CN"/>
              </w:rPr>
              <w:t>、基本污染物环境质量现状</w:t>
            </w:r>
          </w:p>
          <w:p w14:paraId="756F641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根据柳州市生态环境局公布的《2024年柳州市生态环境状况公报》可知，2024年鹿寨县空气质量现状评价见表3-1。</w:t>
            </w:r>
          </w:p>
          <w:p w14:paraId="2D8C56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表3-1  2024年鹿寨县空气质量现状评价表</w:t>
            </w:r>
          </w:p>
          <w:tbl>
            <w:tblPr>
              <w:tblStyle w:val="5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3"/>
              <w:gridCol w:w="1768"/>
              <w:gridCol w:w="1796"/>
              <w:gridCol w:w="1528"/>
              <w:gridCol w:w="1060"/>
              <w:gridCol w:w="1040"/>
            </w:tblGrid>
            <w:tr w14:paraId="26029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19" w:type="pct"/>
                  <w:noWrap w:val="0"/>
                  <w:vAlign w:val="center"/>
                </w:tcPr>
                <w:p w14:paraId="0C6DA23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污染物</w:t>
                  </w:r>
                </w:p>
              </w:tc>
              <w:tc>
                <w:tcPr>
                  <w:tcW w:w="1101" w:type="pct"/>
                  <w:noWrap w:val="0"/>
                  <w:vAlign w:val="center"/>
                </w:tcPr>
                <w:p w14:paraId="35A50E1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评价指标</w:t>
                  </w:r>
                </w:p>
              </w:tc>
              <w:tc>
                <w:tcPr>
                  <w:tcW w:w="1119" w:type="pct"/>
                  <w:noWrap w:val="0"/>
                  <w:vAlign w:val="center"/>
                </w:tcPr>
                <w:p w14:paraId="44C9BA1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现状浓度（μg/m</w:t>
                  </w:r>
                  <w:r>
                    <w:rPr>
                      <w:rFonts w:hint="default" w:ascii="Times New Roman" w:hAnsi="Times New Roman" w:eastAsia="宋体" w:cs="Times New Roman"/>
                      <w:b/>
                      <w:bCs/>
                      <w:color w:val="auto"/>
                      <w:spacing w:val="0"/>
                      <w:sz w:val="21"/>
                      <w:vertAlign w:val="superscript"/>
                      <w:lang w:val="en-US" w:eastAsia="zh-CN"/>
                    </w:rPr>
                    <w:t>3</w:t>
                  </w:r>
                  <w:r>
                    <w:rPr>
                      <w:rFonts w:hint="default" w:ascii="Times New Roman" w:hAnsi="Times New Roman" w:eastAsia="宋体" w:cs="Times New Roman"/>
                      <w:b/>
                      <w:bCs/>
                      <w:color w:val="auto"/>
                      <w:spacing w:val="0"/>
                      <w:sz w:val="21"/>
                      <w:lang w:val="en-US" w:eastAsia="zh-CN"/>
                    </w:rPr>
                    <w:t>）</w:t>
                  </w:r>
                </w:p>
              </w:tc>
              <w:tc>
                <w:tcPr>
                  <w:tcW w:w="952" w:type="pct"/>
                  <w:noWrap w:val="0"/>
                  <w:vAlign w:val="center"/>
                </w:tcPr>
                <w:p w14:paraId="02B1FFD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标准值（μg/m</w:t>
                  </w:r>
                  <w:r>
                    <w:rPr>
                      <w:rFonts w:hint="default" w:ascii="Times New Roman" w:hAnsi="Times New Roman" w:eastAsia="宋体" w:cs="Times New Roman"/>
                      <w:b/>
                      <w:bCs/>
                      <w:color w:val="auto"/>
                      <w:spacing w:val="0"/>
                      <w:sz w:val="21"/>
                      <w:vertAlign w:val="superscript"/>
                      <w:lang w:val="en-US" w:eastAsia="zh-CN"/>
                    </w:rPr>
                    <w:t>3</w:t>
                  </w:r>
                  <w:r>
                    <w:rPr>
                      <w:rFonts w:hint="default" w:ascii="Times New Roman" w:hAnsi="Times New Roman" w:eastAsia="宋体" w:cs="Times New Roman"/>
                      <w:b/>
                      <w:bCs/>
                      <w:color w:val="auto"/>
                      <w:spacing w:val="0"/>
                      <w:sz w:val="21"/>
                      <w:lang w:val="en-US" w:eastAsia="zh-CN"/>
                    </w:rPr>
                    <w:t>）</w:t>
                  </w:r>
                </w:p>
              </w:tc>
              <w:tc>
                <w:tcPr>
                  <w:tcW w:w="660" w:type="pct"/>
                  <w:noWrap w:val="0"/>
                  <w:vAlign w:val="center"/>
                </w:tcPr>
                <w:p w14:paraId="74851D8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占标率/%</w:t>
                  </w:r>
                </w:p>
              </w:tc>
              <w:tc>
                <w:tcPr>
                  <w:tcW w:w="648" w:type="pct"/>
                  <w:noWrap w:val="0"/>
                  <w:vAlign w:val="center"/>
                </w:tcPr>
                <w:p w14:paraId="3504568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达标情况</w:t>
                  </w:r>
                </w:p>
              </w:tc>
            </w:tr>
            <w:tr w14:paraId="26A20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19" w:type="pct"/>
                  <w:noWrap w:val="0"/>
                  <w:vAlign w:val="center"/>
                </w:tcPr>
                <w:p w14:paraId="7CEC5E6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SO</w:t>
                  </w:r>
                  <w:r>
                    <w:rPr>
                      <w:rFonts w:hint="default" w:ascii="Times New Roman" w:hAnsi="Times New Roman" w:eastAsia="宋体" w:cs="Times New Roman"/>
                      <w:color w:val="auto"/>
                      <w:spacing w:val="0"/>
                      <w:sz w:val="21"/>
                      <w:vertAlign w:val="subscript"/>
                      <w:lang w:val="en-US" w:eastAsia="zh-CN"/>
                    </w:rPr>
                    <w:t>2</w:t>
                  </w:r>
                </w:p>
              </w:tc>
              <w:tc>
                <w:tcPr>
                  <w:tcW w:w="1101" w:type="pct"/>
                  <w:noWrap w:val="0"/>
                  <w:vAlign w:val="center"/>
                </w:tcPr>
                <w:p w14:paraId="78EFF55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年平均浓度</w:t>
                  </w:r>
                </w:p>
              </w:tc>
              <w:tc>
                <w:tcPr>
                  <w:tcW w:w="1119" w:type="pct"/>
                  <w:noWrap w:val="0"/>
                  <w:vAlign w:val="center"/>
                </w:tcPr>
                <w:p w14:paraId="48484D2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6</w:t>
                  </w:r>
                </w:p>
              </w:tc>
              <w:tc>
                <w:tcPr>
                  <w:tcW w:w="952" w:type="pct"/>
                  <w:noWrap w:val="0"/>
                  <w:vAlign w:val="center"/>
                </w:tcPr>
                <w:p w14:paraId="101100B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60</w:t>
                  </w:r>
                </w:p>
              </w:tc>
              <w:tc>
                <w:tcPr>
                  <w:tcW w:w="660" w:type="pct"/>
                  <w:noWrap w:val="0"/>
                  <w:vAlign w:val="center"/>
                </w:tcPr>
                <w:p w14:paraId="5F6C38B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10.0</w:t>
                  </w:r>
                </w:p>
              </w:tc>
              <w:tc>
                <w:tcPr>
                  <w:tcW w:w="648" w:type="pct"/>
                  <w:noWrap w:val="0"/>
                  <w:vAlign w:val="center"/>
                </w:tcPr>
                <w:p w14:paraId="6A4572B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达标</w:t>
                  </w:r>
                </w:p>
              </w:tc>
            </w:tr>
            <w:tr w14:paraId="1C641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19" w:type="pct"/>
                  <w:noWrap w:val="0"/>
                  <w:vAlign w:val="center"/>
                </w:tcPr>
                <w:p w14:paraId="76A7AB3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NO</w:t>
                  </w:r>
                  <w:r>
                    <w:rPr>
                      <w:rFonts w:hint="default" w:ascii="Times New Roman" w:hAnsi="Times New Roman" w:eastAsia="宋体" w:cs="Times New Roman"/>
                      <w:color w:val="auto"/>
                      <w:spacing w:val="0"/>
                      <w:sz w:val="21"/>
                      <w:vertAlign w:val="subscript"/>
                      <w:lang w:val="en-US" w:eastAsia="zh-CN"/>
                    </w:rPr>
                    <w:t>2</w:t>
                  </w:r>
                </w:p>
              </w:tc>
              <w:tc>
                <w:tcPr>
                  <w:tcW w:w="1101" w:type="pct"/>
                  <w:noWrap w:val="0"/>
                  <w:vAlign w:val="center"/>
                </w:tcPr>
                <w:p w14:paraId="4AC822E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年平均浓度</w:t>
                  </w:r>
                </w:p>
              </w:tc>
              <w:tc>
                <w:tcPr>
                  <w:tcW w:w="1119" w:type="pct"/>
                  <w:noWrap w:val="0"/>
                  <w:vAlign w:val="center"/>
                </w:tcPr>
                <w:p w14:paraId="614E79E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12</w:t>
                  </w:r>
                </w:p>
              </w:tc>
              <w:tc>
                <w:tcPr>
                  <w:tcW w:w="952" w:type="pct"/>
                  <w:noWrap w:val="0"/>
                  <w:vAlign w:val="center"/>
                </w:tcPr>
                <w:p w14:paraId="09D3367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40</w:t>
                  </w:r>
                </w:p>
              </w:tc>
              <w:tc>
                <w:tcPr>
                  <w:tcW w:w="660" w:type="pct"/>
                  <w:noWrap w:val="0"/>
                  <w:vAlign w:val="center"/>
                </w:tcPr>
                <w:p w14:paraId="162338C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30.0</w:t>
                  </w:r>
                </w:p>
              </w:tc>
              <w:tc>
                <w:tcPr>
                  <w:tcW w:w="648" w:type="pct"/>
                  <w:noWrap w:val="0"/>
                  <w:vAlign w:val="center"/>
                </w:tcPr>
                <w:p w14:paraId="647DA16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达标</w:t>
                  </w:r>
                </w:p>
              </w:tc>
            </w:tr>
            <w:tr w14:paraId="5C3E0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19" w:type="pct"/>
                  <w:noWrap w:val="0"/>
                  <w:vAlign w:val="center"/>
                </w:tcPr>
                <w:p w14:paraId="6833C74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CO</w:t>
                  </w:r>
                </w:p>
              </w:tc>
              <w:tc>
                <w:tcPr>
                  <w:tcW w:w="1101" w:type="pct"/>
                  <w:noWrap w:val="0"/>
                  <w:vAlign w:val="center"/>
                </w:tcPr>
                <w:p w14:paraId="515CCEF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24小时平均</w:t>
                  </w:r>
                </w:p>
                <w:p w14:paraId="254605C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第95百分位数</w:t>
                  </w:r>
                </w:p>
              </w:tc>
              <w:tc>
                <w:tcPr>
                  <w:tcW w:w="1119" w:type="pct"/>
                  <w:noWrap w:val="0"/>
                  <w:vAlign w:val="center"/>
                </w:tcPr>
                <w:p w14:paraId="3F8E5D4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0.9mg/m</w:t>
                  </w:r>
                  <w:r>
                    <w:rPr>
                      <w:rFonts w:hint="default" w:ascii="Times New Roman" w:hAnsi="Times New Roman" w:eastAsia="宋体" w:cs="Times New Roman"/>
                      <w:color w:val="auto"/>
                      <w:spacing w:val="0"/>
                      <w:sz w:val="21"/>
                      <w:vertAlign w:val="superscript"/>
                      <w:lang w:val="en-US" w:eastAsia="zh-CN"/>
                    </w:rPr>
                    <w:t>3</w:t>
                  </w:r>
                </w:p>
              </w:tc>
              <w:tc>
                <w:tcPr>
                  <w:tcW w:w="952" w:type="pct"/>
                  <w:noWrap w:val="0"/>
                  <w:vAlign w:val="center"/>
                </w:tcPr>
                <w:p w14:paraId="7C32208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4mg/m</w:t>
                  </w:r>
                  <w:r>
                    <w:rPr>
                      <w:rFonts w:hint="default" w:ascii="Times New Roman" w:hAnsi="Times New Roman" w:eastAsia="宋体" w:cs="Times New Roman"/>
                      <w:color w:val="auto"/>
                      <w:spacing w:val="0"/>
                      <w:sz w:val="21"/>
                      <w:vertAlign w:val="superscript"/>
                      <w:lang w:val="en-US" w:eastAsia="zh-CN"/>
                    </w:rPr>
                    <w:t>3</w:t>
                  </w:r>
                </w:p>
              </w:tc>
              <w:tc>
                <w:tcPr>
                  <w:tcW w:w="660" w:type="pct"/>
                  <w:noWrap w:val="0"/>
                  <w:vAlign w:val="center"/>
                </w:tcPr>
                <w:p w14:paraId="3652FCA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22.5</w:t>
                  </w:r>
                </w:p>
              </w:tc>
              <w:tc>
                <w:tcPr>
                  <w:tcW w:w="648" w:type="pct"/>
                  <w:noWrap w:val="0"/>
                  <w:vAlign w:val="center"/>
                </w:tcPr>
                <w:p w14:paraId="683A0B0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达标</w:t>
                  </w:r>
                </w:p>
              </w:tc>
            </w:tr>
            <w:tr w14:paraId="54CD3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19" w:type="pct"/>
                  <w:noWrap w:val="0"/>
                  <w:vAlign w:val="center"/>
                </w:tcPr>
                <w:p w14:paraId="2BF4572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O</w:t>
                  </w:r>
                  <w:r>
                    <w:rPr>
                      <w:rFonts w:hint="default" w:ascii="Times New Roman" w:hAnsi="Times New Roman" w:eastAsia="宋体" w:cs="Times New Roman"/>
                      <w:color w:val="auto"/>
                      <w:spacing w:val="0"/>
                      <w:sz w:val="21"/>
                      <w:vertAlign w:val="subscript"/>
                      <w:lang w:val="en-US" w:eastAsia="zh-CN"/>
                    </w:rPr>
                    <w:t>3</w:t>
                  </w:r>
                </w:p>
              </w:tc>
              <w:tc>
                <w:tcPr>
                  <w:tcW w:w="1101" w:type="pct"/>
                  <w:noWrap w:val="0"/>
                  <w:vAlign w:val="center"/>
                </w:tcPr>
                <w:p w14:paraId="1EF00FC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8小时滑动平均</w:t>
                  </w:r>
                </w:p>
                <w:p w14:paraId="0794C5B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第90百分位数</w:t>
                  </w:r>
                </w:p>
              </w:tc>
              <w:tc>
                <w:tcPr>
                  <w:tcW w:w="1119" w:type="pct"/>
                  <w:noWrap w:val="0"/>
                  <w:vAlign w:val="center"/>
                </w:tcPr>
                <w:p w14:paraId="01D5DB7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107</w:t>
                  </w:r>
                </w:p>
              </w:tc>
              <w:tc>
                <w:tcPr>
                  <w:tcW w:w="952" w:type="pct"/>
                  <w:noWrap w:val="0"/>
                  <w:vAlign w:val="center"/>
                </w:tcPr>
                <w:p w14:paraId="3197240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160</w:t>
                  </w:r>
                </w:p>
              </w:tc>
              <w:tc>
                <w:tcPr>
                  <w:tcW w:w="660" w:type="pct"/>
                  <w:noWrap w:val="0"/>
                  <w:vAlign w:val="center"/>
                </w:tcPr>
                <w:p w14:paraId="410BD8D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66.9</w:t>
                  </w:r>
                </w:p>
              </w:tc>
              <w:tc>
                <w:tcPr>
                  <w:tcW w:w="648" w:type="pct"/>
                  <w:noWrap w:val="0"/>
                  <w:vAlign w:val="center"/>
                </w:tcPr>
                <w:p w14:paraId="349BFB4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达标</w:t>
                  </w:r>
                </w:p>
              </w:tc>
            </w:tr>
            <w:tr w14:paraId="75334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19" w:type="pct"/>
                  <w:noWrap w:val="0"/>
                  <w:vAlign w:val="center"/>
                </w:tcPr>
                <w:p w14:paraId="5427DD9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PM</w:t>
                  </w:r>
                  <w:r>
                    <w:rPr>
                      <w:rFonts w:hint="default" w:ascii="Times New Roman" w:hAnsi="Times New Roman" w:eastAsia="宋体" w:cs="Times New Roman"/>
                      <w:color w:val="auto"/>
                      <w:spacing w:val="0"/>
                      <w:sz w:val="21"/>
                      <w:vertAlign w:val="subscript"/>
                      <w:lang w:val="en-US" w:eastAsia="zh-CN"/>
                    </w:rPr>
                    <w:t>10</w:t>
                  </w:r>
                </w:p>
              </w:tc>
              <w:tc>
                <w:tcPr>
                  <w:tcW w:w="1101" w:type="pct"/>
                  <w:noWrap w:val="0"/>
                  <w:vAlign w:val="center"/>
                </w:tcPr>
                <w:p w14:paraId="054C406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年平均浓度</w:t>
                  </w:r>
                </w:p>
              </w:tc>
              <w:tc>
                <w:tcPr>
                  <w:tcW w:w="1119" w:type="pct"/>
                  <w:noWrap w:val="0"/>
                  <w:vAlign w:val="center"/>
                </w:tcPr>
                <w:p w14:paraId="45BE48B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37</w:t>
                  </w:r>
                </w:p>
              </w:tc>
              <w:tc>
                <w:tcPr>
                  <w:tcW w:w="952" w:type="pct"/>
                  <w:noWrap w:val="0"/>
                  <w:vAlign w:val="center"/>
                </w:tcPr>
                <w:p w14:paraId="635C54B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60</w:t>
                  </w:r>
                </w:p>
              </w:tc>
              <w:tc>
                <w:tcPr>
                  <w:tcW w:w="660" w:type="pct"/>
                  <w:noWrap w:val="0"/>
                  <w:vAlign w:val="center"/>
                </w:tcPr>
                <w:p w14:paraId="4288847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61.67</w:t>
                  </w:r>
                </w:p>
              </w:tc>
              <w:tc>
                <w:tcPr>
                  <w:tcW w:w="648" w:type="pct"/>
                  <w:noWrap w:val="0"/>
                  <w:vAlign w:val="center"/>
                </w:tcPr>
                <w:p w14:paraId="4D4527A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达标</w:t>
                  </w:r>
                </w:p>
              </w:tc>
            </w:tr>
            <w:tr w14:paraId="0E1D3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19" w:type="pct"/>
                  <w:noWrap w:val="0"/>
                  <w:vAlign w:val="center"/>
                </w:tcPr>
                <w:p w14:paraId="36C4815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PM</w:t>
                  </w:r>
                  <w:r>
                    <w:rPr>
                      <w:rFonts w:hint="default" w:ascii="Times New Roman" w:hAnsi="Times New Roman" w:eastAsia="宋体" w:cs="Times New Roman"/>
                      <w:color w:val="auto"/>
                      <w:spacing w:val="0"/>
                      <w:sz w:val="21"/>
                      <w:vertAlign w:val="subscript"/>
                      <w:lang w:val="en-US" w:eastAsia="zh-CN"/>
                    </w:rPr>
                    <w:t>2.5</w:t>
                  </w:r>
                </w:p>
              </w:tc>
              <w:tc>
                <w:tcPr>
                  <w:tcW w:w="1101" w:type="pct"/>
                  <w:noWrap w:val="0"/>
                  <w:vAlign w:val="center"/>
                </w:tcPr>
                <w:p w14:paraId="07158ED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年平均浓度</w:t>
                  </w:r>
                </w:p>
              </w:tc>
              <w:tc>
                <w:tcPr>
                  <w:tcW w:w="1119" w:type="pct"/>
                  <w:noWrap w:val="0"/>
                  <w:vAlign w:val="center"/>
                </w:tcPr>
                <w:p w14:paraId="7A7E0C1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25</w:t>
                  </w:r>
                </w:p>
              </w:tc>
              <w:tc>
                <w:tcPr>
                  <w:tcW w:w="952" w:type="pct"/>
                  <w:noWrap w:val="0"/>
                  <w:vAlign w:val="center"/>
                </w:tcPr>
                <w:p w14:paraId="5B8C1CD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30</w:t>
                  </w:r>
                </w:p>
              </w:tc>
              <w:tc>
                <w:tcPr>
                  <w:tcW w:w="660" w:type="pct"/>
                  <w:noWrap w:val="0"/>
                  <w:vAlign w:val="center"/>
                </w:tcPr>
                <w:p w14:paraId="2C1A2BB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83.3</w:t>
                  </w:r>
                </w:p>
              </w:tc>
              <w:tc>
                <w:tcPr>
                  <w:tcW w:w="648" w:type="pct"/>
                  <w:noWrap w:val="0"/>
                  <w:vAlign w:val="center"/>
                </w:tcPr>
                <w:p w14:paraId="092BC3C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达标</w:t>
                  </w:r>
                </w:p>
              </w:tc>
            </w:tr>
          </w:tbl>
          <w:p w14:paraId="2EE11E1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根据表3-1评价结果可知，项目所在区域现状评价指标中各项评价指标均能够满足《环境空气质量标准》（GH3095-2026）二级标准要求。</w:t>
            </w:r>
          </w:p>
          <w:p w14:paraId="2FAE485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fldChar w:fldCharType="begin"/>
            </w:r>
            <w:r>
              <w:rPr>
                <w:rFonts w:hint="default" w:ascii="Times New Roman" w:hAnsi="Times New Roman" w:eastAsia="宋体" w:cs="Times New Roman"/>
                <w:color w:val="auto"/>
                <w:spacing w:val="0"/>
                <w:w w:val="100"/>
                <w:position w:val="0"/>
                <w:sz w:val="24"/>
                <w:szCs w:val="24"/>
                <w:highlight w:val="none"/>
                <w:lang w:val="en-US" w:eastAsia="zh-CN"/>
              </w:rPr>
              <w:instrText xml:space="preserve"> = 3 \* ROMAN \* MERGEFORMAT </w:instrText>
            </w:r>
            <w:r>
              <w:rPr>
                <w:rFonts w:hint="default" w:ascii="Times New Roman" w:hAnsi="Times New Roman" w:eastAsia="宋体" w:cs="Times New Roman"/>
                <w:color w:val="auto"/>
                <w:spacing w:val="0"/>
                <w:w w:val="100"/>
                <w:position w:val="0"/>
                <w:sz w:val="24"/>
                <w:szCs w:val="24"/>
                <w:highlight w:val="none"/>
                <w:lang w:val="en-US" w:eastAsia="zh-CN"/>
              </w:rPr>
              <w:fldChar w:fldCharType="separate"/>
            </w:r>
            <w:r>
              <w:rPr>
                <w:rFonts w:hint="default" w:ascii="Times New Roman" w:hAnsi="Times New Roman" w:eastAsia="宋体" w:cs="Times New Roman"/>
                <w:color w:val="auto"/>
                <w:spacing w:val="0"/>
                <w:w w:val="100"/>
                <w:position w:val="0"/>
                <w:sz w:val="24"/>
                <w:szCs w:val="24"/>
                <w:highlight w:val="none"/>
                <w:lang w:val="en-US" w:eastAsia="zh-CN"/>
              </w:rPr>
              <w:t>III</w:t>
            </w:r>
            <w:r>
              <w:rPr>
                <w:rFonts w:hint="default" w:ascii="Times New Roman" w:hAnsi="Times New Roman" w:eastAsia="宋体" w:cs="Times New Roman"/>
                <w:color w:val="auto"/>
                <w:spacing w:val="0"/>
                <w:w w:val="100"/>
                <w:position w:val="0"/>
                <w:sz w:val="24"/>
                <w:szCs w:val="24"/>
                <w:highlight w:val="none"/>
                <w:lang w:val="en-US" w:eastAsia="zh-CN"/>
              </w:rPr>
              <w:fldChar w:fldCharType="end"/>
            </w:r>
            <w:r>
              <w:rPr>
                <w:rFonts w:hint="default" w:ascii="Times New Roman" w:hAnsi="Times New Roman" w:eastAsia="宋体" w:cs="Times New Roman"/>
                <w:color w:val="auto"/>
                <w:spacing w:val="0"/>
                <w:w w:val="100"/>
                <w:position w:val="0"/>
                <w:sz w:val="24"/>
                <w:szCs w:val="24"/>
                <w:highlight w:val="none"/>
                <w:lang w:val="en-US" w:eastAsia="zh-CN"/>
              </w:rPr>
              <w:t>、其他污染物环境质量现状</w:t>
            </w:r>
          </w:p>
          <w:p w14:paraId="1B01B34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根据2023年07月20日广西壮族自治区生态环境厅领导信箱“关于环境影响报告表（污染影响类）项目大气特征污染物监测的咨询”的答复：《建设项目环境影响报告表编制技术指南（污染影响类）》（2021年试行）中提到“排放国家、地方环境空气质量标准中有标准限值要求的特征污染物”，其中环境空气质量标准指《环境空气质量标准》（GB3095）和地方的环境空气质量标准，不包括《环境影响评价技术导则大气环境》（H2.2-2018）附录D、《大气污染物综合排放标准详解》等导则或参考资料。排放的特征污染物需要在国家、地方环境空气质量标准中有限值要求才涉及现状监测，且优先引用现有监测数据。</w:t>
            </w:r>
          </w:p>
          <w:p w14:paraId="21039BE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本项目排放的特征污染物为非甲烷总烃、TSP，其中非甲烷总烃在国家、地方环境空气质量标准中均没有限值要求，不需要进行现状监测。本评价TSP环境质量现状引用《广西鹿寨中桉化肥有限公司环境质量现状监测报告》（报告编号：保利监字﹝2023﹞第923号）的监测结果，监测时间为2023年11月6日~8日。监测点位位于广西鹿寨中桉化肥有限公司办公楼楼顶，距离本项目东南面约2.32km，引用数据点位及监测时间符合《建设项目环境影响报告表编制指南（污染影响类）》（试行）的要求。监测数据详见下表 3-2。</w:t>
            </w:r>
          </w:p>
          <w:p w14:paraId="518331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表3-2  TSP监测结果统计表（摘录）</w:t>
            </w:r>
          </w:p>
          <w:tbl>
            <w:tblPr>
              <w:tblStyle w:val="5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7"/>
              <w:gridCol w:w="1121"/>
              <w:gridCol w:w="1834"/>
              <w:gridCol w:w="1609"/>
              <w:gridCol w:w="1350"/>
              <w:gridCol w:w="774"/>
            </w:tblGrid>
            <w:tr w14:paraId="14282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3" w:type="pct"/>
                  <w:noWrap w:val="0"/>
                  <w:vAlign w:val="center"/>
                </w:tcPr>
                <w:p w14:paraId="14262D8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监测点位</w:t>
                  </w:r>
                </w:p>
              </w:tc>
              <w:tc>
                <w:tcPr>
                  <w:tcW w:w="698" w:type="pct"/>
                  <w:noWrap w:val="0"/>
                  <w:vAlign w:val="center"/>
                </w:tcPr>
                <w:p w14:paraId="1F211FE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监测因子</w:t>
                  </w:r>
                </w:p>
              </w:tc>
              <w:tc>
                <w:tcPr>
                  <w:tcW w:w="1142" w:type="pct"/>
                  <w:noWrap w:val="0"/>
                  <w:vAlign w:val="center"/>
                </w:tcPr>
                <w:p w14:paraId="406E760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评价标准（μg/m</w:t>
                  </w:r>
                  <w:r>
                    <w:rPr>
                      <w:rFonts w:hint="default" w:ascii="Times New Roman" w:hAnsi="Times New Roman" w:eastAsia="宋体" w:cs="Times New Roman"/>
                      <w:b/>
                      <w:bCs/>
                      <w:color w:val="auto"/>
                      <w:spacing w:val="0"/>
                      <w:sz w:val="21"/>
                      <w:vertAlign w:val="superscript"/>
                      <w:lang w:val="en-US" w:eastAsia="zh-CN"/>
                    </w:rPr>
                    <w:t>3</w:t>
                  </w:r>
                  <w:r>
                    <w:rPr>
                      <w:rFonts w:hint="default" w:ascii="Times New Roman" w:hAnsi="Times New Roman" w:eastAsia="宋体" w:cs="Times New Roman"/>
                      <w:b/>
                      <w:bCs/>
                      <w:color w:val="auto"/>
                      <w:spacing w:val="0"/>
                      <w:sz w:val="21"/>
                      <w:lang w:val="en-US" w:eastAsia="zh-CN"/>
                    </w:rPr>
                    <w:t>）</w:t>
                  </w:r>
                </w:p>
              </w:tc>
              <w:tc>
                <w:tcPr>
                  <w:tcW w:w="1002" w:type="pct"/>
                  <w:noWrap w:val="0"/>
                  <w:vAlign w:val="center"/>
                </w:tcPr>
                <w:p w14:paraId="338223B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highlight w:val="none"/>
                      <w:lang w:val="en-US" w:eastAsia="zh-CN"/>
                    </w:rPr>
                  </w:pPr>
                  <w:r>
                    <w:rPr>
                      <w:rFonts w:hint="default" w:ascii="Times New Roman" w:hAnsi="Times New Roman" w:eastAsia="宋体" w:cs="Times New Roman"/>
                      <w:b/>
                      <w:bCs/>
                      <w:color w:val="auto"/>
                      <w:spacing w:val="0"/>
                      <w:sz w:val="21"/>
                      <w:highlight w:val="none"/>
                      <w:lang w:val="en-US" w:eastAsia="zh-CN"/>
                    </w:rPr>
                    <w:t>浓度范围（μg/m</w:t>
                  </w:r>
                  <w:r>
                    <w:rPr>
                      <w:rFonts w:hint="default" w:ascii="Times New Roman" w:hAnsi="Times New Roman" w:eastAsia="宋体" w:cs="Times New Roman"/>
                      <w:b/>
                      <w:bCs/>
                      <w:color w:val="auto"/>
                      <w:spacing w:val="0"/>
                      <w:sz w:val="21"/>
                      <w:highlight w:val="none"/>
                      <w:vertAlign w:val="superscript"/>
                      <w:lang w:val="en-US" w:eastAsia="zh-CN"/>
                    </w:rPr>
                    <w:t>3</w:t>
                  </w:r>
                  <w:r>
                    <w:rPr>
                      <w:rFonts w:hint="default" w:ascii="Times New Roman" w:hAnsi="Times New Roman" w:eastAsia="宋体" w:cs="Times New Roman"/>
                      <w:b/>
                      <w:bCs/>
                      <w:color w:val="auto"/>
                      <w:spacing w:val="0"/>
                      <w:sz w:val="21"/>
                      <w:highlight w:val="none"/>
                      <w:lang w:val="en-US" w:eastAsia="zh-CN"/>
                    </w:rPr>
                    <w:t>）</w:t>
                  </w:r>
                </w:p>
              </w:tc>
              <w:tc>
                <w:tcPr>
                  <w:tcW w:w="841" w:type="pct"/>
                  <w:noWrap w:val="0"/>
                  <w:vAlign w:val="center"/>
                </w:tcPr>
                <w:p w14:paraId="4703D59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highlight w:val="none"/>
                      <w:lang w:val="en-US" w:eastAsia="zh-CN"/>
                    </w:rPr>
                  </w:pPr>
                  <w:r>
                    <w:rPr>
                      <w:rFonts w:hint="default" w:ascii="Times New Roman" w:hAnsi="Times New Roman" w:eastAsia="宋体" w:cs="Times New Roman"/>
                      <w:b/>
                      <w:bCs/>
                      <w:color w:val="auto"/>
                      <w:spacing w:val="0"/>
                      <w:sz w:val="21"/>
                      <w:highlight w:val="none"/>
                      <w:lang w:val="en-US" w:eastAsia="zh-CN"/>
                    </w:rPr>
                    <w:t>最大浓度占标率（%）</w:t>
                  </w:r>
                </w:p>
              </w:tc>
              <w:tc>
                <w:tcPr>
                  <w:tcW w:w="482" w:type="pct"/>
                  <w:noWrap w:val="0"/>
                  <w:vAlign w:val="center"/>
                </w:tcPr>
                <w:p w14:paraId="762DA3E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达标情况</w:t>
                  </w:r>
                </w:p>
              </w:tc>
            </w:tr>
            <w:tr w14:paraId="2CF74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3" w:type="pct"/>
                  <w:noWrap w:val="0"/>
                  <w:vAlign w:val="center"/>
                </w:tcPr>
                <w:p w14:paraId="15674C2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办公楼楼顶</w:t>
                  </w:r>
                </w:p>
              </w:tc>
              <w:tc>
                <w:tcPr>
                  <w:tcW w:w="698" w:type="pct"/>
                  <w:noWrap w:val="0"/>
                  <w:vAlign w:val="center"/>
                </w:tcPr>
                <w:p w14:paraId="206B223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TSP</w:t>
                  </w:r>
                </w:p>
              </w:tc>
              <w:tc>
                <w:tcPr>
                  <w:tcW w:w="1142" w:type="pct"/>
                  <w:noWrap w:val="0"/>
                  <w:vAlign w:val="center"/>
                </w:tcPr>
                <w:p w14:paraId="1BEAB5C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300</w:t>
                  </w:r>
                </w:p>
              </w:tc>
              <w:tc>
                <w:tcPr>
                  <w:tcW w:w="1002" w:type="pct"/>
                  <w:noWrap w:val="0"/>
                  <w:vAlign w:val="center"/>
                </w:tcPr>
                <w:p w14:paraId="57CCCC9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38~86</w:t>
                  </w:r>
                </w:p>
              </w:tc>
              <w:tc>
                <w:tcPr>
                  <w:tcW w:w="841" w:type="pct"/>
                  <w:noWrap w:val="0"/>
                  <w:vAlign w:val="center"/>
                </w:tcPr>
                <w:p w14:paraId="5A555B4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28.7</w:t>
                  </w:r>
                </w:p>
              </w:tc>
              <w:tc>
                <w:tcPr>
                  <w:tcW w:w="482" w:type="pct"/>
                  <w:noWrap w:val="0"/>
                  <w:vAlign w:val="center"/>
                </w:tcPr>
                <w:p w14:paraId="100CC15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达标</w:t>
                  </w:r>
                </w:p>
              </w:tc>
            </w:tr>
          </w:tbl>
          <w:p w14:paraId="23D993A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根据监测结果，区域大气环境的总悬浮颗粒物（TSP）监测因子满足《环境空气质量标准》（GB 3095-2026）及其修改单二级标准限值（TSP：300μg/m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w:t>
            </w:r>
          </w:p>
          <w:p w14:paraId="3D75B45A">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360" w:lineRule="auto"/>
              <w:ind w:left="0" w:leftChars="0" w:right="0" w:firstLine="482" w:firstLineChars="200"/>
              <w:rPr>
                <w:rFonts w:hint="default" w:ascii="Times New Roman" w:hAnsi="Times New Roman" w:eastAsia="宋体" w:cs="Times New Roman"/>
                <w:b/>
                <w:color w:val="auto"/>
                <w:spacing w:val="0"/>
                <w:w w:val="100"/>
                <w:position w:val="0"/>
                <w:sz w:val="24"/>
              </w:rPr>
            </w:pPr>
            <w:r>
              <w:rPr>
                <w:rFonts w:hint="default" w:ascii="Times New Roman" w:hAnsi="Times New Roman" w:eastAsia="宋体" w:cs="Times New Roman"/>
                <w:b/>
                <w:color w:val="auto"/>
                <w:spacing w:val="0"/>
                <w:w w:val="100"/>
                <w:position w:val="0"/>
                <w:sz w:val="24"/>
                <w:lang w:val="en-US" w:eastAsia="zh-CN"/>
              </w:rPr>
              <w:t>2</w:t>
            </w:r>
            <w:r>
              <w:rPr>
                <w:rFonts w:hint="default" w:ascii="Times New Roman" w:hAnsi="Times New Roman" w:eastAsia="宋体" w:cs="Times New Roman"/>
                <w:b/>
                <w:color w:val="auto"/>
                <w:spacing w:val="0"/>
                <w:w w:val="100"/>
                <w:position w:val="0"/>
                <w:sz w:val="24"/>
              </w:rPr>
              <w:t>、地表水环境质量现状</w:t>
            </w:r>
          </w:p>
          <w:p w14:paraId="29D0E9F9">
            <w:pPr>
              <w:pStyle w:val="1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0" w:afterAutospacing="0" w:line="360" w:lineRule="auto"/>
              <w:ind w:left="0" w:leftChars="0" w:right="0" w:firstLine="480" w:firstLineChars="200"/>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eastAsia="宋体" w:cs="Times New Roman"/>
                <w:b w:val="0"/>
                <w:bCs w:val="0"/>
                <w:color w:val="auto"/>
                <w:spacing w:val="0"/>
                <w:w w:val="100"/>
                <w:position w:val="0"/>
                <w:sz w:val="24"/>
                <w:szCs w:val="24"/>
                <w:highlight w:val="none"/>
                <w:lang w:val="en-US" w:eastAsia="zh-CN"/>
              </w:rPr>
              <w:t>本项目最近地表水体为西南面约314m处洛清江。根据《鹿寨高新技术产业开发区建设与发展总体规划（2022-2035）环境影响报告书》可知，洛清江评价河段均为</w:t>
            </w:r>
            <w:r>
              <w:rPr>
                <w:rFonts w:hint="default" w:ascii="Times New Roman" w:hAnsi="Times New Roman" w:eastAsia="宋体" w:cs="Times New Roman"/>
                <w:b w:val="0"/>
                <w:bCs w:val="0"/>
                <w:color w:val="auto"/>
                <w:spacing w:val="0"/>
                <w:w w:val="100"/>
                <w:position w:val="0"/>
                <w:sz w:val="24"/>
                <w:szCs w:val="24"/>
                <w:highlight w:val="none"/>
                <w:lang w:val="en-US" w:eastAsia="zh-CN"/>
              </w:rPr>
              <w:fldChar w:fldCharType="begin"/>
            </w:r>
            <w:r>
              <w:rPr>
                <w:rFonts w:hint="default" w:ascii="Times New Roman" w:hAnsi="Times New Roman" w:eastAsia="宋体" w:cs="Times New Roman"/>
                <w:b w:val="0"/>
                <w:bCs w:val="0"/>
                <w:color w:val="auto"/>
                <w:spacing w:val="0"/>
                <w:w w:val="100"/>
                <w:position w:val="0"/>
                <w:sz w:val="24"/>
                <w:szCs w:val="24"/>
                <w:highlight w:val="none"/>
                <w:lang w:val="en-US" w:eastAsia="zh-CN"/>
              </w:rPr>
              <w:instrText xml:space="preserve">= 3 \* ROMAN</w:instrText>
            </w:r>
            <w:r>
              <w:rPr>
                <w:rFonts w:hint="default" w:ascii="Times New Roman" w:hAnsi="Times New Roman" w:eastAsia="宋体" w:cs="Times New Roman"/>
                <w:b w:val="0"/>
                <w:bCs w:val="0"/>
                <w:color w:val="auto"/>
                <w:spacing w:val="0"/>
                <w:w w:val="100"/>
                <w:position w:val="0"/>
                <w:sz w:val="24"/>
                <w:szCs w:val="24"/>
                <w:highlight w:val="none"/>
                <w:lang w:val="en-US" w:eastAsia="zh-CN"/>
              </w:rPr>
              <w:fldChar w:fldCharType="separate"/>
            </w:r>
            <w:r>
              <w:rPr>
                <w:rFonts w:hint="default" w:ascii="Times New Roman" w:hAnsi="Times New Roman" w:eastAsia="宋体" w:cs="Times New Roman"/>
                <w:b w:val="0"/>
                <w:bCs w:val="0"/>
                <w:color w:val="auto"/>
                <w:spacing w:val="0"/>
                <w:w w:val="100"/>
                <w:position w:val="0"/>
                <w:sz w:val="24"/>
                <w:szCs w:val="24"/>
                <w:highlight w:val="none"/>
                <w:lang w:val="en-US" w:eastAsia="zh-CN"/>
              </w:rPr>
              <w:t>III</w:t>
            </w:r>
            <w:r>
              <w:rPr>
                <w:rFonts w:hint="default" w:ascii="Times New Roman" w:hAnsi="Times New Roman" w:eastAsia="宋体" w:cs="Times New Roman"/>
                <w:b w:val="0"/>
                <w:bCs w:val="0"/>
                <w:color w:val="auto"/>
                <w:spacing w:val="0"/>
                <w:w w:val="100"/>
                <w:position w:val="0"/>
                <w:sz w:val="24"/>
                <w:szCs w:val="24"/>
                <w:highlight w:val="none"/>
                <w:lang w:val="en-US" w:eastAsia="zh-CN"/>
              </w:rPr>
              <w:fldChar w:fldCharType="end"/>
            </w:r>
            <w:r>
              <w:rPr>
                <w:rFonts w:hint="default" w:ascii="Times New Roman" w:hAnsi="Times New Roman" w:eastAsia="宋体" w:cs="Times New Roman"/>
                <w:b w:val="0"/>
                <w:bCs w:val="0"/>
                <w:color w:val="auto"/>
                <w:spacing w:val="0"/>
                <w:w w:val="100"/>
                <w:position w:val="0"/>
                <w:sz w:val="24"/>
                <w:szCs w:val="24"/>
                <w:highlight w:val="none"/>
                <w:lang w:val="en-US" w:eastAsia="zh-CN"/>
              </w:rPr>
              <w:t>类地表水功能区，水质执行《地表水环境质量标准》（GB3838-2002）</w:t>
            </w:r>
            <w:r>
              <w:rPr>
                <w:rFonts w:hint="default" w:ascii="Times New Roman" w:hAnsi="Times New Roman" w:eastAsia="宋体" w:cs="Times New Roman"/>
                <w:b w:val="0"/>
                <w:bCs w:val="0"/>
                <w:color w:val="auto"/>
                <w:spacing w:val="0"/>
                <w:w w:val="100"/>
                <w:position w:val="0"/>
                <w:sz w:val="24"/>
                <w:szCs w:val="24"/>
                <w:highlight w:val="none"/>
                <w:lang w:val="en-US" w:eastAsia="zh-CN"/>
              </w:rPr>
              <w:fldChar w:fldCharType="begin"/>
            </w:r>
            <w:r>
              <w:rPr>
                <w:rFonts w:hint="default" w:ascii="Times New Roman" w:hAnsi="Times New Roman" w:eastAsia="宋体" w:cs="Times New Roman"/>
                <w:b w:val="0"/>
                <w:bCs w:val="0"/>
                <w:color w:val="auto"/>
                <w:spacing w:val="0"/>
                <w:w w:val="100"/>
                <w:position w:val="0"/>
                <w:sz w:val="24"/>
                <w:szCs w:val="24"/>
                <w:highlight w:val="none"/>
                <w:lang w:val="en-US" w:eastAsia="zh-CN"/>
              </w:rPr>
              <w:instrText xml:space="preserve">= 3 \* ROMAN</w:instrText>
            </w:r>
            <w:r>
              <w:rPr>
                <w:rFonts w:hint="default" w:ascii="Times New Roman" w:hAnsi="Times New Roman" w:eastAsia="宋体" w:cs="Times New Roman"/>
                <w:b w:val="0"/>
                <w:bCs w:val="0"/>
                <w:color w:val="auto"/>
                <w:spacing w:val="0"/>
                <w:w w:val="100"/>
                <w:position w:val="0"/>
                <w:sz w:val="24"/>
                <w:szCs w:val="24"/>
                <w:highlight w:val="none"/>
                <w:lang w:val="en-US" w:eastAsia="zh-CN"/>
              </w:rPr>
              <w:fldChar w:fldCharType="separate"/>
            </w:r>
            <w:r>
              <w:rPr>
                <w:rFonts w:hint="default" w:ascii="Times New Roman" w:hAnsi="Times New Roman" w:eastAsia="宋体" w:cs="Times New Roman"/>
                <w:b w:val="0"/>
                <w:bCs w:val="0"/>
                <w:color w:val="auto"/>
                <w:spacing w:val="0"/>
                <w:w w:val="100"/>
                <w:position w:val="0"/>
                <w:sz w:val="24"/>
                <w:szCs w:val="24"/>
                <w:highlight w:val="none"/>
                <w:lang w:val="en-US" w:eastAsia="zh-CN"/>
              </w:rPr>
              <w:t>III</w:t>
            </w:r>
            <w:r>
              <w:rPr>
                <w:rFonts w:hint="default" w:ascii="Times New Roman" w:hAnsi="Times New Roman" w:eastAsia="宋体" w:cs="Times New Roman"/>
                <w:b w:val="0"/>
                <w:bCs w:val="0"/>
                <w:color w:val="auto"/>
                <w:spacing w:val="0"/>
                <w:w w:val="100"/>
                <w:position w:val="0"/>
                <w:sz w:val="24"/>
                <w:szCs w:val="24"/>
                <w:highlight w:val="none"/>
                <w:lang w:val="en-US" w:eastAsia="zh-CN"/>
              </w:rPr>
              <w:fldChar w:fldCharType="end"/>
            </w:r>
            <w:r>
              <w:rPr>
                <w:rFonts w:hint="default" w:ascii="Times New Roman" w:hAnsi="Times New Roman" w:eastAsia="宋体" w:cs="Times New Roman"/>
                <w:b w:val="0"/>
                <w:bCs w:val="0"/>
                <w:color w:val="auto"/>
                <w:spacing w:val="0"/>
                <w:w w:val="100"/>
                <w:position w:val="0"/>
                <w:sz w:val="24"/>
                <w:szCs w:val="24"/>
                <w:highlight w:val="none"/>
                <w:lang w:val="en-US" w:eastAsia="zh-CN"/>
              </w:rPr>
              <w:t>类标准。</w:t>
            </w:r>
          </w:p>
          <w:p w14:paraId="46D26F5A">
            <w:pPr>
              <w:pStyle w:val="10"/>
              <w:pageBreakBefore w:val="0"/>
              <w:widowControl w:val="0"/>
              <w:numPr>
                <w:ilvl w:val="0"/>
                <w:numId w:val="0"/>
              </w:numPr>
              <w:suppressLineNumbers w:val="0"/>
              <w:kinsoku/>
              <w:wordWrap/>
              <w:overflowPunct/>
              <w:topLinePunct w:val="0"/>
              <w:autoSpaceDE w:val="0"/>
              <w:autoSpaceDN/>
              <w:bidi w:val="0"/>
              <w:adjustRightInd/>
              <w:snapToGrid/>
              <w:spacing w:before="0" w:beforeAutospacing="0" w:after="0" w:afterAutospacing="0" w:line="360" w:lineRule="auto"/>
              <w:ind w:left="0" w:leftChars="0" w:right="0" w:firstLine="480" w:firstLineChars="200"/>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eastAsia="宋体" w:cs="Times New Roman"/>
                <w:b w:val="0"/>
                <w:bCs w:val="0"/>
                <w:color w:val="auto"/>
                <w:spacing w:val="0"/>
                <w:w w:val="100"/>
                <w:position w:val="0"/>
                <w:sz w:val="24"/>
                <w:szCs w:val="24"/>
                <w:highlight w:val="none"/>
                <w:lang w:val="en-US" w:eastAsia="zh-CN"/>
              </w:rPr>
              <w:t>根据柳州市生态环境局公布的《2024年柳州市生态环境状况公报》，2024年，柳州市19个国控、非国控断面水质1-12月均达到或优于《地表水环境质量标准》（GB3838-2002）II类水质标准。10个国控断面中，年均评价为I类水质的断面5个、II类水质的断面5个。本项目评价河段水环境功能区水质达标。</w:t>
            </w:r>
          </w:p>
          <w:p w14:paraId="5173E79E">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outlineLvl w:val="9"/>
              <w:rPr>
                <w:rFonts w:hint="default" w:ascii="Times New Roman" w:hAnsi="Times New Roman" w:eastAsia="宋体" w:cs="Times New Roman"/>
                <w:b/>
                <w:bCs w:val="0"/>
                <w:snapToGrid w:val="0"/>
                <w:color w:val="auto"/>
                <w:spacing w:val="0"/>
                <w:w w:val="100"/>
                <w:position w:val="0"/>
                <w:sz w:val="24"/>
                <w:szCs w:val="24"/>
              </w:rPr>
            </w:pPr>
            <w:r>
              <w:rPr>
                <w:rFonts w:hint="default" w:ascii="Times New Roman" w:hAnsi="Times New Roman" w:eastAsia="宋体" w:cs="Times New Roman"/>
                <w:b/>
                <w:bCs w:val="0"/>
                <w:snapToGrid w:val="0"/>
                <w:color w:val="auto"/>
                <w:spacing w:val="0"/>
                <w:w w:val="100"/>
                <w:position w:val="0"/>
                <w:sz w:val="24"/>
                <w:szCs w:val="24"/>
                <w:lang w:val="en-US" w:eastAsia="zh-CN"/>
              </w:rPr>
              <w:t>3</w:t>
            </w:r>
            <w:r>
              <w:rPr>
                <w:rFonts w:hint="default" w:ascii="Times New Roman" w:hAnsi="Times New Roman" w:eastAsia="宋体" w:cs="Times New Roman"/>
                <w:b/>
                <w:bCs w:val="0"/>
                <w:snapToGrid w:val="0"/>
                <w:color w:val="auto"/>
                <w:spacing w:val="0"/>
                <w:w w:val="100"/>
                <w:position w:val="0"/>
                <w:sz w:val="24"/>
                <w:szCs w:val="24"/>
              </w:rPr>
              <w:t>、声环境质量现状</w:t>
            </w:r>
          </w:p>
          <w:p w14:paraId="7343FE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根据《鹿寨县城声环境功能区划分方案》（鹿证办发〔2018〕52号）可知，项目所在区域为3类声环境功能区，声环境质量执行《声环境质量标准》（GB3096-2008）3类标准。</w:t>
            </w:r>
          </w:p>
          <w:p w14:paraId="695235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position w:val="0"/>
                <w:sz w:val="24"/>
                <w:szCs w:val="24"/>
              </w:rPr>
              <w:t>根据《建设项目环境影响报告表编制技术指南（污染影响类）》（试行），项目厂界外周边50米范围内不存在声环境保护目标。因此，本次评价不开展保护目标声环境质量现状监测。</w:t>
            </w:r>
          </w:p>
          <w:p w14:paraId="1BEC9D99">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outlineLvl w:val="0"/>
              <w:rPr>
                <w:rFonts w:hint="default" w:ascii="Times New Roman" w:hAnsi="Times New Roman" w:eastAsia="宋体" w:cs="Times New Roman"/>
                <w:b/>
                <w:bCs w:val="0"/>
                <w:snapToGrid w:val="0"/>
                <w:color w:val="auto"/>
                <w:spacing w:val="0"/>
                <w:w w:val="100"/>
                <w:position w:val="0"/>
                <w:sz w:val="24"/>
                <w:szCs w:val="24"/>
              </w:rPr>
            </w:pPr>
            <w:bookmarkStart w:id="45" w:name="_Toc30403"/>
            <w:bookmarkStart w:id="46" w:name="_Toc2669"/>
            <w:bookmarkStart w:id="47" w:name="_Toc23406"/>
            <w:r>
              <w:rPr>
                <w:rFonts w:hint="default" w:ascii="Times New Roman" w:hAnsi="Times New Roman" w:eastAsia="宋体" w:cs="Times New Roman"/>
                <w:b/>
                <w:bCs w:val="0"/>
                <w:snapToGrid w:val="0"/>
                <w:color w:val="auto"/>
                <w:spacing w:val="0"/>
                <w:w w:val="100"/>
                <w:position w:val="0"/>
                <w:sz w:val="24"/>
                <w:szCs w:val="24"/>
                <w:lang w:val="en-US" w:eastAsia="zh-CN"/>
              </w:rPr>
              <w:t>4</w:t>
            </w:r>
            <w:r>
              <w:rPr>
                <w:rFonts w:hint="default" w:ascii="Times New Roman" w:hAnsi="Times New Roman" w:eastAsia="宋体" w:cs="Times New Roman"/>
                <w:b/>
                <w:bCs w:val="0"/>
                <w:snapToGrid w:val="0"/>
                <w:color w:val="auto"/>
                <w:spacing w:val="0"/>
                <w:w w:val="100"/>
                <w:position w:val="0"/>
                <w:sz w:val="24"/>
                <w:szCs w:val="24"/>
              </w:rPr>
              <w:t>、地下水</w:t>
            </w:r>
            <w:r>
              <w:rPr>
                <w:rFonts w:hint="default" w:ascii="Times New Roman" w:hAnsi="Times New Roman" w:eastAsia="宋体" w:cs="Times New Roman"/>
                <w:b/>
                <w:bCs w:val="0"/>
                <w:snapToGrid w:val="0"/>
                <w:color w:val="auto"/>
                <w:spacing w:val="0"/>
                <w:w w:val="100"/>
                <w:position w:val="0"/>
                <w:sz w:val="24"/>
                <w:szCs w:val="24"/>
                <w:lang w:eastAsia="zh-CN"/>
              </w:rPr>
              <w:t>、</w:t>
            </w:r>
            <w:r>
              <w:rPr>
                <w:rFonts w:hint="default" w:ascii="Times New Roman" w:hAnsi="Times New Roman" w:eastAsia="宋体" w:cs="Times New Roman"/>
                <w:b/>
                <w:bCs w:val="0"/>
                <w:snapToGrid w:val="0"/>
                <w:color w:val="auto"/>
                <w:spacing w:val="0"/>
                <w:w w:val="100"/>
                <w:position w:val="0"/>
                <w:sz w:val="24"/>
                <w:szCs w:val="24"/>
                <w:lang w:val="en-US" w:eastAsia="zh-CN"/>
              </w:rPr>
              <w:t>土壤</w:t>
            </w:r>
            <w:r>
              <w:rPr>
                <w:rFonts w:hint="default" w:ascii="Times New Roman" w:hAnsi="Times New Roman" w:eastAsia="宋体" w:cs="Times New Roman"/>
                <w:b/>
                <w:bCs w:val="0"/>
                <w:snapToGrid w:val="0"/>
                <w:color w:val="auto"/>
                <w:spacing w:val="0"/>
                <w:w w:val="100"/>
                <w:position w:val="0"/>
                <w:sz w:val="24"/>
                <w:szCs w:val="24"/>
              </w:rPr>
              <w:t>环境质量现状</w:t>
            </w:r>
            <w:bookmarkEnd w:id="45"/>
            <w:bookmarkEnd w:id="46"/>
            <w:bookmarkEnd w:id="47"/>
          </w:p>
          <w:p w14:paraId="775B87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根据《环境影响评价技术导则  地下水环境》（HJ 610-2016）附录A（地下水环境影响评价行业分类表），本项目属于“I金属制品—52、金属铸件—其他”报告表，因此，本项目地下水环境影响评价为Ⅳ类。根据《环境影响评价技术导则地下水环境》（HJ 610-2016）中“4.1 一般性原则 Ⅳ类项目不开展地下水环境影响评价。”因此，本项目不开展地下水环境影响评价。</w:t>
            </w:r>
          </w:p>
          <w:p w14:paraId="359A64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outlineLvl w:val="9"/>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根据（https://www.mee.gov.cn/hdjl/hfhz/202008/t20200810_793170.shtml）中华人民共和国生态环境部部长信箱回复“根据建设项目实际情况，如果项目场地已经做了防腐防渗(包括硬化)处理无法取样，可不取样监测”。根据现场调查，项目生产车间均已经做了硬化处理无法取样，因此，项目不开展土壤环境现状监测。</w:t>
            </w:r>
          </w:p>
          <w:p w14:paraId="063A3B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outlineLvl w:val="9"/>
              <w:rPr>
                <w:rFonts w:hint="default" w:ascii="Times New Roman" w:hAnsi="Times New Roman" w:eastAsia="宋体" w:cs="Times New Roman"/>
                <w:b/>
                <w:bCs/>
                <w:color w:val="auto"/>
                <w:spacing w:val="0"/>
                <w:w w:val="100"/>
                <w:kern w:val="0"/>
                <w:position w:val="0"/>
                <w:sz w:val="24"/>
                <w:szCs w:val="24"/>
                <w:lang w:val="en-US" w:eastAsia="zh-CN"/>
              </w:rPr>
            </w:pPr>
            <w:r>
              <w:rPr>
                <w:rFonts w:hint="default" w:ascii="Times New Roman" w:hAnsi="Times New Roman" w:eastAsia="宋体" w:cs="Times New Roman"/>
                <w:b/>
                <w:bCs/>
                <w:color w:val="auto"/>
                <w:spacing w:val="0"/>
                <w:w w:val="100"/>
                <w:kern w:val="0"/>
                <w:position w:val="0"/>
                <w:sz w:val="24"/>
                <w:szCs w:val="24"/>
                <w:lang w:val="en-US" w:eastAsia="zh-CN"/>
              </w:rPr>
              <w:t>5、生态环境质量现状</w:t>
            </w:r>
          </w:p>
          <w:p w14:paraId="5AB18A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pacing w:val="0"/>
                <w:w w:val="100"/>
                <w:position w:val="0"/>
                <w:sz w:val="20"/>
                <w:szCs w:val="21"/>
                <w:lang w:val="en-US"/>
              </w:rPr>
            </w:pPr>
            <w:r>
              <w:rPr>
                <w:rFonts w:hint="default" w:ascii="Times New Roman" w:hAnsi="Times New Roman" w:eastAsia="宋体" w:cs="Times New Roman"/>
                <w:color w:val="auto"/>
                <w:spacing w:val="0"/>
                <w:w w:val="100"/>
                <w:kern w:val="0"/>
                <w:position w:val="0"/>
                <w:sz w:val="24"/>
                <w:szCs w:val="24"/>
                <w:lang w:val="en-US" w:eastAsia="zh-CN"/>
              </w:rPr>
              <w:t>项目位于广西壮族自治区柳州市鹿寨县鹿寨镇金鸡路53号，在广西鹿寨高新技术产业开发区内，用地范围内无饮用水源保护区、自然保护区、风景名胜区、文物保护单位、基本农田保护区等。因此，本次评价不进行生态现状调查。</w:t>
            </w:r>
          </w:p>
        </w:tc>
      </w:tr>
      <w:tr w14:paraId="310EFF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456" w:type="dxa"/>
            <w:noWrap w:val="0"/>
            <w:vAlign w:val="center"/>
          </w:tcPr>
          <w:p w14:paraId="51E2003B">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48" w:name="_Toc807"/>
            <w:bookmarkStart w:id="49" w:name="_Toc32097"/>
            <w:bookmarkStart w:id="50" w:name="_Toc20906"/>
            <w:r>
              <w:rPr>
                <w:rFonts w:hint="default" w:ascii="Times New Roman" w:hAnsi="Times New Roman" w:eastAsia="宋体" w:cs="Times New Roman"/>
                <w:b w:val="0"/>
                <w:bCs/>
                <w:snapToGrid w:val="0"/>
                <w:color w:val="auto"/>
                <w:spacing w:val="0"/>
                <w:w w:val="100"/>
                <w:position w:val="0"/>
                <w:sz w:val="24"/>
                <w:szCs w:val="24"/>
              </w:rPr>
              <w:t>环</w:t>
            </w:r>
            <w:bookmarkEnd w:id="48"/>
            <w:bookmarkEnd w:id="49"/>
            <w:bookmarkEnd w:id="50"/>
          </w:p>
          <w:p w14:paraId="56D07FF9">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51" w:name="_Toc14719"/>
            <w:bookmarkStart w:id="52" w:name="_Toc22649"/>
            <w:bookmarkStart w:id="53" w:name="_Toc24597"/>
            <w:r>
              <w:rPr>
                <w:rFonts w:hint="default" w:ascii="Times New Roman" w:hAnsi="Times New Roman" w:eastAsia="宋体" w:cs="Times New Roman"/>
                <w:b w:val="0"/>
                <w:bCs/>
                <w:snapToGrid w:val="0"/>
                <w:color w:val="auto"/>
                <w:spacing w:val="0"/>
                <w:w w:val="100"/>
                <w:position w:val="0"/>
                <w:sz w:val="24"/>
                <w:szCs w:val="24"/>
              </w:rPr>
              <w:t>境</w:t>
            </w:r>
            <w:bookmarkEnd w:id="51"/>
            <w:bookmarkEnd w:id="52"/>
            <w:bookmarkEnd w:id="53"/>
          </w:p>
          <w:p w14:paraId="695F1A1D">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54" w:name="_Toc26394"/>
            <w:bookmarkStart w:id="55" w:name="_Toc19015"/>
            <w:bookmarkStart w:id="56" w:name="_Toc20254"/>
            <w:r>
              <w:rPr>
                <w:rFonts w:hint="default" w:ascii="Times New Roman" w:hAnsi="Times New Roman" w:eastAsia="宋体" w:cs="Times New Roman"/>
                <w:b w:val="0"/>
                <w:bCs/>
                <w:snapToGrid w:val="0"/>
                <w:color w:val="auto"/>
                <w:spacing w:val="0"/>
                <w:w w:val="100"/>
                <w:position w:val="0"/>
                <w:sz w:val="24"/>
                <w:szCs w:val="24"/>
              </w:rPr>
              <w:t>保</w:t>
            </w:r>
            <w:bookmarkEnd w:id="54"/>
            <w:bookmarkEnd w:id="55"/>
            <w:bookmarkEnd w:id="56"/>
          </w:p>
          <w:p w14:paraId="40E07E85">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57" w:name="_Toc7957"/>
            <w:bookmarkStart w:id="58" w:name="_Toc8401"/>
            <w:bookmarkStart w:id="59" w:name="_Toc15308"/>
            <w:r>
              <w:rPr>
                <w:rFonts w:hint="default" w:ascii="Times New Roman" w:hAnsi="Times New Roman" w:eastAsia="宋体" w:cs="Times New Roman"/>
                <w:b w:val="0"/>
                <w:bCs/>
                <w:snapToGrid w:val="0"/>
                <w:color w:val="auto"/>
                <w:spacing w:val="0"/>
                <w:w w:val="100"/>
                <w:position w:val="0"/>
                <w:sz w:val="24"/>
                <w:szCs w:val="24"/>
              </w:rPr>
              <w:t>护</w:t>
            </w:r>
            <w:bookmarkEnd w:id="57"/>
            <w:bookmarkEnd w:id="58"/>
            <w:bookmarkEnd w:id="59"/>
          </w:p>
          <w:p w14:paraId="274515A3">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60" w:name="_Toc25061"/>
            <w:bookmarkStart w:id="61" w:name="_Toc20162"/>
            <w:bookmarkStart w:id="62" w:name="_Toc21547"/>
            <w:r>
              <w:rPr>
                <w:rFonts w:hint="default" w:ascii="Times New Roman" w:hAnsi="Times New Roman" w:eastAsia="宋体" w:cs="Times New Roman"/>
                <w:b w:val="0"/>
                <w:bCs/>
                <w:snapToGrid w:val="0"/>
                <w:color w:val="auto"/>
                <w:spacing w:val="0"/>
                <w:w w:val="100"/>
                <w:position w:val="0"/>
                <w:sz w:val="24"/>
                <w:szCs w:val="24"/>
              </w:rPr>
              <w:t>目</w:t>
            </w:r>
            <w:bookmarkEnd w:id="60"/>
            <w:bookmarkEnd w:id="61"/>
            <w:bookmarkEnd w:id="62"/>
          </w:p>
          <w:p w14:paraId="36D13737">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0"/>
              <w:rPr>
                <w:rFonts w:hint="default" w:ascii="Times New Roman" w:hAnsi="Times New Roman" w:cs="Times New Roman"/>
                <w:color w:val="auto"/>
                <w:spacing w:val="0"/>
                <w:w w:val="100"/>
                <w:kern w:val="0"/>
                <w:position w:val="0"/>
                <w:sz w:val="24"/>
              </w:rPr>
            </w:pPr>
            <w:bookmarkStart w:id="63" w:name="_Toc2977"/>
            <w:bookmarkStart w:id="64" w:name="_Toc4454"/>
            <w:bookmarkStart w:id="65" w:name="_Toc20817"/>
            <w:r>
              <w:rPr>
                <w:rFonts w:hint="default" w:ascii="Times New Roman" w:hAnsi="Times New Roman" w:eastAsia="宋体" w:cs="Times New Roman"/>
                <w:b w:val="0"/>
                <w:bCs/>
                <w:snapToGrid w:val="0"/>
                <w:color w:val="auto"/>
                <w:spacing w:val="0"/>
                <w:w w:val="100"/>
                <w:position w:val="0"/>
                <w:sz w:val="24"/>
                <w:szCs w:val="24"/>
              </w:rPr>
              <w:t>标</w:t>
            </w:r>
            <w:bookmarkEnd w:id="63"/>
            <w:bookmarkEnd w:id="64"/>
            <w:bookmarkEnd w:id="65"/>
          </w:p>
        </w:tc>
        <w:tc>
          <w:tcPr>
            <w:tcW w:w="8072" w:type="dxa"/>
            <w:noWrap w:val="0"/>
            <w:vAlign w:val="center"/>
          </w:tcPr>
          <w:p w14:paraId="175234A6">
            <w:pPr>
              <w:pStyle w:val="57"/>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bCs/>
                <w:color w:val="auto"/>
                <w:spacing w:val="0"/>
                <w:w w:val="100"/>
                <w:kern w:val="0"/>
                <w:position w:val="0"/>
                <w:sz w:val="24"/>
                <w:szCs w:val="24"/>
                <w:lang w:val="en-US" w:eastAsia="zh-CN"/>
              </w:rPr>
            </w:pPr>
            <w:r>
              <w:rPr>
                <w:rFonts w:hint="default" w:ascii="Times New Roman" w:hAnsi="Times New Roman" w:eastAsia="宋体" w:cs="Times New Roman"/>
                <w:b/>
                <w:bCs/>
                <w:color w:val="auto"/>
                <w:spacing w:val="0"/>
                <w:w w:val="100"/>
                <w:kern w:val="0"/>
                <w:position w:val="0"/>
                <w:sz w:val="24"/>
                <w:szCs w:val="24"/>
                <w:lang w:val="en-US" w:eastAsia="zh-CN"/>
              </w:rPr>
              <w:t>1、大气环境</w:t>
            </w:r>
          </w:p>
          <w:p w14:paraId="13E51DBC">
            <w:pPr>
              <w:pStyle w:val="57"/>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根据现场踏勘，项目厂界外500米范围内主要环境保护目标见表3-3。</w:t>
            </w:r>
          </w:p>
          <w:p w14:paraId="31F4206C">
            <w:pPr>
              <w:pStyle w:val="12"/>
              <w:keepNext w:val="0"/>
              <w:keepLines w:val="0"/>
              <w:pageBreakBefore w:val="0"/>
              <w:widowControl w:val="0"/>
              <w:suppressLineNumbers w:val="0"/>
              <w:kinsoku/>
              <w:wordWrap/>
              <w:overflowPunct/>
              <w:topLinePunct w:val="0"/>
              <w:autoSpaceDE/>
              <w:autoSpaceDN/>
              <w:bidi w:val="0"/>
              <w:snapToGrid/>
              <w:spacing w:before="0" w:beforeAutospacing="0" w:after="0" w:afterAutospacing="0" w:line="336"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color w:val="auto"/>
                <w:spacing w:val="0"/>
                <w:kern w:val="0"/>
                <w:position w:val="0"/>
                <w:sz w:val="21"/>
                <w:szCs w:val="21"/>
                <w:highlight w:val="none"/>
                <w:lang w:val="en-US" w:eastAsia="zh-CN"/>
              </w:rPr>
              <w:t>表3-3  项目厂界外500米范围内主要环境保护目标一览表</w:t>
            </w:r>
          </w:p>
          <w:tbl>
            <w:tblPr>
              <w:tblStyle w:val="5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5"/>
              <w:gridCol w:w="1007"/>
              <w:gridCol w:w="1599"/>
              <w:gridCol w:w="1378"/>
              <w:gridCol w:w="2826"/>
            </w:tblGrid>
            <w:tr w14:paraId="54D61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757" w:type="pct"/>
                  <w:noWrap w:val="0"/>
                  <w:vAlign w:val="center"/>
                </w:tcPr>
                <w:p w14:paraId="5F4B83C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敏感点名称</w:t>
                  </w:r>
                </w:p>
              </w:tc>
              <w:tc>
                <w:tcPr>
                  <w:tcW w:w="627" w:type="pct"/>
                  <w:noWrap w:val="0"/>
                  <w:vAlign w:val="center"/>
                </w:tcPr>
                <w:p w14:paraId="29A584B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相对方位</w:t>
                  </w:r>
                </w:p>
              </w:tc>
              <w:tc>
                <w:tcPr>
                  <w:tcW w:w="996" w:type="pct"/>
                  <w:noWrap w:val="0"/>
                  <w:vAlign w:val="center"/>
                </w:tcPr>
                <w:p w14:paraId="30CDF7C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与厂界最近距离</w:t>
                  </w:r>
                </w:p>
              </w:tc>
              <w:tc>
                <w:tcPr>
                  <w:tcW w:w="858" w:type="pct"/>
                  <w:noWrap w:val="0"/>
                  <w:vAlign w:val="center"/>
                </w:tcPr>
                <w:p w14:paraId="0BFFDE4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环境特征描述</w:t>
                  </w:r>
                </w:p>
              </w:tc>
              <w:tc>
                <w:tcPr>
                  <w:tcW w:w="1760" w:type="pct"/>
                  <w:noWrap w:val="0"/>
                  <w:vAlign w:val="center"/>
                </w:tcPr>
                <w:p w14:paraId="67178C3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保护级别</w:t>
                  </w:r>
                </w:p>
              </w:tc>
            </w:tr>
            <w:tr w14:paraId="59F77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pct"/>
                  <w:noWrap w:val="0"/>
                  <w:vAlign w:val="center"/>
                </w:tcPr>
                <w:p w14:paraId="4E6E23C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鹿寨县部分居民区</w:t>
                  </w:r>
                </w:p>
              </w:tc>
              <w:tc>
                <w:tcPr>
                  <w:tcW w:w="627" w:type="pct"/>
                  <w:noWrap w:val="0"/>
                  <w:vAlign w:val="center"/>
                </w:tcPr>
                <w:p w14:paraId="2293320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东面</w:t>
                  </w:r>
                </w:p>
              </w:tc>
              <w:tc>
                <w:tcPr>
                  <w:tcW w:w="996" w:type="pct"/>
                  <w:noWrap w:val="0"/>
                  <w:vAlign w:val="center"/>
                </w:tcPr>
                <w:p w14:paraId="62B21F0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203m</w:t>
                  </w:r>
                </w:p>
              </w:tc>
              <w:tc>
                <w:tcPr>
                  <w:tcW w:w="858" w:type="pct"/>
                  <w:noWrap w:val="0"/>
                  <w:vAlign w:val="center"/>
                </w:tcPr>
                <w:p w14:paraId="2D2333D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约1500人</w:t>
                  </w:r>
                </w:p>
                <w:p w14:paraId="48FC2C5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饮用自来水</w:t>
                  </w:r>
                </w:p>
              </w:tc>
              <w:tc>
                <w:tcPr>
                  <w:tcW w:w="1760" w:type="pct"/>
                  <w:noWrap w:val="0"/>
                  <w:vAlign w:val="center"/>
                </w:tcPr>
                <w:p w14:paraId="4668A51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《环境空气质量标准》（GB3095-2026）二级标准及其修改单</w:t>
                  </w:r>
                </w:p>
              </w:tc>
            </w:tr>
          </w:tbl>
          <w:p w14:paraId="32DE31C2">
            <w:pPr>
              <w:pStyle w:val="57"/>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2、声环境：根据现场踏勘，项目厂界外50m范围内无声环境保护目标。</w:t>
            </w:r>
          </w:p>
          <w:p w14:paraId="1352434B">
            <w:pPr>
              <w:pStyle w:val="57"/>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3、地下水环境：根据现场踏勘，项目厂界外500m范围内无地下水集中式饮用水水源和热水、矿泉水、温泉等特殊地下水资源。</w:t>
            </w:r>
          </w:p>
          <w:p w14:paraId="5AE7B0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0" w:firstLineChars="200"/>
              <w:textAlignment w:val="auto"/>
              <w:rPr>
                <w:rFonts w:hint="default" w:ascii="Times New Roman" w:hAnsi="Times New Roman" w:cs="Times New Roman"/>
                <w:color w:val="auto"/>
                <w:spacing w:val="0"/>
                <w:w w:val="100"/>
                <w:position w:val="0"/>
                <w:sz w:val="20"/>
                <w:lang w:val="en-US"/>
              </w:rPr>
            </w:pPr>
            <w:r>
              <w:rPr>
                <w:rFonts w:hint="default" w:ascii="Times New Roman" w:hAnsi="Times New Roman" w:eastAsia="宋体" w:cs="Times New Roman"/>
                <w:color w:val="auto"/>
                <w:spacing w:val="0"/>
                <w:w w:val="100"/>
                <w:kern w:val="0"/>
                <w:position w:val="0"/>
                <w:sz w:val="24"/>
                <w:szCs w:val="24"/>
                <w:lang w:val="en-US" w:eastAsia="zh-CN"/>
              </w:rPr>
              <w:t>4、生态环境：根据现场踏勘，项目用地范围内无生态环境保护目标</w:t>
            </w:r>
          </w:p>
        </w:tc>
      </w:tr>
      <w:tr w14:paraId="720F34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5" w:hRule="atLeast"/>
          <w:jc w:val="center"/>
        </w:trPr>
        <w:tc>
          <w:tcPr>
            <w:tcW w:w="456" w:type="dxa"/>
            <w:noWrap w:val="0"/>
            <w:tcMar>
              <w:left w:w="28" w:type="dxa"/>
              <w:right w:w="28" w:type="dxa"/>
            </w:tcMar>
            <w:vAlign w:val="center"/>
          </w:tcPr>
          <w:p w14:paraId="432F9EE1">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66" w:name="_Toc10458"/>
            <w:bookmarkStart w:id="67" w:name="_Toc14627"/>
            <w:bookmarkStart w:id="68" w:name="_Toc8691"/>
            <w:r>
              <w:rPr>
                <w:rFonts w:hint="default" w:ascii="Times New Roman" w:hAnsi="Times New Roman" w:eastAsia="宋体" w:cs="Times New Roman"/>
                <w:b w:val="0"/>
                <w:bCs/>
                <w:snapToGrid w:val="0"/>
                <w:color w:val="auto"/>
                <w:spacing w:val="0"/>
                <w:w w:val="100"/>
                <w:position w:val="0"/>
                <w:sz w:val="24"/>
                <w:szCs w:val="24"/>
              </w:rPr>
              <w:t>污</w:t>
            </w:r>
            <w:bookmarkEnd w:id="66"/>
            <w:bookmarkEnd w:id="67"/>
            <w:bookmarkEnd w:id="68"/>
          </w:p>
          <w:p w14:paraId="694B6F3C">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69" w:name="_Toc4099"/>
            <w:bookmarkStart w:id="70" w:name="_Toc7087"/>
            <w:bookmarkStart w:id="71" w:name="_Toc16004"/>
            <w:r>
              <w:rPr>
                <w:rFonts w:hint="default" w:ascii="Times New Roman" w:hAnsi="Times New Roman" w:eastAsia="宋体" w:cs="Times New Roman"/>
                <w:b w:val="0"/>
                <w:bCs/>
                <w:snapToGrid w:val="0"/>
                <w:color w:val="auto"/>
                <w:spacing w:val="0"/>
                <w:w w:val="100"/>
                <w:position w:val="0"/>
                <w:sz w:val="24"/>
                <w:szCs w:val="24"/>
              </w:rPr>
              <w:t>染</w:t>
            </w:r>
            <w:bookmarkEnd w:id="69"/>
            <w:bookmarkEnd w:id="70"/>
            <w:bookmarkEnd w:id="71"/>
          </w:p>
          <w:p w14:paraId="536D70E1">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72" w:name="_Toc11396"/>
            <w:bookmarkStart w:id="73" w:name="_Toc13223"/>
            <w:bookmarkStart w:id="74" w:name="_Toc18773"/>
            <w:r>
              <w:rPr>
                <w:rFonts w:hint="default" w:ascii="Times New Roman" w:hAnsi="Times New Roman" w:eastAsia="宋体" w:cs="Times New Roman"/>
                <w:b w:val="0"/>
                <w:bCs/>
                <w:snapToGrid w:val="0"/>
                <w:color w:val="auto"/>
                <w:spacing w:val="0"/>
                <w:w w:val="100"/>
                <w:position w:val="0"/>
                <w:sz w:val="24"/>
                <w:szCs w:val="24"/>
              </w:rPr>
              <w:t>物</w:t>
            </w:r>
            <w:bookmarkEnd w:id="72"/>
            <w:bookmarkEnd w:id="73"/>
            <w:bookmarkEnd w:id="74"/>
          </w:p>
          <w:p w14:paraId="424F64DD">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75" w:name="_Toc26051"/>
            <w:bookmarkStart w:id="76" w:name="_Toc9099"/>
            <w:bookmarkStart w:id="77" w:name="_Toc5649"/>
            <w:r>
              <w:rPr>
                <w:rFonts w:hint="default" w:ascii="Times New Roman" w:hAnsi="Times New Roman" w:eastAsia="宋体" w:cs="Times New Roman"/>
                <w:b w:val="0"/>
                <w:bCs/>
                <w:snapToGrid w:val="0"/>
                <w:color w:val="auto"/>
                <w:spacing w:val="0"/>
                <w:w w:val="100"/>
                <w:position w:val="0"/>
                <w:sz w:val="24"/>
                <w:szCs w:val="24"/>
              </w:rPr>
              <w:t>排</w:t>
            </w:r>
            <w:bookmarkEnd w:id="75"/>
            <w:bookmarkEnd w:id="76"/>
            <w:bookmarkEnd w:id="77"/>
          </w:p>
          <w:p w14:paraId="7A9A09A6">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78" w:name="_Toc2319"/>
            <w:bookmarkStart w:id="79" w:name="_Toc32388"/>
            <w:bookmarkStart w:id="80" w:name="_Toc15556"/>
            <w:r>
              <w:rPr>
                <w:rFonts w:hint="default" w:ascii="Times New Roman" w:hAnsi="Times New Roman" w:eastAsia="宋体" w:cs="Times New Roman"/>
                <w:b w:val="0"/>
                <w:bCs/>
                <w:snapToGrid w:val="0"/>
                <w:color w:val="auto"/>
                <w:spacing w:val="0"/>
                <w:w w:val="100"/>
                <w:position w:val="0"/>
                <w:sz w:val="24"/>
                <w:szCs w:val="24"/>
              </w:rPr>
              <w:t>放</w:t>
            </w:r>
            <w:bookmarkEnd w:id="78"/>
            <w:bookmarkEnd w:id="79"/>
            <w:bookmarkEnd w:id="80"/>
          </w:p>
          <w:p w14:paraId="4BA95953">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81" w:name="_Toc32006"/>
            <w:bookmarkStart w:id="82" w:name="_Toc15374"/>
            <w:bookmarkStart w:id="83" w:name="_Toc25388"/>
            <w:r>
              <w:rPr>
                <w:rFonts w:hint="default" w:ascii="Times New Roman" w:hAnsi="Times New Roman" w:eastAsia="宋体" w:cs="Times New Roman"/>
                <w:b w:val="0"/>
                <w:bCs/>
                <w:snapToGrid w:val="0"/>
                <w:color w:val="auto"/>
                <w:spacing w:val="0"/>
                <w:w w:val="100"/>
                <w:position w:val="0"/>
                <w:sz w:val="24"/>
                <w:szCs w:val="24"/>
              </w:rPr>
              <w:t>控</w:t>
            </w:r>
            <w:bookmarkEnd w:id="81"/>
            <w:bookmarkEnd w:id="82"/>
            <w:bookmarkEnd w:id="83"/>
          </w:p>
          <w:p w14:paraId="7D045318">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84" w:name="_Toc13883"/>
            <w:bookmarkStart w:id="85" w:name="_Toc1183"/>
            <w:bookmarkStart w:id="86" w:name="_Toc13708"/>
            <w:r>
              <w:rPr>
                <w:rFonts w:hint="default" w:ascii="Times New Roman" w:hAnsi="Times New Roman" w:eastAsia="宋体" w:cs="Times New Roman"/>
                <w:b w:val="0"/>
                <w:bCs/>
                <w:snapToGrid w:val="0"/>
                <w:color w:val="auto"/>
                <w:spacing w:val="0"/>
                <w:w w:val="100"/>
                <w:position w:val="0"/>
                <w:sz w:val="24"/>
                <w:szCs w:val="24"/>
              </w:rPr>
              <w:t>制</w:t>
            </w:r>
            <w:bookmarkEnd w:id="84"/>
            <w:bookmarkEnd w:id="85"/>
            <w:bookmarkEnd w:id="86"/>
          </w:p>
          <w:p w14:paraId="1356782C">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0"/>
              <w:rPr>
                <w:rFonts w:hint="default" w:ascii="Times New Roman" w:hAnsi="Times New Roman" w:eastAsia="宋体" w:cs="Times New Roman"/>
                <w:b w:val="0"/>
                <w:bCs/>
                <w:snapToGrid w:val="0"/>
                <w:color w:val="auto"/>
                <w:spacing w:val="0"/>
                <w:w w:val="100"/>
                <w:position w:val="0"/>
                <w:sz w:val="24"/>
                <w:szCs w:val="24"/>
              </w:rPr>
            </w:pPr>
            <w:bookmarkStart w:id="87" w:name="_Toc23095"/>
            <w:bookmarkStart w:id="88" w:name="_Toc9316"/>
            <w:bookmarkStart w:id="89" w:name="_Toc4295"/>
            <w:r>
              <w:rPr>
                <w:rFonts w:hint="default" w:ascii="Times New Roman" w:hAnsi="Times New Roman" w:eastAsia="宋体" w:cs="Times New Roman"/>
                <w:b w:val="0"/>
                <w:bCs/>
                <w:snapToGrid w:val="0"/>
                <w:color w:val="auto"/>
                <w:spacing w:val="0"/>
                <w:w w:val="100"/>
                <w:position w:val="0"/>
                <w:sz w:val="24"/>
                <w:szCs w:val="24"/>
              </w:rPr>
              <w:t>标</w:t>
            </w:r>
            <w:bookmarkEnd w:id="87"/>
            <w:bookmarkEnd w:id="88"/>
            <w:bookmarkEnd w:id="89"/>
          </w:p>
          <w:p w14:paraId="3502E68E">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0"/>
              <w:rPr>
                <w:rFonts w:hint="default" w:ascii="Times New Roman" w:hAnsi="Times New Roman" w:cs="Times New Roman"/>
                <w:color w:val="auto"/>
                <w:spacing w:val="0"/>
                <w:w w:val="100"/>
                <w:kern w:val="0"/>
                <w:position w:val="0"/>
                <w:sz w:val="24"/>
              </w:rPr>
            </w:pPr>
            <w:bookmarkStart w:id="90" w:name="_Toc12888"/>
            <w:bookmarkStart w:id="91" w:name="_Toc7937"/>
            <w:bookmarkStart w:id="92" w:name="_Toc16793"/>
            <w:r>
              <w:rPr>
                <w:rFonts w:hint="default" w:ascii="Times New Roman" w:hAnsi="Times New Roman" w:eastAsia="宋体" w:cs="Times New Roman"/>
                <w:b w:val="0"/>
                <w:bCs/>
                <w:snapToGrid w:val="0"/>
                <w:color w:val="auto"/>
                <w:spacing w:val="0"/>
                <w:w w:val="100"/>
                <w:position w:val="0"/>
                <w:sz w:val="24"/>
                <w:szCs w:val="24"/>
              </w:rPr>
              <w:t>准</w:t>
            </w:r>
            <w:bookmarkEnd w:id="90"/>
            <w:bookmarkEnd w:id="91"/>
            <w:bookmarkEnd w:id="92"/>
          </w:p>
        </w:tc>
        <w:tc>
          <w:tcPr>
            <w:tcW w:w="8072" w:type="dxa"/>
            <w:noWrap w:val="0"/>
            <w:vAlign w:val="center"/>
          </w:tcPr>
          <w:p w14:paraId="625F151B">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baseline"/>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b/>
                <w:bCs/>
                <w:color w:val="auto"/>
                <w:spacing w:val="0"/>
                <w:w w:val="100"/>
                <w:position w:val="0"/>
                <w:sz w:val="24"/>
                <w:szCs w:val="24"/>
                <w:lang w:val="en-US" w:eastAsia="zh-CN"/>
              </w:rPr>
              <w:t>1、废气</w:t>
            </w:r>
          </w:p>
          <w:p w14:paraId="1E1CE401">
            <w:pPr>
              <w:pStyle w:val="127"/>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360" w:lineRule="auto"/>
              <w:ind w:left="0" w:leftChars="0" w:right="0" w:firstLine="480" w:firstLineChars="200"/>
              <w:jc w:val="both"/>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本项目产生的熔化废气、造型/浇注废气、落砂废气和清理废气（抛丸废气、机加工废气）分别经集气罩收集后统一经1套布袋除尘器+1套二级活性炭吸附处理达标后经一根15m 排气筒（DA001）排放。</w:t>
            </w:r>
          </w:p>
          <w:p w14:paraId="16EE6D28">
            <w:pPr>
              <w:pStyle w:val="127"/>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360" w:lineRule="auto"/>
              <w:ind w:left="0" w:right="0" w:firstLine="480" w:firstLineChars="200"/>
              <w:jc w:val="both"/>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其中有组织排放的颗粒物执行《铸造工业大气污染物排放标准》（GB 39726-2020）表 1 大气污染物排放限值，详见表3-3；有组织排放的非甲烷总烃执行《</w:t>
            </w:r>
            <w:bookmarkStart w:id="93" w:name="OLE_LINK20"/>
            <w:r>
              <w:rPr>
                <w:rFonts w:hint="default" w:ascii="Times New Roman" w:hAnsi="Times New Roman" w:eastAsia="宋体" w:cs="Times New Roman"/>
                <w:color w:val="auto"/>
                <w:spacing w:val="0"/>
                <w:w w:val="100"/>
                <w:position w:val="0"/>
                <w:sz w:val="24"/>
                <w:szCs w:val="24"/>
                <w:lang w:val="en-US" w:eastAsia="zh-CN"/>
              </w:rPr>
              <w:t>大气污染物综合排放标准</w:t>
            </w:r>
            <w:bookmarkEnd w:id="93"/>
            <w:r>
              <w:rPr>
                <w:rFonts w:hint="default" w:ascii="Times New Roman" w:hAnsi="Times New Roman" w:eastAsia="宋体" w:cs="Times New Roman"/>
                <w:color w:val="auto"/>
                <w:spacing w:val="0"/>
                <w:w w:val="100"/>
                <w:position w:val="0"/>
                <w:sz w:val="24"/>
                <w:szCs w:val="24"/>
                <w:lang w:val="en-US" w:eastAsia="zh-CN"/>
              </w:rPr>
              <w:t>》（GB16297-1996）表2中最高允许排放浓度及二级最高允许排放速率限值要求，详见表3-4。</w:t>
            </w:r>
          </w:p>
          <w:p w14:paraId="7A46C677">
            <w:pPr>
              <w:pStyle w:val="12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color w:val="auto"/>
                <w:spacing w:val="0"/>
                <w:w w:val="100"/>
                <w:position w:val="0"/>
                <w:sz w:val="24"/>
                <w:szCs w:val="24"/>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表3-4  铸造工业大气污染物排放标准限值</w:t>
            </w:r>
          </w:p>
          <w:tbl>
            <w:tblPr>
              <w:tblStyle w:val="5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6"/>
              <w:gridCol w:w="3238"/>
              <w:gridCol w:w="1260"/>
              <w:gridCol w:w="1260"/>
              <w:gridCol w:w="1141"/>
            </w:tblGrid>
            <w:tr w14:paraId="204DE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2718" w:type="pct"/>
                  <w:gridSpan w:val="2"/>
                  <w:noWrap w:val="0"/>
                  <w:vAlign w:val="center"/>
                </w:tcPr>
                <w:p w14:paraId="3534000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生产过程</w:t>
                  </w:r>
                </w:p>
              </w:tc>
              <w:tc>
                <w:tcPr>
                  <w:tcW w:w="785" w:type="pct"/>
                  <w:noWrap w:val="0"/>
                  <w:vAlign w:val="center"/>
                </w:tcPr>
                <w:p w14:paraId="026F9C1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颗粒物（mg/m</w:t>
                  </w:r>
                  <w:r>
                    <w:rPr>
                      <w:rFonts w:hint="default" w:ascii="Times New Roman" w:hAnsi="Times New Roman" w:eastAsia="宋体" w:cs="Times New Roman"/>
                      <w:b/>
                      <w:bCs/>
                      <w:color w:val="auto"/>
                      <w:spacing w:val="0"/>
                      <w:sz w:val="21"/>
                      <w:vertAlign w:val="superscript"/>
                      <w:lang w:val="en-US" w:eastAsia="zh-CN"/>
                    </w:rPr>
                    <w:t>3</w:t>
                  </w:r>
                  <w:r>
                    <w:rPr>
                      <w:rFonts w:hint="default" w:ascii="Times New Roman" w:hAnsi="Times New Roman" w:eastAsia="宋体" w:cs="Times New Roman"/>
                      <w:b/>
                      <w:bCs/>
                      <w:color w:val="auto"/>
                      <w:spacing w:val="0"/>
                      <w:sz w:val="21"/>
                      <w:lang w:val="en-US" w:eastAsia="zh-CN"/>
                    </w:rPr>
                    <w:t>）</w:t>
                  </w:r>
                </w:p>
              </w:tc>
              <w:tc>
                <w:tcPr>
                  <w:tcW w:w="785" w:type="pct"/>
                  <w:noWrap w:val="0"/>
                  <w:vAlign w:val="center"/>
                </w:tcPr>
                <w:p w14:paraId="1202CBF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非甲烷总烃（mg/m</w:t>
                  </w:r>
                  <w:r>
                    <w:rPr>
                      <w:rFonts w:hint="default" w:ascii="Times New Roman" w:hAnsi="Times New Roman" w:eastAsia="宋体" w:cs="Times New Roman"/>
                      <w:b/>
                      <w:bCs/>
                      <w:color w:val="auto"/>
                      <w:spacing w:val="0"/>
                      <w:sz w:val="21"/>
                      <w:vertAlign w:val="superscript"/>
                      <w:lang w:val="en-US" w:eastAsia="zh-CN"/>
                    </w:rPr>
                    <w:t>3</w:t>
                  </w:r>
                  <w:r>
                    <w:rPr>
                      <w:rFonts w:hint="default" w:ascii="Times New Roman" w:hAnsi="Times New Roman" w:eastAsia="宋体" w:cs="Times New Roman"/>
                      <w:b/>
                      <w:bCs/>
                      <w:color w:val="auto"/>
                      <w:spacing w:val="0"/>
                      <w:sz w:val="21"/>
                      <w:lang w:val="en-US" w:eastAsia="zh-CN"/>
                    </w:rPr>
                    <w:t>）</w:t>
                  </w:r>
                </w:p>
              </w:tc>
              <w:tc>
                <w:tcPr>
                  <w:tcW w:w="710" w:type="pct"/>
                  <w:noWrap w:val="0"/>
                  <w:vAlign w:val="center"/>
                </w:tcPr>
                <w:p w14:paraId="140AFAD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污染物排放监控位置</w:t>
                  </w:r>
                </w:p>
              </w:tc>
            </w:tr>
            <w:tr w14:paraId="3D127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noWrap w:val="0"/>
                  <w:vAlign w:val="center"/>
                </w:tcPr>
                <w:p w14:paraId="297CF6F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金属熔炼（化）</w:t>
                  </w:r>
                </w:p>
              </w:tc>
              <w:tc>
                <w:tcPr>
                  <w:tcW w:w="2017" w:type="pct"/>
                  <w:noWrap w:val="0"/>
                  <w:vAlign w:val="center"/>
                </w:tcPr>
                <w:p w14:paraId="21449A4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电弧炉、感应电炉、精炼炉等其它熔炼（化）炉；保温炉</w:t>
                  </w:r>
                </w:p>
              </w:tc>
              <w:tc>
                <w:tcPr>
                  <w:tcW w:w="785" w:type="pct"/>
                  <w:noWrap w:val="0"/>
                  <w:vAlign w:val="center"/>
                </w:tcPr>
                <w:p w14:paraId="1628D2C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30</w:t>
                  </w:r>
                </w:p>
              </w:tc>
              <w:tc>
                <w:tcPr>
                  <w:tcW w:w="785" w:type="pct"/>
                  <w:noWrap w:val="0"/>
                  <w:vAlign w:val="center"/>
                </w:tcPr>
                <w:p w14:paraId="363F4A4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w:t>
                  </w:r>
                </w:p>
              </w:tc>
              <w:tc>
                <w:tcPr>
                  <w:tcW w:w="710" w:type="pct"/>
                  <w:vMerge w:val="restart"/>
                  <w:noWrap w:val="0"/>
                  <w:vAlign w:val="center"/>
                </w:tcPr>
                <w:p w14:paraId="3665293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车间或生产设施排气筒</w:t>
                  </w:r>
                </w:p>
              </w:tc>
            </w:tr>
            <w:tr w14:paraId="7EEBA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noWrap w:val="0"/>
                  <w:vAlign w:val="center"/>
                </w:tcPr>
                <w:p w14:paraId="6C2DC40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落砂、清理</w:t>
                  </w:r>
                </w:p>
              </w:tc>
              <w:tc>
                <w:tcPr>
                  <w:tcW w:w="2017" w:type="pct"/>
                  <w:noWrap w:val="0"/>
                  <w:vAlign w:val="center"/>
                </w:tcPr>
                <w:p w14:paraId="4115AB9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落砂机、抛（喷）丸机等清理设备</w:t>
                  </w:r>
                </w:p>
              </w:tc>
              <w:tc>
                <w:tcPr>
                  <w:tcW w:w="785" w:type="pct"/>
                  <w:noWrap w:val="0"/>
                  <w:vAlign w:val="center"/>
                </w:tcPr>
                <w:p w14:paraId="4AEA27C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30</w:t>
                  </w:r>
                </w:p>
              </w:tc>
              <w:tc>
                <w:tcPr>
                  <w:tcW w:w="785" w:type="pct"/>
                  <w:noWrap w:val="0"/>
                  <w:vAlign w:val="center"/>
                </w:tcPr>
                <w:p w14:paraId="65B9AE9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w:t>
                  </w:r>
                </w:p>
              </w:tc>
              <w:tc>
                <w:tcPr>
                  <w:tcW w:w="710" w:type="pct"/>
                  <w:vMerge w:val="continue"/>
                  <w:noWrap w:val="0"/>
                  <w:vAlign w:val="center"/>
                </w:tcPr>
                <w:p w14:paraId="1AF8271F">
                  <w:pPr>
                    <w:pStyle w:val="127"/>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360" w:lineRule="auto"/>
                    <w:ind w:left="0" w:right="0" w:firstLine="482" w:firstLineChars="200"/>
                    <w:jc w:val="both"/>
                    <w:rPr>
                      <w:rFonts w:hint="default" w:ascii="Times New Roman" w:hAnsi="Times New Roman" w:eastAsia="宋体" w:cs="Times New Roman"/>
                      <w:b/>
                      <w:bCs/>
                      <w:color w:val="auto"/>
                      <w:spacing w:val="0"/>
                      <w:w w:val="100"/>
                      <w:position w:val="0"/>
                      <w:sz w:val="24"/>
                      <w:szCs w:val="24"/>
                      <w:lang w:val="en-US" w:eastAsia="zh-CN"/>
                    </w:rPr>
                  </w:pPr>
                </w:p>
              </w:tc>
            </w:tr>
            <w:tr w14:paraId="7E631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1" w:type="pct"/>
                  <w:noWrap w:val="0"/>
                  <w:vAlign w:val="center"/>
                </w:tcPr>
                <w:p w14:paraId="27EF9F7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浇注</w:t>
                  </w:r>
                </w:p>
              </w:tc>
              <w:tc>
                <w:tcPr>
                  <w:tcW w:w="2017" w:type="pct"/>
                  <w:noWrap w:val="0"/>
                  <w:vAlign w:val="center"/>
                </w:tcPr>
                <w:p w14:paraId="2A72496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浇注区</w:t>
                  </w:r>
                </w:p>
              </w:tc>
              <w:tc>
                <w:tcPr>
                  <w:tcW w:w="785" w:type="pct"/>
                  <w:noWrap w:val="0"/>
                  <w:vAlign w:val="center"/>
                </w:tcPr>
                <w:p w14:paraId="5443701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30</w:t>
                  </w:r>
                </w:p>
              </w:tc>
              <w:tc>
                <w:tcPr>
                  <w:tcW w:w="785" w:type="pct"/>
                  <w:noWrap w:val="0"/>
                  <w:vAlign w:val="center"/>
                </w:tcPr>
                <w:p w14:paraId="78C0E02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w:t>
                  </w:r>
                </w:p>
              </w:tc>
              <w:tc>
                <w:tcPr>
                  <w:tcW w:w="710" w:type="pct"/>
                  <w:vMerge w:val="continue"/>
                  <w:noWrap w:val="0"/>
                  <w:vAlign w:val="center"/>
                </w:tcPr>
                <w:p w14:paraId="7DD88D0F">
                  <w:pPr>
                    <w:pStyle w:val="127"/>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360" w:lineRule="auto"/>
                    <w:ind w:left="0" w:right="0" w:firstLine="482" w:firstLineChars="200"/>
                    <w:jc w:val="both"/>
                    <w:rPr>
                      <w:rFonts w:hint="default" w:ascii="Times New Roman" w:hAnsi="Times New Roman" w:eastAsia="宋体" w:cs="Times New Roman"/>
                      <w:b/>
                      <w:bCs/>
                      <w:color w:val="auto"/>
                      <w:spacing w:val="0"/>
                      <w:w w:val="100"/>
                      <w:position w:val="0"/>
                      <w:sz w:val="24"/>
                      <w:szCs w:val="24"/>
                      <w:lang w:val="en-US" w:eastAsia="zh-CN"/>
                    </w:rPr>
                  </w:pPr>
                </w:p>
              </w:tc>
            </w:tr>
          </w:tbl>
          <w:p w14:paraId="4C07AE42">
            <w:pPr>
              <w:pStyle w:val="12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color w:val="auto"/>
                <w:spacing w:val="0"/>
                <w:w w:val="100"/>
                <w:position w:val="0"/>
                <w:sz w:val="24"/>
                <w:szCs w:val="24"/>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表3-5  大气污染物综合排放标准限值</w:t>
            </w:r>
          </w:p>
          <w:tbl>
            <w:tblPr>
              <w:tblStyle w:val="5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5"/>
              <w:gridCol w:w="1633"/>
              <w:gridCol w:w="1586"/>
              <w:gridCol w:w="837"/>
              <w:gridCol w:w="1299"/>
              <w:gridCol w:w="1235"/>
            </w:tblGrid>
            <w:tr w14:paraId="75D19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4" w:type="pct"/>
                  <w:vMerge w:val="restart"/>
                  <w:noWrap w:val="0"/>
                  <w:vAlign w:val="center"/>
                </w:tcPr>
                <w:p w14:paraId="04DCD90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污染物</w:t>
                  </w:r>
                </w:p>
              </w:tc>
              <w:tc>
                <w:tcPr>
                  <w:tcW w:w="1017" w:type="pct"/>
                  <w:vMerge w:val="restart"/>
                  <w:noWrap w:val="0"/>
                  <w:vAlign w:val="center"/>
                </w:tcPr>
                <w:p w14:paraId="1DF6745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最高允许排放浓度mg/m</w:t>
                  </w:r>
                  <w:r>
                    <w:rPr>
                      <w:rFonts w:hint="default" w:ascii="Times New Roman" w:hAnsi="Times New Roman" w:eastAsia="宋体" w:cs="Times New Roman"/>
                      <w:b/>
                      <w:bCs/>
                      <w:color w:val="auto"/>
                      <w:spacing w:val="0"/>
                      <w:sz w:val="21"/>
                      <w:vertAlign w:val="superscript"/>
                      <w:lang w:val="en-US" w:eastAsia="zh-CN"/>
                    </w:rPr>
                    <w:t>3</w:t>
                  </w:r>
                </w:p>
              </w:tc>
              <w:tc>
                <w:tcPr>
                  <w:tcW w:w="1509" w:type="pct"/>
                  <w:gridSpan w:val="2"/>
                  <w:noWrap w:val="0"/>
                  <w:vAlign w:val="center"/>
                </w:tcPr>
                <w:p w14:paraId="31CF7AF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最高允许排放速率，kg/h</w:t>
                  </w:r>
                </w:p>
              </w:tc>
              <w:tc>
                <w:tcPr>
                  <w:tcW w:w="1578" w:type="pct"/>
                  <w:gridSpan w:val="2"/>
                  <w:noWrap w:val="0"/>
                  <w:vAlign w:val="center"/>
                </w:tcPr>
                <w:p w14:paraId="695C714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无组织排放监控浓度限值</w:t>
                  </w:r>
                </w:p>
              </w:tc>
            </w:tr>
            <w:tr w14:paraId="0339C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4" w:type="pct"/>
                  <w:vMerge w:val="continue"/>
                  <w:noWrap w:val="0"/>
                  <w:vAlign w:val="center"/>
                </w:tcPr>
                <w:p w14:paraId="18D66CA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p>
              </w:tc>
              <w:tc>
                <w:tcPr>
                  <w:tcW w:w="1017" w:type="pct"/>
                  <w:vMerge w:val="continue"/>
                  <w:noWrap w:val="0"/>
                  <w:vAlign w:val="center"/>
                </w:tcPr>
                <w:p w14:paraId="131BAEA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p>
              </w:tc>
              <w:tc>
                <w:tcPr>
                  <w:tcW w:w="988" w:type="pct"/>
                  <w:noWrap w:val="0"/>
                  <w:vAlign w:val="center"/>
                </w:tcPr>
                <w:p w14:paraId="5E7FEBB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排气筒高度</w:t>
                  </w:r>
                </w:p>
              </w:tc>
              <w:tc>
                <w:tcPr>
                  <w:tcW w:w="521" w:type="pct"/>
                  <w:noWrap w:val="0"/>
                  <w:vAlign w:val="center"/>
                </w:tcPr>
                <w:p w14:paraId="03E4E0E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二级</w:t>
                  </w:r>
                </w:p>
              </w:tc>
              <w:tc>
                <w:tcPr>
                  <w:tcW w:w="809" w:type="pct"/>
                  <w:noWrap w:val="0"/>
                  <w:vAlign w:val="center"/>
                </w:tcPr>
                <w:p w14:paraId="76EEC0B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监控点</w:t>
                  </w:r>
                </w:p>
              </w:tc>
              <w:tc>
                <w:tcPr>
                  <w:tcW w:w="769" w:type="pct"/>
                  <w:noWrap w:val="0"/>
                  <w:vAlign w:val="center"/>
                </w:tcPr>
                <w:p w14:paraId="629FA69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浓度mg/m</w:t>
                  </w:r>
                  <w:r>
                    <w:rPr>
                      <w:rFonts w:hint="default" w:ascii="Times New Roman" w:hAnsi="Times New Roman" w:eastAsia="宋体" w:cs="Times New Roman"/>
                      <w:b/>
                      <w:bCs/>
                      <w:color w:val="auto"/>
                      <w:spacing w:val="0"/>
                      <w:sz w:val="21"/>
                      <w:vertAlign w:val="superscript"/>
                      <w:lang w:val="en-US" w:eastAsia="zh-CN"/>
                    </w:rPr>
                    <w:t>3</w:t>
                  </w:r>
                </w:p>
              </w:tc>
            </w:tr>
            <w:tr w14:paraId="5DDC3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4" w:type="pct"/>
                  <w:noWrap w:val="0"/>
                  <w:vAlign w:val="center"/>
                </w:tcPr>
                <w:p w14:paraId="5456FAE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颗粒物</w:t>
                  </w:r>
                </w:p>
              </w:tc>
              <w:tc>
                <w:tcPr>
                  <w:tcW w:w="1017" w:type="pct"/>
                  <w:noWrap w:val="0"/>
                  <w:vAlign w:val="center"/>
                </w:tcPr>
                <w:p w14:paraId="565FF04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w:t>
                  </w:r>
                </w:p>
              </w:tc>
              <w:tc>
                <w:tcPr>
                  <w:tcW w:w="988" w:type="pct"/>
                  <w:noWrap w:val="0"/>
                  <w:vAlign w:val="center"/>
                </w:tcPr>
                <w:p w14:paraId="093CA0C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w:t>
                  </w:r>
                </w:p>
              </w:tc>
              <w:tc>
                <w:tcPr>
                  <w:tcW w:w="521" w:type="pct"/>
                  <w:noWrap w:val="0"/>
                  <w:vAlign w:val="center"/>
                </w:tcPr>
                <w:p w14:paraId="0C2FE9C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w:t>
                  </w:r>
                </w:p>
              </w:tc>
              <w:tc>
                <w:tcPr>
                  <w:tcW w:w="809" w:type="pct"/>
                  <w:vMerge w:val="restart"/>
                  <w:noWrap w:val="0"/>
                  <w:vAlign w:val="center"/>
                </w:tcPr>
                <w:p w14:paraId="78BC749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周界外浓度最高点</w:t>
                  </w:r>
                </w:p>
              </w:tc>
              <w:tc>
                <w:tcPr>
                  <w:tcW w:w="769" w:type="pct"/>
                  <w:noWrap w:val="0"/>
                  <w:vAlign w:val="center"/>
                </w:tcPr>
                <w:p w14:paraId="71C5DF9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1.0</w:t>
                  </w:r>
                </w:p>
              </w:tc>
            </w:tr>
            <w:tr w14:paraId="749F4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4" w:type="pct"/>
                  <w:noWrap w:val="0"/>
                  <w:vAlign w:val="center"/>
                </w:tcPr>
                <w:p w14:paraId="3ED441A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非甲烷总烃</w:t>
                  </w:r>
                </w:p>
              </w:tc>
              <w:tc>
                <w:tcPr>
                  <w:tcW w:w="1017" w:type="pct"/>
                  <w:noWrap w:val="0"/>
                  <w:vAlign w:val="center"/>
                </w:tcPr>
                <w:p w14:paraId="614ECD1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120</w:t>
                  </w:r>
                </w:p>
              </w:tc>
              <w:tc>
                <w:tcPr>
                  <w:tcW w:w="988" w:type="pct"/>
                  <w:noWrap w:val="0"/>
                  <w:vAlign w:val="center"/>
                </w:tcPr>
                <w:p w14:paraId="62DD1CA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15</w:t>
                  </w:r>
                </w:p>
              </w:tc>
              <w:tc>
                <w:tcPr>
                  <w:tcW w:w="521" w:type="pct"/>
                  <w:noWrap w:val="0"/>
                  <w:vAlign w:val="center"/>
                </w:tcPr>
                <w:p w14:paraId="1E21CD5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10</w:t>
                  </w:r>
                </w:p>
              </w:tc>
              <w:tc>
                <w:tcPr>
                  <w:tcW w:w="809" w:type="pct"/>
                  <w:vMerge w:val="continue"/>
                  <w:noWrap w:val="0"/>
                  <w:vAlign w:val="center"/>
                </w:tcPr>
                <w:p w14:paraId="114F9CA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p>
              </w:tc>
              <w:tc>
                <w:tcPr>
                  <w:tcW w:w="769" w:type="pct"/>
                  <w:noWrap w:val="0"/>
                  <w:vAlign w:val="center"/>
                </w:tcPr>
                <w:p w14:paraId="5E89893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4.0</w:t>
                  </w:r>
                </w:p>
              </w:tc>
            </w:tr>
          </w:tbl>
          <w:p w14:paraId="09F8D414">
            <w:pPr>
              <w:pStyle w:val="127"/>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360" w:lineRule="auto"/>
              <w:ind w:left="0" w:right="0" w:firstLine="420" w:firstLineChars="200"/>
              <w:jc w:val="both"/>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注：项目厂界无组织排放的颗粒物、非甲烷总烃执行《大气污染物综合排放标准》（GB16297-1996）表2中无组织排放监控浓度限值要求，详见表3-5；其中厂区内颗粒物、非甲烷总烃无组织排放监控点浓度执行《铸造工业大气污染物排放标准》（GB 39726-2020）表A.1规定的限值，详见表3-6。</w:t>
            </w:r>
          </w:p>
          <w:p w14:paraId="5010906E">
            <w:pPr>
              <w:pStyle w:val="12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表3-6  厂区内颗粒物、VOCs无组织排放限值      单位：mg/m</w:t>
            </w:r>
            <w:r>
              <w:rPr>
                <w:rFonts w:hint="default" w:ascii="Times New Roman" w:hAnsi="Times New Roman" w:eastAsia="宋体" w:cs="Times New Roman"/>
                <w:b/>
                <w:bCs/>
                <w:color w:val="auto"/>
                <w:spacing w:val="0"/>
                <w:w w:val="100"/>
                <w:kern w:val="0"/>
                <w:position w:val="0"/>
                <w:sz w:val="21"/>
                <w:szCs w:val="21"/>
                <w:vertAlign w:val="superscript"/>
                <w:lang w:val="en-US" w:eastAsia="zh-CN"/>
              </w:rPr>
              <w:t>3</w:t>
            </w:r>
          </w:p>
          <w:tbl>
            <w:tblPr>
              <w:tblStyle w:val="5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3"/>
              <w:gridCol w:w="1420"/>
              <w:gridCol w:w="2719"/>
              <w:gridCol w:w="2443"/>
            </w:tblGrid>
            <w:tr w14:paraId="0013C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99" w:type="pct"/>
                  <w:noWrap w:val="0"/>
                  <w:vAlign w:val="center"/>
                </w:tcPr>
                <w:p w14:paraId="5E2E96A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污染物项目</w:t>
                  </w:r>
                </w:p>
              </w:tc>
              <w:tc>
                <w:tcPr>
                  <w:tcW w:w="884" w:type="pct"/>
                  <w:noWrap w:val="0"/>
                  <w:vAlign w:val="center"/>
                </w:tcPr>
                <w:p w14:paraId="2DDC22B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排放限值</w:t>
                  </w:r>
                </w:p>
              </w:tc>
              <w:tc>
                <w:tcPr>
                  <w:tcW w:w="1693" w:type="pct"/>
                  <w:noWrap w:val="0"/>
                  <w:vAlign w:val="center"/>
                </w:tcPr>
                <w:p w14:paraId="58FF7DD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限值含义</w:t>
                  </w:r>
                </w:p>
              </w:tc>
              <w:tc>
                <w:tcPr>
                  <w:tcW w:w="1521" w:type="pct"/>
                  <w:noWrap w:val="0"/>
                  <w:vAlign w:val="center"/>
                </w:tcPr>
                <w:p w14:paraId="190EEBB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无组织排放监控位置</w:t>
                  </w:r>
                </w:p>
              </w:tc>
            </w:tr>
            <w:tr w14:paraId="4B3AC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99" w:type="pct"/>
                  <w:noWrap w:val="0"/>
                  <w:vAlign w:val="center"/>
                </w:tcPr>
                <w:p w14:paraId="33E2D2D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颗粒物</w:t>
                  </w:r>
                </w:p>
              </w:tc>
              <w:tc>
                <w:tcPr>
                  <w:tcW w:w="884" w:type="pct"/>
                  <w:noWrap w:val="0"/>
                  <w:vAlign w:val="center"/>
                </w:tcPr>
                <w:p w14:paraId="2A3AECA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5</w:t>
                  </w:r>
                </w:p>
              </w:tc>
              <w:tc>
                <w:tcPr>
                  <w:tcW w:w="1693" w:type="pct"/>
                  <w:noWrap w:val="0"/>
                  <w:vAlign w:val="center"/>
                </w:tcPr>
                <w:p w14:paraId="3FBBC32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监控点处1h平面浓度值</w:t>
                  </w:r>
                </w:p>
              </w:tc>
              <w:tc>
                <w:tcPr>
                  <w:tcW w:w="1521" w:type="pct"/>
                  <w:vMerge w:val="restart"/>
                  <w:noWrap w:val="0"/>
                  <w:vAlign w:val="center"/>
                </w:tcPr>
                <w:p w14:paraId="443418A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在厂房外设置监控点</w:t>
                  </w:r>
                </w:p>
              </w:tc>
            </w:tr>
            <w:tr w14:paraId="284FC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99" w:type="pct"/>
                  <w:vMerge w:val="restart"/>
                  <w:noWrap w:val="0"/>
                  <w:vAlign w:val="center"/>
                </w:tcPr>
                <w:p w14:paraId="5A9161D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NMHC</w:t>
                  </w:r>
                </w:p>
              </w:tc>
              <w:tc>
                <w:tcPr>
                  <w:tcW w:w="884" w:type="pct"/>
                  <w:noWrap w:val="0"/>
                  <w:vAlign w:val="center"/>
                </w:tcPr>
                <w:p w14:paraId="2F8B1F4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10</w:t>
                  </w:r>
                </w:p>
              </w:tc>
              <w:tc>
                <w:tcPr>
                  <w:tcW w:w="1693" w:type="pct"/>
                  <w:noWrap w:val="0"/>
                  <w:vAlign w:val="center"/>
                </w:tcPr>
                <w:p w14:paraId="64965F9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监控点处1h平面浓度值</w:t>
                  </w:r>
                </w:p>
              </w:tc>
              <w:tc>
                <w:tcPr>
                  <w:tcW w:w="1521" w:type="pct"/>
                  <w:vMerge w:val="continue"/>
                  <w:noWrap w:val="0"/>
                  <w:vAlign w:val="center"/>
                </w:tcPr>
                <w:p w14:paraId="669052C1">
                  <w:pPr>
                    <w:pStyle w:val="127"/>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360" w:lineRule="auto"/>
                    <w:ind w:left="0" w:right="0" w:firstLine="482" w:firstLineChars="200"/>
                    <w:jc w:val="both"/>
                    <w:rPr>
                      <w:rFonts w:hint="default" w:ascii="Times New Roman" w:hAnsi="Times New Roman" w:eastAsia="宋体" w:cs="Times New Roman"/>
                      <w:b/>
                      <w:bCs/>
                      <w:color w:val="auto"/>
                      <w:spacing w:val="0"/>
                      <w:w w:val="100"/>
                      <w:position w:val="0"/>
                      <w:sz w:val="24"/>
                      <w:szCs w:val="24"/>
                      <w:lang w:val="en-US" w:eastAsia="zh-CN"/>
                    </w:rPr>
                  </w:pPr>
                </w:p>
              </w:tc>
            </w:tr>
            <w:tr w14:paraId="369BF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99" w:type="pct"/>
                  <w:vMerge w:val="continue"/>
                  <w:noWrap w:val="0"/>
                  <w:vAlign w:val="center"/>
                </w:tcPr>
                <w:p w14:paraId="091BDF7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p>
              </w:tc>
              <w:tc>
                <w:tcPr>
                  <w:tcW w:w="884" w:type="pct"/>
                  <w:noWrap w:val="0"/>
                  <w:vAlign w:val="center"/>
                </w:tcPr>
                <w:p w14:paraId="4725B0B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30</w:t>
                  </w:r>
                </w:p>
              </w:tc>
              <w:tc>
                <w:tcPr>
                  <w:tcW w:w="1693" w:type="pct"/>
                  <w:noWrap w:val="0"/>
                  <w:vAlign w:val="center"/>
                </w:tcPr>
                <w:p w14:paraId="5D9086E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监控点处任意一次浓度值</w:t>
                  </w:r>
                </w:p>
              </w:tc>
              <w:tc>
                <w:tcPr>
                  <w:tcW w:w="1521" w:type="pct"/>
                  <w:vMerge w:val="continue"/>
                  <w:noWrap w:val="0"/>
                  <w:vAlign w:val="center"/>
                </w:tcPr>
                <w:p w14:paraId="56931BA7">
                  <w:pPr>
                    <w:pStyle w:val="127"/>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360" w:lineRule="auto"/>
                    <w:ind w:left="0" w:right="0" w:firstLine="482" w:firstLineChars="200"/>
                    <w:jc w:val="both"/>
                    <w:rPr>
                      <w:rFonts w:hint="default" w:ascii="Times New Roman" w:hAnsi="Times New Roman" w:eastAsia="宋体" w:cs="Times New Roman"/>
                      <w:b/>
                      <w:bCs/>
                      <w:color w:val="auto"/>
                      <w:spacing w:val="0"/>
                      <w:w w:val="100"/>
                      <w:position w:val="0"/>
                      <w:sz w:val="24"/>
                      <w:szCs w:val="24"/>
                      <w:lang w:val="en-US" w:eastAsia="zh-CN"/>
                    </w:rPr>
                  </w:pPr>
                </w:p>
              </w:tc>
            </w:tr>
          </w:tbl>
          <w:p w14:paraId="31017B67">
            <w:pPr>
              <w:pStyle w:val="127"/>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360" w:lineRule="auto"/>
              <w:ind w:left="0" w:right="0" w:firstLine="482" w:firstLineChars="200"/>
              <w:jc w:val="both"/>
              <w:rPr>
                <w:rFonts w:hint="default" w:ascii="Times New Roman" w:hAnsi="Times New Roman" w:eastAsia="宋体" w:cs="Times New Roman"/>
                <w:b/>
                <w:bCs/>
                <w:color w:val="auto"/>
                <w:spacing w:val="0"/>
                <w:w w:val="100"/>
                <w:position w:val="0"/>
                <w:sz w:val="24"/>
                <w:szCs w:val="24"/>
                <w:lang w:val="en-US" w:eastAsia="zh-CN"/>
              </w:rPr>
            </w:pPr>
            <w:r>
              <w:rPr>
                <w:rFonts w:hint="default" w:ascii="Times New Roman" w:hAnsi="Times New Roman" w:eastAsia="宋体" w:cs="Times New Roman"/>
                <w:b/>
                <w:bCs/>
                <w:color w:val="auto"/>
                <w:spacing w:val="0"/>
                <w:w w:val="100"/>
                <w:position w:val="0"/>
                <w:sz w:val="24"/>
                <w:szCs w:val="24"/>
                <w:lang w:val="en-US" w:eastAsia="zh-CN"/>
              </w:rPr>
              <w:t>2、废水</w:t>
            </w:r>
          </w:p>
          <w:p w14:paraId="3D793BA4">
            <w:pPr>
              <w:pStyle w:val="2"/>
              <w:keepNext w:val="0"/>
              <w:keepLines w:val="0"/>
              <w:pageBreakBefore w:val="0"/>
              <w:suppressLineNumbers w:val="0"/>
              <w:kinsoku/>
              <w:wordWrap/>
              <w:topLinePunct w:val="0"/>
              <w:bidi w:val="0"/>
              <w:snapToGrid/>
              <w:spacing w:before="0" w:beforeAutospacing="0" w:afterAutospacing="0"/>
              <w:ind w:left="0" w:right="0" w:firstLine="480" w:firstLineChars="200"/>
              <w:rPr>
                <w:rFonts w:hint="default" w:ascii="Times New Roman" w:hAnsi="Times New Roman" w:eastAsia="宋体" w:cs="Times New Roman"/>
                <w:color w:val="auto"/>
                <w:spacing w:val="0"/>
                <w:w w:val="100"/>
                <w:kern w:val="0"/>
                <w:position w:val="0"/>
                <w:sz w:val="24"/>
                <w:szCs w:val="24"/>
              </w:rPr>
            </w:pPr>
            <w:r>
              <w:rPr>
                <w:rFonts w:hint="default" w:ascii="Times New Roman" w:hAnsi="Times New Roman" w:eastAsia="宋体" w:cs="Times New Roman"/>
                <w:color w:val="auto"/>
                <w:spacing w:val="0"/>
                <w:w w:val="100"/>
                <w:kern w:val="0"/>
                <w:position w:val="0"/>
                <w:sz w:val="24"/>
                <w:szCs w:val="24"/>
                <w:lang w:eastAsia="zh-CN"/>
              </w:rPr>
              <w:t>生活污水经化粪池处理达《污水综合排放标准》（GB8978-1996）表4中三级标准限值后前期用吸粪车定期清运至污水厂，后期待管网接通后排入污水管网通过市政污水管网输送至鹿寨县城第二污水处理厂处理后排入洛清江。</w:t>
            </w:r>
            <w:r>
              <w:rPr>
                <w:rFonts w:hint="default" w:ascii="Times New Roman" w:hAnsi="Times New Roman" w:eastAsia="宋体" w:cs="Times New Roman"/>
                <w:color w:val="auto"/>
                <w:spacing w:val="0"/>
                <w:w w:val="100"/>
                <w:kern w:val="0"/>
                <w:position w:val="0"/>
                <w:sz w:val="24"/>
                <w:szCs w:val="24"/>
                <w:lang w:val="en-US" w:eastAsia="zh-CN"/>
              </w:rPr>
              <w:t>项目运营期生活污水执行《污水综合排放标准》（GB8978-1996）三级标准限值，详见表3-7</w:t>
            </w:r>
            <w:r>
              <w:rPr>
                <w:rFonts w:hint="default" w:ascii="Times New Roman" w:hAnsi="Times New Roman" w:eastAsia="宋体" w:cs="Times New Roman"/>
                <w:color w:val="auto"/>
                <w:spacing w:val="0"/>
                <w:w w:val="100"/>
                <w:kern w:val="0"/>
                <w:position w:val="0"/>
                <w:sz w:val="24"/>
                <w:szCs w:val="24"/>
              </w:rPr>
              <w:t>。</w:t>
            </w:r>
          </w:p>
          <w:p w14:paraId="7636FE35">
            <w:pPr>
              <w:pStyle w:val="3"/>
              <w:keepNext w:val="0"/>
              <w:keepLines w:val="0"/>
              <w:pageBreakBefore w:val="0"/>
              <w:widowControl w:val="0"/>
              <w:suppressLineNumbers w:val="0"/>
              <w:tabs>
                <w:tab w:val="left" w:pos="-213"/>
                <w:tab w:val="clear" w:pos="0"/>
              </w:tabs>
              <w:kinsoku/>
              <w:wordWrap/>
              <w:overflowPunct/>
              <w:topLinePunct w:val="0"/>
              <w:autoSpaceDE/>
              <w:autoSpaceDN/>
              <w:bidi w:val="0"/>
              <w:adjustRightInd/>
              <w:snapToGrid/>
              <w:spacing w:before="0" w:beforeAutospacing="0" w:afterAutospacing="0"/>
              <w:ind w:left="0" w:leftChars="0" w:right="0" w:firstLine="0" w:firstLineChars="0"/>
              <w:jc w:val="both"/>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表3-7  《污水综合排放标准》（GB8978-1996）排放限值 （单位：mg/L，pH值除外）</w:t>
            </w:r>
          </w:p>
          <w:tbl>
            <w:tblPr>
              <w:tblStyle w:val="5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7"/>
              <w:gridCol w:w="1463"/>
              <w:gridCol w:w="1355"/>
              <w:gridCol w:w="1355"/>
              <w:gridCol w:w="1355"/>
              <w:gridCol w:w="1358"/>
            </w:tblGrid>
            <w:tr w14:paraId="0FF3F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8" w:type="pct"/>
                  <w:noWrap w:val="0"/>
                  <w:vAlign w:val="center"/>
                </w:tcPr>
                <w:p w14:paraId="0976495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标准级别</w:t>
                  </w:r>
                </w:p>
              </w:tc>
              <w:tc>
                <w:tcPr>
                  <w:tcW w:w="911" w:type="pct"/>
                  <w:noWrap w:val="0"/>
                  <w:vAlign w:val="center"/>
                </w:tcPr>
                <w:p w14:paraId="3725107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pH值（无量纲）</w:t>
                  </w:r>
                </w:p>
              </w:tc>
              <w:tc>
                <w:tcPr>
                  <w:tcW w:w="844" w:type="pct"/>
                  <w:noWrap w:val="0"/>
                  <w:vAlign w:val="center"/>
                </w:tcPr>
                <w:p w14:paraId="0F7BB1D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COD</w:t>
                  </w:r>
                </w:p>
              </w:tc>
              <w:tc>
                <w:tcPr>
                  <w:tcW w:w="844" w:type="pct"/>
                  <w:noWrap w:val="0"/>
                  <w:vAlign w:val="center"/>
                </w:tcPr>
                <w:p w14:paraId="4D1CC8F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BOD</w:t>
                  </w:r>
                  <w:r>
                    <w:rPr>
                      <w:rFonts w:hint="default" w:ascii="Times New Roman" w:hAnsi="Times New Roman" w:eastAsia="宋体" w:cs="Times New Roman"/>
                      <w:b/>
                      <w:bCs/>
                      <w:color w:val="auto"/>
                      <w:spacing w:val="0"/>
                      <w:sz w:val="21"/>
                      <w:vertAlign w:val="subscript"/>
                      <w:lang w:val="en-US" w:eastAsia="zh-CN"/>
                    </w:rPr>
                    <w:t>5</w:t>
                  </w:r>
                </w:p>
              </w:tc>
              <w:tc>
                <w:tcPr>
                  <w:tcW w:w="844" w:type="pct"/>
                  <w:noWrap w:val="0"/>
                  <w:vAlign w:val="center"/>
                </w:tcPr>
                <w:p w14:paraId="4B2613D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SS</w:t>
                  </w:r>
                </w:p>
              </w:tc>
              <w:tc>
                <w:tcPr>
                  <w:tcW w:w="846" w:type="pct"/>
                  <w:noWrap w:val="0"/>
                  <w:vAlign w:val="center"/>
                </w:tcPr>
                <w:p w14:paraId="0996B07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NH</w:t>
                  </w:r>
                  <w:r>
                    <w:rPr>
                      <w:rFonts w:hint="default" w:ascii="Times New Roman" w:hAnsi="Times New Roman" w:eastAsia="宋体" w:cs="Times New Roman"/>
                      <w:b/>
                      <w:bCs/>
                      <w:color w:val="auto"/>
                      <w:spacing w:val="0"/>
                      <w:sz w:val="21"/>
                      <w:vertAlign w:val="subscript"/>
                      <w:lang w:val="en-US" w:eastAsia="zh-CN"/>
                    </w:rPr>
                    <w:t>3</w:t>
                  </w:r>
                  <w:r>
                    <w:rPr>
                      <w:rFonts w:hint="default" w:ascii="Times New Roman" w:hAnsi="Times New Roman" w:eastAsia="宋体" w:cs="Times New Roman"/>
                      <w:b/>
                      <w:bCs/>
                      <w:color w:val="auto"/>
                      <w:spacing w:val="0"/>
                      <w:sz w:val="21"/>
                      <w:lang w:val="en-US" w:eastAsia="zh-CN"/>
                    </w:rPr>
                    <w:t>-N</w:t>
                  </w:r>
                </w:p>
              </w:tc>
            </w:tr>
            <w:tr w14:paraId="5971E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8" w:type="pct"/>
                  <w:noWrap w:val="0"/>
                  <w:vAlign w:val="center"/>
                </w:tcPr>
                <w:p w14:paraId="373E813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三级</w:t>
                  </w:r>
                </w:p>
              </w:tc>
              <w:tc>
                <w:tcPr>
                  <w:tcW w:w="911" w:type="pct"/>
                  <w:noWrap w:val="0"/>
                  <w:vAlign w:val="center"/>
                </w:tcPr>
                <w:p w14:paraId="1535AE3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6~9</w:t>
                  </w:r>
                </w:p>
              </w:tc>
              <w:tc>
                <w:tcPr>
                  <w:tcW w:w="844" w:type="pct"/>
                  <w:noWrap w:val="0"/>
                  <w:vAlign w:val="center"/>
                </w:tcPr>
                <w:p w14:paraId="0A4596D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500</w:t>
                  </w:r>
                </w:p>
              </w:tc>
              <w:tc>
                <w:tcPr>
                  <w:tcW w:w="844" w:type="pct"/>
                  <w:noWrap w:val="0"/>
                  <w:vAlign w:val="center"/>
                </w:tcPr>
                <w:p w14:paraId="3A89173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300</w:t>
                  </w:r>
                </w:p>
              </w:tc>
              <w:tc>
                <w:tcPr>
                  <w:tcW w:w="844" w:type="pct"/>
                  <w:noWrap w:val="0"/>
                  <w:vAlign w:val="center"/>
                </w:tcPr>
                <w:p w14:paraId="2A39C0C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400</w:t>
                  </w:r>
                </w:p>
              </w:tc>
              <w:tc>
                <w:tcPr>
                  <w:tcW w:w="846" w:type="pct"/>
                  <w:noWrap w:val="0"/>
                  <w:vAlign w:val="center"/>
                </w:tcPr>
                <w:p w14:paraId="52244CD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w:t>
                  </w:r>
                </w:p>
              </w:tc>
            </w:tr>
          </w:tbl>
          <w:p w14:paraId="3E4FB1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outlineLvl w:val="9"/>
              <w:rPr>
                <w:rFonts w:hint="default" w:ascii="Times New Roman" w:hAnsi="Times New Roman" w:eastAsia="宋体" w:cs="Times New Roman"/>
                <w:b/>
                <w:bCs/>
                <w:color w:val="auto"/>
                <w:spacing w:val="0"/>
                <w:w w:val="100"/>
                <w:position w:val="0"/>
                <w:sz w:val="24"/>
                <w:szCs w:val="24"/>
              </w:rPr>
            </w:pPr>
            <w:r>
              <w:rPr>
                <w:rFonts w:hint="default" w:ascii="Times New Roman" w:hAnsi="Times New Roman" w:eastAsia="宋体" w:cs="Times New Roman"/>
                <w:b/>
                <w:bCs/>
                <w:color w:val="auto"/>
                <w:spacing w:val="0"/>
                <w:w w:val="100"/>
                <w:position w:val="0"/>
                <w:sz w:val="24"/>
                <w:szCs w:val="24"/>
                <w:lang w:val="en-US" w:eastAsia="zh-CN"/>
              </w:rPr>
              <w:t>3</w:t>
            </w:r>
            <w:r>
              <w:rPr>
                <w:rFonts w:hint="default" w:ascii="Times New Roman" w:hAnsi="Times New Roman" w:eastAsia="宋体" w:cs="Times New Roman"/>
                <w:b/>
                <w:bCs/>
                <w:color w:val="auto"/>
                <w:spacing w:val="0"/>
                <w:w w:val="100"/>
                <w:position w:val="0"/>
                <w:sz w:val="24"/>
                <w:szCs w:val="24"/>
              </w:rPr>
              <w:t>、固体废物</w:t>
            </w:r>
          </w:p>
          <w:p w14:paraId="27E9AA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auto"/>
                <w:spacing w:val="0"/>
                <w:w w:val="100"/>
                <w:kern w:val="0"/>
                <w:position w:val="0"/>
                <w:sz w:val="24"/>
                <w:szCs w:val="24"/>
              </w:rPr>
            </w:pPr>
            <w:r>
              <w:rPr>
                <w:rFonts w:hint="default" w:ascii="Times New Roman" w:hAnsi="Times New Roman" w:eastAsia="宋体" w:cs="Times New Roman"/>
                <w:color w:val="auto"/>
                <w:spacing w:val="0"/>
                <w:w w:val="100"/>
                <w:kern w:val="0"/>
                <w:position w:val="0"/>
                <w:sz w:val="24"/>
                <w:szCs w:val="24"/>
              </w:rPr>
              <w:t>固体废物的管理遵照《中华人民共和国固体废物污染环境防治法》中的有关规定执行。</w:t>
            </w:r>
          </w:p>
          <w:p w14:paraId="62AFA2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一般固废执行《一般工业固体废物贮存和填埋污染控制标准》（GB18599-2020）。</w:t>
            </w:r>
          </w:p>
          <w:p w14:paraId="3B231E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危险废物贮存执行《危险废物贮存污染控制标准》（GB18597-2023）。</w:t>
            </w:r>
          </w:p>
          <w:p w14:paraId="3749E4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auto"/>
                <w:spacing w:val="0"/>
                <w:w w:val="100"/>
                <w:kern w:val="0"/>
                <w:position w:val="0"/>
                <w:sz w:val="24"/>
                <w:szCs w:val="24"/>
                <w:lang w:eastAsia="zh-CN"/>
              </w:rPr>
            </w:pPr>
            <w:r>
              <w:rPr>
                <w:rFonts w:hint="default" w:ascii="Times New Roman" w:hAnsi="Times New Roman" w:eastAsia="宋体" w:cs="Times New Roman"/>
                <w:color w:val="auto"/>
                <w:spacing w:val="0"/>
                <w:w w:val="100"/>
                <w:kern w:val="0"/>
                <w:position w:val="0"/>
                <w:sz w:val="24"/>
                <w:szCs w:val="24"/>
              </w:rPr>
              <w:t>生活垃圾执行《中华人民共和国固体废物污染环境防治法》（2020年4月29日修订，2020年9月1日实施）“第四章 生活垃圾”的有关规定</w:t>
            </w:r>
            <w:r>
              <w:rPr>
                <w:rFonts w:hint="default" w:ascii="Times New Roman" w:hAnsi="Times New Roman" w:eastAsia="宋体" w:cs="Times New Roman"/>
                <w:color w:val="auto"/>
                <w:spacing w:val="0"/>
                <w:w w:val="100"/>
                <w:kern w:val="0"/>
                <w:position w:val="0"/>
                <w:sz w:val="24"/>
                <w:szCs w:val="24"/>
                <w:lang w:eastAsia="zh-CN"/>
              </w:rPr>
              <w:t>。</w:t>
            </w:r>
          </w:p>
          <w:p w14:paraId="4BFE73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outlineLvl w:val="9"/>
              <w:rPr>
                <w:rFonts w:hint="default" w:ascii="Times New Roman" w:hAnsi="Times New Roman" w:eastAsia="宋体" w:cs="Times New Roman"/>
                <w:b/>
                <w:bCs/>
                <w:color w:val="auto"/>
                <w:spacing w:val="0"/>
                <w:w w:val="100"/>
                <w:position w:val="0"/>
                <w:sz w:val="24"/>
                <w:szCs w:val="24"/>
              </w:rPr>
            </w:pPr>
            <w:r>
              <w:rPr>
                <w:rFonts w:hint="default" w:ascii="Times New Roman" w:hAnsi="Times New Roman" w:eastAsia="宋体" w:cs="Times New Roman"/>
                <w:b/>
                <w:bCs/>
                <w:color w:val="auto"/>
                <w:spacing w:val="0"/>
                <w:w w:val="100"/>
                <w:position w:val="0"/>
                <w:sz w:val="24"/>
                <w:szCs w:val="24"/>
                <w:lang w:val="en-US" w:eastAsia="zh-CN"/>
              </w:rPr>
              <w:t>4、</w:t>
            </w:r>
            <w:r>
              <w:rPr>
                <w:rFonts w:hint="default" w:ascii="Times New Roman" w:hAnsi="Times New Roman" w:eastAsia="宋体" w:cs="Times New Roman"/>
                <w:b/>
                <w:bCs/>
                <w:color w:val="auto"/>
                <w:spacing w:val="0"/>
                <w:w w:val="100"/>
                <w:position w:val="0"/>
                <w:sz w:val="24"/>
                <w:szCs w:val="24"/>
              </w:rPr>
              <w:t>噪声</w:t>
            </w:r>
          </w:p>
          <w:p w14:paraId="0243D2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运营期昼间噪声排放执行《工业企业厂界环境噪声排放标准》（GB12348-2008）表1中3类噪声排放标准限值，详见表3-8。</w:t>
            </w:r>
          </w:p>
          <w:p w14:paraId="209C29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spacing w:val="0"/>
                <w:w w:val="100"/>
                <w:kern w:val="0"/>
                <w:position w:val="0"/>
                <w:sz w:val="21"/>
                <w:szCs w:val="21"/>
                <w:lang w:val="en-US" w:eastAsia="zh-CN"/>
              </w:rPr>
              <w:t>表3-8  工业企业厂界环境噪声排放限值     单位：dB（A）</w:t>
            </w:r>
          </w:p>
          <w:tbl>
            <w:tblPr>
              <w:tblStyle w:val="59"/>
              <w:tblW w:w="4996" w:type="pct"/>
              <w:tblInd w:w="1"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108" w:type="dxa"/>
                <w:bottom w:w="0" w:type="dxa"/>
                <w:right w:w="108" w:type="dxa"/>
              </w:tblCellMar>
            </w:tblPr>
            <w:tblGrid>
              <w:gridCol w:w="3539"/>
              <w:gridCol w:w="2239"/>
              <w:gridCol w:w="2239"/>
            </w:tblGrid>
            <w:tr w14:paraId="10D418F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54" w:hRule="atLeast"/>
              </w:trPr>
              <w:tc>
                <w:tcPr>
                  <w:tcW w:w="2207" w:type="pct"/>
                  <w:vMerge w:val="restart"/>
                  <w:noWrap w:val="0"/>
                  <w:vAlign w:val="center"/>
                </w:tcPr>
                <w:p w14:paraId="0D2E363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厂界外声环境功能区类别</w:t>
                  </w:r>
                </w:p>
              </w:tc>
              <w:tc>
                <w:tcPr>
                  <w:tcW w:w="2792" w:type="pct"/>
                  <w:gridSpan w:val="2"/>
                  <w:noWrap w:val="0"/>
                  <w:vAlign w:val="center"/>
                </w:tcPr>
                <w:p w14:paraId="0D5F3DD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时段</w:t>
                  </w:r>
                </w:p>
              </w:tc>
            </w:tr>
            <w:tr w14:paraId="7A2335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2207" w:type="pct"/>
                  <w:vMerge w:val="continue"/>
                  <w:noWrap w:val="0"/>
                  <w:vAlign w:val="center"/>
                </w:tcPr>
                <w:p w14:paraId="028561B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p>
              </w:tc>
              <w:tc>
                <w:tcPr>
                  <w:tcW w:w="1396" w:type="pct"/>
                  <w:noWrap w:val="0"/>
                  <w:vAlign w:val="center"/>
                </w:tcPr>
                <w:p w14:paraId="3BD14A7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昼间</w:t>
                  </w:r>
                </w:p>
              </w:tc>
              <w:tc>
                <w:tcPr>
                  <w:tcW w:w="1396" w:type="pct"/>
                  <w:noWrap w:val="0"/>
                  <w:vAlign w:val="center"/>
                </w:tcPr>
                <w:p w14:paraId="5830FDB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sz w:val="21"/>
                      <w:lang w:val="en-US" w:eastAsia="zh-CN"/>
                    </w:rPr>
                  </w:pPr>
                  <w:r>
                    <w:rPr>
                      <w:rFonts w:hint="default" w:ascii="Times New Roman" w:hAnsi="Times New Roman" w:eastAsia="宋体" w:cs="Times New Roman"/>
                      <w:b/>
                      <w:bCs/>
                      <w:color w:val="auto"/>
                      <w:spacing w:val="0"/>
                      <w:sz w:val="21"/>
                      <w:lang w:val="en-US" w:eastAsia="zh-CN"/>
                    </w:rPr>
                    <w:t>夜间</w:t>
                  </w:r>
                </w:p>
              </w:tc>
            </w:tr>
            <w:tr w14:paraId="29706A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2207" w:type="pct"/>
                  <w:noWrap w:val="0"/>
                  <w:vAlign w:val="center"/>
                </w:tcPr>
                <w:p w14:paraId="5E14C9C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3</w:t>
                  </w:r>
                </w:p>
              </w:tc>
              <w:tc>
                <w:tcPr>
                  <w:tcW w:w="1396" w:type="pct"/>
                  <w:noWrap w:val="0"/>
                  <w:vAlign w:val="center"/>
                </w:tcPr>
                <w:p w14:paraId="1F090E8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65</w:t>
                  </w:r>
                </w:p>
              </w:tc>
              <w:tc>
                <w:tcPr>
                  <w:tcW w:w="1396" w:type="pct"/>
                  <w:noWrap w:val="0"/>
                  <w:vAlign w:val="center"/>
                </w:tcPr>
                <w:p w14:paraId="4A60811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sz w:val="21"/>
                      <w:lang w:val="en-US" w:eastAsia="zh-CN"/>
                    </w:rPr>
                  </w:pPr>
                  <w:r>
                    <w:rPr>
                      <w:rFonts w:hint="default" w:ascii="Times New Roman" w:hAnsi="Times New Roman" w:eastAsia="宋体" w:cs="Times New Roman"/>
                      <w:color w:val="auto"/>
                      <w:spacing w:val="0"/>
                      <w:sz w:val="21"/>
                      <w:lang w:val="en-US" w:eastAsia="zh-CN"/>
                    </w:rPr>
                    <w:t>55</w:t>
                  </w:r>
                </w:p>
              </w:tc>
            </w:tr>
          </w:tbl>
          <w:p w14:paraId="75AC93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00" w:firstLineChars="200"/>
              <w:jc w:val="both"/>
              <w:textAlignment w:val="auto"/>
              <w:outlineLvl w:val="9"/>
              <w:rPr>
                <w:rFonts w:hint="default" w:ascii="Times New Roman" w:hAnsi="Times New Roman" w:cs="Times New Roman"/>
                <w:color w:val="auto"/>
                <w:spacing w:val="0"/>
                <w:w w:val="100"/>
                <w:position w:val="0"/>
                <w:sz w:val="20"/>
              </w:rPr>
            </w:pPr>
          </w:p>
        </w:tc>
      </w:tr>
      <w:tr w14:paraId="6AC144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20" w:hRule="atLeast"/>
          <w:jc w:val="center"/>
        </w:trPr>
        <w:tc>
          <w:tcPr>
            <w:tcW w:w="456" w:type="dxa"/>
            <w:noWrap w:val="0"/>
            <w:vAlign w:val="center"/>
          </w:tcPr>
          <w:p w14:paraId="64277F08">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0"/>
              <w:rPr>
                <w:rFonts w:hint="default" w:ascii="Times New Roman" w:hAnsi="Times New Roman" w:eastAsia="宋体" w:cs="Times New Roman"/>
                <w:b w:val="0"/>
                <w:bCs/>
                <w:snapToGrid w:val="0"/>
                <w:color w:val="auto"/>
                <w:spacing w:val="0"/>
                <w:w w:val="100"/>
                <w:position w:val="0"/>
                <w:sz w:val="24"/>
                <w:szCs w:val="24"/>
                <w:highlight w:val="none"/>
              </w:rPr>
            </w:pPr>
            <w:bookmarkStart w:id="94" w:name="_Toc26031"/>
            <w:bookmarkStart w:id="95" w:name="_Toc23217"/>
            <w:bookmarkStart w:id="96" w:name="_Toc19942"/>
            <w:r>
              <w:rPr>
                <w:rFonts w:hint="default" w:ascii="Times New Roman" w:hAnsi="Times New Roman" w:eastAsia="宋体" w:cs="Times New Roman"/>
                <w:b w:val="0"/>
                <w:bCs/>
                <w:snapToGrid w:val="0"/>
                <w:color w:val="auto"/>
                <w:spacing w:val="0"/>
                <w:w w:val="100"/>
                <w:position w:val="0"/>
                <w:sz w:val="24"/>
                <w:szCs w:val="24"/>
                <w:highlight w:val="none"/>
              </w:rPr>
              <w:t>总</w:t>
            </w:r>
            <w:bookmarkEnd w:id="94"/>
            <w:bookmarkEnd w:id="95"/>
            <w:bookmarkEnd w:id="96"/>
          </w:p>
          <w:p w14:paraId="1ACC7D4E">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0"/>
              <w:rPr>
                <w:rFonts w:hint="default" w:ascii="Times New Roman" w:hAnsi="Times New Roman" w:eastAsia="宋体" w:cs="Times New Roman"/>
                <w:b w:val="0"/>
                <w:bCs/>
                <w:snapToGrid w:val="0"/>
                <w:color w:val="auto"/>
                <w:spacing w:val="0"/>
                <w:w w:val="100"/>
                <w:position w:val="0"/>
                <w:sz w:val="24"/>
                <w:szCs w:val="24"/>
                <w:highlight w:val="none"/>
              </w:rPr>
            </w:pPr>
            <w:bookmarkStart w:id="97" w:name="_Toc17257"/>
            <w:bookmarkStart w:id="98" w:name="_Toc2615"/>
            <w:bookmarkStart w:id="99" w:name="_Toc1523"/>
            <w:r>
              <w:rPr>
                <w:rFonts w:hint="default" w:ascii="Times New Roman" w:hAnsi="Times New Roman" w:eastAsia="宋体" w:cs="Times New Roman"/>
                <w:b w:val="0"/>
                <w:bCs/>
                <w:snapToGrid w:val="0"/>
                <w:color w:val="auto"/>
                <w:spacing w:val="0"/>
                <w:w w:val="100"/>
                <w:position w:val="0"/>
                <w:sz w:val="24"/>
                <w:szCs w:val="24"/>
                <w:highlight w:val="none"/>
              </w:rPr>
              <w:t>量</w:t>
            </w:r>
            <w:bookmarkEnd w:id="97"/>
            <w:bookmarkEnd w:id="98"/>
            <w:bookmarkEnd w:id="99"/>
          </w:p>
          <w:p w14:paraId="495B51B0">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0"/>
              <w:rPr>
                <w:rFonts w:hint="default" w:ascii="Times New Roman" w:hAnsi="Times New Roman" w:eastAsia="宋体" w:cs="Times New Roman"/>
                <w:b w:val="0"/>
                <w:bCs/>
                <w:snapToGrid w:val="0"/>
                <w:color w:val="auto"/>
                <w:spacing w:val="0"/>
                <w:w w:val="100"/>
                <w:position w:val="0"/>
                <w:sz w:val="24"/>
                <w:szCs w:val="24"/>
                <w:highlight w:val="none"/>
              </w:rPr>
            </w:pPr>
            <w:bookmarkStart w:id="100" w:name="_Toc19417"/>
            <w:bookmarkStart w:id="101" w:name="_Toc264"/>
            <w:bookmarkStart w:id="102" w:name="_Toc29949"/>
            <w:r>
              <w:rPr>
                <w:rFonts w:hint="default" w:ascii="Times New Roman" w:hAnsi="Times New Roman" w:eastAsia="宋体" w:cs="Times New Roman"/>
                <w:b w:val="0"/>
                <w:bCs/>
                <w:snapToGrid w:val="0"/>
                <w:color w:val="auto"/>
                <w:spacing w:val="0"/>
                <w:w w:val="100"/>
                <w:position w:val="0"/>
                <w:sz w:val="24"/>
                <w:szCs w:val="24"/>
                <w:highlight w:val="none"/>
              </w:rPr>
              <w:t>控</w:t>
            </w:r>
            <w:bookmarkEnd w:id="100"/>
            <w:bookmarkEnd w:id="101"/>
            <w:bookmarkEnd w:id="102"/>
          </w:p>
          <w:p w14:paraId="4D2C7791">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0"/>
              <w:rPr>
                <w:rFonts w:hint="default" w:ascii="Times New Roman" w:hAnsi="Times New Roman" w:eastAsia="宋体" w:cs="Times New Roman"/>
                <w:b w:val="0"/>
                <w:bCs/>
                <w:snapToGrid w:val="0"/>
                <w:color w:val="auto"/>
                <w:spacing w:val="0"/>
                <w:w w:val="100"/>
                <w:position w:val="0"/>
                <w:sz w:val="24"/>
                <w:szCs w:val="24"/>
                <w:highlight w:val="none"/>
              </w:rPr>
            </w:pPr>
            <w:bookmarkStart w:id="103" w:name="_Toc28273"/>
            <w:bookmarkStart w:id="104" w:name="_Toc6172"/>
            <w:bookmarkStart w:id="105" w:name="_Toc18857"/>
            <w:r>
              <w:rPr>
                <w:rFonts w:hint="default" w:ascii="Times New Roman" w:hAnsi="Times New Roman" w:eastAsia="宋体" w:cs="Times New Roman"/>
                <w:b w:val="0"/>
                <w:bCs/>
                <w:snapToGrid w:val="0"/>
                <w:color w:val="auto"/>
                <w:spacing w:val="0"/>
                <w:w w:val="100"/>
                <w:position w:val="0"/>
                <w:sz w:val="24"/>
                <w:szCs w:val="24"/>
                <w:highlight w:val="none"/>
              </w:rPr>
              <w:t>制</w:t>
            </w:r>
            <w:bookmarkEnd w:id="103"/>
            <w:bookmarkEnd w:id="104"/>
            <w:bookmarkEnd w:id="105"/>
          </w:p>
          <w:p w14:paraId="16EF62CA">
            <w:pPr>
              <w:pStyle w:val="5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0"/>
              <w:rPr>
                <w:rFonts w:hint="default" w:ascii="Times New Roman" w:hAnsi="Times New Roman" w:eastAsia="宋体" w:cs="Times New Roman"/>
                <w:b w:val="0"/>
                <w:bCs/>
                <w:snapToGrid w:val="0"/>
                <w:color w:val="auto"/>
                <w:spacing w:val="0"/>
                <w:w w:val="100"/>
                <w:position w:val="0"/>
                <w:sz w:val="24"/>
                <w:szCs w:val="24"/>
                <w:highlight w:val="none"/>
              </w:rPr>
            </w:pPr>
            <w:bookmarkStart w:id="106" w:name="_Toc22008"/>
            <w:bookmarkStart w:id="107" w:name="_Toc6014"/>
            <w:bookmarkStart w:id="108" w:name="_Toc12448"/>
            <w:r>
              <w:rPr>
                <w:rFonts w:hint="default" w:ascii="Times New Roman" w:hAnsi="Times New Roman" w:eastAsia="宋体" w:cs="Times New Roman"/>
                <w:b w:val="0"/>
                <w:bCs/>
                <w:snapToGrid w:val="0"/>
                <w:color w:val="auto"/>
                <w:spacing w:val="0"/>
                <w:w w:val="100"/>
                <w:position w:val="0"/>
                <w:sz w:val="24"/>
                <w:szCs w:val="24"/>
                <w:highlight w:val="none"/>
              </w:rPr>
              <w:t>指</w:t>
            </w:r>
            <w:bookmarkEnd w:id="106"/>
            <w:bookmarkEnd w:id="107"/>
            <w:bookmarkEnd w:id="108"/>
          </w:p>
          <w:p w14:paraId="460EF508">
            <w:pPr>
              <w:pStyle w:val="5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0"/>
              <w:rPr>
                <w:rFonts w:hint="default" w:ascii="Times New Roman" w:hAnsi="Times New Roman" w:cs="Times New Roman"/>
                <w:color w:val="auto"/>
                <w:spacing w:val="0"/>
                <w:w w:val="100"/>
                <w:kern w:val="0"/>
                <w:position w:val="0"/>
                <w:szCs w:val="21"/>
                <w:highlight w:val="none"/>
              </w:rPr>
            </w:pPr>
            <w:bookmarkStart w:id="109" w:name="_Toc29254"/>
            <w:bookmarkStart w:id="110" w:name="_Toc32493"/>
            <w:bookmarkStart w:id="111" w:name="_Toc2780"/>
            <w:r>
              <w:rPr>
                <w:rFonts w:hint="default" w:ascii="Times New Roman" w:hAnsi="Times New Roman" w:eastAsia="宋体" w:cs="Times New Roman"/>
                <w:b w:val="0"/>
                <w:bCs/>
                <w:snapToGrid w:val="0"/>
                <w:color w:val="auto"/>
                <w:spacing w:val="0"/>
                <w:w w:val="100"/>
                <w:position w:val="0"/>
                <w:sz w:val="24"/>
                <w:szCs w:val="24"/>
                <w:highlight w:val="none"/>
              </w:rPr>
              <w:t>标</w:t>
            </w:r>
            <w:bookmarkEnd w:id="109"/>
            <w:bookmarkEnd w:id="110"/>
            <w:bookmarkEnd w:id="111"/>
          </w:p>
        </w:tc>
        <w:tc>
          <w:tcPr>
            <w:tcW w:w="8072" w:type="dxa"/>
            <w:shd w:val="clear" w:color="auto" w:fill="auto"/>
            <w:noWrap w:val="0"/>
            <w:vAlign w:val="top"/>
          </w:tcPr>
          <w:p w14:paraId="3EAA00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根据国家《“十四五”污染减排综合工作方案编制技术指南》，“十四五”期间国家对化学需氧量、氨氮、氮氧化物和VOCs等四种主要污染物实行排放总量控制计划管理。</w:t>
            </w:r>
          </w:p>
          <w:p w14:paraId="497D4D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根据《排污许可证申请与核发技术规范 工业炉窑》（HJ1121-2020）标准中5.2.2及《排污许可证申请与核发技术规范 总则》（HJ942-2018）标准中5.2.1，其他废气有组织排放口/一般排放口和无组织排放不设置许可排放量；而根据</w:t>
            </w:r>
            <w:r>
              <w:rPr>
                <w:rFonts w:hint="default" w:ascii="Times New Roman" w:hAnsi="Times New Roman" w:eastAsia="宋体" w:cs="Times New Roman"/>
                <w:color w:val="auto"/>
                <w:sz w:val="24"/>
                <w:szCs w:val="24"/>
                <w:lang w:val="en-US" w:eastAsia="zh-CN"/>
              </w:rPr>
              <w:t>《排污许可证申请与核发技术规范 金属铸造工业》(HJ1115-2020)</w:t>
            </w:r>
            <w:r>
              <w:rPr>
                <w:rFonts w:hint="default" w:ascii="Times New Roman" w:hAnsi="Times New Roman" w:eastAsia="宋体" w:cs="Times New Roman"/>
                <w:color w:val="auto"/>
                <w:spacing w:val="0"/>
                <w:w w:val="100"/>
                <w:kern w:val="0"/>
                <w:position w:val="0"/>
                <w:sz w:val="24"/>
                <w:szCs w:val="24"/>
                <w:lang w:val="en-US" w:eastAsia="zh-CN"/>
              </w:rPr>
              <w:t>表2及《排污许可证申请与核发技术规范 总则》（HJ942-2018）表2可知，项目废气排放口类型为一般排放口，项目废气不许可排放量，故不设置大气总量控制指标。</w:t>
            </w:r>
          </w:p>
          <w:p w14:paraId="168DF9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auto"/>
                <w:spacing w:val="0"/>
                <w:w w:val="100"/>
                <w:position w:val="0"/>
                <w:sz w:val="24"/>
                <w:szCs w:val="24"/>
                <w:highlight w:val="green"/>
                <w:lang w:val="en-US" w:eastAsia="zh-CN"/>
              </w:rPr>
            </w:pPr>
            <w:r>
              <w:rPr>
                <w:rFonts w:hint="default" w:ascii="Times New Roman" w:hAnsi="Times New Roman" w:eastAsia="宋体" w:cs="Times New Roman"/>
                <w:color w:val="auto"/>
                <w:spacing w:val="0"/>
                <w:w w:val="100"/>
                <w:kern w:val="0"/>
                <w:position w:val="0"/>
                <w:sz w:val="24"/>
                <w:szCs w:val="24"/>
                <w:lang w:val="en-US" w:eastAsia="zh-CN"/>
              </w:rPr>
              <w:t>生活污水经化粪池处理达《污水综合排放标准》（GB8978-1996）表4中三级标准限值后前期用吸粪车定期清运至污水厂，后期待管网接通后排入污水管网通过市政污水管网输送至鹿寨县城第二污水处理厂处理后排入洛清江。根据</w:t>
            </w:r>
            <w:r>
              <w:rPr>
                <w:rFonts w:hint="default" w:ascii="Times New Roman" w:hAnsi="Times New Roman" w:eastAsia="宋体" w:cs="Times New Roman"/>
                <w:color w:val="auto"/>
                <w:sz w:val="24"/>
                <w:szCs w:val="24"/>
                <w:lang w:val="en-US" w:eastAsia="zh-CN"/>
              </w:rPr>
              <w:t>《排污许可证申请与核发技术规范 金属铸造工业》(HJ1115-2020)中4.2.2.1</w:t>
            </w:r>
            <w:r>
              <w:rPr>
                <w:rFonts w:hint="default" w:ascii="Times New Roman" w:hAnsi="Times New Roman" w:eastAsia="宋体" w:cs="Times New Roman"/>
                <w:color w:val="auto"/>
                <w:spacing w:val="0"/>
                <w:w w:val="100"/>
                <w:kern w:val="0"/>
                <w:position w:val="0"/>
                <w:sz w:val="24"/>
                <w:szCs w:val="24"/>
                <w:lang w:val="en-US" w:eastAsia="zh-CN"/>
              </w:rPr>
              <w:t>可知，对于水污染物，以排放口为单位确定许可排放浓度，许可排放量原则上不做要求；单独排入城镇集中污水处理设施、其他排污单位污水处理设施的生活污水排放口许可排放浓度和排放量不做要求，仅说明排放去向。因此，项目生活污水中污染物总量控制指标纳入污水处理厂总量控制指标。即项目不另设水污染物总量控制指标。</w:t>
            </w:r>
          </w:p>
        </w:tc>
      </w:tr>
    </w:tbl>
    <w:p w14:paraId="77340425">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outlineLvl w:val="0"/>
        <w:rPr>
          <w:rFonts w:hint="default" w:ascii="Times New Roman" w:hAnsi="Times New Roman" w:cs="Times New Roman"/>
          <w:b/>
          <w:color w:val="auto"/>
          <w:spacing w:val="0"/>
          <w:w w:val="100"/>
          <w:position w:val="0"/>
          <w:sz w:val="30"/>
          <w:szCs w:val="30"/>
        </w:rPr>
      </w:pPr>
      <w:r>
        <w:rPr>
          <w:rFonts w:hint="default" w:ascii="Times New Roman" w:hAnsi="Times New Roman" w:cs="Times New Roman"/>
          <w:b/>
          <w:color w:val="auto"/>
          <w:spacing w:val="0"/>
          <w:w w:val="100"/>
          <w:position w:val="0"/>
          <w:sz w:val="36"/>
          <w:szCs w:val="36"/>
        </w:rPr>
        <w:br w:type="page"/>
      </w:r>
      <w:bookmarkStart w:id="112" w:name="_Toc32191"/>
      <w:r>
        <w:rPr>
          <w:rFonts w:hint="default" w:ascii="Times New Roman" w:hAnsi="Times New Roman" w:eastAsia="黑体" w:cs="Times New Roman"/>
          <w:b/>
          <w:bCs w:val="0"/>
          <w:color w:val="auto"/>
          <w:spacing w:val="0"/>
          <w:w w:val="100"/>
          <w:position w:val="0"/>
          <w:sz w:val="30"/>
          <w:szCs w:val="30"/>
          <w:lang w:val="en-US" w:eastAsia="zh-CN"/>
        </w:rPr>
        <w:t>四、</w:t>
      </w:r>
      <w:r>
        <w:rPr>
          <w:rFonts w:hint="default" w:ascii="Times New Roman" w:hAnsi="Times New Roman" w:eastAsia="黑体" w:cs="Times New Roman"/>
          <w:b/>
          <w:bCs w:val="0"/>
          <w:color w:val="auto"/>
          <w:spacing w:val="0"/>
          <w:w w:val="100"/>
          <w:position w:val="0"/>
          <w:sz w:val="30"/>
          <w:szCs w:val="30"/>
        </w:rPr>
        <w:t>主要环境影响和保护措施</w:t>
      </w:r>
      <w:bookmarkEnd w:id="112"/>
    </w:p>
    <w:tbl>
      <w:tblPr>
        <w:tblStyle w:val="59"/>
        <w:tblW w:w="844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09"/>
        <w:gridCol w:w="8139"/>
      </w:tblGrid>
      <w:tr w14:paraId="3BB478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9" w:type="dxa"/>
            <w:noWrap w:val="0"/>
            <w:tcMar>
              <w:left w:w="28" w:type="dxa"/>
              <w:right w:w="28" w:type="dxa"/>
            </w:tcMar>
            <w:vAlign w:val="center"/>
          </w:tcPr>
          <w:p w14:paraId="519DF04B">
            <w:pPr>
              <w:pStyle w:val="5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等线" w:cs="Times New Roman"/>
                <w:bCs/>
                <w:color w:val="auto"/>
                <w:spacing w:val="0"/>
                <w:w w:val="100"/>
                <w:kern w:val="2"/>
                <w:position w:val="0"/>
                <w:sz w:val="24"/>
                <w:szCs w:val="24"/>
              </w:rPr>
            </w:pPr>
            <w:r>
              <w:rPr>
                <w:rFonts w:hint="default" w:ascii="Times New Roman" w:hAnsi="Times New Roman" w:eastAsia="宋体" w:cs="Times New Roman"/>
                <w:color w:val="auto"/>
                <w:spacing w:val="0"/>
                <w:w w:val="100"/>
                <w:kern w:val="2"/>
                <w:position w:val="0"/>
                <w:szCs w:val="24"/>
                <w:lang w:val="en-US" w:eastAsia="zh-CN"/>
              </w:rPr>
              <w:t>施工期环境保护措施</w:t>
            </w:r>
          </w:p>
        </w:tc>
        <w:tc>
          <w:tcPr>
            <w:tcW w:w="8139" w:type="dxa"/>
            <w:noWrap w:val="0"/>
            <w:vAlign w:val="center"/>
          </w:tcPr>
          <w:p w14:paraId="52D5C3F7">
            <w:pPr>
              <w:pStyle w:val="2"/>
              <w:keepNext w:val="0"/>
              <w:keepLines w:val="0"/>
              <w:suppressLineNumbers w:val="0"/>
              <w:spacing w:before="0" w:beforeAutospacing="0" w:afterAutospacing="0"/>
              <w:ind w:left="0" w:right="0"/>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项目主要依托现有厂房进行改建，施工期主要进行环保设备安装、调试等，其主要土建等施工期已结束。在设备安装调试过程中，不会造成施工期典型的扬尘、施工机械尾气等污染。项目在设备安装过程中将产生一定的机械敲击噪声、安装过程中产生的包装废弃物等。</w:t>
            </w:r>
          </w:p>
          <w:p w14:paraId="421CDAEB">
            <w:pPr>
              <w:pStyle w:val="2"/>
              <w:keepNext w:val="0"/>
              <w:keepLines w:val="0"/>
              <w:suppressLineNumbers w:val="0"/>
              <w:spacing w:before="0" w:beforeAutospacing="0" w:afterAutospacing="0"/>
              <w:ind w:left="0" w:right="0"/>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项目设备安装噪声为暂时的环境影响，施工期结束后影响消失。包装废弃物经分类收集后由环卫部门转运处置。</w:t>
            </w:r>
          </w:p>
          <w:p w14:paraId="424FEAB6">
            <w:pPr>
              <w:pStyle w:val="3"/>
              <w:keepNext w:val="0"/>
              <w:keepLines w:val="0"/>
              <w:suppressLineNumbers w:val="0"/>
              <w:tabs>
                <w:tab w:val="left" w:pos="-213"/>
                <w:tab w:val="clear" w:pos="0"/>
              </w:tabs>
              <w:spacing w:before="0" w:beforeAutospacing="0" w:afterAutospacing="0"/>
              <w:ind w:right="0" w:firstLine="0" w:firstLineChars="0"/>
              <w:rPr>
                <w:rFonts w:hint="default" w:ascii="Times New Roman" w:hAnsi="Times New Roman" w:cs="Times New Roman" w:eastAsiaTheme="minorEastAsia"/>
                <w:b/>
                <w:bCs/>
                <w:i w:val="0"/>
                <w:iCs w:val="0"/>
                <w:color w:val="auto"/>
                <w:spacing w:val="0"/>
                <w:w w:val="100"/>
                <w:kern w:val="0"/>
                <w:position w:val="0"/>
                <w:sz w:val="24"/>
                <w:szCs w:val="24"/>
                <w:highlight w:val="none"/>
                <w:u w:val="none"/>
                <w:lang w:val="en-US" w:eastAsia="zh-CN"/>
              </w:rPr>
            </w:pPr>
            <w:r>
              <w:rPr>
                <w:rFonts w:hint="default" w:ascii="Times New Roman" w:hAnsi="Times New Roman" w:cs="Times New Roman" w:eastAsiaTheme="minorEastAsia"/>
                <w:b/>
                <w:bCs/>
                <w:i w:val="0"/>
                <w:iCs w:val="0"/>
                <w:color w:val="auto"/>
                <w:spacing w:val="0"/>
                <w:w w:val="100"/>
                <w:kern w:val="0"/>
                <w:position w:val="0"/>
                <w:sz w:val="24"/>
                <w:szCs w:val="24"/>
                <w:highlight w:val="none"/>
                <w:u w:val="none"/>
                <w:lang w:val="en-US" w:eastAsia="zh-CN"/>
              </w:rPr>
              <w:t>1、噪声</w:t>
            </w:r>
          </w:p>
          <w:p w14:paraId="368D6E3B">
            <w:pPr>
              <w:pStyle w:val="75"/>
              <w:keepNext w:val="0"/>
              <w:keepLines w:val="0"/>
              <w:suppressLineNumbers w:val="0"/>
              <w:spacing w:before="0" w:beforeAutospacing="0" w:after="0" w:afterAutospacing="0"/>
              <w:ind w:left="0" w:right="0" w:firstLine="480"/>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施工期间，项目环保设备在安装过程中产生的机械敲击噪声为主要噪声源，须文明施工，采取相应的措施降低噪声对周边环境的影响。建议采取以下相应措施：</w:t>
            </w:r>
          </w:p>
          <w:p w14:paraId="61DEE55C">
            <w:pPr>
              <w:pStyle w:val="75"/>
              <w:keepNext w:val="0"/>
              <w:keepLines w:val="0"/>
              <w:suppressLineNumbers w:val="0"/>
              <w:spacing w:before="0" w:beforeAutospacing="0" w:after="0" w:afterAutospacing="0"/>
              <w:ind w:left="0" w:right="0" w:firstLine="480"/>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A、加工施工管理，合理安排作业时间，严格按照施工噪声管理的有关规定，夜间不进行施工作业；</w:t>
            </w:r>
          </w:p>
          <w:p w14:paraId="3DB4B75E">
            <w:pPr>
              <w:pStyle w:val="75"/>
              <w:keepNext w:val="0"/>
              <w:keepLines w:val="0"/>
              <w:suppressLineNumbers w:val="0"/>
              <w:spacing w:before="0" w:beforeAutospacing="0" w:after="0" w:afterAutospacing="0"/>
              <w:ind w:left="0" w:right="0" w:firstLine="480"/>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B、尽量采用低噪声施工设备和噪声低的施工方法；</w:t>
            </w:r>
          </w:p>
          <w:p w14:paraId="3A5B01B1">
            <w:pPr>
              <w:pStyle w:val="75"/>
              <w:keepNext w:val="0"/>
              <w:keepLines w:val="0"/>
              <w:suppressLineNumbers w:val="0"/>
              <w:spacing w:before="0" w:beforeAutospacing="0" w:after="0" w:afterAutospacing="0"/>
              <w:ind w:left="0" w:right="0" w:firstLine="480"/>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C、作业时在高噪声设备周围设置屏蔽。</w:t>
            </w:r>
          </w:p>
          <w:p w14:paraId="29226FC5">
            <w:pPr>
              <w:pStyle w:val="7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482" w:firstLineChars="200"/>
              <w:textAlignment w:val="auto"/>
              <w:rPr>
                <w:rFonts w:hint="default" w:ascii="Times New Roman" w:hAnsi="Times New Roman" w:cs="Times New Roman" w:eastAsiaTheme="minorEastAsia"/>
                <w:b/>
                <w:bCs/>
                <w:i w:val="0"/>
                <w:iCs w:val="0"/>
                <w:color w:val="auto"/>
                <w:spacing w:val="0"/>
                <w:w w:val="100"/>
                <w:kern w:val="0"/>
                <w:position w:val="0"/>
                <w:sz w:val="24"/>
                <w:szCs w:val="24"/>
                <w:highlight w:val="none"/>
                <w:u w:val="none"/>
                <w:lang w:val="en-US" w:eastAsia="zh-CN"/>
              </w:rPr>
            </w:pPr>
            <w:r>
              <w:rPr>
                <w:rFonts w:hint="default" w:ascii="Times New Roman" w:hAnsi="Times New Roman" w:cs="Times New Roman" w:eastAsiaTheme="minorEastAsia"/>
                <w:b/>
                <w:bCs/>
                <w:i w:val="0"/>
                <w:iCs w:val="0"/>
                <w:color w:val="auto"/>
                <w:spacing w:val="0"/>
                <w:w w:val="100"/>
                <w:kern w:val="0"/>
                <w:position w:val="0"/>
                <w:sz w:val="24"/>
                <w:szCs w:val="24"/>
                <w:highlight w:val="none"/>
                <w:u w:val="none"/>
                <w:lang w:val="en-US" w:eastAsia="zh-CN"/>
              </w:rPr>
              <w:t>2、固体废物</w:t>
            </w:r>
          </w:p>
          <w:p w14:paraId="0D27F1E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项目施工期产生的固体废物主要为包装废弃物，经分类收集后由环卫部门转运处置。</w:t>
            </w:r>
          </w:p>
        </w:tc>
      </w:tr>
      <w:tr w14:paraId="0E94E0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9" w:type="dxa"/>
            <w:noWrap w:val="0"/>
            <w:tcMar>
              <w:left w:w="28" w:type="dxa"/>
              <w:right w:w="28" w:type="dxa"/>
            </w:tcMar>
            <w:vAlign w:val="center"/>
          </w:tcPr>
          <w:p w14:paraId="466D85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运</w:t>
            </w:r>
          </w:p>
          <w:p w14:paraId="0F2C55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营</w:t>
            </w:r>
          </w:p>
          <w:p w14:paraId="55F9CCF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期</w:t>
            </w:r>
          </w:p>
          <w:p w14:paraId="315598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环</w:t>
            </w:r>
          </w:p>
          <w:p w14:paraId="4164E6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境</w:t>
            </w:r>
          </w:p>
          <w:p w14:paraId="7582E08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影</w:t>
            </w:r>
          </w:p>
          <w:p w14:paraId="23AF2B4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响</w:t>
            </w:r>
          </w:p>
          <w:p w14:paraId="3BFA20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和</w:t>
            </w:r>
          </w:p>
          <w:p w14:paraId="590479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保</w:t>
            </w:r>
          </w:p>
          <w:p w14:paraId="11C4964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护</w:t>
            </w:r>
          </w:p>
          <w:p w14:paraId="52291B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措</w:t>
            </w:r>
          </w:p>
          <w:p w14:paraId="7E6D6A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等线" w:cs="Times New Roman"/>
                <w:bCs/>
                <w:color w:val="auto"/>
                <w:spacing w:val="0"/>
                <w:w w:val="100"/>
                <w:position w:val="0"/>
                <w:sz w:val="24"/>
                <w:szCs w:val="21"/>
              </w:rPr>
            </w:pPr>
            <w:r>
              <w:rPr>
                <w:rFonts w:hint="default" w:ascii="Times New Roman" w:hAnsi="Times New Roman" w:eastAsia="宋体" w:cs="Times New Roman"/>
                <w:color w:val="auto"/>
                <w:spacing w:val="0"/>
                <w:w w:val="100"/>
                <w:position w:val="0"/>
                <w:sz w:val="24"/>
                <w:szCs w:val="24"/>
                <w:lang w:val="en-US" w:eastAsia="zh-CN"/>
              </w:rPr>
              <w:t>施</w:t>
            </w:r>
          </w:p>
        </w:tc>
        <w:tc>
          <w:tcPr>
            <w:tcW w:w="8139" w:type="dxa"/>
            <w:noWrap w:val="0"/>
            <w:vAlign w:val="center"/>
          </w:tcPr>
          <w:p w14:paraId="4E9A21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eastAsia="宋体" w:cs="Times New Roman"/>
                <w:b/>
                <w:color w:val="auto"/>
                <w:spacing w:val="0"/>
                <w:w w:val="100"/>
                <w:kern w:val="0"/>
                <w:position w:val="0"/>
                <w:sz w:val="24"/>
                <w:lang w:val="en-US" w:eastAsia="zh-CN"/>
              </w:rPr>
            </w:pPr>
            <w:r>
              <w:rPr>
                <w:rFonts w:hint="default" w:ascii="Times New Roman" w:hAnsi="Times New Roman" w:eastAsia="宋体" w:cs="Times New Roman"/>
                <w:b/>
                <w:color w:val="auto"/>
                <w:spacing w:val="0"/>
                <w:w w:val="100"/>
                <w:kern w:val="0"/>
                <w:position w:val="0"/>
                <w:sz w:val="24"/>
              </w:rPr>
              <w:t>1、</w:t>
            </w:r>
            <w:r>
              <w:rPr>
                <w:rFonts w:hint="default" w:ascii="Times New Roman" w:hAnsi="Times New Roman" w:eastAsia="宋体" w:cs="Times New Roman"/>
                <w:b/>
                <w:color w:val="auto"/>
                <w:spacing w:val="0"/>
                <w:w w:val="100"/>
                <w:kern w:val="0"/>
                <w:position w:val="0"/>
                <w:sz w:val="24"/>
                <w:lang w:val="en-US" w:eastAsia="zh-CN"/>
              </w:rPr>
              <w:t>废气</w:t>
            </w:r>
          </w:p>
          <w:p w14:paraId="538EBA35">
            <w:pPr>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项目运营过程中产生的大气污染物主要为电炉熔化工序产生的颗粒物、清理工序（抛丸工序及机加工）产生的颗粒物、落砂工序产生的颗粒物、造型</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和制模</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过程产生的颗粒物和浇注过程产生的颗粒物、非甲烷总烃。</w:t>
            </w:r>
          </w:p>
          <w:p w14:paraId="378EB16E">
            <w:pPr>
              <w:keepNext/>
              <w:keepLines/>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outlineLvl w:val="9"/>
              <w:rPr>
                <w:rFonts w:hint="default" w:ascii="Times New Roman" w:hAnsi="Times New Roman" w:eastAsia="宋体" w:cs="Times New Roman"/>
                <w:b/>
                <w:bCs/>
                <w:i w:val="0"/>
                <w:iCs w:val="0"/>
                <w:color w:val="auto"/>
                <w:spacing w:val="0"/>
                <w:w w:val="100"/>
                <w:position w:val="0"/>
                <w:sz w:val="24"/>
                <w:szCs w:val="24"/>
                <w:highlight w:val="none"/>
                <w:u w:val="none"/>
                <w:lang w:val="en-US" w:eastAsia="zh-CN"/>
              </w:rPr>
            </w:pPr>
            <w:r>
              <w:rPr>
                <w:rFonts w:hint="default" w:ascii="Times New Roman" w:hAnsi="Times New Roman" w:eastAsia="宋体" w:cs="Times New Roman"/>
                <w:b/>
                <w:bCs/>
                <w:color w:val="auto"/>
                <w:spacing w:val="0"/>
                <w:w w:val="100"/>
                <w:position w:val="0"/>
                <w:sz w:val="24"/>
                <w:szCs w:val="24"/>
                <w:lang w:val="en-US" w:eastAsia="zh-CN"/>
              </w:rPr>
              <w:t>1.1</w:t>
            </w:r>
            <w:r>
              <w:rPr>
                <w:rFonts w:hint="default" w:ascii="Times New Roman" w:hAnsi="Times New Roman" w:eastAsia="宋体" w:cs="Times New Roman"/>
                <w:b/>
                <w:bCs/>
                <w:i w:val="0"/>
                <w:iCs w:val="0"/>
                <w:color w:val="auto"/>
                <w:spacing w:val="0"/>
                <w:w w:val="100"/>
                <w:position w:val="0"/>
                <w:sz w:val="24"/>
                <w:szCs w:val="24"/>
                <w:highlight w:val="none"/>
                <w:u w:val="none"/>
                <w:lang w:val="en-US" w:eastAsia="zh-CN"/>
              </w:rPr>
              <w:t>废气污染物源强核算</w:t>
            </w:r>
          </w:p>
          <w:p w14:paraId="6ECFACE7">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（1）</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制模工序废气</w:t>
            </w:r>
          </w:p>
          <w:p w14:paraId="5F197E85">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本项目</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制模</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工序</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会</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产生</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有机</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废气，根据《排放源统计调查产排污核算方法和系数手册》（公告2021年第24号）中“33-37</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 xml:space="preserve">431-434 机械行业系数手册”的“01铸造-制芯-热芯盒-覆膜砂”工段，挥发性有机物（以非甲烷总烃计）的产污系数为：0.05 </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kg</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t</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-原料（此处的原料指覆膜砂）。覆膜砂年用量1000 t/a</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年工作时间</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48</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00 h/a</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，则覆膜砂VOC</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vertAlign w:val="subscript"/>
                <w:lang w:val="en-US" w:eastAsia="zh-CN"/>
              </w:rPr>
              <w:t>S</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产生量为0.05</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 xml:space="preserve"> t/a</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，排放速率为0.0104 kg/h；项目模型及砂芯涂刷水性涂料后需进入烘房烘干（50℃左右）。水性涂料中含有聚乙烯醇(PVA)、羧甲基纤维素(CMC)等有机粘结剂，烘干过程中会有少量挥发。根据涂料理化性质及同类项目经验，水性涂料中有机物含量按10%计，烘干过程中挥发比例按5%计。项目水性涂料年用量为30 t/a，则水性涂料VOC</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vertAlign w:val="subscript"/>
                <w:lang w:val="en-US" w:eastAsia="zh-CN"/>
              </w:rPr>
              <w:t>S</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产生量为0.15</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 xml:space="preserve"> t/a</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，排放速率为0.0313 kg/h；则制模工序VOCs合计产生量为0.2</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t/a</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，排放速率为0.0417kg/h。</w:t>
            </w:r>
          </w:p>
          <w:p w14:paraId="5A62EF1D">
            <w:pPr>
              <w:keepNext w:val="0"/>
              <w:keepLines w:val="0"/>
              <w:suppressLineNumbers w:val="0"/>
              <w:spacing w:before="0" w:beforeAutospacing="0" w:after="0" w:afterAutospacing="0"/>
              <w:ind w:left="0" w:leftChars="0" w:right="0" w:firstLine="480" w:firstLineChars="200"/>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项目拟在制模工序（射芯机、烘房）上方设置半密闭集气罩对产生的有机废气进行收集，收集效率按90%计【根据《局部排气罩的捕集效率试验》（彭泰瑶，中国预防医学科学院环境卫生与卫生工程研究所），集气罩收集效率可达90%以上，本次评价取90%】。项目产生的制模工序废气、熔化废气、造型/浇注废气、落砂废气和清理废气（抛丸废气、机加工废气）经集气罩分别收集后，统一经1套布袋除尘器+1套二级活性炭吸附装置处理，达标后经一根15m高排气筒（DA001）排放，共用风机风量20000 m³/h。根据《排放源统计调查产排污核算方法和系数手册》，单级活性炭对非甲烷总烃的去除效率为18%，则二级活性炭吸附总去除效率</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以32.76%计。</w:t>
            </w:r>
          </w:p>
          <w:p w14:paraId="641BDE88">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pP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则制模工序有组织</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非甲烷总烃排放量为</w:t>
            </w:r>
            <w:r>
              <w:rPr>
                <w:rFonts w:hint="eastAsia"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0.121</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t/a，排放速率为0.</w:t>
            </w:r>
            <w:r>
              <w:rPr>
                <w:rFonts w:hint="eastAsia"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0252</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kg/h，排放浓度为</w:t>
            </w:r>
            <w:r>
              <w:rPr>
                <w:rFonts w:hint="eastAsia"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1.26</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mg/m</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vertAlign w:val="superscript"/>
                <w:lang w:val="en-US" w:eastAsia="zh-CN"/>
              </w:rPr>
              <w:t>3</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。制模工序有组织排放的非甲烷总烃排放浓度为 1.26 mg/m³，排放速率为 0.0252 kg/h，满足《大气污染物综合排放标准》（GB16297-1996）表2中最高允许排放浓度（120 mg/m³）及二级最高允许排放速率（15m高排气筒对应10 kg/h）限值要求。</w:t>
            </w:r>
          </w:p>
          <w:p w14:paraId="205CB372">
            <w:pPr>
              <w:pStyle w:val="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rPr>
                <w:rFonts w:hint="default"/>
                <w:color w:val="auto"/>
                <w:lang w:val="en-US" w:eastAsia="zh-CN"/>
              </w:rPr>
            </w:pP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无组织非甲烷总烃排放量约为</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0.02</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t/a，排放速率0.</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0042</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kg/h</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w:t>
            </w:r>
          </w:p>
          <w:p w14:paraId="758B6D5D">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pP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（2）</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电炉废气</w:t>
            </w:r>
          </w:p>
          <w:p w14:paraId="75534248">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本项目金属熔炼(化)工序电炉产生含尘废气，根据《排放源统计调查产排污核算方法和系数手册》(生态环境部公告 2021 年第 24 号)中“33-34，431-434 机械行业系数手册”，感应电炉熔化工业废气量为7483m</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vertAlign w:val="superscript"/>
                <w:lang w:val="en-US" w:eastAsia="zh-CN"/>
              </w:rPr>
              <w:t>3</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/t产品，颗粒物产生量为0.479kg/t产品，年产耐磨片约2000吨，电炉年工作时间 4800h，则电炉颗粒物产生量为0.958t/a。</w:t>
            </w:r>
          </w:p>
          <w:p w14:paraId="1D3BB0E7">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项目拟在电炉炉口设半密闭集气罩对产生的颗粒物进行收集，只有在炉盖打开时有少量烟粉尘逸散，熔炼、加料、出铁全过程无可见烟粉尘外逸，收集效率按90%计【根据《局部排气罩的捕集效率试验》（彭泰瑶，中国预防医学科学院环境卫生与卫生工程研究所），集气罩（即排气罩）收集效率可达90%以上。因此，本次评价取90%收集效率进行计算】，项目产生的熔化废气、造型/浇注废气、落砂废气和清理废气（抛丸废气、机加工废气）经集气罩分别收集后统一经1套布袋除尘器+1套二级活性炭吸附处理达标后经一根15m 排气筒（DA001）排放，共用风机风量 20000 m³/h，除尘效率按90%计。</w:t>
            </w:r>
          </w:p>
          <w:p w14:paraId="05922F83">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则电炉熔化废气有组织颗粒物排放量约为0.0862t/a，排放速率0.018kg/h，排放浓度0.9mg/m</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vertAlign w:val="superscript"/>
                <w:lang w:val="en-US" w:eastAsia="zh-CN"/>
              </w:rPr>
              <w:t>3</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，满足《铸造工业大气污染物排放标准》（GB39726-2020）表1大气污染物排放限值。</w:t>
            </w:r>
          </w:p>
          <w:p w14:paraId="49C57AFB">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无组织颗粒物排放量约为0.0958t/a，排放速率0.02kg/h</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w:t>
            </w:r>
          </w:p>
          <w:p w14:paraId="3A14AA7F">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3</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）造型/浇注废气</w:t>
            </w:r>
          </w:p>
          <w:p w14:paraId="44BB63C8">
            <w:pPr>
              <w:pStyle w:val="2"/>
              <w:keepNext w:val="0"/>
              <w:keepLines w:val="0"/>
              <w:pageBreakBefore w:val="0"/>
              <w:widowControl w:val="0"/>
              <w:suppressLineNumbers w:val="0"/>
              <w:kinsoku/>
              <w:wordWrap/>
              <w:topLinePunct w:val="0"/>
              <w:bidi w:val="0"/>
              <w:snapToGrid/>
              <w:spacing w:before="0" w:beforeAutospacing="0" w:afterAutospacing="0" w:line="360" w:lineRule="auto"/>
              <w:ind w:left="0" w:right="0" w:firstLine="480" w:firstLineChars="200"/>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本项目在造型、浇注时会产生少量粉尘。消失模铸造在浇注过程中，消失模全部发生热分解，会产生大量有机气体，大部分有机气体被高温金属液在浇冒口点燃焚烧，小部分有机气体成为有机废气。参考《排放源统计调查产排污核算方法和系数手册》（2021年6月9日）中“工业源产排污核算方法和系数手册”附表1-工业行业产排污系数手册中“33金属制品业、34通用设备制造业、35专用设备制造业、36汽车制造业、37铁路、船舶、航空航天和其他运输设备制造业、431金属制品修理、432通用设备修理、433专用设备修理、434铁路、船舶、航空航天等运输设备修理（不包括电镀工艺）行业系数手册-01铸造”中造型/浇注（消失模）颗粒物产物系数为0.967kg/t产品；浇注(消失模)挥发性有机物产生量为 0.453kg/t 产品。项目年产</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耐磨片2000吨</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年工作时间 4800h，</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项则浇注过程颗粒物产生量为1.934t/a，产量速率为0.403kg/h。非甲烷总烃产生量为0.906t/a，产量速率为0.189kg/h。</w:t>
            </w:r>
          </w:p>
          <w:p w14:paraId="1F273CF1">
            <w:pPr>
              <w:pStyle w:val="2"/>
              <w:keepNext w:val="0"/>
              <w:keepLines w:val="0"/>
              <w:pageBreakBefore w:val="0"/>
              <w:widowControl w:val="0"/>
              <w:suppressLineNumbers w:val="0"/>
              <w:kinsoku/>
              <w:wordWrap/>
              <w:topLinePunct w:val="0"/>
              <w:bidi w:val="0"/>
              <w:snapToGrid/>
              <w:spacing w:before="0" w:beforeAutospacing="0" w:afterAutospacing="0" w:line="360" w:lineRule="auto"/>
              <w:ind w:left="0" w:right="0" w:firstLine="480" w:firstLineChars="200"/>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项目拟在造型工序、浇注工序上方设置</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半密闭集气罩</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对产生的颗粒物、非甲烷总烃进行收集，收集效率按90%计【根据《局部排气罩的捕集效率试验》（彭泰瑶，中国预防医学科学院环境卫生与卫生工程研究所），集气罩（即排气罩）收集效率可达90%以上。因此，本次评价取90%收集效率进行计算】，即经收集的颗粒物（1.7406t/a）、非甲烷总烃（0.8154t/a）经布袋除尘器+二级活性炭吸附【根据《排放源统计调查产排污核算方法和系数手册》（2021年6月9日）中“工业源产排污核算方法和系数手册”附表1-工业行业产排污系数手册中“33金属制品业、34通用设备制造业、35专用设备制造业、36汽车制造业、37铁路、船舶、航空航天和其他运输设备制造业、431金属制品修理、432通用设备修理、433专用设备修理、434铁路、船舶、航空航天等运输设备修理（不包括电镀工艺）行业系数手册-01铸造”，袋式除尘器颗粒物除尘效率为95%，本次评价取90%进行计算；吸附法非甲烷总烃去除效率为18%，本次评价取18%进行计算，则二级活性炭吸附总去除效率为32.76%】，</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项目产生的熔化废气、造型/浇注废气、落砂废气和清理废气（抛丸废气、机加工废气）经集气罩分别收集后统一经1套布袋除尘器+1套二级活性炭吸附处理达标后经一根15m 排气筒（DA001）排放，共用风机风量 20000 m³/h</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。经收集处理后的颗粒物排放量为0.174t/a，排放速率为0.036kg/h，排放浓度为1.8mg/m</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vertAlign w:val="superscript"/>
                <w:lang w:val="en-US" w:eastAsia="zh-CN"/>
              </w:rPr>
              <w:t>3</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；非甲烷总烃排放量为0.548t/a，排放速率为0.114kg/h，排放浓度为5.7mg/m</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vertAlign w:val="superscript"/>
                <w:lang w:val="en-US" w:eastAsia="zh-CN"/>
              </w:rPr>
              <w:t>3</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。浇注废气排气筒中颗粒物排放浓度满足《铸造工业大气污染物排放标准》（GB 39726-2020）表 1 大气污染物排放限值（颗粒物≤30mg/m</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vertAlign w:val="superscript"/>
                <w:lang w:val="en-US" w:eastAsia="zh-CN"/>
              </w:rPr>
              <w:t>3</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）要求；非甲烷总烃排放浓度及排放速率均满足《大气污染物综合排放标准》（GB16297-1996）表2中最高允许排放浓度（120mg/m</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vertAlign w:val="superscript"/>
                <w:lang w:val="en-US" w:eastAsia="zh-CN"/>
              </w:rPr>
              <w:t>3</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）及二级最高允许排放速率（10kg/h）限值要求。</w:t>
            </w:r>
          </w:p>
          <w:p w14:paraId="2FB060BA">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项目造型浇注工序未被收集处理的颗粒物量为0.1934t/a，排放速率为0.04kg/h；非甲烷总烃量为0.0906t/a，排放速率为0.0189kg/h。</w:t>
            </w:r>
          </w:p>
          <w:p w14:paraId="6977C94F">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4</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）落砂废气</w:t>
            </w:r>
          </w:p>
          <w:p w14:paraId="1FB9DA58">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本项目在</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落砂</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时会产生少量粉尘。</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根据《排放源统计调查产排污核算方法和系数手册》(生态环境部公告2021年第 24 号)中“33-34，431-434 机械行业系数手册”，砂处理（消失模）工序工业废气量为 29685m</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vertAlign w:val="superscript"/>
                <w:lang w:val="en-US" w:eastAsia="zh-CN"/>
              </w:rPr>
              <w:t>3</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 xml:space="preserve"> /t-产品，颗粒物产污系数7.90kg/t-产品，年产耐磨片2000吨，年工作时间 4800h，颗粒物产生量为15.8t/a。</w:t>
            </w:r>
          </w:p>
          <w:p w14:paraId="532567C4">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项目拟在落砂工序设集气罩对产生的颗粒物进行收集，收集效率按90%计【根据《局部排气罩的捕集效率试验》（彭泰瑶，中国预防医学科学院环境卫生与卫生工程研究所），集气罩（即排气罩）收集效率可达90%以上。因此，本次评价取90%收集效率进行计算】，项目产生的熔化废气、造型/浇注废气、落砂废气和清理废气（抛丸废气、机加工废气）统一</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经1套布袋除尘器+1套二级活性炭吸附处理</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达标后经一根15m 排气筒（DA001）排放，共用风机风量 20000 m³/h，尘效率按90%计，则落砂废气有组织颗粒物排放量约为1.422t/a，排放速率0.296kg/h，排放浓度14.8mg/m</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vertAlign w:val="superscript"/>
                <w:lang w:val="en-US" w:eastAsia="zh-CN"/>
              </w:rPr>
              <w:t>3</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，满足《铸造工业大气污染物排放标准》（GB39726-2020）表 1 大气污染物排放限值。</w:t>
            </w:r>
          </w:p>
          <w:p w14:paraId="0DA84660">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无组织颗粒物排放量约为1.58t/a，排放速率0.329kg/h</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w:t>
            </w:r>
          </w:p>
          <w:p w14:paraId="0176B288">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w:t>
            </w:r>
            <w:r>
              <w:rPr>
                <w:rFonts w:hint="eastAsia"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5</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）清理废气（抛丸废气、机加工废气）</w:t>
            </w:r>
          </w:p>
          <w:p w14:paraId="5CD3BAFD">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本次抛丸及机加工工序（打磨）会产生含尘废气，项目产生的熔化废气、造型/浇注废气、落砂废气和清理废气（抛丸废气、机加工废气）经集气罩分别收集后统一经1套布袋除尘器+1套二级活性炭吸附处理达标后经一根15m 排气筒（DA001）排放，共用风机风量 20000 m³/h，除尘效率按90%计。项目在抛丸时会产生少量的粉尘，抛丸及机加工工件量为2000t/a。参考《排放源统计调查产排污核算方法和系数手册》（2021年6月9日）中“工业源产排污核算方法和系数手册”附表1-工业行业产排污系数手册中“33金属制品业、34通用设备制造业、35专用设备制造业、36汽车制造业、37铁路、船舶、航空航天和其他运输设备制造业、431金属制品修理、432通用设备修理、433专用设备修理、434铁路、船舶、航空航天等运输设备修理（不包括电镀工艺）行业系数手册-06预处理”中抛丸、喷砂、打磨、滚筒颗粒物产物系数为2.19kg/t原料，感应电炉熔化工业废气量为8500m</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vertAlign w:val="superscript"/>
                <w:lang w:val="en-US" w:eastAsia="zh-CN"/>
              </w:rPr>
              <w:t>3</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/t产品，年产耐磨片2000吨，年工作时间 4800h，则项目清理工序颗粒物产生量为4.38t/a，产生速率为0.9125kg/h。</w:t>
            </w:r>
          </w:p>
          <w:p w14:paraId="27C04A05">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项目拟在清理工序设半密闭集气罩对产生的颗粒物进行收集，收集效率按90%计【根据《局部排气罩的捕集效率试验》（彭泰瑶，中国预防医学科学院环境卫生与卫生工程研究所），集气罩（即排气罩）收集效率可达90%以上。因此，本次评价取90%收集效率进行计算】，根据《排放源统计调查产排污核算方法和系数手册》（2021年6月9日）中“工业源产排污核算方法和系数手册”附表1-工业行业产排污系数手册中“33金属制品业、34通用设备制造业、35专用设备制造业、36汽车制造业、37铁路、船舶、航空航天和其他运输设备制造业、431金属制品修理、432通用设备修理、433专用设备修理、434铁路、船舶、航空航天等运输设备修理（不包括电镀工艺）行业系数手册-06预处理”，袋式除尘器除尘效率为95%，本次评价取90%进行计算】处理后通过1根15m（DA001）排气筒排放。则处理后的颗粒物排放量为0.3942t/a，排放速率为0.082kg/h，排放浓度为4.1mg/m</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vertAlign w:val="superscript"/>
                <w:lang w:val="en-US" w:eastAsia="zh-CN"/>
              </w:rPr>
              <w:t>3</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。清理废气排气筒中颗粒物排放浓度满足《铸造工业大气污染物排放标准》（GB 39726-2020）表 1 大气污染物排放限值（颗粒物≤30mg/m</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vertAlign w:val="superscript"/>
                <w:lang w:val="en-US" w:eastAsia="zh-CN"/>
              </w:rPr>
              <w:t>3</w:t>
            </w: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）要求。</w:t>
            </w:r>
          </w:p>
          <w:p w14:paraId="35FD4B5B">
            <w:pPr>
              <w:pStyle w:val="4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pP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无组织颗粒物排放量约为0.438t/a，排放速率0.091kg/h</w:t>
            </w:r>
            <w:r>
              <w:rPr>
                <w:rFonts w:hint="default" w:ascii="Times New Roman" w:hAnsi="Times New Roman" w:cs="Times New Roman" w:eastAsiaTheme="minorEastAsia"/>
                <w:b w:val="0"/>
                <w:bCs w:val="0"/>
                <w:i w:val="0"/>
                <w:iCs w:val="0"/>
                <w:color w:val="auto"/>
                <w:spacing w:val="0"/>
                <w:w w:val="100"/>
                <w:kern w:val="0"/>
                <w:position w:val="0"/>
                <w:sz w:val="24"/>
                <w:szCs w:val="24"/>
                <w:highlight w:val="none"/>
                <w:u w:val="none"/>
                <w:lang w:val="en-US" w:eastAsia="zh-CN"/>
              </w:rPr>
              <w:t>。</w:t>
            </w:r>
          </w:p>
          <w:p w14:paraId="5ECBD5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smallCaps w:val="0"/>
                <w:color w:val="auto"/>
                <w:spacing w:val="0"/>
                <w:position w:val="0"/>
                <w:sz w:val="24"/>
                <w:szCs w:val="24"/>
                <w:lang w:val="en-US" w:eastAsia="zh-CN"/>
              </w:rPr>
            </w:pPr>
            <w:r>
              <w:rPr>
                <w:rFonts w:hint="default" w:ascii="Times New Roman" w:hAnsi="Times New Roman" w:cs="Times New Roman" w:eastAsiaTheme="minorEastAsia"/>
                <w:b w:val="0"/>
                <w:bCs w:val="0"/>
                <w:i w:val="0"/>
                <w:iCs w:val="0"/>
                <w:color w:val="auto"/>
                <w:spacing w:val="0"/>
                <w:w w:val="100"/>
                <w:position w:val="0"/>
                <w:sz w:val="24"/>
                <w:szCs w:val="24"/>
                <w:highlight w:val="none"/>
                <w:u w:val="none"/>
                <w:lang w:val="en-US" w:eastAsia="zh-CN"/>
              </w:rPr>
              <w:t>本项目污染物产生及排放情况见下表。</w:t>
            </w:r>
          </w:p>
          <w:p w14:paraId="2688B070">
            <w:pPr>
              <w:pStyle w:val="12"/>
              <w:keepNext w:val="0"/>
              <w:keepLines w:val="0"/>
              <w:suppressLineNumbers w:val="0"/>
              <w:adjustRightInd/>
              <w:snapToGrid/>
              <w:spacing w:before="0" w:beforeAutospacing="0" w:after="0" w:afterAutospacing="0" w:line="360" w:lineRule="auto"/>
              <w:ind w:left="0" w:right="0" w:firstLine="0" w:firstLineChars="0"/>
              <w:jc w:val="center"/>
              <w:rPr>
                <w:rFonts w:hint="default" w:ascii="Times New Roman" w:hAnsi="Times New Roman" w:eastAsia="宋体" w:cs="Times New Roman"/>
                <w:b/>
                <w:bCs/>
                <w:color w:val="auto"/>
                <w:spacing w:val="0"/>
                <w:w w:val="100"/>
                <w:position w:val="0"/>
                <w:sz w:val="21"/>
              </w:rPr>
            </w:pPr>
            <w:r>
              <w:rPr>
                <w:rFonts w:hint="default" w:ascii="Times New Roman" w:hAnsi="Times New Roman" w:eastAsia="宋体" w:cs="Times New Roman"/>
                <w:b/>
                <w:bCs/>
                <w:color w:val="auto"/>
                <w:spacing w:val="0"/>
                <w:w w:val="100"/>
                <w:position w:val="0"/>
                <w:sz w:val="21"/>
              </w:rPr>
              <w:t>表</w:t>
            </w:r>
            <w:r>
              <w:rPr>
                <w:rFonts w:hint="default" w:ascii="Times New Roman" w:hAnsi="Times New Roman" w:eastAsia="宋体" w:cs="Times New Roman"/>
                <w:b/>
                <w:bCs/>
                <w:color w:val="auto"/>
                <w:spacing w:val="0"/>
                <w:w w:val="100"/>
                <w:position w:val="0"/>
                <w:sz w:val="21"/>
                <w:lang w:val="en-US" w:eastAsia="zh-CN"/>
              </w:rPr>
              <w:t>4-1</w:t>
            </w:r>
            <w:r>
              <w:rPr>
                <w:rFonts w:hint="default" w:ascii="Times New Roman" w:hAnsi="Times New Roman" w:eastAsia="宋体" w:cs="Times New Roman"/>
                <w:b/>
                <w:bCs/>
                <w:color w:val="auto"/>
                <w:spacing w:val="0"/>
                <w:w w:val="100"/>
                <w:position w:val="0"/>
                <w:sz w:val="21"/>
              </w:rPr>
              <w:t xml:space="preserve"> 废气污染源产生及排放一览表</w:t>
            </w:r>
          </w:p>
          <w:tbl>
            <w:tblPr>
              <w:tblStyle w:val="59"/>
              <w:tblW w:w="4974" w:type="pct"/>
              <w:jc w:val="right"/>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
            <w:tblGrid>
              <w:gridCol w:w="942"/>
              <w:gridCol w:w="533"/>
              <w:gridCol w:w="557"/>
              <w:gridCol w:w="552"/>
              <w:gridCol w:w="710"/>
              <w:gridCol w:w="678"/>
              <w:gridCol w:w="606"/>
              <w:gridCol w:w="1043"/>
              <w:gridCol w:w="387"/>
              <w:gridCol w:w="644"/>
              <w:gridCol w:w="604"/>
              <w:gridCol w:w="606"/>
            </w:tblGrid>
            <w:tr w14:paraId="47003FF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jc w:val="right"/>
              </w:trPr>
              <w:tc>
                <w:tcPr>
                  <w:tcW w:w="599" w:type="pct"/>
                  <w:vMerge w:val="restart"/>
                  <w:noWrap w:val="0"/>
                  <w:tcMar>
                    <w:top w:w="15" w:type="dxa"/>
                    <w:left w:w="15" w:type="dxa"/>
                    <w:bottom w:w="0" w:type="dxa"/>
                    <w:right w:w="15" w:type="dxa"/>
                  </w:tcMar>
                  <w:vAlign w:val="center"/>
                </w:tcPr>
                <w:p w14:paraId="6FCC0938">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产污</w:t>
                  </w:r>
                </w:p>
                <w:p w14:paraId="5C0EDDFA">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环节</w:t>
                  </w:r>
                </w:p>
              </w:tc>
              <w:tc>
                <w:tcPr>
                  <w:tcW w:w="338" w:type="pct"/>
                  <w:vMerge w:val="restart"/>
                  <w:noWrap w:val="0"/>
                  <w:tcMar>
                    <w:top w:w="15" w:type="dxa"/>
                    <w:left w:w="15" w:type="dxa"/>
                    <w:bottom w:w="0" w:type="dxa"/>
                    <w:right w:w="15" w:type="dxa"/>
                  </w:tcMar>
                  <w:vAlign w:val="center"/>
                </w:tcPr>
                <w:p w14:paraId="13C2D05A">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污染物种类</w:t>
                  </w:r>
                </w:p>
              </w:tc>
              <w:tc>
                <w:tcPr>
                  <w:tcW w:w="354" w:type="pct"/>
                  <w:vMerge w:val="restart"/>
                  <w:noWrap w:val="0"/>
                  <w:tcMar>
                    <w:top w:w="15" w:type="dxa"/>
                    <w:left w:w="15" w:type="dxa"/>
                    <w:bottom w:w="0" w:type="dxa"/>
                    <w:right w:w="15" w:type="dxa"/>
                  </w:tcMar>
                  <w:vAlign w:val="center"/>
                </w:tcPr>
                <w:p w14:paraId="48CA634E">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年运行时间</w:t>
                  </w:r>
                  <w:r>
                    <w:rPr>
                      <w:rStyle w:val="150"/>
                      <w:rFonts w:hint="default" w:ascii="Times New Roman" w:hAnsi="Times New Roman" w:cs="Times New Roman"/>
                      <w:b/>
                      <w:bCs/>
                      <w:color w:val="auto"/>
                      <w:spacing w:val="0"/>
                      <w:w w:val="100"/>
                      <w:position w:val="0"/>
                      <w:sz w:val="21"/>
                      <w:szCs w:val="21"/>
                    </w:rPr>
                    <w:t>/h</w:t>
                  </w:r>
                </w:p>
              </w:tc>
              <w:tc>
                <w:tcPr>
                  <w:tcW w:w="351" w:type="pct"/>
                  <w:vMerge w:val="restart"/>
                  <w:noWrap w:val="0"/>
                  <w:tcMar>
                    <w:top w:w="15" w:type="dxa"/>
                    <w:left w:w="15" w:type="dxa"/>
                    <w:bottom w:w="0" w:type="dxa"/>
                    <w:right w:w="15" w:type="dxa"/>
                  </w:tcMar>
                  <w:vAlign w:val="center"/>
                </w:tcPr>
                <w:p w14:paraId="321D5A18">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风机</w:t>
                  </w:r>
                </w:p>
                <w:p w14:paraId="351761F2">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风量</w:t>
                  </w:r>
                  <w:r>
                    <w:rPr>
                      <w:rStyle w:val="150"/>
                      <w:rFonts w:hint="default" w:ascii="Times New Roman" w:hAnsi="Times New Roman" w:cs="Times New Roman"/>
                      <w:b/>
                      <w:bCs/>
                      <w:color w:val="auto"/>
                      <w:spacing w:val="0"/>
                      <w:w w:val="100"/>
                      <w:position w:val="0"/>
                      <w:sz w:val="21"/>
                      <w:szCs w:val="21"/>
                    </w:rPr>
                    <w:t>/m</w:t>
                  </w:r>
                  <w:r>
                    <w:rPr>
                      <w:rStyle w:val="150"/>
                      <w:rFonts w:hint="default" w:ascii="Times New Roman" w:hAnsi="Times New Roman" w:cs="Times New Roman"/>
                      <w:b/>
                      <w:bCs/>
                      <w:color w:val="auto"/>
                      <w:spacing w:val="0"/>
                      <w:w w:val="100"/>
                      <w:position w:val="0"/>
                      <w:sz w:val="21"/>
                      <w:szCs w:val="21"/>
                      <w:vertAlign w:val="superscript"/>
                    </w:rPr>
                    <w:t>3</w:t>
                  </w:r>
                  <w:r>
                    <w:rPr>
                      <w:rStyle w:val="150"/>
                      <w:rFonts w:hint="default" w:ascii="Times New Roman" w:hAnsi="Times New Roman" w:cs="Times New Roman"/>
                      <w:b/>
                      <w:bCs/>
                      <w:color w:val="auto"/>
                      <w:spacing w:val="0"/>
                      <w:w w:val="100"/>
                      <w:position w:val="0"/>
                      <w:sz w:val="21"/>
                      <w:szCs w:val="21"/>
                    </w:rPr>
                    <w:t>/h</w:t>
                  </w:r>
                </w:p>
              </w:tc>
              <w:tc>
                <w:tcPr>
                  <w:tcW w:w="1268" w:type="pct"/>
                  <w:gridSpan w:val="3"/>
                  <w:noWrap w:val="0"/>
                  <w:tcMar>
                    <w:top w:w="15" w:type="dxa"/>
                    <w:left w:w="15" w:type="dxa"/>
                    <w:bottom w:w="0" w:type="dxa"/>
                    <w:right w:w="15" w:type="dxa"/>
                  </w:tcMar>
                  <w:vAlign w:val="center"/>
                </w:tcPr>
                <w:p w14:paraId="2EF23A64">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产生情况</w:t>
                  </w:r>
                </w:p>
              </w:tc>
              <w:tc>
                <w:tcPr>
                  <w:tcW w:w="909" w:type="pct"/>
                  <w:gridSpan w:val="2"/>
                  <w:noWrap w:val="0"/>
                  <w:tcMar>
                    <w:top w:w="15" w:type="dxa"/>
                    <w:left w:w="15" w:type="dxa"/>
                    <w:bottom w:w="0" w:type="dxa"/>
                    <w:right w:w="15" w:type="dxa"/>
                  </w:tcMar>
                  <w:vAlign w:val="center"/>
                </w:tcPr>
                <w:p w14:paraId="23C71BD2">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治理设施</w:t>
                  </w:r>
                </w:p>
              </w:tc>
              <w:tc>
                <w:tcPr>
                  <w:tcW w:w="1179" w:type="pct"/>
                  <w:gridSpan w:val="3"/>
                  <w:noWrap w:val="0"/>
                  <w:tcMar>
                    <w:top w:w="15" w:type="dxa"/>
                    <w:left w:w="15" w:type="dxa"/>
                    <w:bottom w:w="0" w:type="dxa"/>
                    <w:right w:w="15" w:type="dxa"/>
                  </w:tcMar>
                  <w:vAlign w:val="center"/>
                </w:tcPr>
                <w:p w14:paraId="00FA4449">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排放情况</w:t>
                  </w:r>
                </w:p>
              </w:tc>
            </w:tr>
            <w:tr w14:paraId="6A1521F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jc w:val="right"/>
              </w:trPr>
              <w:tc>
                <w:tcPr>
                  <w:tcW w:w="599" w:type="pct"/>
                  <w:vMerge w:val="continue"/>
                  <w:noWrap w:val="0"/>
                  <w:vAlign w:val="center"/>
                </w:tcPr>
                <w:p w14:paraId="7D1BF78E">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rPr>
                  </w:pPr>
                </w:p>
              </w:tc>
              <w:tc>
                <w:tcPr>
                  <w:tcW w:w="338" w:type="pct"/>
                  <w:vMerge w:val="continue"/>
                  <w:noWrap w:val="0"/>
                  <w:vAlign w:val="center"/>
                </w:tcPr>
                <w:p w14:paraId="4A6C4E82">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rPr>
                  </w:pPr>
                </w:p>
              </w:tc>
              <w:tc>
                <w:tcPr>
                  <w:tcW w:w="354" w:type="pct"/>
                  <w:vMerge w:val="continue"/>
                  <w:noWrap w:val="0"/>
                  <w:tcMar>
                    <w:top w:w="15" w:type="dxa"/>
                    <w:left w:w="15" w:type="dxa"/>
                    <w:bottom w:w="0" w:type="dxa"/>
                    <w:right w:w="15" w:type="dxa"/>
                  </w:tcMar>
                  <w:vAlign w:val="center"/>
                </w:tcPr>
                <w:p w14:paraId="630837EA">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rPr>
                  </w:pPr>
                </w:p>
              </w:tc>
              <w:tc>
                <w:tcPr>
                  <w:tcW w:w="351" w:type="pct"/>
                  <w:vMerge w:val="continue"/>
                  <w:noWrap w:val="0"/>
                  <w:tcMar>
                    <w:top w:w="15" w:type="dxa"/>
                    <w:left w:w="15" w:type="dxa"/>
                    <w:bottom w:w="0" w:type="dxa"/>
                    <w:right w:w="15" w:type="dxa"/>
                  </w:tcMar>
                  <w:vAlign w:val="center"/>
                </w:tcPr>
                <w:p w14:paraId="0530816B">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rPr>
                  </w:pPr>
                </w:p>
              </w:tc>
              <w:tc>
                <w:tcPr>
                  <w:tcW w:w="451" w:type="pct"/>
                  <w:noWrap w:val="0"/>
                  <w:tcMar>
                    <w:top w:w="15" w:type="dxa"/>
                    <w:left w:w="15" w:type="dxa"/>
                    <w:bottom w:w="0" w:type="dxa"/>
                    <w:right w:w="15" w:type="dxa"/>
                  </w:tcMar>
                  <w:vAlign w:val="center"/>
                </w:tcPr>
                <w:p w14:paraId="1C949C7E">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产生浓度/mg/m</w:t>
                  </w:r>
                  <w:r>
                    <w:rPr>
                      <w:rFonts w:hint="default" w:ascii="Times New Roman" w:hAnsi="Times New Roman" w:eastAsia="宋体" w:cs="Times New Roman"/>
                      <w:b/>
                      <w:bCs/>
                      <w:color w:val="auto"/>
                      <w:spacing w:val="0"/>
                      <w:w w:val="100"/>
                      <w:position w:val="0"/>
                      <w:sz w:val="21"/>
                      <w:szCs w:val="21"/>
                      <w:vertAlign w:val="superscript"/>
                    </w:rPr>
                    <w:t>3</w:t>
                  </w:r>
                </w:p>
              </w:tc>
              <w:tc>
                <w:tcPr>
                  <w:tcW w:w="431" w:type="pct"/>
                  <w:noWrap w:val="0"/>
                  <w:tcMar>
                    <w:top w:w="15" w:type="dxa"/>
                    <w:left w:w="15" w:type="dxa"/>
                    <w:bottom w:w="0" w:type="dxa"/>
                    <w:right w:w="15" w:type="dxa"/>
                  </w:tcMar>
                  <w:vAlign w:val="center"/>
                </w:tcPr>
                <w:p w14:paraId="2EAA4620">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产生</w:t>
                  </w:r>
                </w:p>
                <w:p w14:paraId="6A067AE6">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速率/kg/h</w:t>
                  </w:r>
                </w:p>
              </w:tc>
              <w:tc>
                <w:tcPr>
                  <w:tcW w:w="385" w:type="pct"/>
                  <w:noWrap w:val="0"/>
                  <w:tcMar>
                    <w:top w:w="15" w:type="dxa"/>
                    <w:left w:w="15" w:type="dxa"/>
                    <w:bottom w:w="0" w:type="dxa"/>
                    <w:right w:w="15" w:type="dxa"/>
                  </w:tcMar>
                  <w:vAlign w:val="center"/>
                </w:tcPr>
                <w:p w14:paraId="25FB4476">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产生量/t/a</w:t>
                  </w:r>
                </w:p>
              </w:tc>
              <w:tc>
                <w:tcPr>
                  <w:tcW w:w="663" w:type="pct"/>
                  <w:noWrap w:val="0"/>
                  <w:tcMar>
                    <w:top w:w="15" w:type="dxa"/>
                    <w:left w:w="15" w:type="dxa"/>
                    <w:bottom w:w="0" w:type="dxa"/>
                    <w:right w:w="15" w:type="dxa"/>
                  </w:tcMar>
                  <w:vAlign w:val="center"/>
                </w:tcPr>
                <w:p w14:paraId="5FCB6DD4">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治理设施</w:t>
                  </w:r>
                </w:p>
              </w:tc>
              <w:tc>
                <w:tcPr>
                  <w:tcW w:w="246" w:type="pct"/>
                  <w:noWrap w:val="0"/>
                  <w:tcMar>
                    <w:top w:w="15" w:type="dxa"/>
                    <w:left w:w="15" w:type="dxa"/>
                    <w:bottom w:w="0" w:type="dxa"/>
                    <w:right w:w="15" w:type="dxa"/>
                  </w:tcMar>
                  <w:vAlign w:val="center"/>
                </w:tcPr>
                <w:p w14:paraId="45A9C7AE">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是否为可行技术</w:t>
                  </w:r>
                </w:p>
              </w:tc>
              <w:tc>
                <w:tcPr>
                  <w:tcW w:w="409" w:type="pct"/>
                  <w:noWrap w:val="0"/>
                  <w:tcMar>
                    <w:top w:w="15" w:type="dxa"/>
                    <w:left w:w="15" w:type="dxa"/>
                    <w:bottom w:w="0" w:type="dxa"/>
                    <w:right w:w="15" w:type="dxa"/>
                  </w:tcMar>
                  <w:vAlign w:val="center"/>
                </w:tcPr>
                <w:p w14:paraId="5080E481">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排放浓度/mg/m</w:t>
                  </w:r>
                  <w:r>
                    <w:rPr>
                      <w:rFonts w:hint="default" w:ascii="Times New Roman" w:hAnsi="Times New Roman" w:eastAsia="宋体" w:cs="Times New Roman"/>
                      <w:b/>
                      <w:bCs/>
                      <w:color w:val="auto"/>
                      <w:spacing w:val="0"/>
                      <w:w w:val="100"/>
                      <w:position w:val="0"/>
                      <w:sz w:val="21"/>
                      <w:szCs w:val="21"/>
                      <w:vertAlign w:val="superscript"/>
                    </w:rPr>
                    <w:t>3</w:t>
                  </w:r>
                </w:p>
              </w:tc>
              <w:tc>
                <w:tcPr>
                  <w:tcW w:w="384" w:type="pct"/>
                  <w:noWrap w:val="0"/>
                  <w:tcMar>
                    <w:top w:w="15" w:type="dxa"/>
                    <w:left w:w="15" w:type="dxa"/>
                    <w:bottom w:w="0" w:type="dxa"/>
                    <w:right w:w="15" w:type="dxa"/>
                  </w:tcMar>
                  <w:vAlign w:val="center"/>
                </w:tcPr>
                <w:p w14:paraId="5CF47D21">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排放速率/kg/h</w:t>
                  </w:r>
                </w:p>
              </w:tc>
              <w:tc>
                <w:tcPr>
                  <w:tcW w:w="385" w:type="pct"/>
                  <w:noWrap w:val="0"/>
                  <w:tcMar>
                    <w:top w:w="15" w:type="dxa"/>
                    <w:left w:w="15" w:type="dxa"/>
                    <w:bottom w:w="0" w:type="dxa"/>
                    <w:right w:w="15" w:type="dxa"/>
                  </w:tcMar>
                  <w:vAlign w:val="center"/>
                </w:tcPr>
                <w:p w14:paraId="530099F8">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排放量/t/a</w:t>
                  </w:r>
                </w:p>
              </w:tc>
            </w:tr>
            <w:tr w14:paraId="64E64BF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jc w:val="right"/>
              </w:trPr>
              <w:tc>
                <w:tcPr>
                  <w:tcW w:w="599" w:type="pct"/>
                  <w:noWrap w:val="0"/>
                  <w:tcMar>
                    <w:top w:w="15" w:type="dxa"/>
                    <w:left w:w="15" w:type="dxa"/>
                    <w:bottom w:w="0" w:type="dxa"/>
                    <w:right w:w="15" w:type="dxa"/>
                  </w:tcMar>
                  <w:vAlign w:val="center"/>
                </w:tcPr>
                <w:p w14:paraId="486BE5F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制模工序</w:t>
                  </w:r>
                </w:p>
              </w:tc>
              <w:tc>
                <w:tcPr>
                  <w:tcW w:w="338" w:type="pct"/>
                  <w:shd w:val="clear" w:color="auto" w:fill="auto"/>
                  <w:noWrap w:val="0"/>
                  <w:tcMar>
                    <w:top w:w="15" w:type="dxa"/>
                    <w:left w:w="15" w:type="dxa"/>
                    <w:bottom w:w="0" w:type="dxa"/>
                    <w:right w:w="15" w:type="dxa"/>
                  </w:tcMar>
                  <w:vAlign w:val="center"/>
                </w:tcPr>
                <w:p w14:paraId="209406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非甲烷总烃</w:t>
                  </w:r>
                </w:p>
              </w:tc>
              <w:tc>
                <w:tcPr>
                  <w:tcW w:w="354" w:type="pct"/>
                  <w:noWrap w:val="0"/>
                  <w:tcMar>
                    <w:top w:w="15" w:type="dxa"/>
                    <w:left w:w="15" w:type="dxa"/>
                    <w:bottom w:w="0" w:type="dxa"/>
                    <w:right w:w="15" w:type="dxa"/>
                  </w:tcMar>
                  <w:vAlign w:val="center"/>
                </w:tcPr>
                <w:p w14:paraId="219A2FC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4800</w:t>
                  </w:r>
                </w:p>
              </w:tc>
              <w:tc>
                <w:tcPr>
                  <w:tcW w:w="351" w:type="pct"/>
                  <w:vMerge w:val="restart"/>
                  <w:noWrap w:val="0"/>
                  <w:tcMar>
                    <w:top w:w="15" w:type="dxa"/>
                    <w:left w:w="15" w:type="dxa"/>
                    <w:bottom w:w="0" w:type="dxa"/>
                    <w:right w:w="15" w:type="dxa"/>
                  </w:tcMar>
                  <w:vAlign w:val="center"/>
                </w:tcPr>
                <w:p w14:paraId="12FF029D">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20000</w:t>
                  </w:r>
                </w:p>
              </w:tc>
              <w:tc>
                <w:tcPr>
                  <w:tcW w:w="451" w:type="pct"/>
                  <w:noWrap w:val="0"/>
                  <w:tcMar>
                    <w:top w:w="15" w:type="dxa"/>
                    <w:left w:w="15" w:type="dxa"/>
                    <w:bottom w:w="0" w:type="dxa"/>
                    <w:right w:w="15" w:type="dxa"/>
                  </w:tcMar>
                  <w:vAlign w:val="center"/>
                </w:tcPr>
                <w:p w14:paraId="6185AD0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w:t>
                  </w:r>
                </w:p>
              </w:tc>
              <w:tc>
                <w:tcPr>
                  <w:tcW w:w="431" w:type="pct"/>
                  <w:noWrap w:val="0"/>
                  <w:tcMar>
                    <w:top w:w="15" w:type="dxa"/>
                    <w:left w:w="15" w:type="dxa"/>
                    <w:bottom w:w="0" w:type="dxa"/>
                    <w:right w:w="15" w:type="dxa"/>
                  </w:tcMar>
                  <w:vAlign w:val="center"/>
                </w:tcPr>
                <w:p w14:paraId="57CAC43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0.0417</w:t>
                  </w:r>
                </w:p>
              </w:tc>
              <w:tc>
                <w:tcPr>
                  <w:tcW w:w="385" w:type="pct"/>
                  <w:noWrap w:val="0"/>
                  <w:tcMar>
                    <w:top w:w="15" w:type="dxa"/>
                    <w:left w:w="15" w:type="dxa"/>
                    <w:bottom w:w="0" w:type="dxa"/>
                    <w:right w:w="15" w:type="dxa"/>
                  </w:tcMar>
                  <w:vAlign w:val="center"/>
                </w:tcPr>
                <w:p w14:paraId="366AA5A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0.2</w:t>
                  </w:r>
                </w:p>
              </w:tc>
              <w:tc>
                <w:tcPr>
                  <w:tcW w:w="663" w:type="pct"/>
                  <w:vMerge w:val="restart"/>
                  <w:noWrap w:val="0"/>
                  <w:tcMar>
                    <w:top w:w="15" w:type="dxa"/>
                    <w:left w:w="15" w:type="dxa"/>
                    <w:bottom w:w="0" w:type="dxa"/>
                    <w:right w:w="15" w:type="dxa"/>
                  </w:tcMar>
                  <w:vAlign w:val="center"/>
                </w:tcPr>
                <w:p w14:paraId="4962CCC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项目产生的</w:t>
                  </w:r>
                  <w:r>
                    <w:rPr>
                      <w:rFonts w:hint="eastAsia" w:ascii="Times New Roman" w:hAnsi="Times New Roman" w:eastAsia="宋体" w:cs="Times New Roman"/>
                      <w:b w:val="0"/>
                      <w:bCs w:val="0"/>
                      <w:color w:val="auto"/>
                      <w:spacing w:val="0"/>
                      <w:w w:val="100"/>
                      <w:position w:val="0"/>
                      <w:sz w:val="21"/>
                      <w:szCs w:val="21"/>
                      <w:lang w:val="en-US" w:eastAsia="zh-CN"/>
                    </w:rPr>
                    <w:t>制模废气、</w:t>
                  </w:r>
                  <w:r>
                    <w:rPr>
                      <w:rFonts w:hint="default" w:ascii="Times New Roman" w:hAnsi="Times New Roman" w:eastAsia="宋体" w:cs="Times New Roman"/>
                      <w:b w:val="0"/>
                      <w:bCs w:val="0"/>
                      <w:color w:val="auto"/>
                      <w:spacing w:val="0"/>
                      <w:w w:val="100"/>
                      <w:position w:val="0"/>
                      <w:sz w:val="21"/>
                      <w:szCs w:val="21"/>
                      <w:lang w:val="en-US" w:eastAsia="zh-CN"/>
                    </w:rPr>
                    <w:t>熔化废气、造型/浇注废气、落砂废气和清理废气（抛丸废气、机加工废气）经集气罩分别收集后统一经1套布袋除尘器+1套二级活性炭吸附处理达标后经一根15m 排气筒（DA001）排放，共用风机风量 20000 m³/h，除尘效率按90%计。</w:t>
                  </w:r>
                </w:p>
              </w:tc>
              <w:tc>
                <w:tcPr>
                  <w:tcW w:w="246" w:type="pct"/>
                  <w:noWrap w:val="0"/>
                  <w:tcMar>
                    <w:top w:w="15" w:type="dxa"/>
                    <w:left w:w="15" w:type="dxa"/>
                    <w:bottom w:w="0" w:type="dxa"/>
                    <w:right w:w="15" w:type="dxa"/>
                  </w:tcMar>
                  <w:vAlign w:val="center"/>
                </w:tcPr>
                <w:p w14:paraId="0E38C8A6">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是</w:t>
                  </w:r>
                </w:p>
              </w:tc>
              <w:tc>
                <w:tcPr>
                  <w:tcW w:w="409" w:type="pct"/>
                  <w:noWrap w:val="0"/>
                  <w:tcMar>
                    <w:top w:w="15" w:type="dxa"/>
                    <w:left w:w="15" w:type="dxa"/>
                    <w:bottom w:w="0" w:type="dxa"/>
                    <w:right w:w="15" w:type="dxa"/>
                  </w:tcMar>
                  <w:vAlign w:val="center"/>
                </w:tcPr>
                <w:p w14:paraId="44845784">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1.26</w:t>
                  </w:r>
                </w:p>
              </w:tc>
              <w:tc>
                <w:tcPr>
                  <w:tcW w:w="384" w:type="pct"/>
                  <w:noWrap w:val="0"/>
                  <w:tcMar>
                    <w:top w:w="15" w:type="dxa"/>
                    <w:left w:w="15" w:type="dxa"/>
                    <w:bottom w:w="0" w:type="dxa"/>
                    <w:right w:w="15" w:type="dxa"/>
                  </w:tcMar>
                  <w:vAlign w:val="center"/>
                </w:tcPr>
                <w:p w14:paraId="14E4489C">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0.0252</w:t>
                  </w:r>
                </w:p>
              </w:tc>
              <w:tc>
                <w:tcPr>
                  <w:tcW w:w="385" w:type="pct"/>
                  <w:noWrap w:val="0"/>
                  <w:tcMar>
                    <w:top w:w="15" w:type="dxa"/>
                    <w:left w:w="15" w:type="dxa"/>
                    <w:bottom w:w="0" w:type="dxa"/>
                    <w:right w:w="15" w:type="dxa"/>
                  </w:tcMar>
                  <w:vAlign w:val="center"/>
                </w:tcPr>
                <w:p w14:paraId="4A89D3AE">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0.121</w:t>
                  </w:r>
                </w:p>
              </w:tc>
            </w:tr>
            <w:tr w14:paraId="6D469D1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jc w:val="right"/>
              </w:trPr>
              <w:tc>
                <w:tcPr>
                  <w:tcW w:w="599" w:type="pct"/>
                  <w:noWrap w:val="0"/>
                  <w:tcMar>
                    <w:top w:w="15" w:type="dxa"/>
                    <w:left w:w="15" w:type="dxa"/>
                    <w:bottom w:w="0" w:type="dxa"/>
                    <w:right w:w="15" w:type="dxa"/>
                  </w:tcMar>
                  <w:vAlign w:val="center"/>
                </w:tcPr>
                <w:p w14:paraId="5E1650B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rPr>
                  </w:pPr>
                  <w:r>
                    <w:rPr>
                      <w:rFonts w:hint="default" w:ascii="Times New Roman" w:hAnsi="Times New Roman" w:eastAsia="宋体" w:cs="Times New Roman"/>
                      <w:color w:val="auto"/>
                      <w:spacing w:val="0"/>
                      <w:w w:val="100"/>
                      <w:position w:val="0"/>
                      <w:sz w:val="21"/>
                      <w:szCs w:val="21"/>
                      <w:lang w:val="en-US" w:eastAsia="zh-CN"/>
                    </w:rPr>
                    <w:t>电炉熔化废气</w:t>
                  </w:r>
                </w:p>
              </w:tc>
              <w:tc>
                <w:tcPr>
                  <w:tcW w:w="338" w:type="pct"/>
                  <w:shd w:val="clear" w:color="auto" w:fill="auto"/>
                  <w:noWrap w:val="0"/>
                  <w:tcMar>
                    <w:top w:w="15" w:type="dxa"/>
                    <w:left w:w="15" w:type="dxa"/>
                    <w:bottom w:w="0" w:type="dxa"/>
                    <w:right w:w="15" w:type="dxa"/>
                  </w:tcMar>
                  <w:vAlign w:val="center"/>
                </w:tcPr>
                <w:p w14:paraId="698E39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颗粒物</w:t>
                  </w:r>
                </w:p>
              </w:tc>
              <w:tc>
                <w:tcPr>
                  <w:tcW w:w="354" w:type="pct"/>
                  <w:noWrap w:val="0"/>
                  <w:tcMar>
                    <w:top w:w="15" w:type="dxa"/>
                    <w:left w:w="15" w:type="dxa"/>
                    <w:bottom w:w="0" w:type="dxa"/>
                    <w:right w:w="15" w:type="dxa"/>
                  </w:tcMar>
                  <w:vAlign w:val="center"/>
                </w:tcPr>
                <w:p w14:paraId="362F41A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4800</w:t>
                  </w:r>
                </w:p>
              </w:tc>
              <w:tc>
                <w:tcPr>
                  <w:tcW w:w="351" w:type="pct"/>
                  <w:vMerge w:val="continue"/>
                  <w:noWrap w:val="0"/>
                  <w:tcMar>
                    <w:top w:w="15" w:type="dxa"/>
                    <w:left w:w="15" w:type="dxa"/>
                    <w:bottom w:w="0" w:type="dxa"/>
                    <w:right w:w="15" w:type="dxa"/>
                  </w:tcMar>
                  <w:vAlign w:val="center"/>
                </w:tcPr>
                <w:p w14:paraId="7A6B8DE7">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p>
              </w:tc>
              <w:tc>
                <w:tcPr>
                  <w:tcW w:w="451" w:type="pct"/>
                  <w:noWrap w:val="0"/>
                  <w:tcMar>
                    <w:top w:w="15" w:type="dxa"/>
                    <w:left w:w="15" w:type="dxa"/>
                    <w:bottom w:w="0" w:type="dxa"/>
                    <w:right w:w="15" w:type="dxa"/>
                  </w:tcMar>
                  <w:vAlign w:val="center"/>
                </w:tcPr>
                <w:p w14:paraId="31056E80">
                  <w:pPr>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w:t>
                  </w:r>
                </w:p>
              </w:tc>
              <w:tc>
                <w:tcPr>
                  <w:tcW w:w="431" w:type="pct"/>
                  <w:noWrap w:val="0"/>
                  <w:tcMar>
                    <w:top w:w="15" w:type="dxa"/>
                    <w:left w:w="15" w:type="dxa"/>
                    <w:bottom w:w="0" w:type="dxa"/>
                    <w:right w:w="15" w:type="dxa"/>
                  </w:tcMar>
                  <w:vAlign w:val="center"/>
                </w:tcPr>
                <w:p w14:paraId="3DE8146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0.199</w:t>
                  </w:r>
                </w:p>
              </w:tc>
              <w:tc>
                <w:tcPr>
                  <w:tcW w:w="385" w:type="pct"/>
                  <w:noWrap w:val="0"/>
                  <w:tcMar>
                    <w:top w:w="15" w:type="dxa"/>
                    <w:left w:w="15" w:type="dxa"/>
                    <w:bottom w:w="0" w:type="dxa"/>
                    <w:right w:w="15" w:type="dxa"/>
                  </w:tcMar>
                  <w:vAlign w:val="center"/>
                </w:tcPr>
                <w:p w14:paraId="1034332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0.985</w:t>
                  </w:r>
                </w:p>
              </w:tc>
              <w:tc>
                <w:tcPr>
                  <w:tcW w:w="663" w:type="pct"/>
                  <w:vMerge w:val="continue"/>
                  <w:noWrap w:val="0"/>
                  <w:tcMar>
                    <w:top w:w="15" w:type="dxa"/>
                    <w:left w:w="15" w:type="dxa"/>
                    <w:bottom w:w="0" w:type="dxa"/>
                    <w:right w:w="15" w:type="dxa"/>
                  </w:tcMar>
                  <w:vAlign w:val="center"/>
                </w:tcPr>
                <w:p w14:paraId="764123E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p>
              </w:tc>
              <w:tc>
                <w:tcPr>
                  <w:tcW w:w="246" w:type="pct"/>
                  <w:noWrap w:val="0"/>
                  <w:tcMar>
                    <w:top w:w="15" w:type="dxa"/>
                    <w:left w:w="15" w:type="dxa"/>
                    <w:bottom w:w="0" w:type="dxa"/>
                    <w:right w:w="15" w:type="dxa"/>
                  </w:tcMar>
                  <w:vAlign w:val="center"/>
                </w:tcPr>
                <w:p w14:paraId="0C62E72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是</w:t>
                  </w:r>
                </w:p>
              </w:tc>
              <w:tc>
                <w:tcPr>
                  <w:tcW w:w="409" w:type="pct"/>
                  <w:noWrap w:val="0"/>
                  <w:tcMar>
                    <w:top w:w="15" w:type="dxa"/>
                    <w:left w:w="15" w:type="dxa"/>
                    <w:bottom w:w="0" w:type="dxa"/>
                    <w:right w:w="15" w:type="dxa"/>
                  </w:tcMar>
                  <w:vAlign w:val="center"/>
                </w:tcPr>
                <w:p w14:paraId="08B956EE">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3.5925</w:t>
                  </w:r>
                </w:p>
              </w:tc>
              <w:tc>
                <w:tcPr>
                  <w:tcW w:w="384" w:type="pct"/>
                  <w:noWrap w:val="0"/>
                  <w:tcMar>
                    <w:top w:w="15" w:type="dxa"/>
                    <w:left w:w="15" w:type="dxa"/>
                    <w:bottom w:w="0" w:type="dxa"/>
                    <w:right w:w="15" w:type="dxa"/>
                  </w:tcMar>
                  <w:vAlign w:val="center"/>
                </w:tcPr>
                <w:p w14:paraId="6A940FED">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0.018</w:t>
                  </w:r>
                </w:p>
              </w:tc>
              <w:tc>
                <w:tcPr>
                  <w:tcW w:w="385" w:type="pct"/>
                  <w:noWrap w:val="0"/>
                  <w:tcMar>
                    <w:top w:w="15" w:type="dxa"/>
                    <w:left w:w="15" w:type="dxa"/>
                    <w:bottom w:w="0" w:type="dxa"/>
                    <w:right w:w="15" w:type="dxa"/>
                  </w:tcMar>
                  <w:vAlign w:val="center"/>
                </w:tcPr>
                <w:p w14:paraId="1D0E7BC3">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0.0862</w:t>
                  </w:r>
                </w:p>
              </w:tc>
            </w:tr>
            <w:tr w14:paraId="280E5F6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jc w:val="right"/>
              </w:trPr>
              <w:tc>
                <w:tcPr>
                  <w:tcW w:w="599" w:type="pct"/>
                  <w:vMerge w:val="restart"/>
                  <w:noWrap w:val="0"/>
                  <w:tcMar>
                    <w:top w:w="15" w:type="dxa"/>
                    <w:left w:w="15" w:type="dxa"/>
                    <w:bottom w:w="0" w:type="dxa"/>
                    <w:right w:w="15" w:type="dxa"/>
                  </w:tcMar>
                  <w:vAlign w:val="center"/>
                </w:tcPr>
                <w:p w14:paraId="1749FEB3">
                  <w:pPr>
                    <w:pStyle w:val="11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0"/>
                      <w:w w:val="100"/>
                      <w:position w:val="0"/>
                      <w:sz w:val="21"/>
                      <w:szCs w:val="21"/>
                      <w:lang w:val="en-US"/>
                    </w:rPr>
                  </w:pPr>
                  <w:r>
                    <w:rPr>
                      <w:rFonts w:hint="default" w:ascii="Times New Roman" w:hAnsi="Times New Roman" w:cs="Times New Roman"/>
                      <w:color w:val="auto"/>
                      <w:spacing w:val="0"/>
                      <w:w w:val="100"/>
                      <w:position w:val="0"/>
                      <w:sz w:val="21"/>
                      <w:szCs w:val="21"/>
                      <w:lang w:val="en-US" w:eastAsia="zh-CN"/>
                    </w:rPr>
                    <w:t>造型/浇注废气</w:t>
                  </w:r>
                </w:p>
              </w:tc>
              <w:tc>
                <w:tcPr>
                  <w:tcW w:w="338" w:type="pct"/>
                  <w:shd w:val="clear" w:color="auto" w:fill="auto"/>
                  <w:noWrap w:val="0"/>
                  <w:tcMar>
                    <w:top w:w="15" w:type="dxa"/>
                    <w:left w:w="15" w:type="dxa"/>
                    <w:bottom w:w="0" w:type="dxa"/>
                    <w:right w:w="15" w:type="dxa"/>
                  </w:tcMar>
                  <w:vAlign w:val="center"/>
                </w:tcPr>
                <w:p w14:paraId="53BB717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颗粒物</w:t>
                  </w:r>
                </w:p>
              </w:tc>
              <w:tc>
                <w:tcPr>
                  <w:tcW w:w="354" w:type="pct"/>
                  <w:shd w:val="clear" w:color="auto" w:fill="auto"/>
                  <w:noWrap w:val="0"/>
                  <w:tcMar>
                    <w:top w:w="15" w:type="dxa"/>
                    <w:left w:w="15" w:type="dxa"/>
                    <w:bottom w:w="0" w:type="dxa"/>
                    <w:right w:w="15" w:type="dxa"/>
                  </w:tcMar>
                  <w:vAlign w:val="center"/>
                </w:tcPr>
                <w:p w14:paraId="70771620">
                  <w:pPr>
                    <w:pStyle w:val="449"/>
                    <w:keepNext w:val="0"/>
                    <w:keepLines w:val="0"/>
                    <w:suppressLineNumbers w:val="0"/>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4800</w:t>
                  </w:r>
                </w:p>
              </w:tc>
              <w:tc>
                <w:tcPr>
                  <w:tcW w:w="351" w:type="pct"/>
                  <w:vMerge w:val="continue"/>
                  <w:noWrap w:val="0"/>
                  <w:tcMar>
                    <w:top w:w="15" w:type="dxa"/>
                    <w:left w:w="15" w:type="dxa"/>
                    <w:bottom w:w="0" w:type="dxa"/>
                    <w:right w:w="15" w:type="dxa"/>
                  </w:tcMar>
                  <w:vAlign w:val="center"/>
                </w:tcPr>
                <w:p w14:paraId="432311A2">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p>
              </w:tc>
              <w:tc>
                <w:tcPr>
                  <w:tcW w:w="451" w:type="pct"/>
                  <w:noWrap w:val="0"/>
                  <w:tcMar>
                    <w:top w:w="15" w:type="dxa"/>
                    <w:left w:w="15" w:type="dxa"/>
                    <w:bottom w:w="0" w:type="dxa"/>
                    <w:right w:w="15" w:type="dxa"/>
                  </w:tcMar>
                  <w:vAlign w:val="center"/>
                </w:tcPr>
                <w:p w14:paraId="153BE877">
                  <w:pPr>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w:t>
                  </w:r>
                </w:p>
              </w:tc>
              <w:tc>
                <w:tcPr>
                  <w:tcW w:w="431" w:type="pct"/>
                  <w:noWrap w:val="0"/>
                  <w:tcMar>
                    <w:top w:w="15" w:type="dxa"/>
                    <w:left w:w="15" w:type="dxa"/>
                    <w:bottom w:w="0" w:type="dxa"/>
                    <w:right w:w="15" w:type="dxa"/>
                  </w:tcMar>
                  <w:vAlign w:val="center"/>
                </w:tcPr>
                <w:p w14:paraId="3A99D7E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0.403</w:t>
                  </w:r>
                </w:p>
              </w:tc>
              <w:tc>
                <w:tcPr>
                  <w:tcW w:w="385" w:type="pct"/>
                  <w:noWrap w:val="0"/>
                  <w:tcMar>
                    <w:top w:w="15" w:type="dxa"/>
                    <w:left w:w="15" w:type="dxa"/>
                    <w:bottom w:w="0" w:type="dxa"/>
                    <w:right w:w="15" w:type="dxa"/>
                  </w:tcMar>
                  <w:vAlign w:val="center"/>
                </w:tcPr>
                <w:p w14:paraId="6A3DEAD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1.934</w:t>
                  </w:r>
                </w:p>
              </w:tc>
              <w:tc>
                <w:tcPr>
                  <w:tcW w:w="663" w:type="pct"/>
                  <w:vMerge w:val="continue"/>
                  <w:shd w:val="clear" w:color="auto" w:fill="auto"/>
                  <w:noWrap w:val="0"/>
                  <w:tcMar>
                    <w:top w:w="15" w:type="dxa"/>
                    <w:left w:w="15" w:type="dxa"/>
                    <w:bottom w:w="0" w:type="dxa"/>
                    <w:right w:w="15" w:type="dxa"/>
                  </w:tcMar>
                  <w:vAlign w:val="center"/>
                </w:tcPr>
                <w:p w14:paraId="0D60AC5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p>
              </w:tc>
              <w:tc>
                <w:tcPr>
                  <w:tcW w:w="246" w:type="pct"/>
                  <w:vMerge w:val="restart"/>
                  <w:noWrap w:val="0"/>
                  <w:tcMar>
                    <w:top w:w="15" w:type="dxa"/>
                    <w:left w:w="15" w:type="dxa"/>
                    <w:bottom w:w="0" w:type="dxa"/>
                    <w:right w:w="15" w:type="dxa"/>
                  </w:tcMar>
                  <w:vAlign w:val="center"/>
                </w:tcPr>
                <w:p w14:paraId="20EF5C8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是</w:t>
                  </w:r>
                </w:p>
              </w:tc>
              <w:tc>
                <w:tcPr>
                  <w:tcW w:w="409" w:type="pct"/>
                  <w:noWrap w:val="0"/>
                  <w:tcMar>
                    <w:top w:w="15" w:type="dxa"/>
                    <w:left w:w="15" w:type="dxa"/>
                    <w:bottom w:w="0" w:type="dxa"/>
                    <w:right w:w="15" w:type="dxa"/>
                  </w:tcMar>
                  <w:vAlign w:val="center"/>
                </w:tcPr>
                <w:p w14:paraId="06621136">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3.626</w:t>
                  </w:r>
                </w:p>
              </w:tc>
              <w:tc>
                <w:tcPr>
                  <w:tcW w:w="384" w:type="pct"/>
                  <w:noWrap w:val="0"/>
                  <w:tcMar>
                    <w:top w:w="15" w:type="dxa"/>
                    <w:left w:w="15" w:type="dxa"/>
                    <w:bottom w:w="0" w:type="dxa"/>
                    <w:right w:w="15" w:type="dxa"/>
                  </w:tcMar>
                  <w:vAlign w:val="center"/>
                </w:tcPr>
                <w:p w14:paraId="259207A3">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0.036</w:t>
                  </w:r>
                </w:p>
              </w:tc>
              <w:tc>
                <w:tcPr>
                  <w:tcW w:w="385" w:type="pct"/>
                  <w:noWrap w:val="0"/>
                  <w:tcMar>
                    <w:top w:w="15" w:type="dxa"/>
                    <w:left w:w="15" w:type="dxa"/>
                    <w:bottom w:w="0" w:type="dxa"/>
                    <w:right w:w="15" w:type="dxa"/>
                  </w:tcMar>
                  <w:vAlign w:val="center"/>
                </w:tcPr>
                <w:p w14:paraId="3897D8D1">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0.174</w:t>
                  </w:r>
                </w:p>
              </w:tc>
            </w:tr>
            <w:tr w14:paraId="0D732BC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jc w:val="right"/>
              </w:trPr>
              <w:tc>
                <w:tcPr>
                  <w:tcW w:w="599" w:type="pct"/>
                  <w:vMerge w:val="continue"/>
                  <w:noWrap w:val="0"/>
                  <w:tcMar>
                    <w:top w:w="15" w:type="dxa"/>
                    <w:left w:w="15" w:type="dxa"/>
                    <w:bottom w:w="0" w:type="dxa"/>
                    <w:right w:w="15" w:type="dxa"/>
                  </w:tcMar>
                  <w:vAlign w:val="center"/>
                </w:tcPr>
                <w:p w14:paraId="4905AF04">
                  <w:pPr>
                    <w:pStyle w:val="11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0"/>
                      <w:w w:val="100"/>
                      <w:position w:val="0"/>
                      <w:sz w:val="21"/>
                      <w:szCs w:val="21"/>
                      <w:lang w:val="en-US"/>
                    </w:rPr>
                  </w:pPr>
                </w:p>
              </w:tc>
              <w:tc>
                <w:tcPr>
                  <w:tcW w:w="338" w:type="pct"/>
                  <w:shd w:val="clear" w:color="auto" w:fill="auto"/>
                  <w:noWrap w:val="0"/>
                  <w:tcMar>
                    <w:top w:w="15" w:type="dxa"/>
                    <w:left w:w="15" w:type="dxa"/>
                    <w:bottom w:w="0" w:type="dxa"/>
                    <w:right w:w="15" w:type="dxa"/>
                  </w:tcMar>
                  <w:vAlign w:val="center"/>
                </w:tcPr>
                <w:p w14:paraId="1025A18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非甲烷总烃</w:t>
                  </w:r>
                </w:p>
              </w:tc>
              <w:tc>
                <w:tcPr>
                  <w:tcW w:w="354" w:type="pct"/>
                  <w:shd w:val="clear" w:color="auto" w:fill="auto"/>
                  <w:noWrap w:val="0"/>
                  <w:tcMar>
                    <w:top w:w="15" w:type="dxa"/>
                    <w:left w:w="15" w:type="dxa"/>
                    <w:bottom w:w="0" w:type="dxa"/>
                    <w:right w:w="15" w:type="dxa"/>
                  </w:tcMar>
                  <w:vAlign w:val="center"/>
                </w:tcPr>
                <w:p w14:paraId="45FDEEE0">
                  <w:pPr>
                    <w:pStyle w:val="449"/>
                    <w:keepNext w:val="0"/>
                    <w:keepLines w:val="0"/>
                    <w:suppressLineNumbers w:val="0"/>
                    <w:spacing w:before="0" w:beforeAutospacing="0" w:after="0" w:afterAutospacing="0" w:line="240" w:lineRule="auto"/>
                    <w:ind w:left="0" w:leftChars="0" w:right="0" w:rightChars="0" w:firstLine="0" w:firstLineChars="0"/>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4800</w:t>
                  </w:r>
                </w:p>
              </w:tc>
              <w:tc>
                <w:tcPr>
                  <w:tcW w:w="351" w:type="pct"/>
                  <w:vMerge w:val="continue"/>
                  <w:noWrap w:val="0"/>
                  <w:tcMar>
                    <w:top w:w="15" w:type="dxa"/>
                    <w:left w:w="15" w:type="dxa"/>
                    <w:bottom w:w="0" w:type="dxa"/>
                    <w:right w:w="15" w:type="dxa"/>
                  </w:tcMar>
                  <w:vAlign w:val="center"/>
                </w:tcPr>
                <w:p w14:paraId="3ED4F175">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p>
              </w:tc>
              <w:tc>
                <w:tcPr>
                  <w:tcW w:w="451" w:type="pct"/>
                  <w:noWrap w:val="0"/>
                  <w:tcMar>
                    <w:top w:w="15" w:type="dxa"/>
                    <w:left w:w="15" w:type="dxa"/>
                    <w:bottom w:w="0" w:type="dxa"/>
                    <w:right w:w="15" w:type="dxa"/>
                  </w:tcMar>
                  <w:vAlign w:val="center"/>
                </w:tcPr>
                <w:p w14:paraId="5C845E31">
                  <w:pPr>
                    <w:keepNext w:val="0"/>
                    <w:keepLines w:val="0"/>
                    <w:suppressLineNumbers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w:t>
                  </w:r>
                </w:p>
              </w:tc>
              <w:tc>
                <w:tcPr>
                  <w:tcW w:w="431" w:type="pct"/>
                  <w:noWrap w:val="0"/>
                  <w:tcMar>
                    <w:top w:w="15" w:type="dxa"/>
                    <w:left w:w="15" w:type="dxa"/>
                    <w:bottom w:w="0" w:type="dxa"/>
                    <w:right w:w="15" w:type="dxa"/>
                  </w:tcMar>
                  <w:vAlign w:val="center"/>
                </w:tcPr>
                <w:p w14:paraId="5A75772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0.189</w:t>
                  </w:r>
                </w:p>
              </w:tc>
              <w:tc>
                <w:tcPr>
                  <w:tcW w:w="385" w:type="pct"/>
                  <w:noWrap w:val="0"/>
                  <w:tcMar>
                    <w:top w:w="15" w:type="dxa"/>
                    <w:left w:w="15" w:type="dxa"/>
                    <w:bottom w:w="0" w:type="dxa"/>
                    <w:right w:w="15" w:type="dxa"/>
                  </w:tcMar>
                  <w:vAlign w:val="center"/>
                </w:tcPr>
                <w:p w14:paraId="791E882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0.906</w:t>
                  </w:r>
                </w:p>
              </w:tc>
              <w:tc>
                <w:tcPr>
                  <w:tcW w:w="663" w:type="pct"/>
                  <w:vMerge w:val="continue"/>
                  <w:shd w:val="clear" w:color="auto" w:fill="auto"/>
                  <w:noWrap w:val="0"/>
                  <w:tcMar>
                    <w:top w:w="15" w:type="dxa"/>
                    <w:left w:w="15" w:type="dxa"/>
                    <w:bottom w:w="0" w:type="dxa"/>
                    <w:right w:w="15" w:type="dxa"/>
                  </w:tcMar>
                  <w:vAlign w:val="center"/>
                </w:tcPr>
                <w:p w14:paraId="39A5AA7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p>
              </w:tc>
              <w:tc>
                <w:tcPr>
                  <w:tcW w:w="246" w:type="pct"/>
                  <w:vMerge w:val="continue"/>
                  <w:noWrap w:val="0"/>
                  <w:tcMar>
                    <w:top w:w="15" w:type="dxa"/>
                    <w:left w:w="15" w:type="dxa"/>
                    <w:bottom w:w="0" w:type="dxa"/>
                    <w:right w:w="15" w:type="dxa"/>
                  </w:tcMar>
                  <w:vAlign w:val="center"/>
                </w:tcPr>
                <w:p w14:paraId="4D6E6FA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p>
              </w:tc>
              <w:tc>
                <w:tcPr>
                  <w:tcW w:w="409" w:type="pct"/>
                  <w:noWrap w:val="0"/>
                  <w:tcMar>
                    <w:top w:w="15" w:type="dxa"/>
                    <w:left w:w="15" w:type="dxa"/>
                    <w:bottom w:w="0" w:type="dxa"/>
                    <w:right w:w="15" w:type="dxa"/>
                  </w:tcMar>
                  <w:vAlign w:val="center"/>
                </w:tcPr>
                <w:p w14:paraId="4BDC0418">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11.422</w:t>
                  </w:r>
                </w:p>
              </w:tc>
              <w:tc>
                <w:tcPr>
                  <w:tcW w:w="384" w:type="pct"/>
                  <w:noWrap w:val="0"/>
                  <w:tcMar>
                    <w:top w:w="15" w:type="dxa"/>
                    <w:left w:w="15" w:type="dxa"/>
                    <w:bottom w:w="0" w:type="dxa"/>
                    <w:right w:w="15" w:type="dxa"/>
                  </w:tcMar>
                  <w:vAlign w:val="center"/>
                </w:tcPr>
                <w:p w14:paraId="0B09D538">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0.114</w:t>
                  </w:r>
                </w:p>
              </w:tc>
              <w:tc>
                <w:tcPr>
                  <w:tcW w:w="385" w:type="pct"/>
                  <w:noWrap w:val="0"/>
                  <w:tcMar>
                    <w:top w:w="15" w:type="dxa"/>
                    <w:left w:w="15" w:type="dxa"/>
                    <w:bottom w:w="0" w:type="dxa"/>
                    <w:right w:w="15" w:type="dxa"/>
                  </w:tcMar>
                  <w:vAlign w:val="center"/>
                </w:tcPr>
                <w:p w14:paraId="03FBA8B9">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0.548</w:t>
                  </w:r>
                </w:p>
              </w:tc>
            </w:tr>
            <w:tr w14:paraId="17CD907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jc w:val="right"/>
              </w:trPr>
              <w:tc>
                <w:tcPr>
                  <w:tcW w:w="599" w:type="pct"/>
                  <w:noWrap w:val="0"/>
                  <w:tcMar>
                    <w:top w:w="15" w:type="dxa"/>
                    <w:left w:w="15" w:type="dxa"/>
                    <w:bottom w:w="0" w:type="dxa"/>
                    <w:right w:w="15" w:type="dxa"/>
                  </w:tcMar>
                  <w:vAlign w:val="center"/>
                </w:tcPr>
                <w:p w14:paraId="419C0E52">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lang w:val="en-US" w:eastAsia="zh-CN"/>
                    </w:rPr>
                    <w:t>落砂废气</w:t>
                  </w:r>
                </w:p>
              </w:tc>
              <w:tc>
                <w:tcPr>
                  <w:tcW w:w="338" w:type="pct"/>
                  <w:noWrap w:val="0"/>
                  <w:tcMar>
                    <w:top w:w="15" w:type="dxa"/>
                    <w:left w:w="15" w:type="dxa"/>
                    <w:bottom w:w="0" w:type="dxa"/>
                    <w:right w:w="15" w:type="dxa"/>
                  </w:tcMar>
                  <w:vAlign w:val="center"/>
                </w:tcPr>
                <w:p w14:paraId="533A1F24">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颗粒物</w:t>
                  </w:r>
                </w:p>
              </w:tc>
              <w:tc>
                <w:tcPr>
                  <w:tcW w:w="354" w:type="pct"/>
                  <w:noWrap w:val="0"/>
                  <w:tcMar>
                    <w:top w:w="15" w:type="dxa"/>
                    <w:left w:w="15" w:type="dxa"/>
                    <w:bottom w:w="0" w:type="dxa"/>
                    <w:right w:w="15" w:type="dxa"/>
                  </w:tcMar>
                  <w:vAlign w:val="center"/>
                </w:tcPr>
                <w:p w14:paraId="2BE466CB">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4800</w:t>
                  </w:r>
                </w:p>
              </w:tc>
              <w:tc>
                <w:tcPr>
                  <w:tcW w:w="351" w:type="pct"/>
                  <w:vMerge w:val="continue"/>
                  <w:noWrap w:val="0"/>
                  <w:tcMar>
                    <w:top w:w="15" w:type="dxa"/>
                    <w:left w:w="15" w:type="dxa"/>
                    <w:bottom w:w="0" w:type="dxa"/>
                    <w:right w:w="15" w:type="dxa"/>
                  </w:tcMar>
                  <w:vAlign w:val="center"/>
                </w:tcPr>
                <w:p w14:paraId="2C11C5CF">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p>
              </w:tc>
              <w:tc>
                <w:tcPr>
                  <w:tcW w:w="451" w:type="pct"/>
                  <w:noWrap w:val="0"/>
                  <w:tcMar>
                    <w:top w:w="15" w:type="dxa"/>
                    <w:left w:w="15" w:type="dxa"/>
                    <w:bottom w:w="0" w:type="dxa"/>
                    <w:right w:w="15" w:type="dxa"/>
                  </w:tcMar>
                  <w:vAlign w:val="center"/>
                </w:tcPr>
                <w:p w14:paraId="736F09C0">
                  <w:pPr>
                    <w:keepNext w:val="0"/>
                    <w:keepLines w:val="0"/>
                    <w:widowControl/>
                    <w:suppressLineNumbers w:val="0"/>
                    <w:spacing w:before="0" w:beforeAutospacing="0" w:after="0" w:afterAutospacing="0" w:line="240" w:lineRule="auto"/>
                    <w:ind w:left="0" w:leftChars="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bidi="ar"/>
                    </w:rPr>
                  </w:pPr>
                  <w:r>
                    <w:rPr>
                      <w:rFonts w:hint="eastAsia" w:ascii="Times New Roman" w:hAnsi="Times New Roman" w:eastAsia="宋体" w:cs="Times New Roman"/>
                      <w:color w:val="auto"/>
                      <w:spacing w:val="0"/>
                      <w:w w:val="100"/>
                      <w:position w:val="0"/>
                      <w:sz w:val="21"/>
                      <w:szCs w:val="21"/>
                      <w:lang w:val="en-US" w:eastAsia="zh-CN"/>
                    </w:rPr>
                    <w:t>/</w:t>
                  </w:r>
                </w:p>
              </w:tc>
              <w:tc>
                <w:tcPr>
                  <w:tcW w:w="431" w:type="pct"/>
                  <w:noWrap w:val="0"/>
                  <w:tcMar>
                    <w:top w:w="15" w:type="dxa"/>
                    <w:left w:w="15" w:type="dxa"/>
                    <w:bottom w:w="0" w:type="dxa"/>
                    <w:right w:w="15" w:type="dxa"/>
                  </w:tcMar>
                  <w:vAlign w:val="center"/>
                </w:tcPr>
                <w:p w14:paraId="4A050AD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3.29</w:t>
                  </w:r>
                </w:p>
              </w:tc>
              <w:tc>
                <w:tcPr>
                  <w:tcW w:w="385" w:type="pct"/>
                  <w:noWrap w:val="0"/>
                  <w:tcMar>
                    <w:top w:w="15" w:type="dxa"/>
                    <w:left w:w="15" w:type="dxa"/>
                    <w:bottom w:w="0" w:type="dxa"/>
                    <w:right w:w="15" w:type="dxa"/>
                  </w:tcMar>
                  <w:vAlign w:val="center"/>
                </w:tcPr>
                <w:p w14:paraId="1FE7C24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15.8</w:t>
                  </w:r>
                </w:p>
              </w:tc>
              <w:tc>
                <w:tcPr>
                  <w:tcW w:w="663" w:type="pct"/>
                  <w:vMerge w:val="continue"/>
                  <w:noWrap w:val="0"/>
                  <w:tcMar>
                    <w:top w:w="15" w:type="dxa"/>
                    <w:left w:w="15" w:type="dxa"/>
                    <w:bottom w:w="0" w:type="dxa"/>
                    <w:right w:w="15" w:type="dxa"/>
                  </w:tcMar>
                  <w:vAlign w:val="center"/>
                </w:tcPr>
                <w:p w14:paraId="3677B18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p>
              </w:tc>
              <w:tc>
                <w:tcPr>
                  <w:tcW w:w="246" w:type="pct"/>
                  <w:noWrap w:val="0"/>
                  <w:tcMar>
                    <w:top w:w="15" w:type="dxa"/>
                    <w:left w:w="15" w:type="dxa"/>
                    <w:bottom w:w="0" w:type="dxa"/>
                    <w:right w:w="15" w:type="dxa"/>
                  </w:tcMar>
                  <w:vAlign w:val="center"/>
                </w:tcPr>
                <w:p w14:paraId="2A8CE4F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lang w:val="en-US" w:eastAsia="zh-CN"/>
                    </w:rPr>
                    <w:t>是</w:t>
                  </w:r>
                </w:p>
              </w:tc>
              <w:tc>
                <w:tcPr>
                  <w:tcW w:w="409" w:type="pct"/>
                  <w:shd w:val="clear" w:color="auto" w:fill="auto"/>
                  <w:noWrap w:val="0"/>
                  <w:tcMar>
                    <w:top w:w="15" w:type="dxa"/>
                    <w:left w:w="15" w:type="dxa"/>
                    <w:bottom w:w="0" w:type="dxa"/>
                    <w:right w:w="15" w:type="dxa"/>
                  </w:tcMar>
                  <w:vAlign w:val="center"/>
                </w:tcPr>
                <w:p w14:paraId="22FD8130">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bidi="ar"/>
                    </w:rPr>
                  </w:pPr>
                  <w:r>
                    <w:rPr>
                      <w:rFonts w:hint="default" w:ascii="Times New Roman" w:hAnsi="Times New Roman" w:eastAsia="宋体" w:cs="Times New Roman"/>
                      <w:color w:val="auto"/>
                      <w:spacing w:val="0"/>
                      <w:w w:val="100"/>
                      <w:position w:val="0"/>
                      <w:sz w:val="21"/>
                      <w:szCs w:val="21"/>
                      <w:lang w:val="en-US" w:eastAsia="zh-CN" w:bidi="ar"/>
                    </w:rPr>
                    <w:t>19.75</w:t>
                  </w:r>
                </w:p>
              </w:tc>
              <w:tc>
                <w:tcPr>
                  <w:tcW w:w="384" w:type="pct"/>
                  <w:shd w:val="clear" w:color="auto" w:fill="auto"/>
                  <w:noWrap w:val="0"/>
                  <w:tcMar>
                    <w:top w:w="15" w:type="dxa"/>
                    <w:left w:w="15" w:type="dxa"/>
                    <w:bottom w:w="0" w:type="dxa"/>
                    <w:right w:w="15" w:type="dxa"/>
                  </w:tcMar>
                  <w:vAlign w:val="center"/>
                </w:tcPr>
                <w:p w14:paraId="51299078">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0.296</w:t>
                  </w:r>
                </w:p>
              </w:tc>
              <w:tc>
                <w:tcPr>
                  <w:tcW w:w="385" w:type="pct"/>
                  <w:shd w:val="clear" w:color="auto" w:fill="auto"/>
                  <w:noWrap w:val="0"/>
                  <w:tcMar>
                    <w:top w:w="15" w:type="dxa"/>
                    <w:left w:w="15" w:type="dxa"/>
                    <w:bottom w:w="0" w:type="dxa"/>
                    <w:right w:w="15" w:type="dxa"/>
                  </w:tcMar>
                  <w:vAlign w:val="center"/>
                </w:tcPr>
                <w:p w14:paraId="4322A273">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1.422</w:t>
                  </w:r>
                </w:p>
              </w:tc>
            </w:tr>
            <w:tr w14:paraId="3F9EC4C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jc w:val="right"/>
              </w:trPr>
              <w:tc>
                <w:tcPr>
                  <w:tcW w:w="599" w:type="pct"/>
                  <w:noWrap w:val="0"/>
                  <w:tcMar>
                    <w:top w:w="15" w:type="dxa"/>
                    <w:left w:w="15" w:type="dxa"/>
                    <w:bottom w:w="0" w:type="dxa"/>
                    <w:right w:w="15" w:type="dxa"/>
                  </w:tcMar>
                  <w:vAlign w:val="center"/>
                </w:tcPr>
                <w:p w14:paraId="525B0700">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清理废气</w:t>
                  </w:r>
                </w:p>
              </w:tc>
              <w:tc>
                <w:tcPr>
                  <w:tcW w:w="338" w:type="pct"/>
                  <w:noWrap w:val="0"/>
                  <w:tcMar>
                    <w:top w:w="15" w:type="dxa"/>
                    <w:left w:w="15" w:type="dxa"/>
                    <w:bottom w:w="0" w:type="dxa"/>
                    <w:right w:w="15" w:type="dxa"/>
                  </w:tcMar>
                  <w:vAlign w:val="center"/>
                </w:tcPr>
                <w:p w14:paraId="5732CF07">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颗粒物</w:t>
                  </w:r>
                </w:p>
              </w:tc>
              <w:tc>
                <w:tcPr>
                  <w:tcW w:w="354" w:type="pct"/>
                  <w:noWrap w:val="0"/>
                  <w:tcMar>
                    <w:top w:w="15" w:type="dxa"/>
                    <w:left w:w="15" w:type="dxa"/>
                    <w:bottom w:w="0" w:type="dxa"/>
                    <w:right w:w="15" w:type="dxa"/>
                  </w:tcMar>
                  <w:vAlign w:val="center"/>
                </w:tcPr>
                <w:p w14:paraId="4EEC34AE">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4800</w:t>
                  </w:r>
                </w:p>
              </w:tc>
              <w:tc>
                <w:tcPr>
                  <w:tcW w:w="351" w:type="pct"/>
                  <w:vMerge w:val="continue"/>
                  <w:noWrap w:val="0"/>
                  <w:tcMar>
                    <w:top w:w="15" w:type="dxa"/>
                    <w:left w:w="15" w:type="dxa"/>
                    <w:bottom w:w="0" w:type="dxa"/>
                    <w:right w:w="15" w:type="dxa"/>
                  </w:tcMar>
                  <w:vAlign w:val="center"/>
                </w:tcPr>
                <w:p w14:paraId="0D190934">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p>
              </w:tc>
              <w:tc>
                <w:tcPr>
                  <w:tcW w:w="451" w:type="pct"/>
                  <w:noWrap w:val="0"/>
                  <w:tcMar>
                    <w:top w:w="15" w:type="dxa"/>
                    <w:left w:w="15" w:type="dxa"/>
                    <w:bottom w:w="0" w:type="dxa"/>
                    <w:right w:w="15" w:type="dxa"/>
                  </w:tcMar>
                  <w:vAlign w:val="center"/>
                </w:tcPr>
                <w:p w14:paraId="6B508D2F">
                  <w:pPr>
                    <w:keepNext w:val="0"/>
                    <w:keepLines w:val="0"/>
                    <w:widowControl/>
                    <w:suppressLineNumbers w:val="0"/>
                    <w:spacing w:before="0" w:beforeAutospacing="0" w:after="0" w:afterAutospacing="0" w:line="240" w:lineRule="auto"/>
                    <w:ind w:left="0" w:leftChars="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bidi="ar"/>
                    </w:rPr>
                  </w:pPr>
                  <w:r>
                    <w:rPr>
                      <w:rFonts w:hint="eastAsia" w:ascii="Times New Roman" w:hAnsi="Times New Roman" w:eastAsia="宋体" w:cs="Times New Roman"/>
                      <w:color w:val="auto"/>
                      <w:spacing w:val="0"/>
                      <w:w w:val="100"/>
                      <w:position w:val="0"/>
                      <w:sz w:val="21"/>
                      <w:szCs w:val="21"/>
                      <w:lang w:val="en-US" w:eastAsia="zh-CN"/>
                    </w:rPr>
                    <w:t>/</w:t>
                  </w:r>
                </w:p>
              </w:tc>
              <w:tc>
                <w:tcPr>
                  <w:tcW w:w="431" w:type="pct"/>
                  <w:noWrap w:val="0"/>
                  <w:tcMar>
                    <w:top w:w="15" w:type="dxa"/>
                    <w:left w:w="15" w:type="dxa"/>
                    <w:bottom w:w="0" w:type="dxa"/>
                    <w:right w:w="15" w:type="dxa"/>
                  </w:tcMar>
                  <w:vAlign w:val="center"/>
                </w:tcPr>
                <w:p w14:paraId="652B626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0.9125</w:t>
                  </w:r>
                </w:p>
              </w:tc>
              <w:tc>
                <w:tcPr>
                  <w:tcW w:w="385" w:type="pct"/>
                  <w:noWrap w:val="0"/>
                  <w:tcMar>
                    <w:top w:w="15" w:type="dxa"/>
                    <w:left w:w="15" w:type="dxa"/>
                    <w:bottom w:w="0" w:type="dxa"/>
                    <w:right w:w="15" w:type="dxa"/>
                  </w:tcMar>
                  <w:vAlign w:val="center"/>
                </w:tcPr>
                <w:p w14:paraId="3D919FE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4.38</w:t>
                  </w:r>
                </w:p>
              </w:tc>
              <w:tc>
                <w:tcPr>
                  <w:tcW w:w="663" w:type="pct"/>
                  <w:vMerge w:val="continue"/>
                  <w:noWrap w:val="0"/>
                  <w:tcMar>
                    <w:top w:w="15" w:type="dxa"/>
                    <w:left w:w="15" w:type="dxa"/>
                    <w:bottom w:w="0" w:type="dxa"/>
                    <w:right w:w="15" w:type="dxa"/>
                  </w:tcMar>
                  <w:vAlign w:val="center"/>
                </w:tcPr>
                <w:p w14:paraId="2D68B01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p>
              </w:tc>
              <w:tc>
                <w:tcPr>
                  <w:tcW w:w="246" w:type="pct"/>
                  <w:noWrap w:val="0"/>
                  <w:tcMar>
                    <w:top w:w="15" w:type="dxa"/>
                    <w:left w:w="15" w:type="dxa"/>
                    <w:bottom w:w="0" w:type="dxa"/>
                    <w:right w:w="15" w:type="dxa"/>
                  </w:tcMar>
                  <w:vAlign w:val="center"/>
                </w:tcPr>
                <w:p w14:paraId="21CB510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lang w:val="en-US" w:eastAsia="zh-CN"/>
                    </w:rPr>
                    <w:t>是</w:t>
                  </w:r>
                </w:p>
              </w:tc>
              <w:tc>
                <w:tcPr>
                  <w:tcW w:w="409" w:type="pct"/>
                  <w:shd w:val="clear" w:color="auto" w:fill="auto"/>
                  <w:noWrap w:val="0"/>
                  <w:tcMar>
                    <w:top w:w="15" w:type="dxa"/>
                    <w:left w:w="15" w:type="dxa"/>
                    <w:bottom w:w="0" w:type="dxa"/>
                    <w:right w:w="15" w:type="dxa"/>
                  </w:tcMar>
                  <w:vAlign w:val="center"/>
                </w:tcPr>
                <w:p w14:paraId="7832B3E1">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bidi="ar"/>
                    </w:rPr>
                  </w:pPr>
                  <w:r>
                    <w:rPr>
                      <w:rFonts w:hint="default" w:ascii="Times New Roman" w:hAnsi="Times New Roman" w:eastAsia="宋体" w:cs="Times New Roman"/>
                      <w:color w:val="auto"/>
                      <w:spacing w:val="0"/>
                      <w:w w:val="100"/>
                      <w:position w:val="0"/>
                      <w:sz w:val="21"/>
                      <w:szCs w:val="21"/>
                      <w:lang w:val="en-US" w:eastAsia="zh-CN" w:bidi="ar"/>
                    </w:rPr>
                    <w:t>16.425</w:t>
                  </w:r>
                </w:p>
              </w:tc>
              <w:tc>
                <w:tcPr>
                  <w:tcW w:w="384" w:type="pct"/>
                  <w:shd w:val="clear" w:color="auto" w:fill="auto"/>
                  <w:noWrap w:val="0"/>
                  <w:tcMar>
                    <w:top w:w="15" w:type="dxa"/>
                    <w:left w:w="15" w:type="dxa"/>
                    <w:bottom w:w="0" w:type="dxa"/>
                    <w:right w:w="15" w:type="dxa"/>
                  </w:tcMar>
                  <w:vAlign w:val="center"/>
                </w:tcPr>
                <w:p w14:paraId="48C790D4">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0.082</w:t>
                  </w:r>
                </w:p>
              </w:tc>
              <w:tc>
                <w:tcPr>
                  <w:tcW w:w="385" w:type="pct"/>
                  <w:shd w:val="clear" w:color="auto" w:fill="auto"/>
                  <w:noWrap w:val="0"/>
                  <w:tcMar>
                    <w:top w:w="15" w:type="dxa"/>
                    <w:left w:w="15" w:type="dxa"/>
                    <w:bottom w:w="0" w:type="dxa"/>
                    <w:right w:w="15" w:type="dxa"/>
                  </w:tcMar>
                  <w:vAlign w:val="center"/>
                </w:tcPr>
                <w:p w14:paraId="00AC4C3C">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0.3942</w:t>
                  </w:r>
                </w:p>
              </w:tc>
            </w:tr>
            <w:tr w14:paraId="27AB46B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jc w:val="right"/>
              </w:trPr>
              <w:tc>
                <w:tcPr>
                  <w:tcW w:w="599" w:type="pct"/>
                  <w:vMerge w:val="restart"/>
                  <w:noWrap w:val="0"/>
                  <w:tcMar>
                    <w:top w:w="15" w:type="dxa"/>
                    <w:left w:w="15" w:type="dxa"/>
                    <w:bottom w:w="0" w:type="dxa"/>
                    <w:right w:w="15" w:type="dxa"/>
                  </w:tcMar>
                  <w:vAlign w:val="center"/>
                </w:tcPr>
                <w:p w14:paraId="568C73FA">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无组织废气</w:t>
                  </w:r>
                </w:p>
              </w:tc>
              <w:tc>
                <w:tcPr>
                  <w:tcW w:w="338" w:type="pct"/>
                  <w:noWrap w:val="0"/>
                  <w:tcMar>
                    <w:top w:w="15" w:type="dxa"/>
                    <w:left w:w="15" w:type="dxa"/>
                    <w:bottom w:w="0" w:type="dxa"/>
                    <w:right w:w="15" w:type="dxa"/>
                  </w:tcMar>
                  <w:vAlign w:val="center"/>
                </w:tcPr>
                <w:p w14:paraId="474A0357">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颗粒物</w:t>
                  </w:r>
                </w:p>
              </w:tc>
              <w:tc>
                <w:tcPr>
                  <w:tcW w:w="354" w:type="pct"/>
                  <w:vMerge w:val="restart"/>
                  <w:noWrap w:val="0"/>
                  <w:tcMar>
                    <w:top w:w="15" w:type="dxa"/>
                    <w:left w:w="15" w:type="dxa"/>
                    <w:bottom w:w="0" w:type="dxa"/>
                    <w:right w:w="15" w:type="dxa"/>
                  </w:tcMar>
                  <w:vAlign w:val="center"/>
                </w:tcPr>
                <w:p w14:paraId="54CD702B">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4800</w:t>
                  </w:r>
                </w:p>
              </w:tc>
              <w:tc>
                <w:tcPr>
                  <w:tcW w:w="351" w:type="pct"/>
                  <w:vMerge w:val="restart"/>
                  <w:noWrap w:val="0"/>
                  <w:tcMar>
                    <w:top w:w="15" w:type="dxa"/>
                    <w:left w:w="15" w:type="dxa"/>
                    <w:bottom w:w="0" w:type="dxa"/>
                    <w:right w:w="15" w:type="dxa"/>
                  </w:tcMar>
                  <w:vAlign w:val="center"/>
                </w:tcPr>
                <w:p w14:paraId="6864F048">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eastAsia="zh-CN"/>
                    </w:rPr>
                  </w:pPr>
                  <w:r>
                    <w:rPr>
                      <w:rFonts w:hint="default" w:ascii="Times New Roman" w:hAnsi="Times New Roman" w:eastAsia="宋体" w:cs="Times New Roman"/>
                      <w:color w:val="auto"/>
                      <w:spacing w:val="0"/>
                      <w:w w:val="100"/>
                      <w:position w:val="0"/>
                      <w:sz w:val="21"/>
                      <w:szCs w:val="21"/>
                      <w:lang w:val="en-US" w:eastAsia="zh-CN"/>
                    </w:rPr>
                    <w:t>/</w:t>
                  </w:r>
                </w:p>
              </w:tc>
              <w:tc>
                <w:tcPr>
                  <w:tcW w:w="451" w:type="pct"/>
                  <w:vMerge w:val="restart"/>
                  <w:noWrap w:val="0"/>
                  <w:tcMar>
                    <w:top w:w="15" w:type="dxa"/>
                    <w:left w:w="15" w:type="dxa"/>
                    <w:bottom w:w="0" w:type="dxa"/>
                    <w:right w:w="15" w:type="dxa"/>
                  </w:tcMar>
                  <w:vAlign w:val="center"/>
                </w:tcPr>
                <w:p w14:paraId="3E4C1063">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bidi="ar"/>
                    </w:rPr>
                  </w:pPr>
                  <w:r>
                    <w:rPr>
                      <w:rFonts w:hint="default" w:ascii="Times New Roman" w:hAnsi="Times New Roman" w:eastAsia="宋体" w:cs="Times New Roman"/>
                      <w:color w:val="auto"/>
                      <w:spacing w:val="0"/>
                      <w:w w:val="100"/>
                      <w:position w:val="0"/>
                      <w:sz w:val="21"/>
                      <w:szCs w:val="21"/>
                      <w:lang w:val="en-US" w:eastAsia="zh-CN" w:bidi="ar"/>
                    </w:rPr>
                    <w:t>/</w:t>
                  </w:r>
                </w:p>
              </w:tc>
              <w:tc>
                <w:tcPr>
                  <w:tcW w:w="431" w:type="pct"/>
                  <w:noWrap w:val="0"/>
                  <w:tcMar>
                    <w:top w:w="15" w:type="dxa"/>
                    <w:left w:w="15" w:type="dxa"/>
                    <w:bottom w:w="0" w:type="dxa"/>
                    <w:right w:w="15" w:type="dxa"/>
                  </w:tcMar>
                  <w:vAlign w:val="center"/>
                </w:tcPr>
                <w:p w14:paraId="4C3E919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0.48</w:t>
                  </w:r>
                </w:p>
              </w:tc>
              <w:tc>
                <w:tcPr>
                  <w:tcW w:w="385" w:type="pct"/>
                  <w:noWrap w:val="0"/>
                  <w:tcMar>
                    <w:top w:w="15" w:type="dxa"/>
                    <w:left w:w="15" w:type="dxa"/>
                    <w:bottom w:w="0" w:type="dxa"/>
                    <w:right w:w="15" w:type="dxa"/>
                  </w:tcMar>
                  <w:vAlign w:val="center"/>
                </w:tcPr>
                <w:p w14:paraId="13D445F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2.3072</w:t>
                  </w:r>
                </w:p>
              </w:tc>
              <w:tc>
                <w:tcPr>
                  <w:tcW w:w="663" w:type="pct"/>
                  <w:vMerge w:val="restart"/>
                  <w:noWrap w:val="0"/>
                  <w:tcMar>
                    <w:top w:w="15" w:type="dxa"/>
                    <w:left w:w="15" w:type="dxa"/>
                    <w:bottom w:w="0" w:type="dxa"/>
                    <w:right w:w="15" w:type="dxa"/>
                  </w:tcMar>
                  <w:vAlign w:val="center"/>
                </w:tcPr>
                <w:p w14:paraId="3C070FC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lang w:val="en-US" w:eastAsia="zh-CN"/>
                    </w:rPr>
                    <w:t>车间封闭</w:t>
                  </w:r>
                </w:p>
              </w:tc>
              <w:tc>
                <w:tcPr>
                  <w:tcW w:w="246" w:type="pct"/>
                  <w:vMerge w:val="restart"/>
                  <w:noWrap w:val="0"/>
                  <w:tcMar>
                    <w:top w:w="15" w:type="dxa"/>
                    <w:left w:w="15" w:type="dxa"/>
                    <w:bottom w:w="0" w:type="dxa"/>
                    <w:right w:w="15" w:type="dxa"/>
                  </w:tcMar>
                  <w:vAlign w:val="center"/>
                </w:tcPr>
                <w:p w14:paraId="14D6EE5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是</w:t>
                  </w:r>
                </w:p>
              </w:tc>
              <w:tc>
                <w:tcPr>
                  <w:tcW w:w="409" w:type="pct"/>
                  <w:vMerge w:val="restart"/>
                  <w:shd w:val="clear" w:color="auto" w:fill="auto"/>
                  <w:noWrap w:val="0"/>
                  <w:tcMar>
                    <w:top w:w="15" w:type="dxa"/>
                    <w:left w:w="15" w:type="dxa"/>
                    <w:bottom w:w="0" w:type="dxa"/>
                    <w:right w:w="15" w:type="dxa"/>
                  </w:tcMar>
                  <w:vAlign w:val="center"/>
                </w:tcPr>
                <w:p w14:paraId="5241E31D">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bidi="ar"/>
                    </w:rPr>
                  </w:pPr>
                  <w:r>
                    <w:rPr>
                      <w:rFonts w:hint="default" w:ascii="Times New Roman" w:hAnsi="Times New Roman" w:eastAsia="宋体" w:cs="Times New Roman"/>
                      <w:color w:val="auto"/>
                      <w:spacing w:val="0"/>
                      <w:w w:val="100"/>
                      <w:position w:val="0"/>
                      <w:sz w:val="21"/>
                      <w:szCs w:val="21"/>
                      <w:lang w:val="en-US" w:eastAsia="zh-CN" w:bidi="ar"/>
                    </w:rPr>
                    <w:t>/</w:t>
                  </w:r>
                </w:p>
              </w:tc>
              <w:tc>
                <w:tcPr>
                  <w:tcW w:w="384" w:type="pct"/>
                  <w:shd w:val="clear" w:color="auto" w:fill="auto"/>
                  <w:noWrap w:val="0"/>
                  <w:tcMar>
                    <w:top w:w="15" w:type="dxa"/>
                    <w:left w:w="15" w:type="dxa"/>
                    <w:bottom w:w="0" w:type="dxa"/>
                    <w:right w:w="15" w:type="dxa"/>
                  </w:tcMar>
                  <w:vAlign w:val="center"/>
                </w:tcPr>
                <w:p w14:paraId="3D1440A9">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0.481</w:t>
                  </w:r>
                </w:p>
              </w:tc>
              <w:tc>
                <w:tcPr>
                  <w:tcW w:w="385" w:type="pct"/>
                  <w:shd w:val="clear" w:color="auto" w:fill="auto"/>
                  <w:noWrap w:val="0"/>
                  <w:tcMar>
                    <w:top w:w="15" w:type="dxa"/>
                    <w:left w:w="15" w:type="dxa"/>
                    <w:bottom w:w="0" w:type="dxa"/>
                    <w:right w:w="15" w:type="dxa"/>
                  </w:tcMar>
                  <w:vAlign w:val="center"/>
                </w:tcPr>
                <w:p w14:paraId="2D518A3D">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2.3072</w:t>
                  </w:r>
                </w:p>
              </w:tc>
            </w:tr>
            <w:tr w14:paraId="1B2CE60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jc w:val="right"/>
              </w:trPr>
              <w:tc>
                <w:tcPr>
                  <w:tcW w:w="599" w:type="pct"/>
                  <w:vMerge w:val="continue"/>
                  <w:noWrap w:val="0"/>
                  <w:tcMar>
                    <w:top w:w="15" w:type="dxa"/>
                    <w:left w:w="15" w:type="dxa"/>
                    <w:bottom w:w="0" w:type="dxa"/>
                    <w:right w:w="15" w:type="dxa"/>
                  </w:tcMar>
                  <w:vAlign w:val="center"/>
                </w:tcPr>
                <w:p w14:paraId="706EA460">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rPr>
                  </w:pPr>
                </w:p>
              </w:tc>
              <w:tc>
                <w:tcPr>
                  <w:tcW w:w="338" w:type="pct"/>
                  <w:noWrap w:val="0"/>
                  <w:tcMar>
                    <w:top w:w="15" w:type="dxa"/>
                    <w:left w:w="15" w:type="dxa"/>
                    <w:bottom w:w="0" w:type="dxa"/>
                    <w:right w:w="15" w:type="dxa"/>
                  </w:tcMar>
                  <w:vAlign w:val="center"/>
                </w:tcPr>
                <w:p w14:paraId="60271479">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b w:val="0"/>
                      <w:bCs w:val="0"/>
                      <w:color w:val="auto"/>
                      <w:spacing w:val="0"/>
                      <w:w w:val="100"/>
                      <w:kern w:val="0"/>
                      <w:position w:val="0"/>
                      <w:sz w:val="21"/>
                      <w:szCs w:val="21"/>
                      <w:lang w:val="en-US" w:eastAsia="zh-CN"/>
                    </w:rPr>
                    <w:t>非甲烷总烃</w:t>
                  </w:r>
                </w:p>
              </w:tc>
              <w:tc>
                <w:tcPr>
                  <w:tcW w:w="354" w:type="pct"/>
                  <w:vMerge w:val="continue"/>
                  <w:noWrap w:val="0"/>
                  <w:tcMar>
                    <w:top w:w="15" w:type="dxa"/>
                    <w:left w:w="15" w:type="dxa"/>
                    <w:bottom w:w="0" w:type="dxa"/>
                    <w:right w:w="15" w:type="dxa"/>
                  </w:tcMar>
                  <w:vAlign w:val="center"/>
                </w:tcPr>
                <w:p w14:paraId="7715D717">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p>
              </w:tc>
              <w:tc>
                <w:tcPr>
                  <w:tcW w:w="351" w:type="pct"/>
                  <w:vMerge w:val="continue"/>
                  <w:noWrap w:val="0"/>
                  <w:tcMar>
                    <w:top w:w="15" w:type="dxa"/>
                    <w:left w:w="15" w:type="dxa"/>
                    <w:bottom w:w="0" w:type="dxa"/>
                    <w:right w:w="15" w:type="dxa"/>
                  </w:tcMar>
                  <w:vAlign w:val="center"/>
                </w:tcPr>
                <w:p w14:paraId="58A9254B">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eastAsia="zh-CN"/>
                    </w:rPr>
                  </w:pPr>
                </w:p>
              </w:tc>
              <w:tc>
                <w:tcPr>
                  <w:tcW w:w="451" w:type="pct"/>
                  <w:vMerge w:val="continue"/>
                  <w:noWrap w:val="0"/>
                  <w:tcMar>
                    <w:top w:w="15" w:type="dxa"/>
                    <w:left w:w="15" w:type="dxa"/>
                    <w:bottom w:w="0" w:type="dxa"/>
                    <w:right w:w="15" w:type="dxa"/>
                  </w:tcMar>
                  <w:vAlign w:val="center"/>
                </w:tcPr>
                <w:p w14:paraId="6B1EFC41">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bidi="ar"/>
                    </w:rPr>
                  </w:pPr>
                </w:p>
              </w:tc>
              <w:tc>
                <w:tcPr>
                  <w:tcW w:w="431" w:type="pct"/>
                  <w:noWrap w:val="0"/>
                  <w:tcMar>
                    <w:top w:w="15" w:type="dxa"/>
                    <w:left w:w="15" w:type="dxa"/>
                    <w:bottom w:w="0" w:type="dxa"/>
                    <w:right w:w="15" w:type="dxa"/>
                  </w:tcMar>
                  <w:vAlign w:val="center"/>
                </w:tcPr>
                <w:p w14:paraId="50C91FC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0.0231</w:t>
                  </w:r>
                </w:p>
              </w:tc>
              <w:tc>
                <w:tcPr>
                  <w:tcW w:w="385" w:type="pct"/>
                  <w:noWrap w:val="0"/>
                  <w:tcMar>
                    <w:top w:w="15" w:type="dxa"/>
                    <w:left w:w="15" w:type="dxa"/>
                    <w:bottom w:w="0" w:type="dxa"/>
                    <w:right w:w="15" w:type="dxa"/>
                  </w:tcMar>
                  <w:vAlign w:val="center"/>
                </w:tcPr>
                <w:p w14:paraId="3FBBCBC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0.1106</w:t>
                  </w:r>
                </w:p>
              </w:tc>
              <w:tc>
                <w:tcPr>
                  <w:tcW w:w="663" w:type="pct"/>
                  <w:vMerge w:val="continue"/>
                  <w:noWrap w:val="0"/>
                  <w:tcMar>
                    <w:top w:w="15" w:type="dxa"/>
                    <w:left w:w="15" w:type="dxa"/>
                    <w:bottom w:w="0" w:type="dxa"/>
                    <w:right w:w="15" w:type="dxa"/>
                  </w:tcMar>
                  <w:vAlign w:val="center"/>
                </w:tcPr>
                <w:p w14:paraId="037EDBB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p>
              </w:tc>
              <w:tc>
                <w:tcPr>
                  <w:tcW w:w="246" w:type="pct"/>
                  <w:vMerge w:val="continue"/>
                  <w:noWrap w:val="0"/>
                  <w:tcMar>
                    <w:top w:w="15" w:type="dxa"/>
                    <w:left w:w="15" w:type="dxa"/>
                    <w:bottom w:w="0" w:type="dxa"/>
                    <w:right w:w="15" w:type="dxa"/>
                  </w:tcMar>
                  <w:vAlign w:val="center"/>
                </w:tcPr>
                <w:p w14:paraId="45D83D9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p>
              </w:tc>
              <w:tc>
                <w:tcPr>
                  <w:tcW w:w="409" w:type="pct"/>
                  <w:vMerge w:val="continue"/>
                  <w:shd w:val="clear" w:color="auto" w:fill="auto"/>
                  <w:noWrap w:val="0"/>
                  <w:tcMar>
                    <w:top w:w="15" w:type="dxa"/>
                    <w:left w:w="15" w:type="dxa"/>
                    <w:bottom w:w="0" w:type="dxa"/>
                    <w:right w:w="15" w:type="dxa"/>
                  </w:tcMar>
                  <w:vAlign w:val="center"/>
                </w:tcPr>
                <w:p w14:paraId="10AD4F70">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bidi="ar"/>
                    </w:rPr>
                  </w:pPr>
                </w:p>
              </w:tc>
              <w:tc>
                <w:tcPr>
                  <w:tcW w:w="384" w:type="pct"/>
                  <w:shd w:val="clear" w:color="auto" w:fill="auto"/>
                  <w:noWrap w:val="0"/>
                  <w:tcMar>
                    <w:top w:w="15" w:type="dxa"/>
                    <w:left w:w="15" w:type="dxa"/>
                    <w:bottom w:w="0" w:type="dxa"/>
                    <w:right w:w="15" w:type="dxa"/>
                  </w:tcMar>
                  <w:vAlign w:val="center"/>
                </w:tcPr>
                <w:p w14:paraId="4770C945">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0.0231</w:t>
                  </w:r>
                </w:p>
              </w:tc>
              <w:tc>
                <w:tcPr>
                  <w:tcW w:w="385" w:type="pct"/>
                  <w:shd w:val="clear" w:color="auto" w:fill="auto"/>
                  <w:noWrap w:val="0"/>
                  <w:tcMar>
                    <w:top w:w="15" w:type="dxa"/>
                    <w:left w:w="15" w:type="dxa"/>
                    <w:bottom w:w="0" w:type="dxa"/>
                    <w:right w:w="15" w:type="dxa"/>
                  </w:tcMar>
                  <w:vAlign w:val="center"/>
                </w:tcPr>
                <w:p w14:paraId="2D6BF700">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0.1106</w:t>
                  </w:r>
                </w:p>
              </w:tc>
            </w:tr>
          </w:tbl>
          <w:p w14:paraId="371022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2" w:firstLineChars="200"/>
              <w:textAlignment w:val="auto"/>
              <w:rPr>
                <w:rFonts w:hint="default" w:ascii="Times New Roman" w:hAnsi="Times New Roman" w:eastAsia="宋体" w:cs="Times New Roman"/>
                <w:color w:val="auto"/>
                <w:spacing w:val="0"/>
                <w:w w:val="100"/>
                <w:position w:val="0"/>
                <w:sz w:val="24"/>
              </w:rPr>
            </w:pPr>
            <w:r>
              <w:rPr>
                <w:rFonts w:hint="default" w:ascii="Times New Roman" w:hAnsi="Times New Roman" w:eastAsia="宋体" w:cs="Times New Roman"/>
                <w:b/>
                <w:bCs/>
                <w:color w:val="auto"/>
                <w:spacing w:val="0"/>
                <w:w w:val="100"/>
                <w:position w:val="0"/>
                <w:sz w:val="24"/>
              </w:rPr>
              <w:t>1.2废气治理措施可行性分析</w:t>
            </w:r>
          </w:p>
          <w:p w14:paraId="57946E92">
            <w:pPr>
              <w:pStyle w:val="127"/>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360" w:lineRule="auto"/>
              <w:ind w:left="0" w:right="0" w:firstLine="480" w:firstLineChars="200"/>
              <w:jc w:val="both"/>
              <w:rPr>
                <w:rFonts w:hint="default" w:ascii="Times New Roman" w:hAnsi="Times New Roman" w:eastAsia="宋体" w:cs="Times New Roman"/>
                <w:b w:val="0"/>
                <w:bCs/>
                <w:color w:val="auto"/>
                <w:spacing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lang w:val="en-US" w:eastAsia="zh-CN"/>
              </w:rPr>
              <w:t>本项目产生的</w:t>
            </w:r>
            <w:r>
              <w:rPr>
                <w:rFonts w:hint="eastAsia" w:ascii="Times New Roman" w:hAnsi="Times New Roman" w:eastAsia="宋体" w:cs="Times New Roman"/>
                <w:color w:val="auto"/>
                <w:spacing w:val="0"/>
                <w:w w:val="100"/>
                <w:position w:val="0"/>
                <w:sz w:val="24"/>
                <w:szCs w:val="24"/>
                <w:lang w:val="en-US" w:eastAsia="zh-CN"/>
              </w:rPr>
              <w:t>制模废气、</w:t>
            </w:r>
            <w:r>
              <w:rPr>
                <w:rFonts w:hint="default" w:ascii="Times New Roman" w:hAnsi="Times New Roman" w:eastAsia="宋体" w:cs="Times New Roman"/>
                <w:color w:val="auto"/>
                <w:spacing w:val="0"/>
                <w:w w:val="100"/>
                <w:position w:val="0"/>
                <w:sz w:val="24"/>
                <w:szCs w:val="24"/>
                <w:lang w:val="en-US" w:eastAsia="zh-CN"/>
              </w:rPr>
              <w:t>熔化废气、造型/浇注废气、落砂废气和清理废气（抛丸废气、机加工废气）经集气罩分别收集后统一经1套布袋除尘器+1套二级活性炭吸附处理达标后经一根15m 排气筒（DA001）排放，共用风机风量 20000 m³/h，除尘效率按90%计</w:t>
            </w:r>
            <w:r>
              <w:rPr>
                <w:rFonts w:hint="default" w:ascii="Times New Roman" w:hAnsi="Times New Roman" w:eastAsia="宋体" w:cs="Times New Roman"/>
                <w:b w:val="0"/>
                <w:bCs/>
                <w:color w:val="auto"/>
                <w:spacing w:val="0"/>
                <w:sz w:val="24"/>
                <w:szCs w:val="24"/>
                <w:highlight w:val="none"/>
                <w:lang w:val="en-US" w:eastAsia="zh-CN"/>
              </w:rPr>
              <w:t>。</w:t>
            </w:r>
          </w:p>
          <w:p w14:paraId="14783E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color w:val="auto"/>
                <w:spacing w:val="0"/>
                <w:sz w:val="24"/>
                <w:szCs w:val="24"/>
                <w:highlight w:val="none"/>
                <w:lang w:val="en-US" w:eastAsia="zh-CN"/>
              </w:rPr>
            </w:pPr>
            <w:r>
              <w:rPr>
                <w:rFonts w:hint="default" w:ascii="Times New Roman" w:hAnsi="Times New Roman" w:eastAsia="宋体" w:cs="Times New Roman"/>
                <w:b w:val="0"/>
                <w:bCs/>
                <w:color w:val="auto"/>
                <w:spacing w:val="0"/>
                <w:sz w:val="24"/>
                <w:szCs w:val="24"/>
                <w:highlight w:val="none"/>
                <w:lang w:val="en-US" w:eastAsia="zh-CN"/>
              </w:rPr>
              <w:t>①项目为C3391黑色金属铸造，所采用的袋式除尘器、二级活性炭吸附吸附装置等工艺均为《排污许可证申请与核发技术规范 总则》（HJ942-2018）、《排污许可证申请与核发技术规范金属铸造工业》（HJ1115-2020）、《铸造工业大气污染防治可行技术指南》(HJ1292-2023)中所推荐的可行技术。项目所采用的布袋除尘器、活性炭吸附效率参考《排放源统计调查产排污核算方法和系数手册》（2021年6月9日）中“工业源产排污核算方法和系数手册”附表1-工业行业产排污系数手册中“33金属制品业、34通用设备制造业、35专用设备制造业、36汽车制造业、37铁路、船舶、航空航天和其他运输设备制造业、431金属制品修理、432通用设备修理、433专用设备修理、434铁路、船舶、航空航天等运输设备修理（不包括电镀工艺）行业系数手册”中袋式除尘去除效率为95%；活性炭吸附效率为18%；因此，项目脉冲布袋除尘器、布袋除尘器除尘效率取90%；活性炭去除效率取取18%，二级活性炭吸附总去除效率为32.76%；可行。综上，项目所采用的布袋除尘器除尘、二级活性炭吸附装置具有实施可行性。</w:t>
            </w:r>
            <w:bookmarkStart w:id="144" w:name="_GoBack"/>
            <w:bookmarkEnd w:id="144"/>
          </w:p>
          <w:p w14:paraId="7C7370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eastAsia="宋体" w:cs="Times New Roman"/>
                <w:b w:val="0"/>
                <w:bCs/>
                <w:color w:val="auto"/>
                <w:spacing w:val="0"/>
                <w:sz w:val="24"/>
                <w:szCs w:val="24"/>
                <w:highlight w:val="none"/>
                <w:lang w:val="en-US" w:eastAsia="zh-CN"/>
              </w:rPr>
            </w:pPr>
            <w:r>
              <w:rPr>
                <w:rFonts w:hint="default" w:ascii="Times New Roman" w:hAnsi="Times New Roman" w:eastAsia="宋体" w:cs="Times New Roman"/>
                <w:b w:val="0"/>
                <w:bCs/>
                <w:color w:val="auto"/>
                <w:spacing w:val="0"/>
                <w:sz w:val="24"/>
                <w:szCs w:val="24"/>
                <w:highlight w:val="none"/>
                <w:lang w:val="en-US" w:eastAsia="zh-CN"/>
              </w:rPr>
              <w:t>综上，项目所采用的废气污染防治措施，均具有实施可行性。</w:t>
            </w:r>
          </w:p>
          <w:p w14:paraId="5195AE69">
            <w:pPr>
              <w:keepNext w:val="0"/>
              <w:keepLines w:val="0"/>
              <w:suppressLineNumbers w:val="0"/>
              <w:adjustRightInd/>
              <w:snapToGrid/>
              <w:spacing w:before="0" w:beforeAutospacing="0" w:after="0" w:afterAutospacing="0"/>
              <w:ind w:left="0" w:right="0" w:firstLine="482"/>
              <w:contextualSpacing/>
              <w:rPr>
                <w:rFonts w:hint="default" w:ascii="Times New Roman" w:hAnsi="Times New Roman" w:eastAsia="宋体" w:cs="Times New Roman"/>
                <w:b/>
                <w:color w:val="auto"/>
                <w:spacing w:val="0"/>
                <w:w w:val="100"/>
                <w:position w:val="0"/>
                <w:sz w:val="24"/>
              </w:rPr>
            </w:pPr>
            <w:r>
              <w:rPr>
                <w:rFonts w:hint="default" w:ascii="Times New Roman" w:hAnsi="Times New Roman" w:eastAsia="宋体" w:cs="Times New Roman"/>
                <w:b/>
                <w:color w:val="auto"/>
                <w:spacing w:val="0"/>
                <w:w w:val="100"/>
                <w:position w:val="0"/>
                <w:sz w:val="24"/>
              </w:rPr>
              <w:t>1.</w:t>
            </w:r>
            <w:r>
              <w:rPr>
                <w:rFonts w:hint="default" w:ascii="Times New Roman" w:hAnsi="Times New Roman" w:eastAsia="宋体" w:cs="Times New Roman"/>
                <w:b/>
                <w:color w:val="auto"/>
                <w:spacing w:val="0"/>
                <w:w w:val="100"/>
                <w:position w:val="0"/>
                <w:sz w:val="24"/>
                <w:lang w:val="en-US" w:eastAsia="zh-CN"/>
              </w:rPr>
              <w:t>3</w:t>
            </w:r>
            <w:r>
              <w:rPr>
                <w:rFonts w:hint="default" w:ascii="Times New Roman" w:hAnsi="Times New Roman" w:eastAsia="宋体" w:cs="Times New Roman"/>
                <w:b/>
                <w:color w:val="auto"/>
                <w:spacing w:val="0"/>
                <w:w w:val="100"/>
                <w:position w:val="0"/>
                <w:sz w:val="24"/>
              </w:rPr>
              <w:t>废气排放口基本情况及执行标准</w:t>
            </w:r>
          </w:p>
          <w:p w14:paraId="7BAF31C7">
            <w:pPr>
              <w:keepNext w:val="0"/>
              <w:keepLines w:val="0"/>
              <w:suppressLineNumbers w:val="0"/>
              <w:adjustRightInd/>
              <w:snapToGrid/>
              <w:spacing w:before="0" w:beforeAutospacing="0" w:after="0" w:afterAutospacing="0"/>
              <w:ind w:left="0" w:right="0" w:firstLine="480"/>
              <w:jc w:val="left"/>
              <w:rPr>
                <w:rFonts w:hint="default" w:ascii="Times New Roman" w:hAnsi="Times New Roman" w:eastAsia="宋体" w:cs="Times New Roman"/>
                <w:color w:val="auto"/>
                <w:spacing w:val="0"/>
                <w:w w:val="100"/>
                <w:position w:val="0"/>
                <w:sz w:val="24"/>
                <w:lang w:val="en-US" w:eastAsia="zh-CN"/>
              </w:rPr>
            </w:pPr>
            <w:r>
              <w:rPr>
                <w:rFonts w:hint="default" w:ascii="Times New Roman" w:hAnsi="Times New Roman" w:eastAsia="宋体" w:cs="Times New Roman"/>
                <w:color w:val="auto"/>
                <w:spacing w:val="0"/>
                <w:w w:val="100"/>
                <w:position w:val="0"/>
                <w:sz w:val="24"/>
              </w:rPr>
              <w:t>①根据《</w:t>
            </w:r>
            <w:r>
              <w:rPr>
                <w:rFonts w:hint="default" w:ascii="Times New Roman" w:hAnsi="Times New Roman" w:eastAsia="宋体" w:cs="Times New Roman"/>
                <w:color w:val="auto"/>
                <w:spacing w:val="0"/>
                <w:w w:val="100"/>
                <w:position w:val="0"/>
                <w:sz w:val="24"/>
                <w:lang w:val="en-US" w:eastAsia="zh-CN"/>
              </w:rPr>
              <w:t>铸造工业大气污染物</w:t>
            </w:r>
            <w:r>
              <w:rPr>
                <w:rFonts w:hint="default" w:ascii="Times New Roman" w:hAnsi="Times New Roman" w:eastAsia="宋体" w:cs="Times New Roman"/>
                <w:color w:val="auto"/>
                <w:spacing w:val="0"/>
                <w:w w:val="100"/>
                <w:position w:val="0"/>
                <w:sz w:val="24"/>
              </w:rPr>
              <w:t>排放标准》（GB</w:t>
            </w:r>
            <w:r>
              <w:rPr>
                <w:rFonts w:hint="default" w:ascii="Times New Roman" w:hAnsi="Times New Roman" w:eastAsia="宋体" w:cs="Times New Roman"/>
                <w:color w:val="auto"/>
                <w:spacing w:val="0"/>
                <w:w w:val="100"/>
                <w:position w:val="0"/>
                <w:sz w:val="24"/>
                <w:lang w:val="en-US" w:eastAsia="zh-CN"/>
              </w:rPr>
              <w:t>39726-2020</w:t>
            </w:r>
            <w:r>
              <w:rPr>
                <w:rFonts w:hint="default" w:ascii="Times New Roman" w:hAnsi="Times New Roman" w:eastAsia="宋体" w:cs="Times New Roman"/>
                <w:color w:val="auto"/>
                <w:spacing w:val="0"/>
                <w:w w:val="100"/>
                <w:position w:val="0"/>
                <w:sz w:val="24"/>
              </w:rPr>
              <w:t>）“</w:t>
            </w:r>
            <w:r>
              <w:rPr>
                <w:rFonts w:hint="default" w:ascii="Times New Roman" w:hAnsi="Times New Roman" w:eastAsia="宋体" w:cs="Times New Roman"/>
                <w:color w:val="auto"/>
                <w:spacing w:val="0"/>
                <w:w w:val="100"/>
                <w:position w:val="0"/>
                <w:sz w:val="24"/>
                <w:lang w:val="en-US" w:eastAsia="zh-CN"/>
              </w:rPr>
              <w:t>4.7</w:t>
            </w:r>
            <w:r>
              <w:rPr>
                <w:rFonts w:hint="default" w:ascii="Times New Roman" w:hAnsi="Times New Roman" w:eastAsia="宋体" w:cs="Times New Roman"/>
                <w:color w:val="auto"/>
                <w:spacing w:val="0"/>
                <w:w w:val="100"/>
                <w:position w:val="0"/>
                <w:sz w:val="24"/>
              </w:rPr>
              <w:t xml:space="preserve"> </w:t>
            </w:r>
            <w:r>
              <w:rPr>
                <w:rFonts w:hint="default" w:ascii="Times New Roman" w:hAnsi="Times New Roman" w:eastAsia="宋体" w:cs="Times New Roman"/>
                <w:color w:val="auto"/>
                <w:spacing w:val="0"/>
                <w:w w:val="100"/>
                <w:position w:val="0"/>
                <w:sz w:val="24"/>
                <w:lang w:val="en-US" w:eastAsia="zh-CN"/>
              </w:rPr>
              <w:t>除移动式除尘设备外，其他车间或生产设施排气筒高度不低于15m，具体高度以及周围建筑物的相对高度关系硬根据环境影响评价文件确定</w:t>
            </w:r>
            <w:r>
              <w:rPr>
                <w:rFonts w:hint="default" w:ascii="Times New Roman" w:hAnsi="Times New Roman" w:eastAsia="宋体" w:cs="Times New Roman"/>
                <w:color w:val="auto"/>
                <w:spacing w:val="0"/>
                <w:w w:val="100"/>
                <w:position w:val="0"/>
                <w:sz w:val="24"/>
              </w:rPr>
              <w:t>”。</w:t>
            </w:r>
            <w:r>
              <w:rPr>
                <w:rFonts w:hint="default" w:ascii="Times New Roman" w:hAnsi="Times New Roman" w:eastAsia="宋体" w:cs="Times New Roman"/>
                <w:color w:val="auto"/>
                <w:spacing w:val="0"/>
                <w:w w:val="100"/>
                <w:position w:val="0"/>
                <w:sz w:val="24"/>
                <w:lang w:val="en-US" w:eastAsia="zh-CN"/>
              </w:rPr>
              <w:t>项目排气筒高度均为15m，满足</w:t>
            </w:r>
            <w:r>
              <w:rPr>
                <w:rFonts w:hint="default" w:ascii="Times New Roman" w:hAnsi="Times New Roman" w:eastAsia="宋体" w:cs="Times New Roman"/>
                <w:color w:val="auto"/>
                <w:spacing w:val="0"/>
                <w:w w:val="100"/>
                <w:position w:val="0"/>
                <w:sz w:val="24"/>
              </w:rPr>
              <w:t>《</w:t>
            </w:r>
            <w:r>
              <w:rPr>
                <w:rFonts w:hint="default" w:ascii="Times New Roman" w:hAnsi="Times New Roman" w:eastAsia="宋体" w:cs="Times New Roman"/>
                <w:color w:val="auto"/>
                <w:spacing w:val="0"/>
                <w:w w:val="100"/>
                <w:position w:val="0"/>
                <w:sz w:val="24"/>
                <w:lang w:val="en-US" w:eastAsia="zh-CN"/>
              </w:rPr>
              <w:t>铸造工业大气污染物</w:t>
            </w:r>
            <w:r>
              <w:rPr>
                <w:rFonts w:hint="default" w:ascii="Times New Roman" w:hAnsi="Times New Roman" w:eastAsia="宋体" w:cs="Times New Roman"/>
                <w:color w:val="auto"/>
                <w:spacing w:val="0"/>
                <w:w w:val="100"/>
                <w:position w:val="0"/>
                <w:sz w:val="24"/>
              </w:rPr>
              <w:t>排放标准》（GB</w:t>
            </w:r>
            <w:r>
              <w:rPr>
                <w:rFonts w:hint="default" w:ascii="Times New Roman" w:hAnsi="Times New Roman" w:eastAsia="宋体" w:cs="Times New Roman"/>
                <w:color w:val="auto"/>
                <w:spacing w:val="0"/>
                <w:w w:val="100"/>
                <w:position w:val="0"/>
                <w:sz w:val="24"/>
                <w:lang w:val="en-US" w:eastAsia="zh-CN"/>
              </w:rPr>
              <w:t>39726-2020</w:t>
            </w:r>
            <w:r>
              <w:rPr>
                <w:rFonts w:hint="default" w:ascii="Times New Roman" w:hAnsi="Times New Roman" w:eastAsia="宋体" w:cs="Times New Roman"/>
                <w:color w:val="auto"/>
                <w:spacing w:val="0"/>
                <w:w w:val="100"/>
                <w:position w:val="0"/>
                <w:sz w:val="24"/>
              </w:rPr>
              <w:t>）</w:t>
            </w:r>
            <w:r>
              <w:rPr>
                <w:rFonts w:hint="default" w:ascii="Times New Roman" w:hAnsi="Times New Roman" w:eastAsia="宋体" w:cs="Times New Roman"/>
                <w:color w:val="auto"/>
                <w:spacing w:val="0"/>
                <w:w w:val="100"/>
                <w:position w:val="0"/>
                <w:sz w:val="24"/>
                <w:lang w:val="en-US" w:eastAsia="zh-CN"/>
              </w:rPr>
              <w:t>4.7</w:t>
            </w:r>
            <w:r>
              <w:rPr>
                <w:rFonts w:hint="default" w:ascii="Times New Roman" w:hAnsi="Times New Roman" w:eastAsia="宋体" w:cs="Times New Roman"/>
                <w:color w:val="auto"/>
                <w:spacing w:val="0"/>
                <w:w w:val="100"/>
                <w:position w:val="0"/>
                <w:sz w:val="24"/>
              </w:rPr>
              <w:t xml:space="preserve"> </w:t>
            </w:r>
            <w:r>
              <w:rPr>
                <w:rFonts w:hint="default" w:ascii="Times New Roman" w:hAnsi="Times New Roman" w:eastAsia="宋体" w:cs="Times New Roman"/>
                <w:color w:val="auto"/>
                <w:spacing w:val="0"/>
                <w:w w:val="100"/>
                <w:position w:val="0"/>
                <w:sz w:val="24"/>
                <w:lang w:eastAsia="zh-CN"/>
              </w:rPr>
              <w:t>的</w:t>
            </w:r>
            <w:r>
              <w:rPr>
                <w:rFonts w:hint="default" w:ascii="Times New Roman" w:hAnsi="Times New Roman" w:eastAsia="宋体" w:cs="Times New Roman"/>
                <w:color w:val="auto"/>
                <w:spacing w:val="0"/>
                <w:w w:val="100"/>
                <w:position w:val="0"/>
                <w:sz w:val="24"/>
                <w:lang w:val="en-US" w:eastAsia="zh-CN"/>
              </w:rPr>
              <w:t>有关要求。</w:t>
            </w:r>
          </w:p>
          <w:p w14:paraId="5DB92D36">
            <w:pPr>
              <w:keepNext w:val="0"/>
              <w:keepLines w:val="0"/>
              <w:suppressLineNumbers w:val="0"/>
              <w:adjustRightInd/>
              <w:snapToGrid/>
              <w:spacing w:before="0" w:beforeAutospacing="0" w:after="0" w:afterAutospacing="0"/>
              <w:ind w:left="0" w:right="0" w:firstLine="480"/>
              <w:jc w:val="left"/>
              <w:rPr>
                <w:rFonts w:hint="default" w:ascii="Times New Roman" w:hAnsi="Times New Roman" w:eastAsia="宋体" w:cs="Times New Roman"/>
                <w:color w:val="auto"/>
                <w:spacing w:val="0"/>
                <w:w w:val="100"/>
                <w:position w:val="0"/>
                <w:sz w:val="24"/>
                <w:lang w:eastAsia="zh-CN"/>
              </w:rPr>
            </w:pPr>
            <w:r>
              <w:rPr>
                <w:rFonts w:hint="default" w:ascii="Times New Roman" w:hAnsi="Times New Roman" w:eastAsia="宋体" w:cs="Times New Roman"/>
                <w:color w:val="auto"/>
                <w:spacing w:val="0"/>
                <w:w w:val="100"/>
                <w:position w:val="0"/>
                <w:sz w:val="24"/>
              </w:rPr>
              <w:t>②根据《大气污染物综合排放标准》（GB16297-1996）“7.1 排气筒高度除须遵守表列排放速率标准值外，还应高出周围200m半径范围的建筑5m以上，不能达到该要求的排气筒，应按其高度对应的表列排放速率标准值严格50%执行”</w:t>
            </w:r>
            <w:r>
              <w:rPr>
                <w:rFonts w:hint="default" w:ascii="Times New Roman" w:hAnsi="Times New Roman" w:eastAsia="宋体" w:cs="Times New Roman"/>
                <w:color w:val="auto"/>
                <w:spacing w:val="0"/>
                <w:w w:val="100"/>
                <w:position w:val="0"/>
                <w:sz w:val="24"/>
                <w:lang w:eastAsia="zh-CN"/>
              </w:rPr>
              <w:t>。</w:t>
            </w:r>
          </w:p>
          <w:p w14:paraId="2233F73A">
            <w:pPr>
              <w:keepNext w:val="0"/>
              <w:keepLines w:val="0"/>
              <w:suppressLineNumbers w:val="0"/>
              <w:adjustRightInd/>
              <w:snapToGrid/>
              <w:spacing w:before="0" w:beforeAutospacing="0" w:after="0" w:afterAutospacing="0"/>
              <w:ind w:left="0" w:right="0" w:firstLine="480"/>
              <w:jc w:val="left"/>
              <w:rPr>
                <w:rFonts w:hint="default" w:ascii="Times New Roman" w:hAnsi="Times New Roman" w:eastAsia="宋体" w:cs="Times New Roman"/>
                <w:color w:val="auto"/>
                <w:spacing w:val="0"/>
                <w:w w:val="100"/>
                <w:position w:val="0"/>
                <w:sz w:val="24"/>
                <w:lang w:val="en-US" w:eastAsia="zh-CN"/>
              </w:rPr>
            </w:pPr>
            <w:r>
              <w:rPr>
                <w:rFonts w:hint="default" w:ascii="Times New Roman" w:hAnsi="Times New Roman" w:eastAsia="宋体" w:cs="Times New Roman"/>
                <w:color w:val="auto"/>
                <w:spacing w:val="0"/>
                <w:w w:val="100"/>
                <w:position w:val="0"/>
                <w:sz w:val="24"/>
              </w:rPr>
              <w:t>根据现场调查，周围200m半径范围内已建成的最高建筑为</w:t>
            </w:r>
            <w:r>
              <w:rPr>
                <w:rFonts w:hint="default" w:ascii="Times New Roman" w:hAnsi="Times New Roman" w:eastAsia="宋体" w:cs="Times New Roman"/>
                <w:color w:val="auto"/>
                <w:spacing w:val="0"/>
                <w:w w:val="100"/>
                <w:position w:val="0"/>
                <w:sz w:val="24"/>
                <w:lang w:val="en-US" w:eastAsia="zh-CN"/>
              </w:rPr>
              <w:t>项目厂房</w:t>
            </w:r>
            <w:r>
              <w:rPr>
                <w:rFonts w:hint="default" w:ascii="Times New Roman" w:hAnsi="Times New Roman" w:eastAsia="宋体" w:cs="Times New Roman"/>
                <w:color w:val="auto"/>
                <w:spacing w:val="0"/>
                <w:w w:val="100"/>
                <w:position w:val="0"/>
                <w:sz w:val="24"/>
              </w:rPr>
              <w:t>（</w:t>
            </w:r>
            <w:r>
              <w:rPr>
                <w:rFonts w:hint="default" w:ascii="Times New Roman" w:hAnsi="Times New Roman" w:eastAsia="宋体" w:cs="Times New Roman"/>
                <w:color w:val="auto"/>
                <w:spacing w:val="0"/>
                <w:w w:val="100"/>
                <w:position w:val="0"/>
                <w:sz w:val="24"/>
                <w:lang w:val="en-US" w:eastAsia="zh-CN"/>
              </w:rPr>
              <w:t>高约5</w:t>
            </w:r>
            <w:r>
              <w:rPr>
                <w:rFonts w:hint="default" w:ascii="Times New Roman" w:hAnsi="Times New Roman" w:eastAsia="宋体" w:cs="Times New Roman"/>
                <w:color w:val="auto"/>
                <w:spacing w:val="0"/>
                <w:w w:val="100"/>
                <w:position w:val="0"/>
                <w:sz w:val="24"/>
              </w:rPr>
              <w:t>m）</w:t>
            </w:r>
            <w:r>
              <w:rPr>
                <w:rFonts w:hint="default" w:ascii="Times New Roman" w:hAnsi="Times New Roman" w:eastAsia="宋体" w:cs="Times New Roman"/>
                <w:color w:val="auto"/>
                <w:spacing w:val="0"/>
                <w:w w:val="100"/>
                <w:position w:val="0"/>
                <w:sz w:val="24"/>
                <w:lang w:eastAsia="zh-CN"/>
              </w:rPr>
              <w:t>，</w:t>
            </w:r>
            <w:r>
              <w:rPr>
                <w:rFonts w:hint="default" w:ascii="Times New Roman" w:hAnsi="Times New Roman" w:eastAsia="宋体" w:cs="Times New Roman"/>
                <w:color w:val="auto"/>
                <w:spacing w:val="0"/>
                <w:w w:val="100"/>
                <w:position w:val="0"/>
                <w:sz w:val="24"/>
                <w:lang w:val="en-US" w:eastAsia="zh-CN"/>
              </w:rPr>
              <w:t>本项目排气筒高度为15m，</w:t>
            </w:r>
            <w:r>
              <w:rPr>
                <w:rFonts w:hint="default" w:ascii="Times New Roman" w:hAnsi="Times New Roman" w:eastAsia="宋体" w:cs="Times New Roman"/>
                <w:color w:val="auto"/>
                <w:spacing w:val="0"/>
                <w:w w:val="100"/>
                <w:position w:val="0"/>
                <w:sz w:val="24"/>
              </w:rPr>
              <w:t>满足《大气污染物综合排放标准》（GB16297-1996）中7.1的有关要求</w:t>
            </w:r>
            <w:r>
              <w:rPr>
                <w:rFonts w:hint="default" w:ascii="Times New Roman" w:hAnsi="Times New Roman" w:eastAsia="宋体" w:cs="Times New Roman"/>
                <w:color w:val="auto"/>
                <w:spacing w:val="0"/>
                <w:w w:val="100"/>
                <w:position w:val="0"/>
                <w:sz w:val="24"/>
                <w:lang w:eastAsia="zh-CN"/>
              </w:rPr>
              <w:t>。</w:t>
            </w:r>
          </w:p>
          <w:p w14:paraId="6927F2AF">
            <w:pPr>
              <w:keepNext w:val="0"/>
              <w:keepLines w:val="0"/>
              <w:suppressLineNumbers w:val="0"/>
              <w:adjustRightInd/>
              <w:snapToGrid/>
              <w:spacing w:before="0" w:beforeAutospacing="0" w:after="0" w:afterAutospacing="0"/>
              <w:ind w:left="0" w:right="0" w:firstLine="480"/>
              <w:jc w:val="left"/>
              <w:rPr>
                <w:rFonts w:hint="default" w:ascii="Times New Roman" w:hAnsi="Times New Roman" w:eastAsia="宋体" w:cs="Times New Roman"/>
                <w:color w:val="auto"/>
                <w:spacing w:val="0"/>
                <w:w w:val="100"/>
                <w:position w:val="0"/>
                <w:sz w:val="24"/>
              </w:rPr>
            </w:pPr>
            <w:r>
              <w:rPr>
                <w:rFonts w:hint="default" w:ascii="Times New Roman" w:hAnsi="Times New Roman" w:eastAsia="宋体" w:cs="Times New Roman"/>
                <w:color w:val="auto"/>
                <w:spacing w:val="0"/>
                <w:w w:val="100"/>
                <w:position w:val="0"/>
                <w:sz w:val="24"/>
              </w:rPr>
              <w:t>③根据《大气污染治理工程技术导则》（HJ2000-2010）“5.3.5排气筒的出口直径应根据出口流速确定，流速宜取15m/s左右”。</w:t>
            </w:r>
          </w:p>
          <w:p w14:paraId="2A64C77A">
            <w:pPr>
              <w:keepNext w:val="0"/>
              <w:keepLines w:val="0"/>
              <w:suppressLineNumbers w:val="0"/>
              <w:adjustRightInd/>
              <w:snapToGrid/>
              <w:spacing w:before="0" w:beforeAutospacing="0" w:after="0" w:afterAutospacing="0"/>
              <w:ind w:left="0" w:right="0" w:firstLine="480"/>
              <w:jc w:val="left"/>
              <w:rPr>
                <w:rFonts w:hint="default" w:ascii="Times New Roman" w:hAnsi="Times New Roman" w:eastAsia="宋体" w:cs="Times New Roman"/>
                <w:color w:val="auto"/>
                <w:spacing w:val="0"/>
                <w:w w:val="100"/>
                <w:position w:val="0"/>
                <w:sz w:val="24"/>
              </w:rPr>
            </w:pPr>
            <w:r>
              <w:rPr>
                <w:rFonts w:hint="default" w:ascii="Times New Roman" w:hAnsi="Times New Roman" w:eastAsia="宋体" w:cs="Times New Roman"/>
                <w:color w:val="auto"/>
                <w:spacing w:val="0"/>
                <w:w w:val="100"/>
                <w:position w:val="0"/>
                <w:sz w:val="24"/>
              </w:rPr>
              <w:t>排放口基本情况见表4-</w:t>
            </w:r>
            <w:r>
              <w:rPr>
                <w:rFonts w:hint="default" w:ascii="Times New Roman" w:hAnsi="Times New Roman" w:eastAsia="宋体" w:cs="Times New Roman"/>
                <w:color w:val="auto"/>
                <w:spacing w:val="0"/>
                <w:w w:val="100"/>
                <w:position w:val="0"/>
                <w:sz w:val="24"/>
                <w:lang w:val="en-US" w:eastAsia="zh-CN"/>
              </w:rPr>
              <w:t>2</w:t>
            </w:r>
            <w:r>
              <w:rPr>
                <w:rFonts w:hint="default" w:ascii="Times New Roman" w:hAnsi="Times New Roman" w:eastAsia="宋体" w:cs="Times New Roman"/>
                <w:color w:val="auto"/>
                <w:spacing w:val="0"/>
                <w:w w:val="100"/>
                <w:position w:val="0"/>
                <w:sz w:val="24"/>
              </w:rPr>
              <w:t>。</w:t>
            </w:r>
          </w:p>
          <w:p w14:paraId="73D34857">
            <w:pPr>
              <w:keepNext w:val="0"/>
              <w:keepLines w:val="0"/>
              <w:suppressLineNumbers w:val="0"/>
              <w:adjustRightInd/>
              <w:snapToGrid/>
              <w:spacing w:before="0" w:beforeAutospacing="0" w:after="0" w:afterAutospacing="0"/>
              <w:ind w:left="0" w:right="0" w:firstLine="0" w:firstLineChars="0"/>
              <w:jc w:val="center"/>
              <w:rPr>
                <w:rFonts w:hint="default" w:ascii="Times New Roman" w:hAnsi="Times New Roman" w:cs="Times New Roman"/>
                <w:b/>
                <w:bCs/>
                <w:color w:val="auto"/>
                <w:spacing w:val="0"/>
                <w:w w:val="100"/>
                <w:position w:val="0"/>
                <w:sz w:val="20"/>
              </w:rPr>
            </w:pPr>
            <w:r>
              <w:rPr>
                <w:rFonts w:hint="default" w:ascii="Times New Roman" w:hAnsi="Times New Roman" w:eastAsia="宋体" w:cs="Times New Roman"/>
                <w:b/>
                <w:bCs/>
                <w:color w:val="auto"/>
                <w:spacing w:val="0"/>
                <w:w w:val="100"/>
                <w:position w:val="0"/>
                <w:sz w:val="21"/>
              </w:rPr>
              <w:t>表4-</w:t>
            </w:r>
            <w:r>
              <w:rPr>
                <w:rFonts w:hint="default" w:ascii="Times New Roman" w:hAnsi="Times New Roman" w:eastAsia="宋体" w:cs="Times New Roman"/>
                <w:b/>
                <w:bCs/>
                <w:color w:val="auto"/>
                <w:spacing w:val="0"/>
                <w:w w:val="100"/>
                <w:position w:val="0"/>
                <w:sz w:val="21"/>
                <w:lang w:val="en-US" w:eastAsia="zh-CN"/>
              </w:rPr>
              <w:t>2</w:t>
            </w:r>
            <w:r>
              <w:rPr>
                <w:rFonts w:hint="default" w:ascii="Times New Roman" w:hAnsi="Times New Roman" w:eastAsia="宋体" w:cs="Times New Roman"/>
                <w:b/>
                <w:bCs/>
                <w:color w:val="auto"/>
                <w:spacing w:val="0"/>
                <w:w w:val="100"/>
                <w:position w:val="0"/>
                <w:sz w:val="21"/>
              </w:rPr>
              <w:t xml:space="preserve"> 排放口基本情况一览表</w:t>
            </w:r>
          </w:p>
          <w:tbl>
            <w:tblPr>
              <w:tblStyle w:val="59"/>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01"/>
              <w:gridCol w:w="1183"/>
              <w:gridCol w:w="1322"/>
              <w:gridCol w:w="1192"/>
              <w:gridCol w:w="779"/>
              <w:gridCol w:w="787"/>
              <w:gridCol w:w="936"/>
            </w:tblGrid>
            <w:tr w14:paraId="415F75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7" w:hRule="atLeast"/>
                <w:jc w:val="center"/>
              </w:trPr>
              <w:tc>
                <w:tcPr>
                  <w:tcW w:w="1076" w:type="pct"/>
                  <w:vMerge w:val="restart"/>
                  <w:noWrap w:val="0"/>
                  <w:vAlign w:val="center"/>
                </w:tcPr>
                <w:p w14:paraId="091A64B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rPr>
                  </w:pPr>
                  <w:r>
                    <w:rPr>
                      <w:rFonts w:hint="default" w:ascii="Times New Roman" w:hAnsi="Times New Roman" w:eastAsia="宋体" w:cs="Times New Roman"/>
                      <w:color w:val="auto"/>
                      <w:spacing w:val="0"/>
                      <w:w w:val="100"/>
                      <w:position w:val="0"/>
                      <w:sz w:val="21"/>
                    </w:rPr>
                    <w:t>排放名称及编号</w:t>
                  </w:r>
                </w:p>
              </w:tc>
              <w:tc>
                <w:tcPr>
                  <w:tcW w:w="1585" w:type="pct"/>
                  <w:gridSpan w:val="2"/>
                  <w:noWrap w:val="0"/>
                  <w:vAlign w:val="center"/>
                </w:tcPr>
                <w:p w14:paraId="197CEC8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rPr>
                  </w:pPr>
                  <w:r>
                    <w:rPr>
                      <w:rFonts w:hint="default" w:ascii="Times New Roman" w:hAnsi="Times New Roman" w:eastAsia="宋体" w:cs="Times New Roman"/>
                      <w:color w:val="auto"/>
                      <w:spacing w:val="0"/>
                      <w:w w:val="100"/>
                      <w:position w:val="0"/>
                      <w:sz w:val="21"/>
                    </w:rPr>
                    <w:t>地理坐标</w:t>
                  </w:r>
                </w:p>
              </w:tc>
              <w:tc>
                <w:tcPr>
                  <w:tcW w:w="754" w:type="pct"/>
                  <w:vMerge w:val="restart"/>
                  <w:noWrap w:val="0"/>
                  <w:vAlign w:val="center"/>
                </w:tcPr>
                <w:p w14:paraId="6162AE3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rPr>
                  </w:pPr>
                  <w:r>
                    <w:rPr>
                      <w:rFonts w:hint="default" w:ascii="Times New Roman" w:hAnsi="Times New Roman" w:eastAsia="宋体" w:cs="Times New Roman"/>
                      <w:color w:val="auto"/>
                      <w:spacing w:val="0"/>
                      <w:w w:val="100"/>
                      <w:position w:val="0"/>
                      <w:sz w:val="21"/>
                    </w:rPr>
                    <w:t>类型</w:t>
                  </w:r>
                </w:p>
              </w:tc>
              <w:tc>
                <w:tcPr>
                  <w:tcW w:w="493" w:type="pct"/>
                  <w:vMerge w:val="restart"/>
                  <w:noWrap w:val="0"/>
                  <w:vAlign w:val="center"/>
                </w:tcPr>
                <w:p w14:paraId="7BD952A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rPr>
                  </w:pPr>
                  <w:r>
                    <w:rPr>
                      <w:rFonts w:hint="default" w:ascii="Times New Roman" w:hAnsi="Times New Roman" w:eastAsia="宋体" w:cs="Times New Roman"/>
                      <w:color w:val="auto"/>
                      <w:spacing w:val="0"/>
                      <w:w w:val="100"/>
                      <w:position w:val="0"/>
                      <w:sz w:val="21"/>
                    </w:rPr>
                    <w:t>排气筒内径/m</w:t>
                  </w:r>
                </w:p>
              </w:tc>
              <w:tc>
                <w:tcPr>
                  <w:tcW w:w="498" w:type="pct"/>
                  <w:vMerge w:val="restart"/>
                  <w:noWrap w:val="0"/>
                  <w:vAlign w:val="center"/>
                </w:tcPr>
                <w:p w14:paraId="1BFF969F">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position w:val="0"/>
                      <w:sz w:val="21"/>
                    </w:rPr>
                  </w:pPr>
                  <w:r>
                    <w:rPr>
                      <w:rFonts w:hint="default" w:ascii="Times New Roman" w:hAnsi="Times New Roman" w:eastAsia="宋体" w:cs="Times New Roman"/>
                      <w:color w:val="auto"/>
                      <w:spacing w:val="0"/>
                      <w:w w:val="100"/>
                      <w:position w:val="0"/>
                      <w:sz w:val="21"/>
                    </w:rPr>
                    <w:t>排气筒高度/m</w:t>
                  </w:r>
                </w:p>
              </w:tc>
              <w:tc>
                <w:tcPr>
                  <w:tcW w:w="592" w:type="pct"/>
                  <w:vMerge w:val="restart"/>
                  <w:noWrap w:val="0"/>
                  <w:vAlign w:val="center"/>
                </w:tcPr>
                <w:p w14:paraId="7DE42FE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rPr>
                  </w:pPr>
                  <w:r>
                    <w:rPr>
                      <w:rFonts w:hint="default" w:ascii="Times New Roman" w:hAnsi="Times New Roman" w:eastAsia="宋体" w:cs="Times New Roman"/>
                      <w:color w:val="auto"/>
                      <w:spacing w:val="0"/>
                      <w:w w:val="100"/>
                      <w:position w:val="0"/>
                      <w:sz w:val="21"/>
                      <w:lang w:val="en-US" w:eastAsia="zh-CN"/>
                    </w:rPr>
                    <w:t>出口流速（m/s）</w:t>
                  </w:r>
                </w:p>
              </w:tc>
            </w:tr>
            <w:tr w14:paraId="72A604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pct"/>
                  <w:vMerge w:val="continue"/>
                  <w:noWrap w:val="0"/>
                  <w:vAlign w:val="center"/>
                </w:tcPr>
                <w:p w14:paraId="21A1683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rPr>
                  </w:pPr>
                </w:p>
              </w:tc>
              <w:tc>
                <w:tcPr>
                  <w:tcW w:w="748" w:type="pct"/>
                  <w:noWrap w:val="0"/>
                  <w:vAlign w:val="center"/>
                </w:tcPr>
                <w:p w14:paraId="3461925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rPr>
                  </w:pPr>
                  <w:r>
                    <w:rPr>
                      <w:rFonts w:hint="default" w:ascii="Times New Roman" w:hAnsi="Times New Roman" w:eastAsia="宋体" w:cs="Times New Roman"/>
                      <w:color w:val="auto"/>
                      <w:spacing w:val="0"/>
                      <w:w w:val="100"/>
                      <w:position w:val="0"/>
                      <w:sz w:val="21"/>
                    </w:rPr>
                    <w:t>E</w:t>
                  </w:r>
                </w:p>
              </w:tc>
              <w:tc>
                <w:tcPr>
                  <w:tcW w:w="836" w:type="pct"/>
                  <w:noWrap w:val="0"/>
                  <w:vAlign w:val="center"/>
                </w:tcPr>
                <w:p w14:paraId="74F1DCD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rPr>
                  </w:pPr>
                  <w:r>
                    <w:rPr>
                      <w:rFonts w:hint="default" w:ascii="Times New Roman" w:hAnsi="Times New Roman" w:eastAsia="宋体" w:cs="Times New Roman"/>
                      <w:color w:val="auto"/>
                      <w:spacing w:val="0"/>
                      <w:w w:val="100"/>
                      <w:position w:val="0"/>
                      <w:sz w:val="21"/>
                    </w:rPr>
                    <w:t>N</w:t>
                  </w:r>
                </w:p>
              </w:tc>
              <w:tc>
                <w:tcPr>
                  <w:tcW w:w="754" w:type="pct"/>
                  <w:vMerge w:val="continue"/>
                  <w:noWrap w:val="0"/>
                  <w:vAlign w:val="center"/>
                </w:tcPr>
                <w:p w14:paraId="396EB4D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rPr>
                  </w:pPr>
                </w:p>
              </w:tc>
              <w:tc>
                <w:tcPr>
                  <w:tcW w:w="493" w:type="pct"/>
                  <w:vMerge w:val="continue"/>
                  <w:noWrap w:val="0"/>
                  <w:vAlign w:val="center"/>
                </w:tcPr>
                <w:p w14:paraId="4C1DC8E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rPr>
                  </w:pPr>
                </w:p>
              </w:tc>
              <w:tc>
                <w:tcPr>
                  <w:tcW w:w="498" w:type="pct"/>
                  <w:vMerge w:val="continue"/>
                  <w:noWrap w:val="0"/>
                  <w:vAlign w:val="center"/>
                </w:tcPr>
                <w:p w14:paraId="32C4B30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rPr>
                  </w:pPr>
                </w:p>
              </w:tc>
              <w:tc>
                <w:tcPr>
                  <w:tcW w:w="592" w:type="pct"/>
                  <w:vMerge w:val="continue"/>
                  <w:noWrap w:val="0"/>
                  <w:vAlign w:val="center"/>
                </w:tcPr>
                <w:p w14:paraId="33762CA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rPr>
                  </w:pPr>
                </w:p>
              </w:tc>
            </w:tr>
            <w:tr w14:paraId="070F6F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6" w:type="pct"/>
                  <w:shd w:val="clear" w:color="auto" w:fill="auto"/>
                  <w:noWrap w:val="0"/>
                  <w:vAlign w:val="center"/>
                </w:tcPr>
                <w:p w14:paraId="4ED48295">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DA001</w:t>
                  </w:r>
                </w:p>
                <w:p w14:paraId="6719D42E">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position w:val="0"/>
                      <w:sz w:val="21"/>
                      <w:szCs w:val="21"/>
                      <w:lang w:val="en-US"/>
                    </w:rPr>
                  </w:pPr>
                  <w:r>
                    <w:rPr>
                      <w:rFonts w:hint="eastAsia" w:ascii="Times New Roman" w:hAnsi="Times New Roman" w:eastAsia="宋体" w:cs="Times New Roman"/>
                      <w:color w:val="auto"/>
                      <w:spacing w:val="0"/>
                      <w:w w:val="100"/>
                      <w:position w:val="0"/>
                      <w:sz w:val="21"/>
                      <w:szCs w:val="21"/>
                      <w:lang w:val="en-US" w:eastAsia="zh-CN"/>
                    </w:rPr>
                    <w:t>制模废气、</w:t>
                  </w:r>
                  <w:r>
                    <w:rPr>
                      <w:rFonts w:hint="default" w:ascii="Times New Roman" w:hAnsi="Times New Roman" w:eastAsia="宋体" w:cs="Times New Roman"/>
                      <w:color w:val="auto"/>
                      <w:spacing w:val="0"/>
                      <w:w w:val="100"/>
                      <w:position w:val="0"/>
                      <w:sz w:val="21"/>
                      <w:szCs w:val="21"/>
                      <w:lang w:val="en-US" w:eastAsia="zh-CN"/>
                    </w:rPr>
                    <w:t>熔化废气、造型/浇注废气、落砂废气和清理废气（抛丸废气、机加工废气）</w:t>
                  </w:r>
                </w:p>
              </w:tc>
              <w:tc>
                <w:tcPr>
                  <w:tcW w:w="748" w:type="pct"/>
                  <w:noWrap w:val="0"/>
                  <w:vAlign w:val="center"/>
                </w:tcPr>
                <w:p w14:paraId="4B4C530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lang w:val="en-US" w:eastAsia="zh-CN"/>
                    </w:rPr>
                  </w:pPr>
                  <w:r>
                    <w:rPr>
                      <w:rFonts w:hint="default" w:ascii="Times New Roman" w:hAnsi="Times New Roman" w:eastAsia="宋体" w:cs="Times New Roman"/>
                      <w:color w:val="auto"/>
                      <w:spacing w:val="0"/>
                      <w:w w:val="100"/>
                      <w:position w:val="0"/>
                      <w:sz w:val="21"/>
                      <w:lang w:val="en-US" w:eastAsia="zh-CN"/>
                    </w:rPr>
                    <w:t>109.717761</w:t>
                  </w:r>
                </w:p>
              </w:tc>
              <w:tc>
                <w:tcPr>
                  <w:tcW w:w="836" w:type="pct"/>
                  <w:noWrap w:val="0"/>
                  <w:vAlign w:val="center"/>
                </w:tcPr>
                <w:p w14:paraId="46F4CDB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lang w:val="en-US" w:eastAsia="zh-CN"/>
                    </w:rPr>
                  </w:pPr>
                  <w:r>
                    <w:rPr>
                      <w:rFonts w:hint="default" w:ascii="Times New Roman" w:hAnsi="Times New Roman" w:eastAsia="宋体" w:cs="Times New Roman"/>
                      <w:color w:val="auto"/>
                      <w:spacing w:val="0"/>
                      <w:w w:val="100"/>
                      <w:position w:val="0"/>
                      <w:sz w:val="21"/>
                      <w:lang w:val="en-US" w:eastAsia="zh-CN"/>
                    </w:rPr>
                    <w:t>24.490275</w:t>
                  </w:r>
                </w:p>
              </w:tc>
              <w:tc>
                <w:tcPr>
                  <w:tcW w:w="754" w:type="pct"/>
                  <w:noWrap w:val="0"/>
                  <w:vAlign w:val="center"/>
                </w:tcPr>
                <w:p w14:paraId="2392D0B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rPr>
                  </w:pPr>
                  <w:r>
                    <w:rPr>
                      <w:rFonts w:hint="default" w:ascii="Times New Roman" w:hAnsi="Times New Roman" w:eastAsia="宋体" w:cs="Times New Roman"/>
                      <w:color w:val="auto"/>
                      <w:spacing w:val="0"/>
                      <w:w w:val="100"/>
                      <w:position w:val="0"/>
                      <w:sz w:val="21"/>
                    </w:rPr>
                    <w:t>一般排放口</w:t>
                  </w:r>
                </w:p>
              </w:tc>
              <w:tc>
                <w:tcPr>
                  <w:tcW w:w="493" w:type="pct"/>
                  <w:noWrap w:val="0"/>
                  <w:vAlign w:val="center"/>
                </w:tcPr>
                <w:p w14:paraId="42BDD0C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lang w:val="en-US" w:eastAsia="zh-CN"/>
                    </w:rPr>
                  </w:pPr>
                  <w:r>
                    <w:rPr>
                      <w:rFonts w:hint="default" w:ascii="Times New Roman" w:hAnsi="Times New Roman" w:eastAsia="宋体" w:cs="Times New Roman"/>
                      <w:color w:val="auto"/>
                      <w:spacing w:val="0"/>
                      <w:w w:val="100"/>
                      <w:position w:val="0"/>
                      <w:sz w:val="21"/>
                      <w:lang w:val="en-US" w:eastAsia="zh-CN"/>
                    </w:rPr>
                    <w:t>0.34</w:t>
                  </w:r>
                </w:p>
              </w:tc>
              <w:tc>
                <w:tcPr>
                  <w:tcW w:w="498" w:type="pct"/>
                  <w:noWrap w:val="0"/>
                  <w:vAlign w:val="center"/>
                </w:tcPr>
                <w:p w14:paraId="01911673">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position w:val="0"/>
                      <w:sz w:val="21"/>
                    </w:rPr>
                  </w:pPr>
                  <w:r>
                    <w:rPr>
                      <w:rFonts w:hint="default" w:ascii="Times New Roman" w:hAnsi="Times New Roman" w:eastAsia="宋体" w:cs="Times New Roman"/>
                      <w:color w:val="auto"/>
                      <w:spacing w:val="0"/>
                      <w:w w:val="100"/>
                      <w:position w:val="0"/>
                      <w:sz w:val="21"/>
                      <w:lang w:val="en-US" w:eastAsia="zh-CN"/>
                    </w:rPr>
                    <w:t>15</w:t>
                  </w:r>
                </w:p>
              </w:tc>
              <w:tc>
                <w:tcPr>
                  <w:tcW w:w="592" w:type="pct"/>
                  <w:noWrap w:val="0"/>
                  <w:vAlign w:val="center"/>
                </w:tcPr>
                <w:p w14:paraId="1946463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lang w:val="en-US" w:eastAsia="zh-CN"/>
                    </w:rPr>
                  </w:pPr>
                  <w:r>
                    <w:rPr>
                      <w:rFonts w:hint="default" w:ascii="Times New Roman" w:hAnsi="Times New Roman" w:eastAsia="宋体" w:cs="Times New Roman"/>
                      <w:color w:val="auto"/>
                      <w:spacing w:val="0"/>
                      <w:w w:val="100"/>
                      <w:position w:val="0"/>
                      <w:sz w:val="21"/>
                      <w:lang w:val="en-US" w:eastAsia="zh-CN"/>
                    </w:rPr>
                    <w:t>15.305</w:t>
                  </w:r>
                </w:p>
              </w:tc>
            </w:tr>
          </w:tbl>
          <w:p w14:paraId="095E05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color w:val="auto"/>
                <w:spacing w:val="0"/>
                <w:w w:val="100"/>
                <w:kern w:val="0"/>
                <w:position w:val="0"/>
                <w:sz w:val="24"/>
                <w:szCs w:val="24"/>
              </w:rPr>
            </w:pPr>
            <w:r>
              <w:rPr>
                <w:rFonts w:hint="default" w:ascii="Times New Roman" w:hAnsi="Times New Roman" w:eastAsia="宋体" w:cs="Times New Roman"/>
                <w:b/>
                <w:bCs/>
                <w:color w:val="auto"/>
                <w:spacing w:val="0"/>
                <w:w w:val="100"/>
                <w:kern w:val="0"/>
                <w:position w:val="0"/>
                <w:sz w:val="24"/>
                <w:szCs w:val="24"/>
                <w:lang w:val="en-US" w:eastAsia="zh-CN"/>
              </w:rPr>
              <w:t>1.4</w:t>
            </w:r>
            <w:r>
              <w:rPr>
                <w:rFonts w:hint="default" w:ascii="Times New Roman" w:hAnsi="Times New Roman" w:eastAsia="宋体" w:cs="Times New Roman"/>
                <w:b/>
                <w:bCs/>
                <w:color w:val="auto"/>
                <w:spacing w:val="0"/>
                <w:w w:val="100"/>
                <w:kern w:val="0"/>
                <w:position w:val="0"/>
                <w:sz w:val="24"/>
                <w:szCs w:val="24"/>
              </w:rPr>
              <w:t>废气污染源监测计划</w:t>
            </w:r>
          </w:p>
          <w:p w14:paraId="6FB904D0">
            <w:pPr>
              <w:pStyle w:val="3"/>
              <w:keepNext w:val="0"/>
              <w:keepLines w:val="0"/>
              <w:pageBreakBefore w:val="0"/>
              <w:widowControl w:val="0"/>
              <w:numPr>
                <w:ilvl w:val="0"/>
                <w:numId w:val="0"/>
              </w:numPr>
              <w:suppressLineNumbers w:val="0"/>
              <w:tabs>
                <w:tab w:val="left" w:pos="4500"/>
              </w:tabs>
              <w:kinsoku/>
              <w:wordWrap/>
              <w:overflowPunct/>
              <w:topLinePunct w:val="0"/>
              <w:autoSpaceDE/>
              <w:autoSpaceDN/>
              <w:bidi w:val="0"/>
              <w:adjustRightInd/>
              <w:snapToGrid/>
              <w:spacing w:before="0" w:beforeAutospacing="0" w:after="0" w:afterAutospacing="0" w:line="360" w:lineRule="auto"/>
              <w:ind w:leftChars="0" w:right="0" w:rightChars="0" w:firstLine="480" w:firstLineChars="200"/>
              <w:jc w:val="both"/>
              <w:textAlignment w:val="auto"/>
              <w:outlineLvl w:val="9"/>
              <w:rPr>
                <w:rFonts w:hint="default" w:ascii="Times New Roman" w:hAnsi="Times New Roman" w:eastAsia="宋体" w:cs="Times New Roman"/>
                <w:b w:val="0"/>
                <w:color w:val="auto"/>
                <w:spacing w:val="0"/>
                <w:w w:val="100"/>
                <w:kern w:val="0"/>
                <w:position w:val="0"/>
                <w:sz w:val="24"/>
                <w:szCs w:val="24"/>
                <w:lang w:val="en-US" w:eastAsia="zh-CN"/>
              </w:rPr>
            </w:pPr>
            <w:r>
              <w:rPr>
                <w:rFonts w:hint="default" w:ascii="Times New Roman" w:hAnsi="Times New Roman" w:eastAsia="宋体" w:cs="Times New Roman"/>
                <w:b w:val="0"/>
                <w:color w:val="auto"/>
                <w:spacing w:val="0"/>
                <w:w w:val="100"/>
                <w:kern w:val="0"/>
                <w:position w:val="0"/>
                <w:sz w:val="24"/>
                <w:szCs w:val="24"/>
              </w:rPr>
              <w:t>根据《排污单位自行监测技术指南 总则》（HJ819-2017）、据《排污单位自行监测技术指南金属铸造工业》（HJ1251-2022）</w:t>
            </w:r>
            <w:r>
              <w:rPr>
                <w:rFonts w:hint="default" w:ascii="Times New Roman" w:hAnsi="Times New Roman" w:eastAsia="宋体" w:cs="Times New Roman"/>
                <w:b w:val="0"/>
                <w:color w:val="auto"/>
                <w:spacing w:val="0"/>
                <w:w w:val="100"/>
                <w:kern w:val="0"/>
                <w:position w:val="0"/>
                <w:sz w:val="24"/>
                <w:szCs w:val="24"/>
                <w:lang w:eastAsia="zh-CN"/>
              </w:rPr>
              <w:t>、</w:t>
            </w:r>
            <w:r>
              <w:rPr>
                <w:rFonts w:hint="default" w:ascii="Times New Roman" w:hAnsi="Times New Roman" w:eastAsia="宋体" w:cs="Times New Roman"/>
                <w:b w:val="0"/>
                <w:bCs/>
                <w:color w:val="auto"/>
                <w:spacing w:val="0"/>
                <w:w w:val="100"/>
                <w:kern w:val="0"/>
                <w:position w:val="0"/>
                <w:sz w:val="24"/>
                <w:szCs w:val="24"/>
                <w:lang w:val="en-US" w:eastAsia="zh-CN"/>
              </w:rPr>
              <w:t>《排污单位自行监测技术指南 金属铸造工业》（HJ1251-2022）</w:t>
            </w:r>
            <w:r>
              <w:rPr>
                <w:rFonts w:hint="default" w:ascii="Times New Roman" w:hAnsi="Times New Roman" w:eastAsia="宋体" w:cs="Times New Roman"/>
                <w:b w:val="0"/>
                <w:color w:val="auto"/>
                <w:spacing w:val="0"/>
                <w:w w:val="100"/>
                <w:kern w:val="0"/>
                <w:position w:val="0"/>
                <w:sz w:val="24"/>
                <w:szCs w:val="24"/>
              </w:rPr>
              <w:t>等相关要求，项目运营期废气污染源监测计划详见表</w:t>
            </w:r>
            <w:r>
              <w:rPr>
                <w:rFonts w:hint="default" w:ascii="Times New Roman" w:hAnsi="Times New Roman" w:eastAsia="宋体" w:cs="Times New Roman"/>
                <w:b w:val="0"/>
                <w:color w:val="auto"/>
                <w:spacing w:val="0"/>
                <w:w w:val="100"/>
                <w:kern w:val="0"/>
                <w:position w:val="0"/>
                <w:sz w:val="24"/>
                <w:szCs w:val="24"/>
                <w:lang w:val="en-US" w:eastAsia="zh-CN"/>
              </w:rPr>
              <w:t>5-1。</w:t>
            </w:r>
          </w:p>
          <w:p w14:paraId="7C8D1800">
            <w:pPr>
              <w:pStyle w:val="3"/>
              <w:keepNext w:val="0"/>
              <w:keepLines w:val="0"/>
              <w:pageBreakBefore w:val="0"/>
              <w:widowControl w:val="0"/>
              <w:numPr>
                <w:ilvl w:val="0"/>
                <w:numId w:val="0"/>
              </w:numPr>
              <w:suppressLineNumbers w:val="0"/>
              <w:tabs>
                <w:tab w:val="left" w:pos="4500"/>
              </w:tabs>
              <w:kinsoku/>
              <w:wordWrap/>
              <w:overflowPunct/>
              <w:topLinePunct w:val="0"/>
              <w:autoSpaceDE/>
              <w:autoSpaceDN/>
              <w:bidi w:val="0"/>
              <w:adjustRightInd/>
              <w:snapToGrid/>
              <w:spacing w:before="0" w:beforeAutospacing="0" w:after="0" w:afterAutospacing="0" w:line="360" w:lineRule="auto"/>
              <w:ind w:leftChars="0" w:right="0" w:rightChars="0" w:firstLine="482" w:firstLineChars="200"/>
              <w:jc w:val="both"/>
              <w:textAlignment w:val="auto"/>
              <w:outlineLvl w:val="9"/>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bCs/>
                <w:color w:val="auto"/>
                <w:spacing w:val="0"/>
                <w:w w:val="100"/>
                <w:position w:val="0"/>
                <w:sz w:val="24"/>
                <w:szCs w:val="24"/>
                <w:lang w:val="en-US" w:eastAsia="zh-CN"/>
              </w:rPr>
              <w:t>1.5非正常工况分析</w:t>
            </w:r>
          </w:p>
          <w:p w14:paraId="03A6E8BB">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cs="Times New Roman" w:eastAsiaTheme="minorEastAsia"/>
                <w:color w:val="auto"/>
                <w:spacing w:val="0"/>
                <w:sz w:val="24"/>
                <w:szCs w:val="24"/>
              </w:rPr>
            </w:pPr>
            <w:r>
              <w:rPr>
                <w:rFonts w:hint="default" w:ascii="Times New Roman" w:hAnsi="Times New Roman" w:eastAsia="宋体" w:cs="Times New Roman"/>
                <w:color w:val="auto"/>
                <w:spacing w:val="0"/>
                <w:w w:val="100"/>
                <w:position w:val="0"/>
                <w:sz w:val="24"/>
                <w:szCs w:val="24"/>
              </w:rPr>
              <w:t>非正常排放情况是指</w:t>
            </w:r>
            <w:r>
              <w:rPr>
                <w:rFonts w:hint="default" w:ascii="Times New Roman" w:hAnsi="Times New Roman" w:eastAsia="宋体" w:cs="Times New Roman"/>
                <w:color w:val="auto"/>
                <w:spacing w:val="0"/>
                <w:w w:val="100"/>
                <w:position w:val="0"/>
                <w:sz w:val="24"/>
                <w:szCs w:val="24"/>
                <w:lang w:val="en-US" w:eastAsia="zh-CN"/>
              </w:rPr>
              <w:t>开停车及</w:t>
            </w:r>
            <w:r>
              <w:rPr>
                <w:rFonts w:hint="default" w:ascii="Times New Roman" w:hAnsi="Times New Roman" w:eastAsia="宋体" w:cs="Times New Roman"/>
                <w:color w:val="auto"/>
                <w:spacing w:val="0"/>
                <w:w w:val="100"/>
                <w:position w:val="0"/>
                <w:sz w:val="24"/>
                <w:szCs w:val="24"/>
              </w:rPr>
              <w:t>废气治理设施运行出现事故，导致废气治理设施达不到应有的治理效率。引起非正常排放因素主要有设备因素和人为因素，根据项目生产工艺特征和污染物产生情况，分析项目非正常工况为</w:t>
            </w:r>
            <w:r>
              <w:rPr>
                <w:rFonts w:hint="default" w:ascii="Times New Roman" w:hAnsi="Times New Roman" w:eastAsia="宋体" w:cs="Times New Roman"/>
                <w:color w:val="auto"/>
                <w:spacing w:val="0"/>
                <w:w w:val="100"/>
                <w:position w:val="0"/>
                <w:sz w:val="24"/>
                <w:szCs w:val="24"/>
                <w:lang w:val="en-US" w:eastAsia="zh-CN"/>
              </w:rPr>
              <w:t>布袋除尘器及活性炭吸附装置</w:t>
            </w:r>
            <w:r>
              <w:rPr>
                <w:rFonts w:hint="default" w:ascii="Times New Roman" w:hAnsi="Times New Roman" w:eastAsia="宋体" w:cs="Times New Roman"/>
                <w:color w:val="auto"/>
                <w:spacing w:val="0"/>
                <w:w w:val="100"/>
                <w:position w:val="0"/>
                <w:sz w:val="24"/>
                <w:szCs w:val="24"/>
              </w:rPr>
              <w:t>故障导致处理效率降低至0，排放情况见下表。</w:t>
            </w:r>
          </w:p>
          <w:p w14:paraId="31803A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color w:val="auto"/>
                <w:spacing w:val="0"/>
                <w:w w:val="100"/>
                <w:kern w:val="0"/>
                <w:position w:val="0"/>
                <w:sz w:val="21"/>
                <w:szCs w:val="21"/>
              </w:rPr>
            </w:pPr>
            <w:r>
              <w:rPr>
                <w:rFonts w:hint="default" w:ascii="Times New Roman" w:hAnsi="Times New Roman" w:eastAsia="宋体" w:cs="Times New Roman"/>
                <w:b/>
                <w:bCs/>
                <w:color w:val="auto"/>
                <w:spacing w:val="0"/>
                <w:w w:val="100"/>
                <w:kern w:val="0"/>
                <w:position w:val="0"/>
                <w:sz w:val="21"/>
                <w:szCs w:val="21"/>
              </w:rPr>
              <w:t>表4-</w:t>
            </w:r>
            <w:r>
              <w:rPr>
                <w:rFonts w:hint="default" w:ascii="Times New Roman" w:hAnsi="Times New Roman" w:eastAsia="宋体" w:cs="Times New Roman"/>
                <w:b/>
                <w:bCs/>
                <w:color w:val="auto"/>
                <w:spacing w:val="0"/>
                <w:w w:val="100"/>
                <w:kern w:val="0"/>
                <w:position w:val="0"/>
                <w:sz w:val="21"/>
                <w:szCs w:val="21"/>
                <w:lang w:val="en-US" w:eastAsia="zh-CN"/>
              </w:rPr>
              <w:t xml:space="preserve">3 </w:t>
            </w:r>
            <w:r>
              <w:rPr>
                <w:rFonts w:hint="default" w:ascii="Times New Roman" w:hAnsi="Times New Roman" w:eastAsia="宋体" w:cs="Times New Roman"/>
                <w:b/>
                <w:bCs/>
                <w:color w:val="auto"/>
                <w:spacing w:val="0"/>
                <w:w w:val="100"/>
                <w:kern w:val="0"/>
                <w:position w:val="0"/>
                <w:sz w:val="21"/>
                <w:szCs w:val="21"/>
              </w:rPr>
              <w:t>非正常情况下污染物排放情况一览表</w:t>
            </w:r>
          </w:p>
          <w:tbl>
            <w:tblPr>
              <w:tblStyle w:val="59"/>
              <w:tblW w:w="4998" w:type="pct"/>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0" w:type="dxa"/>
                <w:bottom w:w="0" w:type="dxa"/>
                <w:right w:w="0" w:type="dxa"/>
              </w:tblCellMar>
            </w:tblPr>
            <w:tblGrid>
              <w:gridCol w:w="1252"/>
              <w:gridCol w:w="884"/>
              <w:gridCol w:w="961"/>
              <w:gridCol w:w="919"/>
              <w:gridCol w:w="961"/>
              <w:gridCol w:w="1113"/>
              <w:gridCol w:w="887"/>
              <w:gridCol w:w="923"/>
            </w:tblGrid>
            <w:tr w14:paraId="6987160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92" w:type="pct"/>
                  <w:tcBorders>
                    <w:tl2br w:val="nil"/>
                    <w:tr2bl w:val="nil"/>
                  </w:tcBorders>
                  <w:vAlign w:val="center"/>
                </w:tcPr>
                <w:p w14:paraId="703A58FA">
                  <w:pPr>
                    <w:pStyle w:val="326"/>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污染源</w:t>
                  </w:r>
                </w:p>
              </w:tc>
              <w:tc>
                <w:tcPr>
                  <w:tcW w:w="559" w:type="pct"/>
                  <w:tcBorders>
                    <w:tl2br w:val="nil"/>
                    <w:tr2bl w:val="nil"/>
                  </w:tcBorders>
                  <w:vAlign w:val="center"/>
                </w:tcPr>
                <w:p w14:paraId="3B8A9E00">
                  <w:pPr>
                    <w:pStyle w:val="326"/>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污染物</w:t>
                  </w:r>
                </w:p>
              </w:tc>
              <w:tc>
                <w:tcPr>
                  <w:tcW w:w="608" w:type="pct"/>
                  <w:tcBorders>
                    <w:tl2br w:val="nil"/>
                    <w:tr2bl w:val="nil"/>
                  </w:tcBorders>
                  <w:vAlign w:val="center"/>
                </w:tcPr>
                <w:p w14:paraId="23583E1C">
                  <w:pPr>
                    <w:pStyle w:val="326"/>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频次</w:t>
                  </w:r>
                </w:p>
                <w:p w14:paraId="48C0B38E">
                  <w:pPr>
                    <w:pStyle w:val="326"/>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（次/年）</w:t>
                  </w:r>
                </w:p>
              </w:tc>
              <w:tc>
                <w:tcPr>
                  <w:tcW w:w="581" w:type="pct"/>
                  <w:tcBorders>
                    <w:tl2br w:val="nil"/>
                    <w:tr2bl w:val="nil"/>
                  </w:tcBorders>
                  <w:vAlign w:val="center"/>
                </w:tcPr>
                <w:p w14:paraId="77D129D0">
                  <w:pPr>
                    <w:pStyle w:val="326"/>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排放浓度</w:t>
                  </w:r>
                </w:p>
                <w:p w14:paraId="0DC40EFA">
                  <w:pPr>
                    <w:pStyle w:val="326"/>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rPr>
                    <w:t>mg/m</w:t>
                  </w:r>
                  <w:r>
                    <w:rPr>
                      <w:rFonts w:hint="default" w:ascii="Times New Roman" w:hAnsi="Times New Roman" w:cs="Times New Roman" w:eastAsiaTheme="minorEastAsia"/>
                      <w:color w:val="auto"/>
                      <w:spacing w:val="0"/>
                      <w:sz w:val="21"/>
                      <w:szCs w:val="21"/>
                      <w:vertAlign w:val="superscript"/>
                      <w:lang w:val="en-US" w:eastAsia="zh-CN"/>
                    </w:rPr>
                    <w:t>3</w:t>
                  </w:r>
                </w:p>
              </w:tc>
              <w:tc>
                <w:tcPr>
                  <w:tcW w:w="608" w:type="pct"/>
                  <w:tcBorders>
                    <w:tl2br w:val="nil"/>
                    <w:tr2bl w:val="nil"/>
                  </w:tcBorders>
                  <w:vAlign w:val="center"/>
                </w:tcPr>
                <w:p w14:paraId="1DA47796">
                  <w:pPr>
                    <w:pStyle w:val="326"/>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排放速率kg/h</w:t>
                  </w:r>
                </w:p>
              </w:tc>
              <w:tc>
                <w:tcPr>
                  <w:tcW w:w="704" w:type="pct"/>
                  <w:tcBorders>
                    <w:tl2br w:val="nil"/>
                    <w:tr2bl w:val="nil"/>
                  </w:tcBorders>
                  <w:vAlign w:val="center"/>
                </w:tcPr>
                <w:p w14:paraId="193FFF44">
                  <w:pPr>
                    <w:pStyle w:val="326"/>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持续时间</w:t>
                  </w:r>
                  <w:r>
                    <w:rPr>
                      <w:rFonts w:hint="default" w:ascii="Times New Roman" w:hAnsi="Times New Roman" w:cs="Times New Roman" w:eastAsiaTheme="minorEastAsia"/>
                      <w:color w:val="auto"/>
                      <w:spacing w:val="0"/>
                      <w:w w:val="100"/>
                      <w:sz w:val="21"/>
                      <w:szCs w:val="21"/>
                    </w:rPr>
                    <w:t>h</w:t>
                  </w:r>
                </w:p>
              </w:tc>
              <w:tc>
                <w:tcPr>
                  <w:tcW w:w="561" w:type="pct"/>
                  <w:tcBorders>
                    <w:tl2br w:val="nil"/>
                    <w:tr2bl w:val="nil"/>
                  </w:tcBorders>
                  <w:vAlign w:val="center"/>
                </w:tcPr>
                <w:p w14:paraId="61DFF9E4">
                  <w:pPr>
                    <w:pStyle w:val="326"/>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排放量kg</w:t>
                  </w:r>
                </w:p>
              </w:tc>
              <w:tc>
                <w:tcPr>
                  <w:tcW w:w="584" w:type="pct"/>
                  <w:tcBorders>
                    <w:tl2br w:val="nil"/>
                    <w:tr2bl w:val="nil"/>
                  </w:tcBorders>
                  <w:vAlign w:val="center"/>
                </w:tcPr>
                <w:p w14:paraId="71AD0A61">
                  <w:pPr>
                    <w:pStyle w:val="326"/>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措施</w:t>
                  </w:r>
                </w:p>
              </w:tc>
            </w:tr>
            <w:tr w14:paraId="758A7A3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142" w:hRule="atLeast"/>
              </w:trPr>
              <w:tc>
                <w:tcPr>
                  <w:tcW w:w="792" w:type="pct"/>
                  <w:vMerge w:val="restart"/>
                  <w:tcBorders>
                    <w:tl2br w:val="nil"/>
                    <w:tr2bl w:val="nil"/>
                  </w:tcBorders>
                  <w:shd w:val="clear" w:color="auto" w:fill="auto"/>
                  <w:vAlign w:val="center"/>
                </w:tcPr>
                <w:p w14:paraId="74EDEAA0">
                  <w:pPr>
                    <w:pStyle w:val="111"/>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pacing w:val="0"/>
                      <w:w w:val="100"/>
                      <w:position w:val="0"/>
                      <w:sz w:val="21"/>
                      <w:szCs w:val="21"/>
                      <w:lang w:val="en-US" w:eastAsia="zh-CN"/>
                    </w:rPr>
                  </w:pPr>
                  <w:r>
                    <w:rPr>
                      <w:rFonts w:hint="default" w:ascii="Times New Roman" w:hAnsi="Times New Roman" w:cs="Times New Roman"/>
                      <w:color w:val="auto"/>
                      <w:spacing w:val="0"/>
                      <w:w w:val="100"/>
                      <w:position w:val="0"/>
                      <w:sz w:val="21"/>
                      <w:szCs w:val="21"/>
                    </w:rPr>
                    <w:t>DA00</w:t>
                  </w:r>
                  <w:r>
                    <w:rPr>
                      <w:rFonts w:hint="default" w:ascii="Times New Roman" w:hAnsi="Times New Roman" w:cs="Times New Roman"/>
                      <w:color w:val="auto"/>
                      <w:spacing w:val="0"/>
                      <w:w w:val="100"/>
                      <w:position w:val="0"/>
                      <w:sz w:val="21"/>
                      <w:szCs w:val="21"/>
                      <w:lang w:val="en-US" w:eastAsia="zh-CN"/>
                    </w:rPr>
                    <w:t>1</w:t>
                  </w:r>
                </w:p>
                <w:p w14:paraId="2035EA81">
                  <w:pPr>
                    <w:pStyle w:val="111"/>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pacing w:val="0"/>
                      <w:w w:val="100"/>
                      <w:position w:val="0"/>
                      <w:sz w:val="21"/>
                      <w:szCs w:val="21"/>
                    </w:rPr>
                  </w:pPr>
                  <w:r>
                    <w:rPr>
                      <w:rFonts w:hint="eastAsia" w:cs="Times New Roman"/>
                      <w:color w:val="auto"/>
                      <w:spacing w:val="0"/>
                      <w:w w:val="100"/>
                      <w:position w:val="0"/>
                      <w:sz w:val="21"/>
                      <w:szCs w:val="21"/>
                      <w:lang w:val="en-US" w:eastAsia="zh-CN"/>
                    </w:rPr>
                    <w:t>制模废气、</w:t>
                  </w:r>
                  <w:r>
                    <w:rPr>
                      <w:rFonts w:hint="default" w:ascii="Times New Roman" w:hAnsi="Times New Roman" w:eastAsia="宋体" w:cs="Times New Roman"/>
                      <w:color w:val="auto"/>
                      <w:spacing w:val="0"/>
                      <w:w w:val="100"/>
                      <w:position w:val="0"/>
                      <w:sz w:val="21"/>
                      <w:szCs w:val="21"/>
                      <w:lang w:val="en-US" w:eastAsia="zh-CN"/>
                    </w:rPr>
                    <w:t>熔化废气、造型/浇注废气、落砂废气和清理废气（抛丸废气、机加工废气）</w:t>
                  </w:r>
                </w:p>
              </w:tc>
              <w:tc>
                <w:tcPr>
                  <w:tcW w:w="559" w:type="pct"/>
                  <w:tcBorders>
                    <w:tl2br w:val="nil"/>
                    <w:tr2bl w:val="nil"/>
                  </w:tcBorders>
                  <w:shd w:val="clear" w:color="auto" w:fill="auto"/>
                  <w:vAlign w:val="center"/>
                </w:tcPr>
                <w:p w14:paraId="000252F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spacing w:val="0"/>
                      <w:w w:val="100"/>
                      <w:position w:val="0"/>
                      <w:sz w:val="21"/>
                      <w:lang w:val="en-US" w:eastAsia="zh-CN"/>
                    </w:rPr>
                  </w:pPr>
                  <w:r>
                    <w:rPr>
                      <w:rFonts w:hint="default" w:ascii="Times New Roman" w:hAnsi="Times New Roman" w:eastAsia="宋体" w:cs="Times New Roman"/>
                      <w:color w:val="auto"/>
                      <w:spacing w:val="0"/>
                      <w:w w:val="100"/>
                      <w:position w:val="0"/>
                      <w:sz w:val="21"/>
                      <w:lang w:val="en-US" w:eastAsia="zh-CN"/>
                    </w:rPr>
                    <w:t>颗粒物</w:t>
                  </w:r>
                </w:p>
              </w:tc>
              <w:tc>
                <w:tcPr>
                  <w:tcW w:w="608" w:type="pct"/>
                  <w:vMerge w:val="restart"/>
                  <w:tcBorders>
                    <w:tl2br w:val="nil"/>
                    <w:tr2bl w:val="nil"/>
                  </w:tcBorders>
                  <w:shd w:val="clear" w:color="auto" w:fill="auto"/>
                  <w:vAlign w:val="center"/>
                </w:tcPr>
                <w:p w14:paraId="5AD35D58">
                  <w:pPr>
                    <w:pStyle w:val="326"/>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w w:val="100"/>
                      <w:sz w:val="21"/>
                      <w:szCs w:val="21"/>
                    </w:rPr>
                    <w:t>1</w:t>
                  </w:r>
                </w:p>
              </w:tc>
              <w:tc>
                <w:tcPr>
                  <w:tcW w:w="581" w:type="pct"/>
                  <w:tcBorders>
                    <w:tl2br w:val="nil"/>
                    <w:tr2bl w:val="nil"/>
                  </w:tcBorders>
                  <w:shd w:val="clear" w:color="auto" w:fill="auto"/>
                  <w:vAlign w:val="center"/>
                </w:tcPr>
                <w:p w14:paraId="38C9F6C4">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eastAsiaTheme="minorEastAsia"/>
                      <w:color w:val="auto"/>
                      <w:spacing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216</w:t>
                  </w:r>
                </w:p>
              </w:tc>
              <w:tc>
                <w:tcPr>
                  <w:tcW w:w="608" w:type="pct"/>
                  <w:tcBorders>
                    <w:tl2br w:val="nil"/>
                    <w:tr2bl w:val="nil"/>
                  </w:tcBorders>
                  <w:shd w:val="clear" w:color="auto" w:fill="auto"/>
                  <w:vAlign w:val="center"/>
                </w:tcPr>
                <w:p w14:paraId="7D7B496B">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eastAsiaTheme="minorEastAsia"/>
                      <w:color w:val="auto"/>
                      <w:spacing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4.32</w:t>
                  </w:r>
                </w:p>
              </w:tc>
              <w:tc>
                <w:tcPr>
                  <w:tcW w:w="704" w:type="pct"/>
                  <w:vMerge w:val="restart"/>
                  <w:tcBorders>
                    <w:tl2br w:val="nil"/>
                    <w:tr2bl w:val="nil"/>
                  </w:tcBorders>
                  <w:shd w:val="clear" w:color="auto" w:fill="auto"/>
                  <w:vAlign w:val="center"/>
                </w:tcPr>
                <w:p w14:paraId="05084560">
                  <w:pPr>
                    <w:pStyle w:val="326"/>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1</w:t>
                  </w:r>
                </w:p>
              </w:tc>
              <w:tc>
                <w:tcPr>
                  <w:tcW w:w="561" w:type="pct"/>
                  <w:tcBorders>
                    <w:tl2br w:val="nil"/>
                    <w:tr2bl w:val="nil"/>
                  </w:tcBorders>
                  <w:shd w:val="clear" w:color="auto" w:fill="auto"/>
                  <w:vAlign w:val="center"/>
                </w:tcPr>
                <w:p w14:paraId="72438869">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eastAsiaTheme="minorEastAsia"/>
                      <w:color w:val="auto"/>
                      <w:spacing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4.32</w:t>
                  </w:r>
                </w:p>
              </w:tc>
              <w:tc>
                <w:tcPr>
                  <w:tcW w:w="584" w:type="pct"/>
                  <w:vMerge w:val="restart"/>
                  <w:tcBorders>
                    <w:tl2br w:val="nil"/>
                    <w:tr2bl w:val="nil"/>
                  </w:tcBorders>
                  <w:shd w:val="clear" w:color="auto" w:fill="auto"/>
                  <w:vAlign w:val="center"/>
                </w:tcPr>
                <w:p w14:paraId="31BE89E4">
                  <w:pPr>
                    <w:pStyle w:val="326"/>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停产检修</w:t>
                  </w:r>
                </w:p>
              </w:tc>
            </w:tr>
            <w:tr w14:paraId="74B32F9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92" w:type="pct"/>
                  <w:vMerge w:val="continue"/>
                  <w:tcBorders>
                    <w:tl2br w:val="nil"/>
                    <w:tr2bl w:val="nil"/>
                  </w:tcBorders>
                  <w:shd w:val="clear" w:color="auto" w:fill="auto"/>
                  <w:vAlign w:val="center"/>
                </w:tcPr>
                <w:p w14:paraId="726DC735">
                  <w:pPr>
                    <w:pStyle w:val="111"/>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w w:val="100"/>
                      <w:position w:val="0"/>
                      <w:sz w:val="21"/>
                      <w:szCs w:val="21"/>
                    </w:rPr>
                  </w:pPr>
                </w:p>
              </w:tc>
              <w:tc>
                <w:tcPr>
                  <w:tcW w:w="559" w:type="pct"/>
                  <w:tcBorders>
                    <w:tl2br w:val="nil"/>
                    <w:tr2bl w:val="nil"/>
                  </w:tcBorders>
                  <w:shd w:val="clear" w:color="auto" w:fill="auto"/>
                  <w:vAlign w:val="center"/>
                </w:tcPr>
                <w:p w14:paraId="7F5759F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cs="Times New Roman" w:eastAsiaTheme="minorEastAsia"/>
                      <w:color w:val="auto"/>
                      <w:spacing w:val="0"/>
                      <w:sz w:val="21"/>
                      <w:szCs w:val="21"/>
                    </w:rPr>
                  </w:pPr>
                  <w:r>
                    <w:rPr>
                      <w:rFonts w:hint="default" w:ascii="Times New Roman" w:hAnsi="Times New Roman" w:eastAsia="宋体" w:cs="Times New Roman"/>
                      <w:color w:val="auto"/>
                      <w:spacing w:val="0"/>
                      <w:w w:val="100"/>
                      <w:position w:val="0"/>
                      <w:sz w:val="21"/>
                      <w:lang w:val="en-US" w:eastAsia="zh-CN"/>
                    </w:rPr>
                    <w:t>非甲烷总烃</w:t>
                  </w:r>
                </w:p>
              </w:tc>
              <w:tc>
                <w:tcPr>
                  <w:tcW w:w="608" w:type="pct"/>
                  <w:vMerge w:val="continue"/>
                  <w:tcBorders>
                    <w:tl2br w:val="nil"/>
                    <w:tr2bl w:val="nil"/>
                  </w:tcBorders>
                  <w:shd w:val="clear" w:color="auto" w:fill="auto"/>
                  <w:vAlign w:val="center"/>
                </w:tcPr>
                <w:p w14:paraId="0BD73719">
                  <w:pPr>
                    <w:pStyle w:val="326"/>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rPr>
                  </w:pPr>
                </w:p>
              </w:tc>
              <w:tc>
                <w:tcPr>
                  <w:tcW w:w="581" w:type="pct"/>
                  <w:tcBorders>
                    <w:tl2br w:val="nil"/>
                    <w:tr2bl w:val="nil"/>
                  </w:tcBorders>
                  <w:shd w:val="clear" w:color="auto" w:fill="auto"/>
                  <w:vAlign w:val="center"/>
                </w:tcPr>
                <w:p w14:paraId="5728DF40">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eastAsiaTheme="minorEastAsia"/>
                      <w:color w:val="auto"/>
                      <w:spacing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10.4</w:t>
                  </w:r>
                </w:p>
              </w:tc>
              <w:tc>
                <w:tcPr>
                  <w:tcW w:w="608" w:type="pct"/>
                  <w:tcBorders>
                    <w:tl2br w:val="nil"/>
                    <w:tr2bl w:val="nil"/>
                  </w:tcBorders>
                  <w:shd w:val="clear" w:color="auto" w:fill="auto"/>
                  <w:vAlign w:val="center"/>
                </w:tcPr>
                <w:p w14:paraId="53D9636F">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eastAsiaTheme="minorEastAsia"/>
                      <w:color w:val="auto"/>
                      <w:spacing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0.2076</w:t>
                  </w:r>
                </w:p>
              </w:tc>
              <w:tc>
                <w:tcPr>
                  <w:tcW w:w="704" w:type="pct"/>
                  <w:vMerge w:val="continue"/>
                  <w:tcBorders>
                    <w:tl2br w:val="nil"/>
                    <w:tr2bl w:val="nil"/>
                  </w:tcBorders>
                  <w:shd w:val="clear" w:color="auto" w:fill="auto"/>
                  <w:vAlign w:val="center"/>
                </w:tcPr>
                <w:p w14:paraId="5A3C2A5A">
                  <w:pPr>
                    <w:pStyle w:val="326"/>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p>
              </w:tc>
              <w:tc>
                <w:tcPr>
                  <w:tcW w:w="561" w:type="pct"/>
                  <w:tcBorders>
                    <w:tl2br w:val="nil"/>
                    <w:tr2bl w:val="nil"/>
                  </w:tcBorders>
                  <w:shd w:val="clear" w:color="auto" w:fill="auto"/>
                  <w:vAlign w:val="center"/>
                </w:tcPr>
                <w:p w14:paraId="6195742A">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eastAsiaTheme="minorEastAsia"/>
                      <w:color w:val="auto"/>
                      <w:spacing w:val="0"/>
                      <w:sz w:val="21"/>
                      <w:szCs w:val="21"/>
                      <w:lang w:val="en-US" w:eastAsia="zh-CN"/>
                    </w:rPr>
                  </w:pPr>
                  <w:r>
                    <w:rPr>
                      <w:rFonts w:hint="eastAsia" w:ascii="Times New Roman" w:hAnsi="Times New Roman" w:eastAsia="宋体" w:cs="Times New Roman"/>
                      <w:color w:val="auto"/>
                      <w:spacing w:val="0"/>
                      <w:w w:val="100"/>
                      <w:position w:val="0"/>
                      <w:sz w:val="21"/>
                      <w:szCs w:val="21"/>
                      <w:lang w:val="en-US" w:eastAsia="zh-CN"/>
                    </w:rPr>
                    <w:t>0.2076</w:t>
                  </w:r>
                </w:p>
              </w:tc>
              <w:tc>
                <w:tcPr>
                  <w:tcW w:w="584" w:type="pct"/>
                  <w:vMerge w:val="continue"/>
                  <w:tcBorders>
                    <w:tl2br w:val="nil"/>
                    <w:tr2bl w:val="nil"/>
                  </w:tcBorders>
                  <w:shd w:val="clear" w:color="auto" w:fill="auto"/>
                  <w:vAlign w:val="center"/>
                </w:tcPr>
                <w:p w14:paraId="14CC4739">
                  <w:pPr>
                    <w:pStyle w:val="326"/>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cs="Times New Roman" w:eastAsiaTheme="minorEastAsia"/>
                      <w:color w:val="auto"/>
                      <w:spacing w:val="0"/>
                      <w:sz w:val="21"/>
                      <w:szCs w:val="21"/>
                    </w:rPr>
                  </w:pPr>
                </w:p>
              </w:tc>
            </w:tr>
          </w:tbl>
          <w:p w14:paraId="20A7FF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color w:val="auto"/>
                <w:spacing w:val="0"/>
                <w:w w:val="100"/>
                <w:kern w:val="0"/>
                <w:position w:val="0"/>
                <w:sz w:val="24"/>
                <w:lang w:val="en-US" w:eastAsia="zh-CN"/>
              </w:rPr>
            </w:pPr>
            <w:r>
              <w:rPr>
                <w:rFonts w:hint="default" w:ascii="Times New Roman" w:hAnsi="Times New Roman" w:eastAsia="宋体" w:cs="Times New Roman"/>
                <w:b w:val="0"/>
                <w:bCs/>
                <w:color w:val="auto"/>
                <w:spacing w:val="0"/>
                <w:w w:val="100"/>
                <w:kern w:val="0"/>
                <w:position w:val="0"/>
                <w:sz w:val="24"/>
                <w:lang w:val="en-US" w:eastAsia="zh-CN"/>
              </w:rPr>
              <w:t>建设单位应严格控制废气非正常排放，并采取以下措施:</w:t>
            </w:r>
          </w:p>
          <w:p w14:paraId="0744FD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color w:val="auto"/>
                <w:spacing w:val="0"/>
                <w:w w:val="100"/>
                <w:kern w:val="0"/>
                <w:position w:val="0"/>
                <w:sz w:val="24"/>
                <w:lang w:val="en-US" w:eastAsia="zh-CN"/>
              </w:rPr>
            </w:pPr>
            <w:r>
              <w:rPr>
                <w:rFonts w:hint="default" w:ascii="Times New Roman" w:hAnsi="Times New Roman" w:eastAsia="宋体" w:cs="Times New Roman"/>
                <w:b w:val="0"/>
                <w:bCs/>
                <w:color w:val="auto"/>
                <w:spacing w:val="0"/>
                <w:w w:val="100"/>
                <w:kern w:val="0"/>
                <w:position w:val="0"/>
                <w:sz w:val="24"/>
                <w:lang w:val="en-US" w:eastAsia="zh-CN"/>
              </w:rPr>
              <w:t>（1）车间生产设备布局合理，车间环境干净整洁有序，车间地面硬化，管道、设备无积尘。</w:t>
            </w:r>
          </w:p>
          <w:p w14:paraId="54C198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color w:val="auto"/>
                <w:spacing w:val="0"/>
                <w:w w:val="100"/>
                <w:kern w:val="0"/>
                <w:position w:val="0"/>
                <w:sz w:val="24"/>
                <w:lang w:val="en-US" w:eastAsia="zh-CN"/>
              </w:rPr>
            </w:pPr>
            <w:r>
              <w:rPr>
                <w:rFonts w:hint="default" w:ascii="Times New Roman" w:hAnsi="Times New Roman" w:eastAsia="宋体" w:cs="Times New Roman"/>
                <w:b w:val="0"/>
                <w:bCs/>
                <w:color w:val="auto"/>
                <w:spacing w:val="0"/>
                <w:w w:val="100"/>
                <w:kern w:val="0"/>
                <w:position w:val="0"/>
                <w:sz w:val="24"/>
                <w:lang w:val="en-US" w:eastAsia="zh-CN"/>
              </w:rPr>
              <w:t>（2）制定环保设备例行检查制度，加强定期维护保养，发现风机、处理设施故障、损坏或排风管道破损时，应立即停止生产活动，对设备或管道进行维修，待恢复正常后正常运行。</w:t>
            </w:r>
          </w:p>
          <w:p w14:paraId="62C982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color w:val="auto"/>
                <w:spacing w:val="0"/>
                <w:w w:val="100"/>
                <w:kern w:val="0"/>
                <w:position w:val="0"/>
                <w:sz w:val="24"/>
                <w:lang w:val="en-US" w:eastAsia="zh-CN"/>
              </w:rPr>
            </w:pPr>
            <w:r>
              <w:rPr>
                <w:rFonts w:hint="default" w:ascii="Times New Roman" w:hAnsi="Times New Roman" w:eastAsia="宋体" w:cs="Times New Roman"/>
                <w:b w:val="0"/>
                <w:bCs/>
                <w:color w:val="auto"/>
                <w:spacing w:val="0"/>
                <w:w w:val="100"/>
                <w:kern w:val="0"/>
                <w:position w:val="0"/>
                <w:sz w:val="24"/>
                <w:lang w:val="en-US" w:eastAsia="zh-CN"/>
              </w:rPr>
              <w:t>（3）定期检修废气排气筒及环保设施，确保净化效率符合要求；检修时应停止生产活动运行，杜绝废气未经处理直接排放。设立环保管理专员，对环保管理人员及技术人员进行岗位培训，委托具有专业资质的环境监测单位对项目排放的各类废气污染物进行定期监测。</w:t>
            </w:r>
          </w:p>
          <w:p w14:paraId="6409C2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default" w:ascii="Times New Roman" w:hAnsi="Times New Roman" w:eastAsia="宋体" w:cs="Times New Roman"/>
                <w:b/>
                <w:bCs w:val="0"/>
                <w:color w:val="auto"/>
                <w:spacing w:val="0"/>
                <w:w w:val="100"/>
                <w:kern w:val="0"/>
                <w:position w:val="0"/>
                <w:sz w:val="24"/>
                <w:lang w:val="en-US" w:eastAsia="zh-CN"/>
              </w:rPr>
            </w:pPr>
            <w:r>
              <w:rPr>
                <w:rFonts w:hint="default" w:ascii="Times New Roman" w:hAnsi="Times New Roman" w:eastAsia="宋体" w:cs="Times New Roman"/>
                <w:b/>
                <w:bCs w:val="0"/>
                <w:color w:val="auto"/>
                <w:spacing w:val="0"/>
                <w:w w:val="100"/>
                <w:kern w:val="0"/>
                <w:position w:val="0"/>
                <w:sz w:val="24"/>
                <w:lang w:val="en-US" w:eastAsia="zh-CN"/>
              </w:rPr>
              <w:t>1.6环境保护目标污染物落地浓度达标情况</w:t>
            </w:r>
          </w:p>
          <w:p w14:paraId="1044DB1A">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ind w:left="0" w:leftChars="0" w:right="0" w:firstLine="480" w:firstLineChars="200"/>
              <w:textAlignment w:val="auto"/>
              <w:rPr>
                <w:rFonts w:hint="default" w:ascii="Times New Roman" w:hAnsi="Times New Roman" w:eastAsia="宋体" w:cs="Times New Roman"/>
                <w:b w:val="0"/>
                <w:bCs/>
                <w:color w:val="auto"/>
                <w:spacing w:val="0"/>
                <w:w w:val="100"/>
                <w:kern w:val="0"/>
                <w:position w:val="0"/>
                <w:sz w:val="24"/>
                <w:szCs w:val="21"/>
                <w:lang w:val="en-US" w:eastAsia="zh-CN"/>
              </w:rPr>
            </w:pPr>
            <w:r>
              <w:rPr>
                <w:rFonts w:hint="default" w:ascii="Times New Roman" w:hAnsi="Times New Roman" w:eastAsia="宋体" w:cs="Times New Roman"/>
                <w:b w:val="0"/>
                <w:bCs/>
                <w:color w:val="auto"/>
                <w:spacing w:val="0"/>
                <w:w w:val="100"/>
                <w:kern w:val="0"/>
                <w:position w:val="0"/>
                <w:sz w:val="24"/>
                <w:szCs w:val="21"/>
                <w:lang w:val="en-US" w:eastAsia="zh-CN"/>
              </w:rPr>
              <w:t>根据《环境影响评价技术导则 大气环境》（HJ 2.2-2018），采用附录 A 推荐的AERSCREEN 估算模式，计算项目 DA001 排气筒（15m）污染物在环境保护目标处的最大落地浓度，并进行达标判定。</w:t>
            </w:r>
          </w:p>
          <w:p w14:paraId="6AB310EE">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ind w:left="0" w:leftChars="0" w:right="0" w:firstLine="480" w:firstLineChars="200"/>
              <w:textAlignment w:val="auto"/>
              <w:rPr>
                <w:rFonts w:hint="default" w:ascii="Times New Roman" w:hAnsi="Times New Roman" w:eastAsia="宋体" w:cs="Times New Roman"/>
                <w:b w:val="0"/>
                <w:bCs/>
                <w:color w:val="auto"/>
                <w:spacing w:val="0"/>
                <w:w w:val="100"/>
                <w:kern w:val="0"/>
                <w:position w:val="0"/>
                <w:sz w:val="24"/>
                <w:szCs w:val="21"/>
                <w:lang w:val="en-US" w:eastAsia="zh-CN"/>
              </w:rPr>
            </w:pPr>
            <w:r>
              <w:rPr>
                <w:rFonts w:hint="default" w:ascii="Times New Roman" w:hAnsi="Times New Roman" w:eastAsia="宋体" w:cs="Times New Roman"/>
                <w:b w:val="0"/>
                <w:bCs/>
                <w:color w:val="auto"/>
                <w:spacing w:val="0"/>
                <w:w w:val="100"/>
                <w:kern w:val="0"/>
                <w:position w:val="0"/>
                <w:sz w:val="24"/>
                <w:szCs w:val="21"/>
                <w:lang w:val="en-US" w:eastAsia="zh-CN"/>
              </w:rPr>
              <w:t>项目正常排放：</w:t>
            </w:r>
          </w:p>
          <w:p w14:paraId="1A7E836A">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ind w:left="0" w:leftChars="0" w:right="0" w:firstLine="480" w:firstLineChars="200"/>
              <w:textAlignment w:val="auto"/>
              <w:rPr>
                <w:rFonts w:hint="default" w:ascii="Times New Roman" w:hAnsi="Times New Roman" w:eastAsia="宋体" w:cs="Times New Roman"/>
                <w:b w:val="0"/>
                <w:bCs/>
                <w:color w:val="auto"/>
                <w:spacing w:val="0"/>
                <w:w w:val="100"/>
                <w:kern w:val="0"/>
                <w:position w:val="0"/>
                <w:sz w:val="24"/>
                <w:szCs w:val="21"/>
                <w:lang w:val="en-US" w:eastAsia="zh-CN"/>
              </w:rPr>
            </w:pPr>
            <w:r>
              <w:rPr>
                <w:rFonts w:hint="default" w:ascii="Times New Roman" w:hAnsi="Times New Roman" w:eastAsia="宋体" w:cs="Times New Roman"/>
                <w:b w:val="0"/>
                <w:bCs/>
                <w:color w:val="auto"/>
                <w:spacing w:val="0"/>
                <w:w w:val="100"/>
                <w:kern w:val="0"/>
                <w:position w:val="0"/>
                <w:sz w:val="24"/>
                <w:szCs w:val="21"/>
                <w:lang w:val="en-US" w:eastAsia="zh-CN"/>
              </w:rPr>
              <w:t>颗粒物排放速率：0.432 kg/h</w:t>
            </w:r>
          </w:p>
          <w:p w14:paraId="414B6D87">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ind w:left="0" w:leftChars="0" w:right="0" w:firstLine="480" w:firstLineChars="200"/>
              <w:textAlignment w:val="auto"/>
              <w:rPr>
                <w:rFonts w:hint="default" w:ascii="Times New Roman" w:hAnsi="Times New Roman" w:eastAsia="宋体" w:cs="Times New Roman"/>
                <w:b w:val="0"/>
                <w:bCs/>
                <w:color w:val="auto"/>
                <w:spacing w:val="0"/>
                <w:w w:val="100"/>
                <w:kern w:val="0"/>
                <w:position w:val="0"/>
                <w:sz w:val="24"/>
                <w:szCs w:val="21"/>
                <w:lang w:val="en-US" w:eastAsia="zh-CN"/>
              </w:rPr>
            </w:pPr>
            <w:r>
              <w:rPr>
                <w:rFonts w:hint="default" w:ascii="Times New Roman" w:hAnsi="Times New Roman" w:eastAsia="宋体" w:cs="Times New Roman"/>
                <w:b w:val="0"/>
                <w:bCs/>
                <w:color w:val="auto"/>
                <w:spacing w:val="0"/>
                <w:w w:val="100"/>
                <w:kern w:val="0"/>
                <w:position w:val="0"/>
                <w:sz w:val="24"/>
                <w:szCs w:val="21"/>
                <w:lang w:val="en-US" w:eastAsia="zh-CN"/>
              </w:rPr>
              <w:t>非甲烷总烃排放速率：0.</w:t>
            </w:r>
            <w:r>
              <w:rPr>
                <w:rFonts w:hint="eastAsia" w:ascii="Times New Roman" w:hAnsi="Times New Roman" w:eastAsia="宋体" w:cs="Times New Roman"/>
                <w:b w:val="0"/>
                <w:bCs/>
                <w:color w:val="auto"/>
                <w:spacing w:val="0"/>
                <w:w w:val="100"/>
                <w:kern w:val="0"/>
                <w:position w:val="0"/>
                <w:sz w:val="24"/>
                <w:szCs w:val="21"/>
                <w:lang w:val="en-US" w:eastAsia="zh-CN"/>
              </w:rPr>
              <w:t>1392</w:t>
            </w:r>
            <w:r>
              <w:rPr>
                <w:rFonts w:hint="default" w:ascii="Times New Roman" w:hAnsi="Times New Roman" w:eastAsia="宋体" w:cs="Times New Roman"/>
                <w:b w:val="0"/>
                <w:bCs/>
                <w:color w:val="auto"/>
                <w:spacing w:val="0"/>
                <w:w w:val="100"/>
                <w:kern w:val="0"/>
                <w:position w:val="0"/>
                <w:sz w:val="24"/>
                <w:szCs w:val="21"/>
                <w:lang w:val="en-US" w:eastAsia="zh-CN"/>
              </w:rPr>
              <w:t xml:space="preserve"> kg/h</w:t>
            </w:r>
          </w:p>
          <w:p w14:paraId="3E19C0CD">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ind w:left="0" w:leftChars="0" w:right="0" w:firstLine="480" w:firstLineChars="200"/>
              <w:textAlignment w:val="auto"/>
              <w:rPr>
                <w:rFonts w:hint="default" w:ascii="Times New Roman" w:hAnsi="Times New Roman" w:eastAsia="宋体" w:cs="Times New Roman"/>
                <w:b w:val="0"/>
                <w:bCs/>
                <w:color w:val="auto"/>
                <w:spacing w:val="0"/>
                <w:w w:val="100"/>
                <w:kern w:val="0"/>
                <w:position w:val="0"/>
                <w:sz w:val="24"/>
                <w:szCs w:val="21"/>
                <w:lang w:val="en-US" w:eastAsia="zh-CN"/>
              </w:rPr>
            </w:pPr>
            <w:r>
              <w:rPr>
                <w:rFonts w:hint="default" w:ascii="Times New Roman" w:hAnsi="Times New Roman" w:eastAsia="宋体" w:cs="Times New Roman"/>
                <w:b w:val="0"/>
                <w:bCs/>
                <w:color w:val="auto"/>
                <w:spacing w:val="0"/>
                <w:w w:val="100"/>
                <w:kern w:val="0"/>
                <w:position w:val="0"/>
                <w:sz w:val="24"/>
                <w:szCs w:val="21"/>
                <w:lang w:val="en-US" w:eastAsia="zh-CN"/>
              </w:rPr>
              <w:t>计算结果：</w:t>
            </w:r>
          </w:p>
          <w:p w14:paraId="508D31DF">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ind w:left="0" w:leftChars="0" w:right="0" w:firstLine="480" w:firstLineChars="200"/>
              <w:textAlignment w:val="auto"/>
              <w:rPr>
                <w:rFonts w:hint="default" w:ascii="Times New Roman" w:hAnsi="Times New Roman" w:eastAsia="宋体" w:cs="Times New Roman"/>
                <w:b w:val="0"/>
                <w:bCs/>
                <w:color w:val="auto"/>
                <w:spacing w:val="0"/>
                <w:w w:val="100"/>
                <w:kern w:val="0"/>
                <w:position w:val="0"/>
                <w:sz w:val="24"/>
                <w:szCs w:val="21"/>
                <w:lang w:val="en-US" w:eastAsia="zh-CN"/>
              </w:rPr>
            </w:pPr>
            <w:r>
              <w:rPr>
                <w:rFonts w:hint="default" w:ascii="Times New Roman" w:hAnsi="Times New Roman" w:eastAsia="宋体" w:cs="Times New Roman"/>
                <w:b w:val="0"/>
                <w:bCs/>
                <w:color w:val="auto"/>
                <w:spacing w:val="0"/>
                <w:w w:val="100"/>
                <w:kern w:val="0"/>
                <w:position w:val="0"/>
                <w:sz w:val="24"/>
                <w:szCs w:val="21"/>
                <w:lang w:val="en-US" w:eastAsia="zh-CN"/>
              </w:rPr>
              <w:t>颗粒物在环境保护目标处最大落地浓度为3.85μg/m³，占标率1.28%，满足《环境空气质量标准》（GB3095-2026）二级标准要求；非甲烷总烃在环境保护目标处最大落地浓度为</w:t>
            </w:r>
            <w:r>
              <w:rPr>
                <w:rFonts w:hint="eastAsia" w:ascii="Times New Roman" w:hAnsi="Times New Roman" w:eastAsia="宋体" w:cs="Times New Roman"/>
                <w:b w:val="0"/>
                <w:bCs/>
                <w:color w:val="auto"/>
                <w:spacing w:val="0"/>
                <w:w w:val="100"/>
                <w:kern w:val="0"/>
                <w:position w:val="0"/>
                <w:sz w:val="24"/>
                <w:szCs w:val="21"/>
                <w:lang w:val="en-US" w:eastAsia="zh-CN"/>
              </w:rPr>
              <w:t>15.6</w:t>
            </w:r>
            <w:r>
              <w:rPr>
                <w:rFonts w:hint="default" w:ascii="Times New Roman" w:hAnsi="Times New Roman" w:eastAsia="宋体" w:cs="Times New Roman"/>
                <w:b w:val="0"/>
                <w:bCs/>
                <w:color w:val="auto"/>
                <w:spacing w:val="0"/>
                <w:w w:val="100"/>
                <w:kern w:val="0"/>
                <w:position w:val="0"/>
                <w:sz w:val="24"/>
                <w:szCs w:val="21"/>
                <w:lang w:val="en-US" w:eastAsia="zh-CN"/>
              </w:rPr>
              <w:t xml:space="preserve"> μg/m³，占标率</w:t>
            </w:r>
            <w:r>
              <w:rPr>
                <w:rFonts w:hint="eastAsia" w:ascii="Times New Roman" w:hAnsi="Times New Roman" w:eastAsia="宋体" w:cs="Times New Roman"/>
                <w:b w:val="0"/>
                <w:bCs/>
                <w:color w:val="auto"/>
                <w:spacing w:val="0"/>
                <w:w w:val="100"/>
                <w:kern w:val="0"/>
                <w:position w:val="0"/>
                <w:sz w:val="24"/>
                <w:szCs w:val="21"/>
                <w:lang w:val="en-US" w:eastAsia="zh-CN"/>
              </w:rPr>
              <w:t>0.78</w:t>
            </w:r>
            <w:r>
              <w:rPr>
                <w:rFonts w:hint="default" w:ascii="Times New Roman" w:hAnsi="Times New Roman" w:eastAsia="宋体" w:cs="Times New Roman"/>
                <w:b w:val="0"/>
                <w:bCs/>
                <w:color w:val="auto"/>
                <w:spacing w:val="0"/>
                <w:w w:val="100"/>
                <w:kern w:val="0"/>
                <w:position w:val="0"/>
                <w:sz w:val="24"/>
                <w:szCs w:val="21"/>
                <w:lang w:val="en-US" w:eastAsia="zh-CN"/>
              </w:rPr>
              <w:t>%，满足《大气污染物综合排放标准》GB 16297-1996 二级限值要求。污染物在环境保护目标处落地浓度均达标，对周边敏感点影响可接受。</w:t>
            </w:r>
          </w:p>
          <w:p w14:paraId="4CF22D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2" w:firstLineChars="200"/>
              <w:jc w:val="left"/>
              <w:textAlignment w:val="auto"/>
              <w:rPr>
                <w:rFonts w:hint="default" w:ascii="Times New Roman" w:hAnsi="Times New Roman" w:eastAsia="宋体" w:cs="Times New Roman"/>
                <w:b/>
                <w:bCs w:val="0"/>
                <w:color w:val="auto"/>
                <w:spacing w:val="0"/>
                <w:w w:val="100"/>
                <w:kern w:val="0"/>
                <w:position w:val="0"/>
                <w:sz w:val="24"/>
              </w:rPr>
            </w:pPr>
            <w:r>
              <w:rPr>
                <w:rFonts w:hint="default" w:ascii="Times New Roman" w:hAnsi="Times New Roman" w:eastAsia="宋体" w:cs="Times New Roman"/>
                <w:b/>
                <w:bCs w:val="0"/>
                <w:color w:val="auto"/>
                <w:spacing w:val="0"/>
                <w:w w:val="100"/>
                <w:kern w:val="0"/>
                <w:position w:val="0"/>
                <w:sz w:val="24"/>
                <w:lang w:val="en-US" w:eastAsia="zh-CN"/>
              </w:rPr>
              <w:t>1.7结论</w:t>
            </w:r>
          </w:p>
          <w:p w14:paraId="2A5864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482"/>
              <w:contextualSpacing/>
              <w:textAlignment w:val="auto"/>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本项目位于</w:t>
            </w:r>
            <w:r>
              <w:rPr>
                <w:rFonts w:hint="default" w:ascii="Times New Roman" w:hAnsi="Times New Roman" w:eastAsia="宋体" w:cs="Times New Roman"/>
                <w:color w:val="auto"/>
                <w:spacing w:val="0"/>
                <w:w w:val="100"/>
                <w:kern w:val="0"/>
                <w:position w:val="0"/>
                <w:sz w:val="24"/>
                <w:szCs w:val="24"/>
                <w:lang w:val="en-US" w:eastAsia="zh-CN"/>
              </w:rPr>
              <w:t>广西壮族自治区柳州市鹿寨县鹿寨镇金鸡路53号之广西鹿寨化肥有限责任公司厂区内</w:t>
            </w:r>
            <w:r>
              <w:rPr>
                <w:rFonts w:hint="default" w:ascii="Times New Roman" w:hAnsi="Times New Roman" w:eastAsia="宋体" w:cs="Times New Roman"/>
                <w:color w:val="auto"/>
                <w:spacing w:val="0"/>
                <w:w w:val="100"/>
                <w:position w:val="0"/>
                <w:sz w:val="24"/>
                <w:szCs w:val="24"/>
                <w:lang w:val="en-US" w:eastAsia="zh-CN"/>
              </w:rPr>
              <w:t>，根据项目所在区域环境质量例行监测数据统计结果，区域为环境空气质量不达标区，本评价将厂界外500m范围内的居住区作为环境空气保护目标。</w:t>
            </w:r>
          </w:p>
          <w:p w14:paraId="0852B302">
            <w:pPr>
              <w:keepNext w:val="0"/>
              <w:keepLines w:val="0"/>
              <w:suppressLineNumbers w:val="0"/>
              <w:adjustRightInd/>
              <w:snapToGrid/>
              <w:spacing w:before="0" w:beforeAutospacing="0" w:after="0" w:afterAutospacing="0"/>
              <w:ind w:left="0" w:right="0" w:firstLine="482"/>
              <w:contextualSpacing/>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本项目废气经处理后达标排放；无组织废气采取车间封闭的方式。项目采取了完善的污染治理措施，可确保污染物达标排放，在落实废气污染治理措施的前提下，项目的建设对周围环境的影响可接受。</w:t>
            </w:r>
          </w:p>
          <w:p w14:paraId="009AD652">
            <w:pPr>
              <w:pStyle w:val="3"/>
              <w:keepNext w:val="0"/>
              <w:keepLines w:val="0"/>
              <w:suppressLineNumbers w:val="0"/>
              <w:adjustRightInd/>
              <w:snapToGrid/>
              <w:spacing w:before="0" w:beforeAutospacing="0" w:after="0" w:afterAutospacing="0" w:line="360" w:lineRule="auto"/>
              <w:ind w:left="0" w:leftChars="0" w:right="0" w:firstLine="482"/>
              <w:contextualSpacing/>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2、废水影响分析</w:t>
            </w:r>
          </w:p>
          <w:p w14:paraId="2E7CF221">
            <w:pPr>
              <w:pStyle w:val="3"/>
              <w:keepNext w:val="0"/>
              <w:keepLines w:val="0"/>
              <w:suppressLineNumbers w:val="0"/>
              <w:adjustRightInd/>
              <w:snapToGrid/>
              <w:spacing w:before="0" w:beforeAutospacing="0" w:after="0" w:afterAutospacing="0" w:line="360" w:lineRule="auto"/>
              <w:ind w:left="0" w:leftChars="0" w:right="0" w:firstLine="482"/>
              <w:contextualSpacing/>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1）废水产排情况</w:t>
            </w:r>
          </w:p>
          <w:p w14:paraId="6126359D">
            <w:pPr>
              <w:pStyle w:val="3"/>
              <w:keepNext w:val="0"/>
              <w:keepLines w:val="0"/>
              <w:suppressLineNumbers w:val="0"/>
              <w:adjustRightInd/>
              <w:snapToGrid/>
              <w:spacing w:before="0" w:beforeAutospacing="0" w:after="0" w:afterAutospacing="0" w:line="360" w:lineRule="auto"/>
              <w:ind w:left="0" w:leftChars="0" w:right="0" w:firstLine="482"/>
              <w:contextualSpacing/>
              <w:rPr>
                <w:rFonts w:hint="default" w:ascii="Times New Roman" w:hAnsi="Times New Roman" w:eastAsia="宋体" w:cs="Times New Roman"/>
                <w:b w:val="0"/>
                <w:color w:val="auto"/>
                <w:spacing w:val="0"/>
                <w:w w:val="100"/>
                <w:kern w:val="0"/>
                <w:position w:val="0"/>
                <w:sz w:val="24"/>
                <w:szCs w:val="24"/>
                <w:lang w:val="en-US" w:eastAsia="zh-CN"/>
              </w:rPr>
            </w:pPr>
            <w:r>
              <w:rPr>
                <w:rFonts w:hint="default" w:ascii="Times New Roman" w:hAnsi="Times New Roman" w:eastAsia="宋体" w:cs="Times New Roman"/>
                <w:b w:val="0"/>
                <w:color w:val="auto"/>
                <w:spacing w:val="0"/>
                <w:w w:val="100"/>
                <w:kern w:val="0"/>
                <w:position w:val="0"/>
                <w:sz w:val="24"/>
                <w:szCs w:val="24"/>
                <w:lang w:val="en-US" w:eastAsia="zh-CN"/>
              </w:rPr>
              <w:t>项目运营期用水主要为员工日常生活用水。</w:t>
            </w:r>
          </w:p>
          <w:p w14:paraId="461E5711">
            <w:pPr>
              <w:pStyle w:val="3"/>
              <w:keepNext w:val="0"/>
              <w:keepLines w:val="0"/>
              <w:suppressLineNumbers w:val="0"/>
              <w:adjustRightInd/>
              <w:snapToGrid/>
              <w:spacing w:before="0" w:beforeAutospacing="0" w:after="0" w:afterAutospacing="0" w:line="360" w:lineRule="auto"/>
              <w:ind w:left="0" w:leftChars="0" w:right="0" w:firstLine="482"/>
              <w:contextualSpacing/>
              <w:rPr>
                <w:rFonts w:hint="default" w:ascii="Times New Roman" w:hAnsi="Times New Roman" w:eastAsia="宋体" w:cs="Times New Roman"/>
                <w:b w:val="0"/>
                <w:color w:val="auto"/>
                <w:spacing w:val="0"/>
                <w:w w:val="100"/>
                <w:kern w:val="0"/>
                <w:position w:val="0"/>
                <w:sz w:val="24"/>
                <w:szCs w:val="24"/>
                <w:lang w:val="en-US" w:eastAsia="zh-CN"/>
              </w:rPr>
            </w:pPr>
            <w:r>
              <w:rPr>
                <w:rFonts w:hint="default" w:ascii="Times New Roman" w:hAnsi="Times New Roman" w:eastAsia="宋体" w:cs="Times New Roman"/>
                <w:b w:val="0"/>
                <w:color w:val="auto"/>
                <w:spacing w:val="0"/>
                <w:w w:val="100"/>
                <w:kern w:val="0"/>
                <w:position w:val="0"/>
                <w:sz w:val="24"/>
                <w:szCs w:val="24"/>
                <w:lang w:val="en-US" w:eastAsia="zh-CN"/>
              </w:rPr>
              <w:t>生活用水及生活污水：项目总定员为60人，均不住厂。根据《建筑给水排水设计标准》（GB50015-2019），不住厂员工生活用水量按50L/人·d计算，则项目员工日常生活用水量为3m</w:t>
            </w:r>
            <w:r>
              <w:rPr>
                <w:rFonts w:hint="default" w:ascii="Times New Roman" w:hAnsi="Times New Roman" w:eastAsia="宋体" w:cs="Times New Roman"/>
                <w:b w:val="0"/>
                <w:color w:val="auto"/>
                <w:spacing w:val="0"/>
                <w:w w:val="100"/>
                <w:kern w:val="0"/>
                <w:position w:val="0"/>
                <w:sz w:val="24"/>
                <w:szCs w:val="24"/>
                <w:vertAlign w:val="superscript"/>
                <w:lang w:val="en-US" w:eastAsia="zh-CN"/>
              </w:rPr>
              <w:t>3</w:t>
            </w:r>
            <w:r>
              <w:rPr>
                <w:rFonts w:hint="default" w:ascii="Times New Roman" w:hAnsi="Times New Roman" w:eastAsia="宋体" w:cs="Times New Roman"/>
                <w:b w:val="0"/>
                <w:color w:val="auto"/>
                <w:spacing w:val="0"/>
                <w:w w:val="100"/>
                <w:kern w:val="0"/>
                <w:position w:val="0"/>
                <w:sz w:val="24"/>
                <w:szCs w:val="24"/>
                <w:lang w:val="en-US" w:eastAsia="zh-CN"/>
              </w:rPr>
              <w:t>/d（900m</w:t>
            </w:r>
            <w:r>
              <w:rPr>
                <w:rFonts w:hint="default" w:ascii="Times New Roman" w:hAnsi="Times New Roman" w:eastAsia="宋体" w:cs="Times New Roman"/>
                <w:b w:val="0"/>
                <w:color w:val="auto"/>
                <w:spacing w:val="0"/>
                <w:w w:val="100"/>
                <w:kern w:val="0"/>
                <w:position w:val="0"/>
                <w:sz w:val="24"/>
                <w:szCs w:val="24"/>
                <w:vertAlign w:val="superscript"/>
                <w:lang w:val="en-US" w:eastAsia="zh-CN"/>
              </w:rPr>
              <w:t>3</w:t>
            </w:r>
            <w:r>
              <w:rPr>
                <w:rFonts w:hint="default" w:ascii="Times New Roman" w:hAnsi="Times New Roman" w:eastAsia="宋体" w:cs="Times New Roman"/>
                <w:b w:val="0"/>
                <w:color w:val="auto"/>
                <w:spacing w:val="0"/>
                <w:w w:val="100"/>
                <w:kern w:val="0"/>
                <w:position w:val="0"/>
                <w:sz w:val="24"/>
                <w:szCs w:val="24"/>
                <w:lang w:val="en-US" w:eastAsia="zh-CN"/>
              </w:rPr>
              <w:t>/a），排放量按用水量的80%计算，则项目生活污水量为2.4m</w:t>
            </w:r>
            <w:r>
              <w:rPr>
                <w:rFonts w:hint="default" w:ascii="Times New Roman" w:hAnsi="Times New Roman" w:eastAsia="宋体" w:cs="Times New Roman"/>
                <w:b w:val="0"/>
                <w:color w:val="auto"/>
                <w:spacing w:val="0"/>
                <w:w w:val="100"/>
                <w:kern w:val="0"/>
                <w:position w:val="0"/>
                <w:sz w:val="24"/>
                <w:szCs w:val="24"/>
                <w:vertAlign w:val="superscript"/>
                <w:lang w:val="en-US" w:eastAsia="zh-CN"/>
              </w:rPr>
              <w:t>3</w:t>
            </w:r>
            <w:r>
              <w:rPr>
                <w:rFonts w:hint="default" w:ascii="Times New Roman" w:hAnsi="Times New Roman" w:eastAsia="宋体" w:cs="Times New Roman"/>
                <w:b w:val="0"/>
                <w:color w:val="auto"/>
                <w:spacing w:val="0"/>
                <w:w w:val="100"/>
                <w:kern w:val="0"/>
                <w:position w:val="0"/>
                <w:sz w:val="24"/>
                <w:szCs w:val="24"/>
                <w:lang w:val="en-US" w:eastAsia="zh-CN"/>
              </w:rPr>
              <w:t>/d（720m</w:t>
            </w:r>
            <w:r>
              <w:rPr>
                <w:rFonts w:hint="default" w:ascii="Times New Roman" w:hAnsi="Times New Roman" w:eastAsia="宋体" w:cs="Times New Roman"/>
                <w:b w:val="0"/>
                <w:color w:val="auto"/>
                <w:spacing w:val="0"/>
                <w:w w:val="100"/>
                <w:kern w:val="0"/>
                <w:position w:val="0"/>
                <w:sz w:val="24"/>
                <w:szCs w:val="24"/>
                <w:vertAlign w:val="superscript"/>
                <w:lang w:val="en-US" w:eastAsia="zh-CN"/>
              </w:rPr>
              <w:t>3</w:t>
            </w:r>
            <w:r>
              <w:rPr>
                <w:rFonts w:hint="default" w:ascii="Times New Roman" w:hAnsi="Times New Roman" w:eastAsia="宋体" w:cs="Times New Roman"/>
                <w:b w:val="0"/>
                <w:color w:val="auto"/>
                <w:spacing w:val="0"/>
                <w:w w:val="100"/>
                <w:kern w:val="0"/>
                <w:position w:val="0"/>
                <w:sz w:val="24"/>
                <w:szCs w:val="24"/>
                <w:lang w:val="en-US" w:eastAsia="zh-CN"/>
              </w:rPr>
              <w:t>/a）。生活污水经化粪池处理达《污水综合排放标准》（GB8978-1996）表4中三级标准限值后前期用吸粪车定期清运至污水厂，后期待管网接通后排入污水管网通过市政污水管网输送至鹿寨县城第二污水处理厂处理后排入洛清江。</w:t>
            </w:r>
          </w:p>
          <w:p w14:paraId="1B8570CD">
            <w:pPr>
              <w:pStyle w:val="3"/>
              <w:keepNext w:val="0"/>
              <w:keepLines w:val="0"/>
              <w:suppressLineNumbers w:val="0"/>
              <w:adjustRightInd/>
              <w:snapToGrid/>
              <w:spacing w:before="0" w:beforeAutospacing="0" w:after="0" w:afterAutospacing="0" w:line="360" w:lineRule="auto"/>
              <w:ind w:left="0" w:leftChars="0" w:right="0" w:firstLine="482"/>
              <w:contextualSpacing/>
              <w:rPr>
                <w:rFonts w:hint="default" w:ascii="Times New Roman" w:hAnsi="Times New Roman" w:eastAsia="宋体" w:cs="Times New Roman"/>
                <w:b w:val="0"/>
                <w:color w:val="auto"/>
                <w:spacing w:val="0"/>
                <w:w w:val="100"/>
                <w:kern w:val="0"/>
                <w:position w:val="0"/>
                <w:sz w:val="24"/>
                <w:szCs w:val="24"/>
                <w:lang w:val="en-US" w:eastAsia="zh-CN"/>
              </w:rPr>
            </w:pPr>
            <w:r>
              <w:rPr>
                <w:rFonts w:hint="default" w:ascii="Times New Roman" w:hAnsi="Times New Roman" w:eastAsia="宋体" w:cs="Times New Roman"/>
                <w:b w:val="0"/>
                <w:color w:val="auto"/>
                <w:spacing w:val="0"/>
                <w:w w:val="100"/>
                <w:kern w:val="0"/>
                <w:position w:val="0"/>
                <w:sz w:val="24"/>
                <w:szCs w:val="24"/>
                <w:lang w:val="en-US" w:eastAsia="zh-CN"/>
              </w:rPr>
              <w:t>根据《生活源产排污核算方法和系数手册》（2021年版）第一部分城镇生活源水污染物产生系数及使用说明中生活源污染物产生、排放情况核算的浓度进行计算，生活污水经化粪池处理后出水水质情况见表4-4。</w:t>
            </w:r>
          </w:p>
          <w:p w14:paraId="0B411565">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color w:val="auto"/>
                <w:spacing w:val="0"/>
                <w:w w:val="100"/>
                <w:kern w:val="0"/>
                <w:position w:val="0"/>
                <w:sz w:val="21"/>
                <w:szCs w:val="21"/>
              </w:rPr>
              <w:t>表4-</w:t>
            </w:r>
            <w:r>
              <w:rPr>
                <w:rFonts w:hint="default" w:ascii="Times New Roman" w:hAnsi="Times New Roman" w:eastAsia="宋体" w:cs="Times New Roman"/>
                <w:b/>
                <w:color w:val="auto"/>
                <w:spacing w:val="0"/>
                <w:w w:val="100"/>
                <w:kern w:val="0"/>
                <w:position w:val="0"/>
                <w:sz w:val="21"/>
                <w:szCs w:val="21"/>
                <w:lang w:val="en-US" w:eastAsia="zh-CN"/>
              </w:rPr>
              <w:t>4</w:t>
            </w:r>
            <w:r>
              <w:rPr>
                <w:rFonts w:hint="default" w:ascii="Times New Roman" w:hAnsi="Times New Roman" w:eastAsia="宋体" w:cs="Times New Roman"/>
                <w:b/>
                <w:color w:val="auto"/>
                <w:spacing w:val="0"/>
                <w:w w:val="100"/>
                <w:kern w:val="0"/>
                <w:position w:val="0"/>
                <w:sz w:val="21"/>
                <w:szCs w:val="21"/>
              </w:rPr>
              <w:t xml:space="preserve">  项目生活污水中污染物产排情况一览表</w:t>
            </w:r>
          </w:p>
          <w:tbl>
            <w:tblPr>
              <w:tblStyle w:val="5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82"/>
              <w:gridCol w:w="1285"/>
              <w:gridCol w:w="1133"/>
              <w:gridCol w:w="818"/>
              <w:gridCol w:w="1090"/>
            </w:tblGrid>
            <w:tr w14:paraId="4D1D2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65" w:type="pct"/>
                  <w:noWrap w:val="0"/>
                  <w:vAlign w:val="center"/>
                </w:tcPr>
                <w:p w14:paraId="237A8E3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废水名称</w:t>
                  </w:r>
                </w:p>
              </w:tc>
              <w:tc>
                <w:tcPr>
                  <w:tcW w:w="2734" w:type="pct"/>
                  <w:gridSpan w:val="4"/>
                  <w:noWrap w:val="0"/>
                  <w:vAlign w:val="center"/>
                </w:tcPr>
                <w:p w14:paraId="75E2FFB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生活污水：</w:t>
                  </w:r>
                  <w:r>
                    <w:rPr>
                      <w:rFonts w:hint="default" w:ascii="Times New Roman" w:hAnsi="Times New Roman" w:eastAsia="宋体" w:cs="Times New Roman"/>
                      <w:color w:val="auto"/>
                      <w:spacing w:val="0"/>
                      <w:w w:val="100"/>
                      <w:position w:val="0"/>
                      <w:sz w:val="21"/>
                      <w:szCs w:val="21"/>
                      <w:lang w:val="en-US" w:eastAsia="zh-CN"/>
                    </w:rPr>
                    <w:t>720</w:t>
                  </w:r>
                  <w:r>
                    <w:rPr>
                      <w:rFonts w:hint="default" w:ascii="Times New Roman" w:hAnsi="Times New Roman" w:eastAsia="宋体" w:cs="Times New Roman"/>
                      <w:color w:val="auto"/>
                      <w:spacing w:val="0"/>
                      <w:w w:val="100"/>
                      <w:position w:val="0"/>
                      <w:sz w:val="21"/>
                      <w:szCs w:val="21"/>
                    </w:rPr>
                    <w:t>m</w:t>
                  </w:r>
                  <w:r>
                    <w:rPr>
                      <w:rFonts w:hint="default" w:ascii="Times New Roman" w:hAnsi="Times New Roman" w:eastAsia="宋体" w:cs="Times New Roman"/>
                      <w:color w:val="auto"/>
                      <w:spacing w:val="0"/>
                      <w:w w:val="100"/>
                      <w:position w:val="0"/>
                      <w:sz w:val="21"/>
                      <w:szCs w:val="21"/>
                      <w:vertAlign w:val="superscript"/>
                    </w:rPr>
                    <w:t>3</w:t>
                  </w:r>
                  <w:r>
                    <w:rPr>
                      <w:rFonts w:hint="default" w:ascii="Times New Roman" w:hAnsi="Times New Roman" w:eastAsia="宋体" w:cs="Times New Roman"/>
                      <w:color w:val="auto"/>
                      <w:spacing w:val="0"/>
                      <w:w w:val="100"/>
                      <w:position w:val="0"/>
                      <w:sz w:val="21"/>
                      <w:szCs w:val="21"/>
                    </w:rPr>
                    <w:t>/a</w:t>
                  </w:r>
                </w:p>
              </w:tc>
            </w:tr>
            <w:tr w14:paraId="66BCC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65" w:type="pct"/>
                  <w:noWrap w:val="0"/>
                  <w:vAlign w:val="center"/>
                </w:tcPr>
                <w:p w14:paraId="09F5DCD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污染物种类</w:t>
                  </w:r>
                </w:p>
              </w:tc>
              <w:tc>
                <w:tcPr>
                  <w:tcW w:w="812" w:type="pct"/>
                  <w:noWrap w:val="0"/>
                  <w:vAlign w:val="center"/>
                </w:tcPr>
                <w:p w14:paraId="4CBE85F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COD</w:t>
                  </w:r>
                </w:p>
              </w:tc>
              <w:tc>
                <w:tcPr>
                  <w:tcW w:w="716" w:type="pct"/>
                  <w:noWrap w:val="0"/>
                  <w:vAlign w:val="center"/>
                </w:tcPr>
                <w:p w14:paraId="09A019C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BOD</w:t>
                  </w:r>
                  <w:r>
                    <w:rPr>
                      <w:rFonts w:hint="default" w:ascii="Times New Roman" w:hAnsi="Times New Roman" w:eastAsia="宋体" w:cs="Times New Roman"/>
                      <w:color w:val="auto"/>
                      <w:spacing w:val="0"/>
                      <w:w w:val="100"/>
                      <w:position w:val="0"/>
                      <w:sz w:val="21"/>
                      <w:szCs w:val="21"/>
                      <w:vertAlign w:val="subscript"/>
                    </w:rPr>
                    <w:t>5</w:t>
                  </w:r>
                </w:p>
              </w:tc>
              <w:tc>
                <w:tcPr>
                  <w:tcW w:w="517" w:type="pct"/>
                  <w:noWrap w:val="0"/>
                  <w:vAlign w:val="center"/>
                </w:tcPr>
                <w:p w14:paraId="40B2C5A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NH</w:t>
                  </w:r>
                  <w:r>
                    <w:rPr>
                      <w:rFonts w:hint="default" w:ascii="Times New Roman" w:hAnsi="Times New Roman" w:eastAsia="宋体" w:cs="Times New Roman"/>
                      <w:color w:val="auto"/>
                      <w:spacing w:val="0"/>
                      <w:w w:val="100"/>
                      <w:position w:val="0"/>
                      <w:sz w:val="21"/>
                      <w:szCs w:val="21"/>
                      <w:vertAlign w:val="subscript"/>
                    </w:rPr>
                    <w:t>3</w:t>
                  </w:r>
                  <w:r>
                    <w:rPr>
                      <w:rFonts w:hint="default" w:ascii="Times New Roman" w:hAnsi="Times New Roman" w:eastAsia="宋体" w:cs="Times New Roman"/>
                      <w:color w:val="auto"/>
                      <w:spacing w:val="0"/>
                      <w:w w:val="100"/>
                      <w:position w:val="0"/>
                      <w:sz w:val="21"/>
                      <w:szCs w:val="21"/>
                    </w:rPr>
                    <w:t>-N</w:t>
                  </w:r>
                </w:p>
              </w:tc>
              <w:tc>
                <w:tcPr>
                  <w:tcW w:w="687" w:type="pct"/>
                  <w:noWrap w:val="0"/>
                  <w:vAlign w:val="center"/>
                </w:tcPr>
                <w:p w14:paraId="438B5BA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SS</w:t>
                  </w:r>
                </w:p>
              </w:tc>
            </w:tr>
            <w:tr w14:paraId="142FA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65" w:type="pct"/>
                  <w:noWrap w:val="0"/>
                  <w:vAlign w:val="center"/>
                </w:tcPr>
                <w:p w14:paraId="0C5C6CA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产生浓度（mg/L）</w:t>
                  </w:r>
                </w:p>
              </w:tc>
              <w:tc>
                <w:tcPr>
                  <w:tcW w:w="812" w:type="pct"/>
                  <w:noWrap w:val="0"/>
                  <w:vAlign w:val="center"/>
                </w:tcPr>
                <w:p w14:paraId="2914D6D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285</w:t>
                  </w:r>
                </w:p>
              </w:tc>
              <w:tc>
                <w:tcPr>
                  <w:tcW w:w="716" w:type="pct"/>
                  <w:noWrap w:val="0"/>
                  <w:vAlign w:val="center"/>
                </w:tcPr>
                <w:p w14:paraId="5457814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176</w:t>
                  </w:r>
                </w:p>
              </w:tc>
              <w:tc>
                <w:tcPr>
                  <w:tcW w:w="517" w:type="pct"/>
                  <w:noWrap w:val="0"/>
                  <w:vAlign w:val="center"/>
                </w:tcPr>
                <w:p w14:paraId="241AECC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28.3</w:t>
                  </w:r>
                </w:p>
              </w:tc>
              <w:tc>
                <w:tcPr>
                  <w:tcW w:w="687" w:type="pct"/>
                  <w:noWrap w:val="0"/>
                  <w:vAlign w:val="center"/>
                </w:tcPr>
                <w:p w14:paraId="0C2D49F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150</w:t>
                  </w:r>
                </w:p>
              </w:tc>
            </w:tr>
            <w:tr w14:paraId="13723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65" w:type="pct"/>
                  <w:noWrap w:val="0"/>
                  <w:vAlign w:val="center"/>
                </w:tcPr>
                <w:p w14:paraId="7646B28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产生量（t/a）</w:t>
                  </w:r>
                </w:p>
              </w:tc>
              <w:tc>
                <w:tcPr>
                  <w:tcW w:w="812" w:type="pct"/>
                  <w:noWrap w:val="0"/>
                  <w:vAlign w:val="center"/>
                </w:tcPr>
                <w:p w14:paraId="290EF84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0.2052</w:t>
                  </w:r>
                </w:p>
              </w:tc>
              <w:tc>
                <w:tcPr>
                  <w:tcW w:w="716" w:type="pct"/>
                  <w:noWrap w:val="0"/>
                  <w:vAlign w:val="center"/>
                </w:tcPr>
                <w:p w14:paraId="468CEE3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0.1268</w:t>
                  </w:r>
                </w:p>
              </w:tc>
              <w:tc>
                <w:tcPr>
                  <w:tcW w:w="517" w:type="pct"/>
                  <w:noWrap w:val="0"/>
                  <w:vAlign w:val="center"/>
                </w:tcPr>
                <w:p w14:paraId="33C7AD7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0.02038</w:t>
                  </w:r>
                </w:p>
              </w:tc>
              <w:tc>
                <w:tcPr>
                  <w:tcW w:w="687" w:type="pct"/>
                  <w:noWrap w:val="0"/>
                  <w:vAlign w:val="center"/>
                </w:tcPr>
                <w:p w14:paraId="4AC7E12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0.1080</w:t>
                  </w:r>
                </w:p>
              </w:tc>
            </w:tr>
            <w:tr w14:paraId="60ABF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65" w:type="pct"/>
                  <w:noWrap w:val="0"/>
                  <w:vAlign w:val="center"/>
                </w:tcPr>
                <w:p w14:paraId="31014F8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排放浓度（mg/L）</w:t>
                  </w:r>
                </w:p>
              </w:tc>
              <w:tc>
                <w:tcPr>
                  <w:tcW w:w="812" w:type="pct"/>
                  <w:noWrap w:val="0"/>
                  <w:vAlign w:val="center"/>
                </w:tcPr>
                <w:p w14:paraId="2EB5713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103</w:t>
                  </w:r>
                </w:p>
              </w:tc>
              <w:tc>
                <w:tcPr>
                  <w:tcW w:w="716" w:type="pct"/>
                  <w:noWrap w:val="0"/>
                  <w:vAlign w:val="center"/>
                </w:tcPr>
                <w:p w14:paraId="6ACC0A0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150</w:t>
                  </w:r>
                </w:p>
              </w:tc>
              <w:tc>
                <w:tcPr>
                  <w:tcW w:w="517" w:type="pct"/>
                  <w:noWrap w:val="0"/>
                  <w:vAlign w:val="center"/>
                </w:tcPr>
                <w:p w14:paraId="22CB75E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13.3</w:t>
                  </w:r>
                </w:p>
              </w:tc>
              <w:tc>
                <w:tcPr>
                  <w:tcW w:w="687" w:type="pct"/>
                  <w:noWrap w:val="0"/>
                  <w:vAlign w:val="center"/>
                </w:tcPr>
                <w:p w14:paraId="01A50D1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100</w:t>
                  </w:r>
                </w:p>
              </w:tc>
            </w:tr>
            <w:tr w14:paraId="72480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65" w:type="pct"/>
                  <w:noWrap w:val="0"/>
                  <w:vAlign w:val="center"/>
                </w:tcPr>
                <w:p w14:paraId="149CB74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排放量（t/a）</w:t>
                  </w:r>
                </w:p>
              </w:tc>
              <w:tc>
                <w:tcPr>
                  <w:tcW w:w="812" w:type="pct"/>
                  <w:noWrap w:val="0"/>
                  <w:vAlign w:val="center"/>
                </w:tcPr>
                <w:p w14:paraId="71AD517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0.0742</w:t>
                  </w:r>
                </w:p>
              </w:tc>
              <w:tc>
                <w:tcPr>
                  <w:tcW w:w="716" w:type="pct"/>
                  <w:noWrap w:val="0"/>
                  <w:vAlign w:val="center"/>
                </w:tcPr>
                <w:p w14:paraId="2CDBABD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0.1080</w:t>
                  </w:r>
                </w:p>
              </w:tc>
              <w:tc>
                <w:tcPr>
                  <w:tcW w:w="517" w:type="pct"/>
                  <w:noWrap w:val="0"/>
                  <w:vAlign w:val="center"/>
                </w:tcPr>
                <w:p w14:paraId="03B3803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0.0096</w:t>
                  </w:r>
                </w:p>
              </w:tc>
              <w:tc>
                <w:tcPr>
                  <w:tcW w:w="687" w:type="pct"/>
                  <w:noWrap w:val="0"/>
                  <w:vAlign w:val="center"/>
                </w:tcPr>
                <w:p w14:paraId="7916B06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0.0720</w:t>
                  </w:r>
                </w:p>
              </w:tc>
            </w:tr>
            <w:tr w14:paraId="77974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65" w:type="pct"/>
                  <w:noWrap w:val="0"/>
                  <w:vAlign w:val="center"/>
                </w:tcPr>
                <w:p w14:paraId="05D744E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《污水综合排放标准》（GB8978-1996）三级标准</w:t>
                  </w:r>
                </w:p>
              </w:tc>
              <w:tc>
                <w:tcPr>
                  <w:tcW w:w="812" w:type="pct"/>
                  <w:noWrap w:val="0"/>
                  <w:vAlign w:val="center"/>
                </w:tcPr>
                <w:p w14:paraId="7062DF1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≤500mg/L</w:t>
                  </w:r>
                </w:p>
              </w:tc>
              <w:tc>
                <w:tcPr>
                  <w:tcW w:w="716" w:type="pct"/>
                  <w:noWrap w:val="0"/>
                  <w:vAlign w:val="center"/>
                </w:tcPr>
                <w:p w14:paraId="74E17B7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≤300mg/L</w:t>
                  </w:r>
                </w:p>
              </w:tc>
              <w:tc>
                <w:tcPr>
                  <w:tcW w:w="517" w:type="pct"/>
                  <w:noWrap w:val="0"/>
                  <w:vAlign w:val="center"/>
                </w:tcPr>
                <w:p w14:paraId="196E332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w:t>
                  </w:r>
                </w:p>
              </w:tc>
              <w:tc>
                <w:tcPr>
                  <w:tcW w:w="687" w:type="pct"/>
                  <w:noWrap w:val="0"/>
                  <w:vAlign w:val="center"/>
                </w:tcPr>
                <w:p w14:paraId="228AE25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≤400mg/L</w:t>
                  </w:r>
                </w:p>
              </w:tc>
            </w:tr>
            <w:tr w14:paraId="011AA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65" w:type="pct"/>
                  <w:noWrap w:val="0"/>
                  <w:vAlign w:val="center"/>
                </w:tcPr>
                <w:p w14:paraId="5C57174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达标情况</w:t>
                  </w:r>
                </w:p>
              </w:tc>
              <w:tc>
                <w:tcPr>
                  <w:tcW w:w="812" w:type="pct"/>
                  <w:noWrap w:val="0"/>
                  <w:vAlign w:val="center"/>
                </w:tcPr>
                <w:p w14:paraId="0BA0533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达标</w:t>
                  </w:r>
                </w:p>
              </w:tc>
              <w:tc>
                <w:tcPr>
                  <w:tcW w:w="716" w:type="pct"/>
                  <w:noWrap w:val="0"/>
                  <w:vAlign w:val="center"/>
                </w:tcPr>
                <w:p w14:paraId="774DA75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达标</w:t>
                  </w:r>
                </w:p>
              </w:tc>
              <w:tc>
                <w:tcPr>
                  <w:tcW w:w="517" w:type="pct"/>
                  <w:noWrap w:val="0"/>
                  <w:vAlign w:val="center"/>
                </w:tcPr>
                <w:p w14:paraId="77544A1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达标</w:t>
                  </w:r>
                </w:p>
              </w:tc>
              <w:tc>
                <w:tcPr>
                  <w:tcW w:w="687" w:type="pct"/>
                  <w:noWrap w:val="0"/>
                  <w:vAlign w:val="center"/>
                </w:tcPr>
                <w:p w14:paraId="3F27C5C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rPr>
                  </w:pPr>
                  <w:r>
                    <w:rPr>
                      <w:rFonts w:hint="default" w:ascii="Times New Roman" w:hAnsi="Times New Roman" w:eastAsia="宋体" w:cs="Times New Roman"/>
                      <w:color w:val="auto"/>
                      <w:spacing w:val="0"/>
                      <w:w w:val="100"/>
                      <w:position w:val="0"/>
                      <w:sz w:val="21"/>
                      <w:szCs w:val="21"/>
                    </w:rPr>
                    <w:t>达标</w:t>
                  </w:r>
                </w:p>
              </w:tc>
            </w:tr>
          </w:tbl>
          <w:p w14:paraId="31DCFF8A">
            <w:pPr>
              <w:pStyle w:val="3"/>
              <w:keepNext w:val="0"/>
              <w:keepLines w:val="0"/>
              <w:suppressLineNumbers w:val="0"/>
              <w:adjustRightInd/>
              <w:snapToGrid/>
              <w:spacing w:before="0" w:beforeAutospacing="0" w:after="0" w:afterAutospacing="0" w:line="360" w:lineRule="auto"/>
              <w:ind w:left="0" w:leftChars="0" w:right="0" w:firstLine="482"/>
              <w:contextualSpacing/>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2）废水处理措施及可行性分析</w:t>
            </w:r>
          </w:p>
          <w:p w14:paraId="4B93B97D">
            <w:pPr>
              <w:pStyle w:val="3"/>
              <w:keepNext w:val="0"/>
              <w:keepLines w:val="0"/>
              <w:suppressLineNumbers w:val="0"/>
              <w:adjustRightInd/>
              <w:snapToGrid/>
              <w:spacing w:before="0" w:beforeAutospacing="0" w:after="0" w:afterAutospacing="0" w:line="360" w:lineRule="auto"/>
              <w:ind w:left="0" w:leftChars="0" w:right="0" w:firstLine="482"/>
              <w:contextualSpacing/>
              <w:rPr>
                <w:rFonts w:hint="default" w:ascii="Times New Roman" w:hAnsi="Times New Roman" w:eastAsia="宋体" w:cs="Times New Roman"/>
                <w:b w:val="0"/>
                <w:color w:val="auto"/>
                <w:spacing w:val="0"/>
                <w:w w:val="100"/>
                <w:kern w:val="0"/>
                <w:position w:val="0"/>
                <w:sz w:val="24"/>
                <w:szCs w:val="24"/>
                <w:lang w:val="en-US" w:eastAsia="zh-CN"/>
              </w:rPr>
            </w:pPr>
            <w:r>
              <w:rPr>
                <w:rFonts w:hint="default" w:ascii="Times New Roman" w:hAnsi="Times New Roman" w:eastAsia="宋体" w:cs="Times New Roman"/>
                <w:b w:val="0"/>
                <w:color w:val="auto"/>
                <w:spacing w:val="0"/>
                <w:w w:val="100"/>
                <w:kern w:val="0"/>
                <w:position w:val="0"/>
                <w:sz w:val="24"/>
                <w:szCs w:val="24"/>
                <w:lang w:val="en-US" w:eastAsia="zh-CN"/>
              </w:rPr>
              <w:t>I、化粪池可行性分析</w:t>
            </w:r>
          </w:p>
          <w:p w14:paraId="4BD00757">
            <w:pPr>
              <w:pStyle w:val="3"/>
              <w:keepNext w:val="0"/>
              <w:keepLines w:val="0"/>
              <w:suppressLineNumbers w:val="0"/>
              <w:adjustRightInd/>
              <w:snapToGrid/>
              <w:spacing w:before="0" w:beforeAutospacing="0" w:after="0" w:afterAutospacing="0" w:line="360" w:lineRule="auto"/>
              <w:ind w:left="0" w:leftChars="0" w:right="0" w:firstLine="482"/>
              <w:contextualSpacing/>
              <w:rPr>
                <w:rFonts w:hint="default" w:ascii="Times New Roman" w:hAnsi="Times New Roman" w:eastAsia="宋体" w:cs="Times New Roman"/>
                <w:b w:val="0"/>
                <w:color w:val="auto"/>
                <w:spacing w:val="0"/>
                <w:w w:val="100"/>
                <w:kern w:val="0"/>
                <w:position w:val="0"/>
                <w:sz w:val="24"/>
                <w:szCs w:val="24"/>
                <w:lang w:val="en-US" w:eastAsia="zh-CN"/>
              </w:rPr>
            </w:pPr>
            <w:r>
              <w:rPr>
                <w:rFonts w:hint="default" w:ascii="Times New Roman" w:hAnsi="Times New Roman" w:eastAsia="宋体" w:cs="Times New Roman"/>
                <w:b w:val="0"/>
                <w:color w:val="auto"/>
                <w:spacing w:val="0"/>
                <w:w w:val="100"/>
                <w:kern w:val="0"/>
                <w:position w:val="0"/>
                <w:sz w:val="24"/>
                <w:szCs w:val="24"/>
                <w:lang w:val="en-US" w:eastAsia="zh-CN"/>
              </w:rPr>
              <w:t>化粪池是处理粪便并加以过滤沉淀的设备，其原理是固化物在池底分解，上层的水化物体，进入管道流走，防治了管道堵塞，给固化物体（粪便等垃圾）有充足的时间水解，污水首先由进水口排到第一格，在第一格里比重较大的固体物及寄生虫卵等物沉淀下来，开始初步的发酵分解，经第一格处理过的污水可分为三层：糊状粪皮、比较澄清的粪液和固体状的粪渣。经过初步分解的粪液流入第二格，而漂浮在上面的粪皮和沉积在下面的粪渣则留在第一格继续发酵。在第二格中，粪液继续发酵分解，虫卵继续下沉，病原体逐渐死亡，粪液得到进一步无害化，产生的粪皮和粪渣厚度比第一格显著减少，流入第三格的粪液一般已经腐熟，其中病菌和寄生虫卵已基本杀灭。第三格功能主要起暂时储存已基本无害的粪液作用。</w:t>
            </w:r>
          </w:p>
          <w:p w14:paraId="2D77A6D2">
            <w:pPr>
              <w:pStyle w:val="3"/>
              <w:keepNext w:val="0"/>
              <w:keepLines w:val="0"/>
              <w:suppressLineNumbers w:val="0"/>
              <w:adjustRightInd/>
              <w:snapToGrid/>
              <w:spacing w:before="0" w:beforeAutospacing="0" w:after="0" w:afterAutospacing="0" w:line="360" w:lineRule="auto"/>
              <w:ind w:left="0" w:leftChars="0" w:right="0" w:firstLine="482"/>
              <w:contextualSpacing/>
              <w:rPr>
                <w:rFonts w:hint="default" w:ascii="Times New Roman" w:hAnsi="Times New Roman" w:eastAsia="宋体" w:cs="Times New Roman"/>
                <w:b w:val="0"/>
                <w:color w:val="auto"/>
                <w:spacing w:val="0"/>
                <w:w w:val="100"/>
                <w:kern w:val="0"/>
                <w:position w:val="0"/>
                <w:sz w:val="24"/>
                <w:szCs w:val="24"/>
                <w:lang w:val="en-US" w:eastAsia="zh-CN"/>
              </w:rPr>
            </w:pPr>
            <w:r>
              <w:rPr>
                <w:rFonts w:hint="default" w:ascii="Times New Roman" w:hAnsi="Times New Roman" w:eastAsia="宋体" w:cs="Times New Roman"/>
                <w:b w:val="0"/>
                <w:color w:val="auto"/>
                <w:spacing w:val="0"/>
                <w:w w:val="100"/>
                <w:kern w:val="0"/>
                <w:position w:val="0"/>
                <w:sz w:val="24"/>
                <w:szCs w:val="24"/>
                <w:lang w:val="en-US" w:eastAsia="zh-CN"/>
              </w:rPr>
              <w:t>项目生活污水经化粪池（容积约为5m</w:t>
            </w:r>
            <w:r>
              <w:rPr>
                <w:rFonts w:hint="default" w:ascii="Times New Roman" w:hAnsi="Times New Roman" w:eastAsia="宋体" w:cs="Times New Roman"/>
                <w:b w:val="0"/>
                <w:color w:val="auto"/>
                <w:spacing w:val="0"/>
                <w:w w:val="100"/>
                <w:kern w:val="0"/>
                <w:position w:val="0"/>
                <w:sz w:val="24"/>
                <w:szCs w:val="24"/>
                <w:vertAlign w:val="superscript"/>
                <w:lang w:val="en-US" w:eastAsia="zh-CN"/>
              </w:rPr>
              <w:t>3</w:t>
            </w:r>
            <w:r>
              <w:rPr>
                <w:rFonts w:hint="default" w:ascii="Times New Roman" w:hAnsi="Times New Roman" w:eastAsia="宋体" w:cs="Times New Roman"/>
                <w:b w:val="0"/>
                <w:color w:val="auto"/>
                <w:spacing w:val="0"/>
                <w:w w:val="100"/>
                <w:kern w:val="0"/>
                <w:position w:val="0"/>
                <w:sz w:val="24"/>
                <w:szCs w:val="24"/>
                <w:lang w:val="en-US" w:eastAsia="zh-CN"/>
              </w:rPr>
              <w:t>），能够容纳项目生活污水，生活污水经化粪池处理达《污水综合排放标准》（GB8978-1996）表4中三级标准限值后前期用吸粪车定期清运至污水厂，后期待管网接通后排入污水管网通过市政污水管网输送至鹿寨县城第二污水处理厂处理后排入洛清江。因此，项目采用化粪池对生活污水进行预处理，具有可行性。</w:t>
            </w:r>
          </w:p>
          <w:p w14:paraId="776E8014">
            <w:pPr>
              <w:pStyle w:val="3"/>
              <w:keepNext w:val="0"/>
              <w:keepLines w:val="0"/>
              <w:suppressLineNumbers w:val="0"/>
              <w:adjustRightInd/>
              <w:snapToGrid/>
              <w:spacing w:before="0" w:beforeAutospacing="0" w:after="0" w:afterAutospacing="0" w:line="360" w:lineRule="auto"/>
              <w:ind w:left="0" w:leftChars="0" w:right="0" w:firstLine="482"/>
              <w:contextualSpacing/>
              <w:rPr>
                <w:rFonts w:hint="default" w:ascii="Times New Roman" w:hAnsi="Times New Roman" w:eastAsia="宋体" w:cs="Times New Roman"/>
                <w:b w:val="0"/>
                <w:color w:val="auto"/>
                <w:spacing w:val="0"/>
                <w:w w:val="100"/>
                <w:kern w:val="0"/>
                <w:position w:val="0"/>
                <w:sz w:val="24"/>
                <w:szCs w:val="24"/>
                <w:lang w:val="en-US" w:eastAsia="zh-CN"/>
              </w:rPr>
            </w:pPr>
            <w:r>
              <w:rPr>
                <w:rFonts w:hint="default" w:ascii="Times New Roman" w:hAnsi="Times New Roman" w:eastAsia="宋体" w:cs="Times New Roman"/>
                <w:b w:val="0"/>
                <w:color w:val="auto"/>
                <w:spacing w:val="0"/>
                <w:w w:val="100"/>
                <w:kern w:val="0"/>
                <w:position w:val="0"/>
                <w:sz w:val="24"/>
                <w:szCs w:val="24"/>
                <w:lang w:val="en-US" w:eastAsia="zh-CN"/>
              </w:rPr>
              <w:t>II、依托鹿寨县城第二污水处理厂可行性分析</w:t>
            </w:r>
          </w:p>
          <w:p w14:paraId="5EA5B968">
            <w:pPr>
              <w:pStyle w:val="3"/>
              <w:keepNext w:val="0"/>
              <w:keepLines w:val="0"/>
              <w:suppressLineNumbers w:val="0"/>
              <w:adjustRightInd/>
              <w:snapToGrid/>
              <w:spacing w:before="0" w:beforeAutospacing="0" w:after="0" w:afterAutospacing="0" w:line="360" w:lineRule="auto"/>
              <w:ind w:left="0" w:leftChars="0" w:right="0" w:firstLine="482"/>
              <w:contextualSpacing/>
              <w:rPr>
                <w:rFonts w:hint="default" w:ascii="Times New Roman" w:hAnsi="Times New Roman" w:eastAsia="宋体" w:cs="Times New Roman"/>
                <w:b w:val="0"/>
                <w:color w:val="auto"/>
                <w:spacing w:val="0"/>
                <w:w w:val="100"/>
                <w:kern w:val="0"/>
                <w:position w:val="0"/>
                <w:sz w:val="24"/>
                <w:szCs w:val="24"/>
                <w:lang w:val="en-US" w:eastAsia="zh-CN"/>
              </w:rPr>
            </w:pPr>
            <w:r>
              <w:rPr>
                <w:rFonts w:hint="default" w:ascii="Times New Roman" w:hAnsi="Times New Roman" w:eastAsia="宋体" w:cs="Times New Roman"/>
                <w:b w:val="0"/>
                <w:color w:val="auto"/>
                <w:spacing w:val="0"/>
                <w:w w:val="100"/>
                <w:kern w:val="0"/>
                <w:position w:val="0"/>
                <w:sz w:val="24"/>
                <w:szCs w:val="24"/>
                <w:lang w:val="en-US" w:eastAsia="zh-CN"/>
              </w:rPr>
              <w:t>鹿寨县城第二污水处理厂位于鹿寨县柳东大道延长线鹿雒经济带独岭西侧，鹿寨县木材场场内，总体规划面积26609.2m</w:t>
            </w:r>
            <w:r>
              <w:rPr>
                <w:rFonts w:hint="default" w:ascii="Times New Roman" w:hAnsi="Times New Roman" w:eastAsia="宋体" w:cs="Times New Roman"/>
                <w:b w:val="0"/>
                <w:color w:val="auto"/>
                <w:spacing w:val="0"/>
                <w:w w:val="100"/>
                <w:kern w:val="0"/>
                <w:position w:val="0"/>
                <w:sz w:val="24"/>
                <w:szCs w:val="24"/>
                <w:vertAlign w:val="superscript"/>
                <w:lang w:val="en-US" w:eastAsia="zh-CN"/>
              </w:rPr>
              <w:t>2</w:t>
            </w:r>
            <w:r>
              <w:rPr>
                <w:rFonts w:hint="default" w:ascii="Times New Roman" w:hAnsi="Times New Roman" w:eastAsia="宋体" w:cs="Times New Roman"/>
                <w:b w:val="0"/>
                <w:color w:val="auto"/>
                <w:spacing w:val="0"/>
                <w:w w:val="100"/>
                <w:kern w:val="0"/>
                <w:position w:val="0"/>
                <w:sz w:val="24"/>
                <w:szCs w:val="24"/>
                <w:lang w:val="en-US" w:eastAsia="zh-CN"/>
              </w:rPr>
              <w:t>，总体建设规模：3.0万m</w:t>
            </w:r>
            <w:r>
              <w:rPr>
                <w:rFonts w:hint="default" w:ascii="Times New Roman" w:hAnsi="Times New Roman" w:eastAsia="宋体" w:cs="Times New Roman"/>
                <w:b w:val="0"/>
                <w:color w:val="auto"/>
                <w:spacing w:val="0"/>
                <w:w w:val="100"/>
                <w:kern w:val="0"/>
                <w:position w:val="0"/>
                <w:sz w:val="24"/>
                <w:szCs w:val="24"/>
                <w:vertAlign w:val="superscript"/>
                <w:lang w:val="en-US" w:eastAsia="zh-CN"/>
              </w:rPr>
              <w:t>3</w:t>
            </w:r>
            <w:r>
              <w:rPr>
                <w:rFonts w:hint="default" w:ascii="Times New Roman" w:hAnsi="Times New Roman" w:eastAsia="宋体" w:cs="Times New Roman"/>
                <w:b w:val="0"/>
                <w:color w:val="auto"/>
                <w:spacing w:val="0"/>
                <w:w w:val="100"/>
                <w:kern w:val="0"/>
                <w:position w:val="0"/>
                <w:sz w:val="24"/>
                <w:szCs w:val="24"/>
                <w:lang w:val="en-US" w:eastAsia="zh-CN"/>
              </w:rPr>
              <w:t>/d，分两期建设，一期建设规模为1.0万m</w:t>
            </w:r>
            <w:r>
              <w:rPr>
                <w:rFonts w:hint="default" w:ascii="Times New Roman" w:hAnsi="Times New Roman" w:eastAsia="宋体" w:cs="Times New Roman"/>
                <w:b w:val="0"/>
                <w:color w:val="auto"/>
                <w:spacing w:val="0"/>
                <w:w w:val="100"/>
                <w:kern w:val="0"/>
                <w:position w:val="0"/>
                <w:sz w:val="24"/>
                <w:szCs w:val="24"/>
                <w:vertAlign w:val="superscript"/>
                <w:lang w:val="en-US" w:eastAsia="zh-CN"/>
              </w:rPr>
              <w:t>3</w:t>
            </w:r>
            <w:r>
              <w:rPr>
                <w:rFonts w:hint="default" w:ascii="Times New Roman" w:hAnsi="Times New Roman" w:eastAsia="宋体" w:cs="Times New Roman"/>
                <w:b w:val="0"/>
                <w:color w:val="auto"/>
                <w:spacing w:val="0"/>
                <w:w w:val="100"/>
                <w:kern w:val="0"/>
                <w:position w:val="0"/>
                <w:sz w:val="24"/>
                <w:szCs w:val="24"/>
                <w:lang w:val="en-US" w:eastAsia="zh-CN"/>
              </w:rPr>
              <w:t>/d，二期建设规模为2.0万m</w:t>
            </w:r>
            <w:r>
              <w:rPr>
                <w:rFonts w:hint="default" w:ascii="Times New Roman" w:hAnsi="Times New Roman" w:eastAsia="宋体" w:cs="Times New Roman"/>
                <w:b w:val="0"/>
                <w:color w:val="auto"/>
                <w:spacing w:val="0"/>
                <w:w w:val="100"/>
                <w:kern w:val="0"/>
                <w:position w:val="0"/>
                <w:sz w:val="24"/>
                <w:szCs w:val="24"/>
                <w:vertAlign w:val="superscript"/>
                <w:lang w:val="en-US" w:eastAsia="zh-CN"/>
              </w:rPr>
              <w:t>3</w:t>
            </w:r>
            <w:r>
              <w:rPr>
                <w:rFonts w:hint="default" w:ascii="Times New Roman" w:hAnsi="Times New Roman" w:eastAsia="宋体" w:cs="Times New Roman"/>
                <w:b w:val="0"/>
                <w:color w:val="auto"/>
                <w:spacing w:val="0"/>
                <w:w w:val="100"/>
                <w:kern w:val="0"/>
                <w:position w:val="0"/>
                <w:sz w:val="24"/>
                <w:szCs w:val="24"/>
                <w:lang w:val="en-US" w:eastAsia="zh-CN"/>
              </w:rPr>
              <w:t>/d，处理工艺为两级AO（活性污泥法）+硅藻土处理技术，鹿寨县城第二污水处理厂二期工程已于2022年12月31日全面完工，正常投入运行。</w:t>
            </w:r>
          </w:p>
          <w:p w14:paraId="3997AECF">
            <w:pPr>
              <w:pStyle w:val="3"/>
              <w:keepNext w:val="0"/>
              <w:keepLines w:val="0"/>
              <w:suppressLineNumbers w:val="0"/>
              <w:adjustRightInd/>
              <w:snapToGrid/>
              <w:spacing w:before="0" w:beforeAutospacing="0" w:after="0" w:afterAutospacing="0" w:line="360" w:lineRule="auto"/>
              <w:ind w:left="0" w:leftChars="0" w:right="0" w:firstLine="482"/>
              <w:contextualSpacing/>
              <w:rPr>
                <w:rFonts w:hint="default" w:ascii="Times New Roman" w:hAnsi="Times New Roman" w:eastAsia="宋体" w:cs="Times New Roman"/>
                <w:b w:val="0"/>
                <w:color w:val="auto"/>
                <w:spacing w:val="0"/>
                <w:w w:val="100"/>
                <w:kern w:val="0"/>
                <w:position w:val="0"/>
                <w:sz w:val="24"/>
                <w:szCs w:val="24"/>
                <w:lang w:val="en-US" w:eastAsia="zh-CN"/>
              </w:rPr>
            </w:pPr>
            <w:r>
              <w:rPr>
                <w:rFonts w:hint="default" w:ascii="Times New Roman" w:hAnsi="Times New Roman" w:eastAsia="宋体" w:cs="Times New Roman"/>
                <w:b w:val="0"/>
                <w:color w:val="auto"/>
                <w:spacing w:val="0"/>
                <w:w w:val="100"/>
                <w:kern w:val="0"/>
                <w:position w:val="0"/>
                <w:sz w:val="24"/>
                <w:szCs w:val="24"/>
                <w:lang w:val="en-US" w:eastAsia="zh-CN"/>
              </w:rPr>
              <w:t>服务范围为鹿寨城西南片生活污水、城西南北片工业区以及鹿寨工业园二区和鹿雒经济带经处理后的工业废水。尾水经污水总排口排至洛清江，按《城镇污水处理厂污染物排放标准》一级排放A标准控制。</w:t>
            </w:r>
          </w:p>
          <w:p w14:paraId="61F49F13">
            <w:pPr>
              <w:pStyle w:val="3"/>
              <w:keepNext w:val="0"/>
              <w:keepLines w:val="0"/>
              <w:suppressLineNumbers w:val="0"/>
              <w:adjustRightInd/>
              <w:snapToGrid/>
              <w:spacing w:before="0" w:beforeAutospacing="0" w:after="0" w:afterAutospacing="0" w:line="360" w:lineRule="auto"/>
              <w:ind w:left="0" w:leftChars="0" w:right="0" w:firstLine="482"/>
              <w:contextualSpacing/>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b w:val="0"/>
                <w:color w:val="auto"/>
                <w:spacing w:val="0"/>
                <w:w w:val="100"/>
                <w:kern w:val="0"/>
                <w:position w:val="0"/>
                <w:sz w:val="24"/>
                <w:szCs w:val="24"/>
                <w:lang w:val="en-US" w:eastAsia="zh-CN"/>
              </w:rPr>
              <w:t>鹿寨县城第二污水处理厂设计进出水质情况见下表。</w:t>
            </w:r>
          </w:p>
          <w:p w14:paraId="00A8DAEB">
            <w:pPr>
              <w:pStyle w:val="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contextualSpacing/>
              <w:jc w:val="center"/>
              <w:textAlignment w:val="baseline"/>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rPr>
              <w:t>表4-</w:t>
            </w:r>
            <w:r>
              <w:rPr>
                <w:rFonts w:hint="default" w:ascii="Times New Roman" w:hAnsi="Times New Roman" w:eastAsia="宋体" w:cs="Times New Roman"/>
                <w:color w:val="auto"/>
                <w:spacing w:val="0"/>
                <w:w w:val="100"/>
                <w:position w:val="0"/>
                <w:sz w:val="21"/>
                <w:szCs w:val="21"/>
                <w:lang w:val="en-US" w:eastAsia="zh-CN"/>
              </w:rPr>
              <w:t>5</w:t>
            </w:r>
            <w:r>
              <w:rPr>
                <w:rFonts w:hint="default" w:ascii="Times New Roman" w:hAnsi="Times New Roman" w:eastAsia="宋体" w:cs="Times New Roman"/>
                <w:color w:val="auto"/>
                <w:spacing w:val="0"/>
                <w:w w:val="100"/>
                <w:position w:val="0"/>
                <w:sz w:val="21"/>
                <w:szCs w:val="21"/>
              </w:rPr>
              <w:t xml:space="preserve"> </w:t>
            </w:r>
            <w:r>
              <w:rPr>
                <w:rFonts w:hint="default" w:ascii="Times New Roman" w:hAnsi="Times New Roman" w:eastAsia="宋体" w:cs="Times New Roman"/>
                <w:color w:val="auto"/>
                <w:spacing w:val="0"/>
                <w:w w:val="100"/>
                <w:position w:val="0"/>
                <w:sz w:val="21"/>
                <w:szCs w:val="21"/>
                <w:lang w:val="en-US" w:eastAsia="zh-CN"/>
              </w:rPr>
              <w:t xml:space="preserve"> 鹿寨县城第二污水处理厂设计进出水质情况一览表</w:t>
            </w:r>
          </w:p>
          <w:tbl>
            <w:tblPr>
              <w:tblStyle w:val="6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924"/>
              <w:gridCol w:w="1125"/>
              <w:gridCol w:w="995"/>
              <w:gridCol w:w="948"/>
              <w:gridCol w:w="1132"/>
              <w:gridCol w:w="1132"/>
            </w:tblGrid>
            <w:tr w14:paraId="4FF4E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44" w:type="pct"/>
                  <w:noWrap w:val="0"/>
                  <w:vAlign w:val="center"/>
                </w:tcPr>
                <w:p w14:paraId="7960745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项目</w:t>
                  </w:r>
                </w:p>
              </w:tc>
              <w:tc>
                <w:tcPr>
                  <w:tcW w:w="584" w:type="pct"/>
                  <w:noWrap w:val="0"/>
                  <w:vAlign w:val="center"/>
                </w:tcPr>
                <w:p w14:paraId="5119542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CODcr</w:t>
                  </w:r>
                </w:p>
              </w:tc>
              <w:tc>
                <w:tcPr>
                  <w:tcW w:w="711" w:type="pct"/>
                  <w:noWrap w:val="0"/>
                  <w:vAlign w:val="center"/>
                </w:tcPr>
                <w:p w14:paraId="657E42B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BOD5</w:t>
                  </w:r>
                </w:p>
              </w:tc>
              <w:tc>
                <w:tcPr>
                  <w:tcW w:w="629" w:type="pct"/>
                  <w:noWrap w:val="0"/>
                  <w:vAlign w:val="center"/>
                </w:tcPr>
                <w:p w14:paraId="7E2EBE0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SS</w:t>
                  </w:r>
                </w:p>
              </w:tc>
              <w:tc>
                <w:tcPr>
                  <w:tcW w:w="599" w:type="pct"/>
                  <w:noWrap w:val="0"/>
                  <w:vAlign w:val="center"/>
                </w:tcPr>
                <w:p w14:paraId="2D020B8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TN</w:t>
                  </w:r>
                </w:p>
              </w:tc>
              <w:tc>
                <w:tcPr>
                  <w:tcW w:w="715" w:type="pct"/>
                  <w:noWrap w:val="0"/>
                  <w:vAlign w:val="center"/>
                </w:tcPr>
                <w:p w14:paraId="5F27CD5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NH3-N</w:t>
                  </w:r>
                </w:p>
              </w:tc>
              <w:tc>
                <w:tcPr>
                  <w:tcW w:w="715" w:type="pct"/>
                  <w:noWrap w:val="0"/>
                  <w:vAlign w:val="center"/>
                </w:tcPr>
                <w:p w14:paraId="55FBFA5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TP</w:t>
                  </w:r>
                </w:p>
              </w:tc>
            </w:tr>
            <w:tr w14:paraId="14C08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44" w:type="pct"/>
                  <w:noWrap w:val="0"/>
                  <w:vAlign w:val="center"/>
                </w:tcPr>
                <w:p w14:paraId="6237498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进水（mg/L）</w:t>
                  </w:r>
                </w:p>
              </w:tc>
              <w:tc>
                <w:tcPr>
                  <w:tcW w:w="584" w:type="pct"/>
                  <w:noWrap w:val="0"/>
                  <w:vAlign w:val="center"/>
                </w:tcPr>
                <w:p w14:paraId="5F7BE2D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≤400</w:t>
                  </w:r>
                </w:p>
              </w:tc>
              <w:tc>
                <w:tcPr>
                  <w:tcW w:w="711" w:type="pct"/>
                  <w:noWrap w:val="0"/>
                  <w:vAlign w:val="center"/>
                </w:tcPr>
                <w:p w14:paraId="19E3A2A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≤210</w:t>
                  </w:r>
                </w:p>
              </w:tc>
              <w:tc>
                <w:tcPr>
                  <w:tcW w:w="629" w:type="pct"/>
                  <w:noWrap w:val="0"/>
                  <w:vAlign w:val="center"/>
                </w:tcPr>
                <w:p w14:paraId="4FDA511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≤220</w:t>
                  </w:r>
                </w:p>
              </w:tc>
              <w:tc>
                <w:tcPr>
                  <w:tcW w:w="599" w:type="pct"/>
                  <w:noWrap w:val="0"/>
                  <w:vAlign w:val="center"/>
                </w:tcPr>
                <w:p w14:paraId="65201D3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≤40</w:t>
                  </w:r>
                </w:p>
              </w:tc>
              <w:tc>
                <w:tcPr>
                  <w:tcW w:w="715" w:type="pct"/>
                  <w:noWrap w:val="0"/>
                  <w:vAlign w:val="center"/>
                </w:tcPr>
                <w:p w14:paraId="2CD6143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≤35</w:t>
                  </w:r>
                </w:p>
              </w:tc>
              <w:tc>
                <w:tcPr>
                  <w:tcW w:w="715" w:type="pct"/>
                  <w:noWrap w:val="0"/>
                  <w:vAlign w:val="center"/>
                </w:tcPr>
                <w:p w14:paraId="51FFE19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≤4.0</w:t>
                  </w:r>
                </w:p>
              </w:tc>
            </w:tr>
            <w:tr w14:paraId="56565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44" w:type="pct"/>
                  <w:noWrap w:val="0"/>
                  <w:vAlign w:val="center"/>
                </w:tcPr>
                <w:p w14:paraId="205C647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出水（mg/L）</w:t>
                  </w:r>
                </w:p>
              </w:tc>
              <w:tc>
                <w:tcPr>
                  <w:tcW w:w="584" w:type="pct"/>
                  <w:noWrap w:val="0"/>
                  <w:vAlign w:val="center"/>
                </w:tcPr>
                <w:p w14:paraId="2460EE4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≤50</w:t>
                  </w:r>
                </w:p>
              </w:tc>
              <w:tc>
                <w:tcPr>
                  <w:tcW w:w="711" w:type="pct"/>
                  <w:noWrap w:val="0"/>
                  <w:vAlign w:val="center"/>
                </w:tcPr>
                <w:p w14:paraId="5C2D189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w:t>
                  </w:r>
                </w:p>
              </w:tc>
              <w:tc>
                <w:tcPr>
                  <w:tcW w:w="629" w:type="pct"/>
                  <w:noWrap w:val="0"/>
                  <w:vAlign w:val="center"/>
                </w:tcPr>
                <w:p w14:paraId="7E594E0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w:t>
                  </w:r>
                </w:p>
              </w:tc>
              <w:tc>
                <w:tcPr>
                  <w:tcW w:w="599" w:type="pct"/>
                  <w:noWrap w:val="0"/>
                  <w:vAlign w:val="center"/>
                </w:tcPr>
                <w:p w14:paraId="2C7D129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≤15</w:t>
                  </w:r>
                </w:p>
              </w:tc>
              <w:tc>
                <w:tcPr>
                  <w:tcW w:w="715" w:type="pct"/>
                  <w:noWrap w:val="0"/>
                  <w:vAlign w:val="center"/>
                </w:tcPr>
                <w:p w14:paraId="4E787DA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≤5（8）</w:t>
                  </w:r>
                </w:p>
              </w:tc>
              <w:tc>
                <w:tcPr>
                  <w:tcW w:w="715" w:type="pct"/>
                  <w:noWrap w:val="0"/>
                  <w:vAlign w:val="center"/>
                </w:tcPr>
                <w:p w14:paraId="0C75E61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≤0.5</w:t>
                  </w:r>
                </w:p>
              </w:tc>
            </w:tr>
          </w:tbl>
          <w:p w14:paraId="4CE01BFB">
            <w:pPr>
              <w:pStyle w:val="3"/>
              <w:keepNext w:val="0"/>
              <w:keepLines w:val="0"/>
              <w:suppressLineNumbers w:val="0"/>
              <w:adjustRightInd/>
              <w:snapToGrid/>
              <w:spacing w:before="0" w:beforeAutospacing="0" w:after="0" w:afterAutospacing="0" w:line="360" w:lineRule="auto"/>
              <w:ind w:left="0" w:leftChars="0" w:right="0" w:firstLine="482"/>
              <w:contextualSpacing/>
              <w:rPr>
                <w:rFonts w:hint="default" w:ascii="Times New Roman" w:hAnsi="Times New Roman" w:eastAsia="宋体" w:cs="Times New Roman"/>
                <w:b w:val="0"/>
                <w:color w:val="auto"/>
                <w:spacing w:val="0"/>
                <w:w w:val="100"/>
                <w:kern w:val="0"/>
                <w:position w:val="0"/>
                <w:sz w:val="24"/>
                <w:szCs w:val="24"/>
                <w:lang w:val="en-US" w:eastAsia="zh-CN"/>
              </w:rPr>
            </w:pPr>
            <w:r>
              <w:rPr>
                <w:rFonts w:hint="default" w:ascii="Times New Roman" w:hAnsi="Times New Roman" w:eastAsia="宋体" w:cs="Times New Roman"/>
                <w:b w:val="0"/>
                <w:color w:val="auto"/>
                <w:spacing w:val="0"/>
                <w:w w:val="100"/>
                <w:kern w:val="0"/>
                <w:position w:val="0"/>
                <w:sz w:val="24"/>
                <w:szCs w:val="24"/>
                <w:lang w:val="en-US" w:eastAsia="zh-CN"/>
              </w:rPr>
              <w:t>项目生活污水排放量为2.4m</w:t>
            </w:r>
            <w:r>
              <w:rPr>
                <w:rFonts w:hint="default" w:ascii="Times New Roman" w:hAnsi="Times New Roman" w:eastAsia="宋体" w:cs="Times New Roman"/>
                <w:b w:val="0"/>
                <w:color w:val="auto"/>
                <w:spacing w:val="0"/>
                <w:w w:val="100"/>
                <w:kern w:val="0"/>
                <w:position w:val="0"/>
                <w:sz w:val="24"/>
                <w:szCs w:val="24"/>
                <w:vertAlign w:val="superscript"/>
                <w:lang w:val="en-US" w:eastAsia="zh-CN"/>
              </w:rPr>
              <w:t>3</w:t>
            </w:r>
            <w:r>
              <w:rPr>
                <w:rFonts w:hint="default" w:ascii="Times New Roman" w:hAnsi="Times New Roman" w:eastAsia="宋体" w:cs="Times New Roman"/>
                <w:b w:val="0"/>
                <w:color w:val="auto"/>
                <w:spacing w:val="0"/>
                <w:w w:val="100"/>
                <w:kern w:val="0"/>
                <w:position w:val="0"/>
                <w:sz w:val="24"/>
                <w:szCs w:val="24"/>
                <w:lang w:val="en-US" w:eastAsia="zh-CN"/>
              </w:rPr>
              <w:t>/d，目前鹿寨县城第二污水处理厂日处理剩余余量约为1500m</w:t>
            </w:r>
            <w:r>
              <w:rPr>
                <w:rFonts w:hint="default" w:ascii="Times New Roman" w:hAnsi="Times New Roman" w:eastAsia="宋体" w:cs="Times New Roman"/>
                <w:b w:val="0"/>
                <w:color w:val="auto"/>
                <w:spacing w:val="0"/>
                <w:w w:val="100"/>
                <w:kern w:val="0"/>
                <w:position w:val="0"/>
                <w:sz w:val="24"/>
                <w:szCs w:val="24"/>
                <w:vertAlign w:val="superscript"/>
                <w:lang w:val="en-US" w:eastAsia="zh-CN"/>
              </w:rPr>
              <w:t>3</w:t>
            </w:r>
            <w:r>
              <w:rPr>
                <w:rFonts w:hint="default" w:ascii="Times New Roman" w:hAnsi="Times New Roman" w:eastAsia="宋体" w:cs="Times New Roman"/>
                <w:b w:val="0"/>
                <w:color w:val="auto"/>
                <w:spacing w:val="0"/>
                <w:w w:val="100"/>
                <w:kern w:val="0"/>
                <w:position w:val="0"/>
                <w:sz w:val="24"/>
                <w:szCs w:val="24"/>
                <w:lang w:val="en-US" w:eastAsia="zh-CN"/>
              </w:rPr>
              <w:t>/d，因此，本项目外排废水量仅占整个鹿寨县城第二污水处理厂日处理剩余余量的0.16%，对鹿寨县城第二污水处理厂的进水量不会产生冲击影响，生活污水纳入该污水处理厂处理不会额外增加污水处理厂的处理负荷。因此，本项目外排废水依托鹿寨县城第二污水处理厂进行处理具备环境可行性，对周边环境影响不大。</w:t>
            </w:r>
          </w:p>
          <w:p w14:paraId="3C4CA311">
            <w:pPr>
              <w:pStyle w:val="3"/>
              <w:keepNext w:val="0"/>
              <w:keepLines w:val="0"/>
              <w:suppressLineNumbers w:val="0"/>
              <w:adjustRightInd/>
              <w:snapToGrid/>
              <w:spacing w:before="0" w:beforeAutospacing="0" w:after="0" w:afterAutospacing="0" w:line="360" w:lineRule="auto"/>
              <w:ind w:left="0" w:leftChars="0" w:right="0" w:firstLine="482"/>
              <w:contextualSpacing/>
              <w:rPr>
                <w:rFonts w:hint="default" w:ascii="Times New Roman" w:hAnsi="Times New Roman" w:eastAsia="宋体" w:cs="Times New Roman"/>
                <w:b w:val="0"/>
                <w:color w:val="auto"/>
                <w:spacing w:val="0"/>
                <w:w w:val="100"/>
                <w:kern w:val="0"/>
                <w:position w:val="0"/>
                <w:sz w:val="24"/>
                <w:szCs w:val="24"/>
                <w:lang w:val="en-US" w:eastAsia="zh-CN"/>
              </w:rPr>
            </w:pPr>
            <w:r>
              <w:rPr>
                <w:rFonts w:hint="default" w:ascii="Times New Roman" w:hAnsi="Times New Roman" w:eastAsia="宋体" w:cs="Times New Roman"/>
                <w:b w:val="0"/>
                <w:color w:val="auto"/>
                <w:spacing w:val="0"/>
                <w:w w:val="100"/>
                <w:kern w:val="0"/>
                <w:position w:val="0"/>
                <w:sz w:val="24"/>
                <w:szCs w:val="24"/>
                <w:lang w:val="en-US" w:eastAsia="zh-CN"/>
              </w:rPr>
              <w:t>鹿寨县城第二污水处理厂可处理污水中化学需氧量、总氮、氨氮、总磷、pH 值，悬浮物、五日生化需氧量、阴离子表面活性剂、动植物油、石油类等污染物，涵盖本项目排放的主要水污染物，项目污水可排入鹿寨县城第二污水处理厂。因此，本项目外排废水依托鹿寨县城第二污水处理厂进行处理具备可行性。</w:t>
            </w:r>
          </w:p>
          <w:p w14:paraId="75C2B954">
            <w:pPr>
              <w:pStyle w:val="3"/>
              <w:keepNext w:val="0"/>
              <w:keepLines w:val="0"/>
              <w:suppressLineNumbers w:val="0"/>
              <w:adjustRightInd/>
              <w:snapToGrid/>
              <w:spacing w:before="0" w:beforeAutospacing="0" w:after="0" w:afterAutospacing="0" w:line="360" w:lineRule="auto"/>
              <w:ind w:left="0" w:leftChars="0" w:right="0" w:firstLine="482"/>
              <w:contextualSpacing/>
              <w:rPr>
                <w:rFonts w:hint="default" w:ascii="Times New Roman" w:hAnsi="Times New Roman" w:eastAsia="宋体" w:cs="Times New Roman"/>
                <w:b w:val="0"/>
                <w:color w:val="auto"/>
                <w:spacing w:val="0"/>
                <w:w w:val="100"/>
                <w:kern w:val="0"/>
                <w:position w:val="0"/>
                <w:sz w:val="24"/>
                <w:szCs w:val="24"/>
                <w:lang w:val="en-US" w:eastAsia="zh-CN"/>
              </w:rPr>
            </w:pPr>
            <w:r>
              <w:rPr>
                <w:rFonts w:hint="default" w:ascii="Times New Roman" w:hAnsi="Times New Roman" w:eastAsia="宋体" w:cs="Times New Roman"/>
                <w:b w:val="0"/>
                <w:color w:val="auto"/>
                <w:spacing w:val="0"/>
                <w:w w:val="100"/>
                <w:kern w:val="0"/>
                <w:position w:val="0"/>
                <w:sz w:val="24"/>
                <w:szCs w:val="24"/>
                <w:lang w:val="en-US" w:eastAsia="zh-CN"/>
              </w:rPr>
              <w:t>根据《环境影响评价技术导则 地表水环境》（HJ2.3-2018）附录G要求，项目废水污染物、治理措施及排放口等相关信息详见表4-7至表4-10。</w:t>
            </w:r>
          </w:p>
          <w:p w14:paraId="1C219427">
            <w:pPr>
              <w:pStyle w:val="3"/>
              <w:keepNext w:val="0"/>
              <w:keepLines w:val="0"/>
              <w:suppressLineNumbers w:val="0"/>
              <w:adjustRightInd/>
              <w:snapToGrid/>
              <w:spacing w:before="0" w:beforeAutospacing="0" w:after="0" w:afterAutospacing="0" w:line="360" w:lineRule="auto"/>
              <w:ind w:left="0" w:leftChars="0" w:right="0" w:firstLine="482"/>
              <w:contextualSpacing/>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3）监测计划</w:t>
            </w:r>
          </w:p>
          <w:p w14:paraId="00BB177A">
            <w:pPr>
              <w:pStyle w:val="3"/>
              <w:keepNext w:val="0"/>
              <w:keepLines w:val="0"/>
              <w:suppressLineNumbers w:val="0"/>
              <w:adjustRightInd/>
              <w:snapToGrid/>
              <w:spacing w:before="0" w:beforeAutospacing="0" w:after="0" w:afterAutospacing="0" w:line="360" w:lineRule="auto"/>
              <w:ind w:left="0" w:leftChars="0" w:right="0" w:firstLine="482"/>
              <w:contextualSpacing/>
              <w:rPr>
                <w:rFonts w:hint="default" w:ascii="Times New Roman" w:hAnsi="Times New Roman" w:eastAsia="宋体" w:cs="Times New Roman"/>
                <w:b w:val="0"/>
                <w:bCs/>
                <w:color w:val="auto"/>
                <w:spacing w:val="0"/>
                <w:w w:val="100"/>
                <w:kern w:val="0"/>
                <w:position w:val="0"/>
                <w:sz w:val="24"/>
                <w:szCs w:val="24"/>
                <w:lang w:val="en-US" w:eastAsia="zh-CN"/>
              </w:rPr>
            </w:pPr>
            <w:r>
              <w:rPr>
                <w:rFonts w:hint="default" w:ascii="Times New Roman" w:hAnsi="Times New Roman" w:eastAsia="宋体" w:cs="Times New Roman"/>
                <w:b w:val="0"/>
                <w:bCs/>
                <w:color w:val="auto"/>
                <w:spacing w:val="0"/>
                <w:w w:val="100"/>
                <w:kern w:val="0"/>
                <w:position w:val="0"/>
                <w:sz w:val="24"/>
                <w:szCs w:val="24"/>
                <w:lang w:val="en-US" w:eastAsia="zh-CN"/>
              </w:rPr>
              <w:t>根据《排污单位自行监测技术指南 总则》（HJ819-2017）、《排污单位自行监测技术指南 金属铸造工业》（HJ1251-2022）等相关要求，生活污水不纳入自行监测计划。</w:t>
            </w:r>
          </w:p>
          <w:p w14:paraId="170A2278">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color w:val="auto"/>
                <w:spacing w:val="0"/>
                <w:w w:val="100"/>
                <w:kern w:val="0"/>
                <w:position w:val="0"/>
                <w:sz w:val="21"/>
                <w:szCs w:val="21"/>
              </w:rPr>
              <w:t>表4-</w:t>
            </w:r>
            <w:r>
              <w:rPr>
                <w:rFonts w:hint="default" w:ascii="Times New Roman" w:hAnsi="Times New Roman" w:eastAsia="宋体" w:cs="Times New Roman"/>
                <w:b/>
                <w:color w:val="auto"/>
                <w:spacing w:val="0"/>
                <w:w w:val="100"/>
                <w:kern w:val="0"/>
                <w:position w:val="0"/>
                <w:sz w:val="21"/>
                <w:szCs w:val="21"/>
                <w:lang w:val="en-US" w:eastAsia="zh-CN"/>
              </w:rPr>
              <w:t>6</w:t>
            </w:r>
            <w:r>
              <w:rPr>
                <w:rFonts w:hint="default" w:ascii="Times New Roman" w:hAnsi="Times New Roman" w:eastAsia="宋体" w:cs="Times New Roman"/>
                <w:b/>
                <w:color w:val="auto"/>
                <w:spacing w:val="0"/>
                <w:w w:val="100"/>
                <w:kern w:val="0"/>
                <w:position w:val="0"/>
                <w:sz w:val="21"/>
                <w:szCs w:val="21"/>
              </w:rPr>
              <w:t xml:space="preserve">  废水类别、污染物及治理设施信息表</w:t>
            </w:r>
          </w:p>
          <w:tbl>
            <w:tblPr>
              <w:tblStyle w:val="5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2"/>
              <w:gridCol w:w="507"/>
              <w:gridCol w:w="1092"/>
              <w:gridCol w:w="695"/>
              <w:gridCol w:w="770"/>
              <w:gridCol w:w="900"/>
              <w:gridCol w:w="520"/>
              <w:gridCol w:w="767"/>
              <w:gridCol w:w="910"/>
              <w:gridCol w:w="691"/>
              <w:gridCol w:w="734"/>
            </w:tblGrid>
            <w:tr w14:paraId="66E21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trPr>
              <w:tc>
                <w:tcPr>
                  <w:tcW w:w="452" w:type="dxa"/>
                  <w:vMerge w:val="restart"/>
                  <w:noWrap w:val="0"/>
                  <w:vAlign w:val="center"/>
                </w:tcPr>
                <w:p w14:paraId="246AB53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序号</w:t>
                  </w:r>
                </w:p>
              </w:tc>
              <w:tc>
                <w:tcPr>
                  <w:tcW w:w="507" w:type="dxa"/>
                  <w:vMerge w:val="restart"/>
                  <w:noWrap w:val="0"/>
                  <w:vAlign w:val="center"/>
                </w:tcPr>
                <w:p w14:paraId="73A481C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废水类别</w:t>
                  </w:r>
                </w:p>
              </w:tc>
              <w:tc>
                <w:tcPr>
                  <w:tcW w:w="1092" w:type="dxa"/>
                  <w:vMerge w:val="restart"/>
                  <w:noWrap w:val="0"/>
                  <w:vAlign w:val="center"/>
                </w:tcPr>
                <w:p w14:paraId="1C8CF9C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污染物种类</w:t>
                  </w:r>
                </w:p>
              </w:tc>
              <w:tc>
                <w:tcPr>
                  <w:tcW w:w="695" w:type="dxa"/>
                  <w:vMerge w:val="restart"/>
                  <w:noWrap w:val="0"/>
                  <w:vAlign w:val="center"/>
                </w:tcPr>
                <w:p w14:paraId="291AA85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排放去向</w:t>
                  </w:r>
                </w:p>
              </w:tc>
              <w:tc>
                <w:tcPr>
                  <w:tcW w:w="770" w:type="dxa"/>
                  <w:vMerge w:val="restart"/>
                  <w:noWrap w:val="0"/>
                  <w:vAlign w:val="center"/>
                </w:tcPr>
                <w:p w14:paraId="6C7F6AA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排放规律</w:t>
                  </w:r>
                </w:p>
              </w:tc>
              <w:tc>
                <w:tcPr>
                  <w:tcW w:w="2187" w:type="dxa"/>
                  <w:gridSpan w:val="3"/>
                  <w:noWrap w:val="0"/>
                  <w:vAlign w:val="center"/>
                </w:tcPr>
                <w:p w14:paraId="31B4354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污染治理设施</w:t>
                  </w:r>
                </w:p>
              </w:tc>
              <w:tc>
                <w:tcPr>
                  <w:tcW w:w="910" w:type="dxa"/>
                  <w:vMerge w:val="restart"/>
                  <w:noWrap w:val="0"/>
                  <w:vAlign w:val="center"/>
                </w:tcPr>
                <w:p w14:paraId="2ECE021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排放口编号</w:t>
                  </w:r>
                </w:p>
              </w:tc>
              <w:tc>
                <w:tcPr>
                  <w:tcW w:w="691" w:type="dxa"/>
                  <w:vMerge w:val="restart"/>
                  <w:noWrap w:val="0"/>
                  <w:vAlign w:val="center"/>
                </w:tcPr>
                <w:p w14:paraId="7DA9902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排放口设置是否符合要求</w:t>
                  </w:r>
                </w:p>
              </w:tc>
              <w:tc>
                <w:tcPr>
                  <w:tcW w:w="734" w:type="dxa"/>
                  <w:vMerge w:val="restart"/>
                  <w:noWrap w:val="0"/>
                  <w:vAlign w:val="center"/>
                </w:tcPr>
                <w:p w14:paraId="2B711A4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排放口类型</w:t>
                  </w:r>
                </w:p>
              </w:tc>
            </w:tr>
            <w:tr w14:paraId="30EAA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452" w:type="dxa"/>
                  <w:vMerge w:val="continue"/>
                  <w:noWrap w:val="0"/>
                  <w:vAlign w:val="center"/>
                </w:tcPr>
                <w:p w14:paraId="403B9BD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07" w:type="dxa"/>
                  <w:vMerge w:val="continue"/>
                  <w:noWrap w:val="0"/>
                  <w:vAlign w:val="center"/>
                </w:tcPr>
                <w:p w14:paraId="7550DB1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1092" w:type="dxa"/>
                  <w:vMerge w:val="continue"/>
                  <w:noWrap w:val="0"/>
                  <w:vAlign w:val="center"/>
                </w:tcPr>
                <w:p w14:paraId="2309D0B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695" w:type="dxa"/>
                  <w:vMerge w:val="continue"/>
                  <w:noWrap w:val="0"/>
                  <w:vAlign w:val="center"/>
                </w:tcPr>
                <w:p w14:paraId="6B947DA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770" w:type="dxa"/>
                  <w:vMerge w:val="continue"/>
                  <w:noWrap w:val="0"/>
                  <w:vAlign w:val="center"/>
                </w:tcPr>
                <w:p w14:paraId="1579E50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900" w:type="dxa"/>
                  <w:noWrap w:val="0"/>
                  <w:vAlign w:val="center"/>
                </w:tcPr>
                <w:p w14:paraId="5AA39F0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污染治理设施编号</w:t>
                  </w:r>
                </w:p>
              </w:tc>
              <w:tc>
                <w:tcPr>
                  <w:tcW w:w="520" w:type="dxa"/>
                  <w:noWrap w:val="0"/>
                  <w:vAlign w:val="center"/>
                </w:tcPr>
                <w:p w14:paraId="73033FA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污染治理设施名称</w:t>
                  </w:r>
                </w:p>
              </w:tc>
              <w:tc>
                <w:tcPr>
                  <w:tcW w:w="767" w:type="dxa"/>
                  <w:noWrap w:val="0"/>
                  <w:vAlign w:val="center"/>
                </w:tcPr>
                <w:p w14:paraId="5AE496A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污染治理</w:t>
                  </w:r>
                </w:p>
                <w:p w14:paraId="3E027D5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设施工艺</w:t>
                  </w:r>
                </w:p>
              </w:tc>
              <w:tc>
                <w:tcPr>
                  <w:tcW w:w="910" w:type="dxa"/>
                  <w:vMerge w:val="continue"/>
                  <w:noWrap w:val="0"/>
                  <w:vAlign w:val="center"/>
                </w:tcPr>
                <w:p w14:paraId="4249769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691" w:type="dxa"/>
                  <w:vMerge w:val="continue"/>
                  <w:noWrap w:val="0"/>
                  <w:vAlign w:val="center"/>
                </w:tcPr>
                <w:p w14:paraId="326561E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734" w:type="dxa"/>
                  <w:vMerge w:val="continue"/>
                  <w:noWrap w:val="0"/>
                  <w:vAlign w:val="center"/>
                </w:tcPr>
                <w:p w14:paraId="4155844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r>
            <w:tr w14:paraId="04A39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0" w:hRule="atLeast"/>
              </w:trPr>
              <w:tc>
                <w:tcPr>
                  <w:tcW w:w="452" w:type="dxa"/>
                  <w:noWrap w:val="0"/>
                  <w:vAlign w:val="center"/>
                </w:tcPr>
                <w:p w14:paraId="2AB0CF7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507" w:type="dxa"/>
                  <w:noWrap w:val="0"/>
                  <w:vAlign w:val="center"/>
                </w:tcPr>
                <w:p w14:paraId="2A15201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生活污水</w:t>
                  </w:r>
                </w:p>
              </w:tc>
              <w:tc>
                <w:tcPr>
                  <w:tcW w:w="1092" w:type="dxa"/>
                  <w:noWrap w:val="0"/>
                  <w:vAlign w:val="center"/>
                </w:tcPr>
                <w:p w14:paraId="1BFE978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COD、BOD</w:t>
                  </w:r>
                  <w:r>
                    <w:rPr>
                      <w:rFonts w:hint="default" w:ascii="Times New Roman" w:hAnsi="Times New Roman" w:eastAsia="宋体" w:cs="Times New Roman"/>
                      <w:b w:val="0"/>
                      <w:bCs w:val="0"/>
                      <w:color w:val="auto"/>
                      <w:spacing w:val="0"/>
                      <w:w w:val="100"/>
                      <w:position w:val="0"/>
                      <w:sz w:val="21"/>
                      <w:szCs w:val="21"/>
                      <w:vertAlign w:val="subscript"/>
                      <w:lang w:val="en-US" w:eastAsia="zh-CN"/>
                    </w:rPr>
                    <w:t>5</w:t>
                  </w:r>
                  <w:r>
                    <w:rPr>
                      <w:rFonts w:hint="default" w:ascii="Times New Roman" w:hAnsi="Times New Roman" w:eastAsia="宋体" w:cs="Times New Roman"/>
                      <w:b w:val="0"/>
                      <w:bCs w:val="0"/>
                      <w:color w:val="auto"/>
                      <w:spacing w:val="0"/>
                      <w:w w:val="100"/>
                      <w:position w:val="0"/>
                      <w:sz w:val="21"/>
                      <w:szCs w:val="21"/>
                      <w:lang w:val="en-US" w:eastAsia="zh-CN"/>
                    </w:rPr>
                    <w:t>、SS</w:t>
                  </w:r>
                </w:p>
                <w:p w14:paraId="51BB7BD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NH</w:t>
                  </w:r>
                  <w:r>
                    <w:rPr>
                      <w:rFonts w:hint="default" w:ascii="Times New Roman" w:hAnsi="Times New Roman" w:eastAsia="宋体" w:cs="Times New Roman"/>
                      <w:b w:val="0"/>
                      <w:bCs w:val="0"/>
                      <w:color w:val="auto"/>
                      <w:spacing w:val="0"/>
                      <w:w w:val="100"/>
                      <w:position w:val="0"/>
                      <w:sz w:val="21"/>
                      <w:szCs w:val="21"/>
                      <w:vertAlign w:val="subscript"/>
                      <w:lang w:val="en-US" w:eastAsia="zh-CN"/>
                    </w:rPr>
                    <w:t>3</w:t>
                  </w:r>
                  <w:r>
                    <w:rPr>
                      <w:rFonts w:hint="default" w:ascii="Times New Roman" w:hAnsi="Times New Roman" w:eastAsia="宋体" w:cs="Times New Roman"/>
                      <w:b w:val="0"/>
                      <w:bCs w:val="0"/>
                      <w:color w:val="auto"/>
                      <w:spacing w:val="0"/>
                      <w:w w:val="100"/>
                      <w:position w:val="0"/>
                      <w:sz w:val="21"/>
                      <w:szCs w:val="21"/>
                      <w:lang w:val="en-US" w:eastAsia="zh-CN"/>
                    </w:rPr>
                    <w:t>-N</w:t>
                  </w:r>
                </w:p>
              </w:tc>
              <w:tc>
                <w:tcPr>
                  <w:tcW w:w="695" w:type="dxa"/>
                  <w:noWrap w:val="0"/>
                  <w:vAlign w:val="center"/>
                </w:tcPr>
                <w:p w14:paraId="758A44E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鹿寨县城第二污水处理厂</w:t>
                  </w:r>
                </w:p>
              </w:tc>
              <w:tc>
                <w:tcPr>
                  <w:tcW w:w="770" w:type="dxa"/>
                  <w:noWrap w:val="0"/>
                  <w:vAlign w:val="center"/>
                </w:tcPr>
                <w:p w14:paraId="401C5C3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间断排放，排放期间流量不稳定，但有周期性规律</w:t>
                  </w:r>
                </w:p>
              </w:tc>
              <w:tc>
                <w:tcPr>
                  <w:tcW w:w="900" w:type="dxa"/>
                  <w:noWrap w:val="0"/>
                  <w:vAlign w:val="center"/>
                </w:tcPr>
                <w:p w14:paraId="59BD94B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TW001</w:t>
                  </w:r>
                </w:p>
              </w:tc>
              <w:tc>
                <w:tcPr>
                  <w:tcW w:w="520" w:type="dxa"/>
                  <w:noWrap w:val="0"/>
                  <w:vAlign w:val="center"/>
                </w:tcPr>
                <w:p w14:paraId="0CFAD9E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化粪池</w:t>
                  </w:r>
                </w:p>
              </w:tc>
              <w:tc>
                <w:tcPr>
                  <w:tcW w:w="767" w:type="dxa"/>
                  <w:noWrap w:val="0"/>
                  <w:vAlign w:val="center"/>
                </w:tcPr>
                <w:p w14:paraId="6D2D2FB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沉淀、厌氧发酵</w:t>
                  </w:r>
                </w:p>
              </w:tc>
              <w:tc>
                <w:tcPr>
                  <w:tcW w:w="910" w:type="dxa"/>
                  <w:noWrap w:val="0"/>
                  <w:vAlign w:val="center"/>
                </w:tcPr>
                <w:p w14:paraId="01871C6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DW001</w:t>
                  </w:r>
                </w:p>
              </w:tc>
              <w:tc>
                <w:tcPr>
                  <w:tcW w:w="691" w:type="dxa"/>
                  <w:noWrap w:val="0"/>
                  <w:vAlign w:val="center"/>
                </w:tcPr>
                <w:p w14:paraId="11269F4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sym w:font="Wingdings" w:char="00FE"/>
                  </w:r>
                  <w:r>
                    <w:rPr>
                      <w:rFonts w:hint="default" w:ascii="Times New Roman" w:hAnsi="Times New Roman" w:eastAsia="宋体" w:cs="Times New Roman"/>
                      <w:b w:val="0"/>
                      <w:bCs w:val="0"/>
                      <w:color w:val="auto"/>
                      <w:spacing w:val="0"/>
                      <w:w w:val="100"/>
                      <w:position w:val="0"/>
                      <w:sz w:val="21"/>
                      <w:szCs w:val="21"/>
                      <w:lang w:val="en-US" w:eastAsia="zh-CN"/>
                    </w:rPr>
                    <w:t>是</w:t>
                  </w:r>
                </w:p>
                <w:p w14:paraId="3D43C2E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sym w:font="Wingdings" w:char="00A8"/>
                  </w:r>
                  <w:r>
                    <w:rPr>
                      <w:rFonts w:hint="default" w:ascii="Times New Roman" w:hAnsi="Times New Roman" w:eastAsia="宋体" w:cs="Times New Roman"/>
                      <w:b w:val="0"/>
                      <w:bCs w:val="0"/>
                      <w:color w:val="auto"/>
                      <w:spacing w:val="0"/>
                      <w:w w:val="100"/>
                      <w:position w:val="0"/>
                      <w:sz w:val="21"/>
                      <w:szCs w:val="21"/>
                      <w:lang w:val="en-US" w:eastAsia="zh-CN"/>
                    </w:rPr>
                    <w:t>否</w:t>
                  </w:r>
                </w:p>
              </w:tc>
              <w:tc>
                <w:tcPr>
                  <w:tcW w:w="734" w:type="dxa"/>
                  <w:noWrap w:val="0"/>
                  <w:vAlign w:val="center"/>
                </w:tcPr>
                <w:p w14:paraId="1D50150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sym w:font="Wingdings" w:char="00A8"/>
                  </w:r>
                  <w:r>
                    <w:rPr>
                      <w:rFonts w:hint="default" w:ascii="Times New Roman" w:hAnsi="Times New Roman" w:eastAsia="宋体" w:cs="Times New Roman"/>
                      <w:b w:val="0"/>
                      <w:bCs w:val="0"/>
                      <w:color w:val="auto"/>
                      <w:spacing w:val="0"/>
                      <w:w w:val="100"/>
                      <w:position w:val="0"/>
                      <w:sz w:val="21"/>
                      <w:szCs w:val="21"/>
                      <w:lang w:val="en-US" w:eastAsia="zh-CN"/>
                    </w:rPr>
                    <w:t>主要排放口</w:t>
                  </w:r>
                </w:p>
                <w:p w14:paraId="620F907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sym w:font="Wingdings" w:char="00FE"/>
                  </w:r>
                  <w:r>
                    <w:rPr>
                      <w:rFonts w:hint="default" w:ascii="Times New Roman" w:hAnsi="Times New Roman" w:eastAsia="宋体" w:cs="Times New Roman"/>
                      <w:b w:val="0"/>
                      <w:bCs w:val="0"/>
                      <w:color w:val="auto"/>
                      <w:spacing w:val="0"/>
                      <w:w w:val="100"/>
                      <w:position w:val="0"/>
                      <w:sz w:val="21"/>
                      <w:szCs w:val="21"/>
                      <w:lang w:val="en-US" w:eastAsia="zh-CN"/>
                    </w:rPr>
                    <w:t>一般排放口</w:t>
                  </w:r>
                </w:p>
              </w:tc>
            </w:tr>
          </w:tbl>
          <w:p w14:paraId="1936CC0A">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pacing w:val="0"/>
                <w:w w:val="100"/>
                <w:kern w:val="0"/>
                <w:position w:val="0"/>
                <w:sz w:val="21"/>
                <w:szCs w:val="21"/>
                <w:lang w:eastAsia="zh-CN"/>
              </w:rPr>
            </w:pPr>
            <w:r>
              <w:rPr>
                <w:rFonts w:hint="default" w:ascii="Times New Roman" w:hAnsi="Times New Roman" w:eastAsia="宋体" w:cs="Times New Roman"/>
                <w:b/>
                <w:color w:val="auto"/>
                <w:spacing w:val="0"/>
                <w:w w:val="100"/>
                <w:kern w:val="0"/>
                <w:position w:val="0"/>
                <w:sz w:val="21"/>
                <w:szCs w:val="21"/>
              </w:rPr>
              <w:t>表4-</w:t>
            </w:r>
            <w:r>
              <w:rPr>
                <w:rFonts w:hint="default" w:ascii="Times New Roman" w:hAnsi="Times New Roman" w:eastAsia="宋体" w:cs="Times New Roman"/>
                <w:b/>
                <w:color w:val="auto"/>
                <w:spacing w:val="0"/>
                <w:w w:val="100"/>
                <w:kern w:val="0"/>
                <w:position w:val="0"/>
                <w:sz w:val="21"/>
                <w:szCs w:val="21"/>
                <w:lang w:val="en-US" w:eastAsia="zh-CN"/>
              </w:rPr>
              <w:t>7</w:t>
            </w:r>
            <w:r>
              <w:rPr>
                <w:rFonts w:hint="default" w:ascii="Times New Roman" w:hAnsi="Times New Roman" w:eastAsia="宋体" w:cs="Times New Roman"/>
                <w:b/>
                <w:color w:val="auto"/>
                <w:spacing w:val="0"/>
                <w:w w:val="100"/>
                <w:kern w:val="0"/>
                <w:position w:val="0"/>
                <w:sz w:val="21"/>
                <w:szCs w:val="21"/>
              </w:rPr>
              <w:t xml:space="preserve">  废水间接排放口基本情况表</w:t>
            </w:r>
          </w:p>
          <w:tbl>
            <w:tblPr>
              <w:tblStyle w:val="5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5"/>
              <w:gridCol w:w="770"/>
              <w:gridCol w:w="972"/>
              <w:gridCol w:w="1076"/>
              <w:gridCol w:w="635"/>
              <w:gridCol w:w="646"/>
              <w:gridCol w:w="799"/>
              <w:gridCol w:w="567"/>
              <w:gridCol w:w="388"/>
              <w:gridCol w:w="711"/>
              <w:gridCol w:w="964"/>
            </w:tblGrid>
            <w:tr w14:paraId="43828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244" w:type="pct"/>
                  <w:vMerge w:val="restart"/>
                  <w:tcBorders>
                    <w:top w:val="single" w:color="auto" w:sz="4" w:space="0"/>
                    <w:left w:val="single" w:color="auto" w:sz="4" w:space="0"/>
                    <w:bottom w:val="single" w:color="auto" w:sz="4" w:space="0"/>
                    <w:right w:val="single" w:color="auto" w:sz="4" w:space="0"/>
                  </w:tcBorders>
                  <w:noWrap w:val="0"/>
                  <w:vAlign w:val="center"/>
                </w:tcPr>
                <w:p w14:paraId="76C95FB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序号</w:t>
                  </w:r>
                </w:p>
              </w:tc>
              <w:tc>
                <w:tcPr>
                  <w:tcW w:w="487" w:type="pct"/>
                  <w:vMerge w:val="restart"/>
                  <w:tcBorders>
                    <w:top w:val="single" w:color="auto" w:sz="4" w:space="0"/>
                    <w:left w:val="nil"/>
                    <w:bottom w:val="single" w:color="auto" w:sz="4" w:space="0"/>
                    <w:right w:val="single" w:color="auto" w:sz="4" w:space="0"/>
                  </w:tcBorders>
                  <w:noWrap w:val="0"/>
                  <w:vAlign w:val="center"/>
                </w:tcPr>
                <w:p w14:paraId="22E6AA5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排放口编号</w:t>
                  </w:r>
                </w:p>
              </w:tc>
              <w:tc>
                <w:tcPr>
                  <w:tcW w:w="1294" w:type="pct"/>
                  <w:gridSpan w:val="2"/>
                  <w:tcBorders>
                    <w:top w:val="single" w:color="auto" w:sz="4" w:space="0"/>
                    <w:left w:val="nil"/>
                    <w:bottom w:val="single" w:color="auto" w:sz="4" w:space="0"/>
                    <w:right w:val="single" w:color="auto" w:sz="4" w:space="0"/>
                  </w:tcBorders>
                  <w:noWrap w:val="0"/>
                  <w:vAlign w:val="center"/>
                </w:tcPr>
                <w:p w14:paraId="521B772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排放口地理坐标a</w:t>
                  </w:r>
                </w:p>
              </w:tc>
              <w:tc>
                <w:tcPr>
                  <w:tcW w:w="401" w:type="pct"/>
                  <w:vMerge w:val="restart"/>
                  <w:tcBorders>
                    <w:top w:val="single" w:color="auto" w:sz="4" w:space="0"/>
                    <w:left w:val="nil"/>
                    <w:bottom w:val="single" w:color="auto" w:sz="4" w:space="0"/>
                    <w:right w:val="single" w:color="auto" w:sz="4" w:space="0"/>
                  </w:tcBorders>
                  <w:noWrap w:val="0"/>
                  <w:vAlign w:val="center"/>
                </w:tcPr>
                <w:p w14:paraId="740A576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废水排放量/（万t/a）</w:t>
                  </w:r>
                </w:p>
              </w:tc>
              <w:tc>
                <w:tcPr>
                  <w:tcW w:w="408" w:type="pct"/>
                  <w:vMerge w:val="restart"/>
                  <w:tcBorders>
                    <w:top w:val="single" w:color="auto" w:sz="4" w:space="0"/>
                    <w:left w:val="nil"/>
                    <w:bottom w:val="single" w:color="auto" w:sz="4" w:space="0"/>
                    <w:right w:val="single" w:color="auto" w:sz="4" w:space="0"/>
                  </w:tcBorders>
                  <w:noWrap w:val="0"/>
                  <w:vAlign w:val="center"/>
                </w:tcPr>
                <w:p w14:paraId="282F347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排放去向</w:t>
                  </w:r>
                </w:p>
              </w:tc>
              <w:tc>
                <w:tcPr>
                  <w:tcW w:w="505" w:type="pct"/>
                  <w:vMerge w:val="restart"/>
                  <w:tcBorders>
                    <w:top w:val="single" w:color="auto" w:sz="4" w:space="0"/>
                    <w:left w:val="nil"/>
                    <w:bottom w:val="single" w:color="auto" w:sz="4" w:space="0"/>
                    <w:right w:val="single" w:color="auto" w:sz="4" w:space="0"/>
                  </w:tcBorders>
                  <w:noWrap w:val="0"/>
                  <w:vAlign w:val="center"/>
                </w:tcPr>
                <w:p w14:paraId="45DF8DA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排放规律</w:t>
                  </w:r>
                </w:p>
              </w:tc>
              <w:tc>
                <w:tcPr>
                  <w:tcW w:w="358" w:type="pct"/>
                  <w:vMerge w:val="restart"/>
                  <w:tcBorders>
                    <w:top w:val="single" w:color="auto" w:sz="4" w:space="0"/>
                    <w:left w:val="nil"/>
                    <w:bottom w:val="single" w:color="auto" w:sz="4" w:space="0"/>
                    <w:right w:val="single" w:color="auto" w:sz="4" w:space="0"/>
                  </w:tcBorders>
                  <w:noWrap w:val="0"/>
                  <w:vAlign w:val="center"/>
                </w:tcPr>
                <w:p w14:paraId="078B712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间歇排放时段</w:t>
                  </w:r>
                </w:p>
              </w:tc>
              <w:tc>
                <w:tcPr>
                  <w:tcW w:w="1299" w:type="pct"/>
                  <w:gridSpan w:val="3"/>
                  <w:tcBorders>
                    <w:top w:val="single" w:color="auto" w:sz="4" w:space="0"/>
                    <w:left w:val="nil"/>
                    <w:bottom w:val="single" w:color="auto" w:sz="4" w:space="0"/>
                    <w:right w:val="single" w:color="auto" w:sz="4" w:space="0"/>
                  </w:tcBorders>
                  <w:noWrap w:val="0"/>
                  <w:vAlign w:val="center"/>
                </w:tcPr>
                <w:p w14:paraId="333891D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受纳污水处理厂信息</w:t>
                  </w:r>
                </w:p>
              </w:tc>
            </w:tr>
            <w:tr w14:paraId="55CB7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Merge w:val="continue"/>
                  <w:tcBorders>
                    <w:top w:val="single" w:color="auto" w:sz="4" w:space="0"/>
                    <w:left w:val="single" w:color="auto" w:sz="4" w:space="0"/>
                    <w:bottom w:val="single" w:color="auto" w:sz="4" w:space="0"/>
                    <w:right w:val="single" w:color="auto" w:sz="4" w:space="0"/>
                  </w:tcBorders>
                  <w:noWrap w:val="0"/>
                  <w:vAlign w:val="center"/>
                </w:tcPr>
                <w:p w14:paraId="6FC11F4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487" w:type="pct"/>
                  <w:vMerge w:val="continue"/>
                  <w:tcBorders>
                    <w:top w:val="single" w:color="auto" w:sz="4" w:space="0"/>
                    <w:left w:val="nil"/>
                    <w:bottom w:val="single" w:color="auto" w:sz="4" w:space="0"/>
                    <w:right w:val="single" w:color="auto" w:sz="4" w:space="0"/>
                  </w:tcBorders>
                  <w:noWrap w:val="0"/>
                  <w:vAlign w:val="center"/>
                </w:tcPr>
                <w:p w14:paraId="3E8761C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614" w:type="pct"/>
                  <w:tcBorders>
                    <w:top w:val="single" w:color="auto" w:sz="4" w:space="0"/>
                    <w:left w:val="nil"/>
                    <w:bottom w:val="single" w:color="auto" w:sz="4" w:space="0"/>
                    <w:right w:val="single" w:color="auto" w:sz="4" w:space="0"/>
                  </w:tcBorders>
                  <w:noWrap w:val="0"/>
                  <w:vAlign w:val="center"/>
                </w:tcPr>
                <w:p w14:paraId="3384149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经度</w:t>
                  </w:r>
                </w:p>
              </w:tc>
              <w:tc>
                <w:tcPr>
                  <w:tcW w:w="680" w:type="pct"/>
                  <w:tcBorders>
                    <w:top w:val="single" w:color="auto" w:sz="4" w:space="0"/>
                    <w:left w:val="nil"/>
                    <w:bottom w:val="single" w:color="auto" w:sz="4" w:space="0"/>
                    <w:right w:val="single" w:color="auto" w:sz="4" w:space="0"/>
                  </w:tcBorders>
                  <w:noWrap w:val="0"/>
                  <w:vAlign w:val="center"/>
                </w:tcPr>
                <w:p w14:paraId="0F316D9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纬度</w:t>
                  </w:r>
                </w:p>
              </w:tc>
              <w:tc>
                <w:tcPr>
                  <w:tcW w:w="401" w:type="pct"/>
                  <w:vMerge w:val="continue"/>
                  <w:tcBorders>
                    <w:top w:val="single" w:color="auto" w:sz="4" w:space="0"/>
                    <w:left w:val="nil"/>
                    <w:bottom w:val="single" w:color="auto" w:sz="4" w:space="0"/>
                    <w:right w:val="single" w:color="auto" w:sz="4" w:space="0"/>
                  </w:tcBorders>
                  <w:noWrap w:val="0"/>
                  <w:vAlign w:val="center"/>
                </w:tcPr>
                <w:p w14:paraId="0257EE8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408" w:type="pct"/>
                  <w:vMerge w:val="continue"/>
                  <w:tcBorders>
                    <w:top w:val="single" w:color="auto" w:sz="4" w:space="0"/>
                    <w:left w:val="nil"/>
                    <w:bottom w:val="single" w:color="auto" w:sz="4" w:space="0"/>
                    <w:right w:val="single" w:color="auto" w:sz="4" w:space="0"/>
                  </w:tcBorders>
                  <w:noWrap w:val="0"/>
                  <w:vAlign w:val="center"/>
                </w:tcPr>
                <w:p w14:paraId="60BC654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p>
              </w:tc>
              <w:tc>
                <w:tcPr>
                  <w:tcW w:w="505" w:type="pct"/>
                  <w:vMerge w:val="continue"/>
                  <w:tcBorders>
                    <w:top w:val="single" w:color="auto" w:sz="4" w:space="0"/>
                    <w:left w:val="nil"/>
                    <w:bottom w:val="single" w:color="auto" w:sz="4" w:space="0"/>
                    <w:right w:val="single" w:color="auto" w:sz="4" w:space="0"/>
                  </w:tcBorders>
                  <w:noWrap w:val="0"/>
                  <w:vAlign w:val="center"/>
                </w:tcPr>
                <w:p w14:paraId="6076EBC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p>
              </w:tc>
              <w:tc>
                <w:tcPr>
                  <w:tcW w:w="358" w:type="pct"/>
                  <w:vMerge w:val="continue"/>
                  <w:tcBorders>
                    <w:top w:val="single" w:color="auto" w:sz="4" w:space="0"/>
                    <w:left w:val="nil"/>
                    <w:bottom w:val="single" w:color="auto" w:sz="4" w:space="0"/>
                    <w:right w:val="single" w:color="auto" w:sz="4" w:space="0"/>
                  </w:tcBorders>
                  <w:noWrap w:val="0"/>
                  <w:vAlign w:val="center"/>
                </w:tcPr>
                <w:p w14:paraId="55A04DD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p>
              </w:tc>
              <w:tc>
                <w:tcPr>
                  <w:tcW w:w="245" w:type="pct"/>
                  <w:tcBorders>
                    <w:top w:val="single" w:color="auto" w:sz="4" w:space="0"/>
                    <w:left w:val="nil"/>
                    <w:bottom w:val="single" w:color="auto" w:sz="4" w:space="0"/>
                    <w:right w:val="single" w:color="auto" w:sz="4" w:space="0"/>
                  </w:tcBorders>
                  <w:noWrap w:val="0"/>
                  <w:vAlign w:val="center"/>
                </w:tcPr>
                <w:p w14:paraId="58EFE71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名称b</w:t>
                  </w:r>
                </w:p>
              </w:tc>
              <w:tc>
                <w:tcPr>
                  <w:tcW w:w="449" w:type="pct"/>
                  <w:tcBorders>
                    <w:top w:val="single" w:color="auto" w:sz="4" w:space="0"/>
                    <w:left w:val="nil"/>
                    <w:bottom w:val="single" w:color="auto" w:sz="4" w:space="0"/>
                    <w:right w:val="single" w:color="auto" w:sz="4" w:space="0"/>
                  </w:tcBorders>
                  <w:noWrap w:val="0"/>
                  <w:vAlign w:val="center"/>
                </w:tcPr>
                <w:p w14:paraId="4A20E52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污染物种类</w:t>
                  </w:r>
                </w:p>
              </w:tc>
              <w:tc>
                <w:tcPr>
                  <w:tcW w:w="604" w:type="pct"/>
                  <w:tcBorders>
                    <w:top w:val="single" w:color="auto" w:sz="4" w:space="0"/>
                    <w:left w:val="nil"/>
                    <w:bottom w:val="single" w:color="auto" w:sz="4" w:space="0"/>
                    <w:right w:val="single" w:color="auto" w:sz="4" w:space="0"/>
                  </w:tcBorders>
                  <w:noWrap w:val="0"/>
                  <w:vAlign w:val="center"/>
                </w:tcPr>
                <w:p w14:paraId="15242D3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国家或地方污染物排放标准浓度/（mg/L）</w:t>
                  </w:r>
                </w:p>
              </w:tc>
            </w:tr>
            <w:tr w14:paraId="0E621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Merge w:val="restart"/>
                  <w:tcBorders>
                    <w:top w:val="nil"/>
                    <w:left w:val="single" w:color="auto" w:sz="4" w:space="0"/>
                    <w:right w:val="single" w:color="auto" w:sz="4" w:space="0"/>
                  </w:tcBorders>
                  <w:noWrap w:val="0"/>
                  <w:vAlign w:val="center"/>
                </w:tcPr>
                <w:p w14:paraId="7F1BF45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487" w:type="pct"/>
                  <w:vMerge w:val="restart"/>
                  <w:tcBorders>
                    <w:top w:val="nil"/>
                    <w:left w:val="nil"/>
                    <w:right w:val="single" w:color="auto" w:sz="4" w:space="0"/>
                  </w:tcBorders>
                  <w:noWrap w:val="0"/>
                  <w:vAlign w:val="center"/>
                </w:tcPr>
                <w:p w14:paraId="112314B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DW001</w:t>
                  </w:r>
                </w:p>
              </w:tc>
              <w:tc>
                <w:tcPr>
                  <w:tcW w:w="614" w:type="pct"/>
                  <w:vMerge w:val="restart"/>
                  <w:tcBorders>
                    <w:top w:val="nil"/>
                    <w:left w:val="nil"/>
                    <w:right w:val="single" w:color="auto" w:sz="4" w:space="0"/>
                  </w:tcBorders>
                  <w:noWrap w:val="0"/>
                  <w:vAlign w:val="center"/>
                </w:tcPr>
                <w:p w14:paraId="5589FFC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109°43′10.631″</w:t>
                  </w:r>
                </w:p>
              </w:tc>
              <w:tc>
                <w:tcPr>
                  <w:tcW w:w="680" w:type="pct"/>
                  <w:vMerge w:val="restart"/>
                  <w:tcBorders>
                    <w:top w:val="nil"/>
                    <w:left w:val="nil"/>
                    <w:right w:val="single" w:color="auto" w:sz="4" w:space="0"/>
                  </w:tcBorders>
                  <w:noWrap w:val="0"/>
                  <w:vAlign w:val="center"/>
                </w:tcPr>
                <w:p w14:paraId="6B2F907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24°29′11.016″</w:t>
                  </w:r>
                </w:p>
              </w:tc>
              <w:tc>
                <w:tcPr>
                  <w:tcW w:w="401" w:type="pct"/>
                  <w:vMerge w:val="restart"/>
                  <w:tcBorders>
                    <w:top w:val="nil"/>
                    <w:left w:val="nil"/>
                    <w:right w:val="single" w:color="auto" w:sz="4" w:space="0"/>
                  </w:tcBorders>
                  <w:noWrap w:val="0"/>
                  <w:vAlign w:val="center"/>
                </w:tcPr>
                <w:p w14:paraId="298E8C3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0.072</w:t>
                  </w:r>
                </w:p>
              </w:tc>
              <w:tc>
                <w:tcPr>
                  <w:tcW w:w="408" w:type="pct"/>
                  <w:vMerge w:val="restart"/>
                  <w:tcBorders>
                    <w:top w:val="nil"/>
                    <w:left w:val="nil"/>
                    <w:right w:val="single" w:color="auto" w:sz="4" w:space="0"/>
                  </w:tcBorders>
                  <w:noWrap w:val="0"/>
                  <w:vAlign w:val="center"/>
                </w:tcPr>
                <w:p w14:paraId="5B66FA5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鹿寨县城第二污水处理厂</w:t>
                  </w:r>
                </w:p>
              </w:tc>
              <w:tc>
                <w:tcPr>
                  <w:tcW w:w="505" w:type="pct"/>
                  <w:vMerge w:val="restart"/>
                  <w:tcBorders>
                    <w:top w:val="nil"/>
                    <w:left w:val="nil"/>
                    <w:right w:val="single" w:color="auto" w:sz="4" w:space="0"/>
                  </w:tcBorders>
                  <w:noWrap w:val="0"/>
                  <w:vAlign w:val="center"/>
                </w:tcPr>
                <w:p w14:paraId="7A42E98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间断排放，排放期间流量不稳定，但有周期性规律</w:t>
                  </w:r>
                </w:p>
              </w:tc>
              <w:tc>
                <w:tcPr>
                  <w:tcW w:w="358" w:type="pct"/>
                  <w:vMerge w:val="restart"/>
                  <w:tcBorders>
                    <w:top w:val="nil"/>
                    <w:left w:val="nil"/>
                    <w:right w:val="single" w:color="auto" w:sz="4" w:space="0"/>
                  </w:tcBorders>
                  <w:noWrap w:val="0"/>
                  <w:vAlign w:val="center"/>
                </w:tcPr>
                <w:p w14:paraId="6CFEFA6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245" w:type="pct"/>
                  <w:vMerge w:val="restart"/>
                  <w:tcBorders>
                    <w:top w:val="nil"/>
                    <w:left w:val="nil"/>
                    <w:right w:val="single" w:color="auto" w:sz="4" w:space="0"/>
                  </w:tcBorders>
                  <w:noWrap w:val="0"/>
                  <w:vAlign w:val="center"/>
                </w:tcPr>
                <w:p w14:paraId="239EE6C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鹿寨县城第二污水处理厂</w:t>
                  </w:r>
                </w:p>
              </w:tc>
              <w:tc>
                <w:tcPr>
                  <w:tcW w:w="449" w:type="pct"/>
                  <w:tcBorders>
                    <w:top w:val="single" w:color="auto" w:sz="4" w:space="0"/>
                    <w:left w:val="nil"/>
                    <w:bottom w:val="single" w:color="auto" w:sz="4" w:space="0"/>
                    <w:right w:val="single" w:color="auto" w:sz="4" w:space="0"/>
                  </w:tcBorders>
                  <w:noWrap w:val="0"/>
                  <w:vAlign w:val="center"/>
                </w:tcPr>
                <w:p w14:paraId="5CE6607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COD</w:t>
                  </w:r>
                </w:p>
              </w:tc>
              <w:tc>
                <w:tcPr>
                  <w:tcW w:w="604" w:type="pct"/>
                  <w:tcBorders>
                    <w:top w:val="single" w:color="auto" w:sz="4" w:space="0"/>
                    <w:left w:val="nil"/>
                    <w:bottom w:val="single" w:color="auto" w:sz="4" w:space="0"/>
                    <w:right w:val="single" w:color="auto" w:sz="4" w:space="0"/>
                  </w:tcBorders>
                  <w:noWrap w:val="0"/>
                  <w:vAlign w:val="center"/>
                </w:tcPr>
                <w:p w14:paraId="10B54CC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50</w:t>
                  </w:r>
                </w:p>
              </w:tc>
            </w:tr>
            <w:tr w14:paraId="68BC3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Merge w:val="continue"/>
                  <w:tcBorders>
                    <w:left w:val="single" w:color="auto" w:sz="4" w:space="0"/>
                    <w:right w:val="single" w:color="auto" w:sz="4" w:space="0"/>
                  </w:tcBorders>
                  <w:noWrap w:val="0"/>
                  <w:vAlign w:val="center"/>
                </w:tcPr>
                <w:p w14:paraId="29F9FB2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487" w:type="pct"/>
                  <w:vMerge w:val="continue"/>
                  <w:tcBorders>
                    <w:left w:val="nil"/>
                    <w:right w:val="single" w:color="auto" w:sz="4" w:space="0"/>
                  </w:tcBorders>
                  <w:noWrap w:val="0"/>
                  <w:vAlign w:val="center"/>
                </w:tcPr>
                <w:p w14:paraId="75A6A78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614" w:type="pct"/>
                  <w:vMerge w:val="continue"/>
                  <w:tcBorders>
                    <w:left w:val="nil"/>
                    <w:right w:val="single" w:color="auto" w:sz="4" w:space="0"/>
                  </w:tcBorders>
                  <w:noWrap w:val="0"/>
                  <w:vAlign w:val="center"/>
                </w:tcPr>
                <w:p w14:paraId="75139A6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680" w:type="pct"/>
                  <w:vMerge w:val="continue"/>
                  <w:tcBorders>
                    <w:left w:val="nil"/>
                    <w:right w:val="single" w:color="auto" w:sz="4" w:space="0"/>
                  </w:tcBorders>
                  <w:noWrap w:val="0"/>
                  <w:vAlign w:val="center"/>
                </w:tcPr>
                <w:p w14:paraId="2561C07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401" w:type="pct"/>
                  <w:vMerge w:val="continue"/>
                  <w:tcBorders>
                    <w:left w:val="nil"/>
                    <w:right w:val="single" w:color="auto" w:sz="4" w:space="0"/>
                  </w:tcBorders>
                  <w:noWrap w:val="0"/>
                  <w:vAlign w:val="center"/>
                </w:tcPr>
                <w:p w14:paraId="491FA33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408" w:type="pct"/>
                  <w:vMerge w:val="continue"/>
                  <w:tcBorders>
                    <w:left w:val="nil"/>
                    <w:right w:val="single" w:color="auto" w:sz="4" w:space="0"/>
                  </w:tcBorders>
                  <w:noWrap w:val="0"/>
                  <w:vAlign w:val="center"/>
                </w:tcPr>
                <w:p w14:paraId="22859DB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05" w:type="pct"/>
                  <w:vMerge w:val="continue"/>
                  <w:tcBorders>
                    <w:left w:val="nil"/>
                    <w:right w:val="single" w:color="auto" w:sz="4" w:space="0"/>
                  </w:tcBorders>
                  <w:noWrap w:val="0"/>
                  <w:vAlign w:val="center"/>
                </w:tcPr>
                <w:p w14:paraId="0A6F36C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358" w:type="pct"/>
                  <w:vMerge w:val="continue"/>
                  <w:tcBorders>
                    <w:left w:val="nil"/>
                    <w:right w:val="single" w:color="auto" w:sz="4" w:space="0"/>
                  </w:tcBorders>
                  <w:noWrap w:val="0"/>
                  <w:vAlign w:val="center"/>
                </w:tcPr>
                <w:p w14:paraId="2745723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45" w:type="pct"/>
                  <w:vMerge w:val="continue"/>
                  <w:tcBorders>
                    <w:left w:val="nil"/>
                    <w:right w:val="single" w:color="auto" w:sz="4" w:space="0"/>
                  </w:tcBorders>
                  <w:noWrap w:val="0"/>
                  <w:vAlign w:val="center"/>
                </w:tcPr>
                <w:p w14:paraId="1AC3548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449" w:type="pct"/>
                  <w:tcBorders>
                    <w:top w:val="single" w:color="auto" w:sz="4" w:space="0"/>
                    <w:left w:val="nil"/>
                    <w:bottom w:val="single" w:color="auto" w:sz="4" w:space="0"/>
                    <w:right w:val="single" w:color="auto" w:sz="4" w:space="0"/>
                  </w:tcBorders>
                  <w:noWrap w:val="0"/>
                  <w:vAlign w:val="center"/>
                </w:tcPr>
                <w:p w14:paraId="34AC975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BOD</w:t>
                  </w:r>
                  <w:r>
                    <w:rPr>
                      <w:rFonts w:hint="default" w:ascii="Times New Roman" w:hAnsi="Times New Roman" w:eastAsia="宋体" w:cs="Times New Roman"/>
                      <w:b w:val="0"/>
                      <w:bCs w:val="0"/>
                      <w:color w:val="auto"/>
                      <w:spacing w:val="0"/>
                      <w:w w:val="100"/>
                      <w:position w:val="0"/>
                      <w:sz w:val="21"/>
                      <w:szCs w:val="21"/>
                      <w:vertAlign w:val="subscript"/>
                      <w:lang w:val="en-US" w:eastAsia="zh-CN"/>
                    </w:rPr>
                    <w:t>5</w:t>
                  </w:r>
                </w:p>
              </w:tc>
              <w:tc>
                <w:tcPr>
                  <w:tcW w:w="604" w:type="pct"/>
                  <w:tcBorders>
                    <w:top w:val="single" w:color="auto" w:sz="4" w:space="0"/>
                    <w:left w:val="nil"/>
                    <w:bottom w:val="single" w:color="auto" w:sz="4" w:space="0"/>
                    <w:right w:val="single" w:color="auto" w:sz="4" w:space="0"/>
                  </w:tcBorders>
                  <w:noWrap w:val="0"/>
                  <w:vAlign w:val="center"/>
                </w:tcPr>
                <w:p w14:paraId="4916051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w:t>
                  </w:r>
                </w:p>
              </w:tc>
            </w:tr>
            <w:tr w14:paraId="4DA55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Merge w:val="continue"/>
                  <w:tcBorders>
                    <w:left w:val="single" w:color="auto" w:sz="4" w:space="0"/>
                    <w:right w:val="single" w:color="auto" w:sz="4" w:space="0"/>
                  </w:tcBorders>
                  <w:noWrap w:val="0"/>
                  <w:vAlign w:val="center"/>
                </w:tcPr>
                <w:p w14:paraId="393D1CE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487" w:type="pct"/>
                  <w:vMerge w:val="continue"/>
                  <w:tcBorders>
                    <w:left w:val="nil"/>
                    <w:right w:val="single" w:color="auto" w:sz="4" w:space="0"/>
                  </w:tcBorders>
                  <w:noWrap w:val="0"/>
                  <w:vAlign w:val="center"/>
                </w:tcPr>
                <w:p w14:paraId="4CF6639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614" w:type="pct"/>
                  <w:vMerge w:val="continue"/>
                  <w:tcBorders>
                    <w:left w:val="nil"/>
                    <w:right w:val="single" w:color="auto" w:sz="4" w:space="0"/>
                  </w:tcBorders>
                  <w:noWrap w:val="0"/>
                  <w:vAlign w:val="center"/>
                </w:tcPr>
                <w:p w14:paraId="7E6C64B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680" w:type="pct"/>
                  <w:vMerge w:val="continue"/>
                  <w:tcBorders>
                    <w:left w:val="nil"/>
                    <w:right w:val="single" w:color="auto" w:sz="4" w:space="0"/>
                  </w:tcBorders>
                  <w:noWrap w:val="0"/>
                  <w:vAlign w:val="center"/>
                </w:tcPr>
                <w:p w14:paraId="2C2BD89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401" w:type="pct"/>
                  <w:vMerge w:val="continue"/>
                  <w:tcBorders>
                    <w:left w:val="nil"/>
                    <w:right w:val="single" w:color="auto" w:sz="4" w:space="0"/>
                  </w:tcBorders>
                  <w:noWrap w:val="0"/>
                  <w:vAlign w:val="center"/>
                </w:tcPr>
                <w:p w14:paraId="00F773B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408" w:type="pct"/>
                  <w:vMerge w:val="continue"/>
                  <w:tcBorders>
                    <w:left w:val="nil"/>
                    <w:right w:val="single" w:color="auto" w:sz="4" w:space="0"/>
                  </w:tcBorders>
                  <w:noWrap w:val="0"/>
                  <w:vAlign w:val="center"/>
                </w:tcPr>
                <w:p w14:paraId="41EB9F1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05" w:type="pct"/>
                  <w:vMerge w:val="continue"/>
                  <w:tcBorders>
                    <w:left w:val="nil"/>
                    <w:right w:val="single" w:color="auto" w:sz="4" w:space="0"/>
                  </w:tcBorders>
                  <w:noWrap w:val="0"/>
                  <w:vAlign w:val="center"/>
                </w:tcPr>
                <w:p w14:paraId="747E92E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358" w:type="pct"/>
                  <w:vMerge w:val="continue"/>
                  <w:tcBorders>
                    <w:left w:val="nil"/>
                    <w:right w:val="single" w:color="auto" w:sz="4" w:space="0"/>
                  </w:tcBorders>
                  <w:noWrap w:val="0"/>
                  <w:vAlign w:val="center"/>
                </w:tcPr>
                <w:p w14:paraId="22E526B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45" w:type="pct"/>
                  <w:vMerge w:val="continue"/>
                  <w:tcBorders>
                    <w:left w:val="nil"/>
                    <w:right w:val="single" w:color="auto" w:sz="4" w:space="0"/>
                  </w:tcBorders>
                  <w:noWrap w:val="0"/>
                  <w:vAlign w:val="center"/>
                </w:tcPr>
                <w:p w14:paraId="6F20625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449" w:type="pct"/>
                  <w:tcBorders>
                    <w:top w:val="single" w:color="auto" w:sz="4" w:space="0"/>
                    <w:left w:val="nil"/>
                    <w:bottom w:val="single" w:color="auto" w:sz="4" w:space="0"/>
                    <w:right w:val="single" w:color="auto" w:sz="4" w:space="0"/>
                  </w:tcBorders>
                  <w:noWrap w:val="0"/>
                  <w:vAlign w:val="center"/>
                </w:tcPr>
                <w:p w14:paraId="3170D80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SS</w:t>
                  </w:r>
                </w:p>
              </w:tc>
              <w:tc>
                <w:tcPr>
                  <w:tcW w:w="604" w:type="pct"/>
                  <w:tcBorders>
                    <w:top w:val="single" w:color="auto" w:sz="4" w:space="0"/>
                    <w:left w:val="nil"/>
                    <w:bottom w:val="single" w:color="auto" w:sz="4" w:space="0"/>
                    <w:right w:val="single" w:color="auto" w:sz="4" w:space="0"/>
                  </w:tcBorders>
                  <w:noWrap w:val="0"/>
                  <w:vAlign w:val="center"/>
                </w:tcPr>
                <w:p w14:paraId="68D6FD6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w:t>
                  </w:r>
                </w:p>
              </w:tc>
            </w:tr>
            <w:tr w14:paraId="7B991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Merge w:val="continue"/>
                  <w:tcBorders>
                    <w:left w:val="single" w:color="auto" w:sz="4" w:space="0"/>
                    <w:right w:val="single" w:color="auto" w:sz="4" w:space="0"/>
                  </w:tcBorders>
                  <w:noWrap w:val="0"/>
                  <w:vAlign w:val="center"/>
                </w:tcPr>
                <w:p w14:paraId="68F2C42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487" w:type="pct"/>
                  <w:vMerge w:val="continue"/>
                  <w:tcBorders>
                    <w:left w:val="nil"/>
                    <w:right w:val="single" w:color="auto" w:sz="4" w:space="0"/>
                  </w:tcBorders>
                  <w:noWrap w:val="0"/>
                  <w:vAlign w:val="center"/>
                </w:tcPr>
                <w:p w14:paraId="4DE23D1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614" w:type="pct"/>
                  <w:vMerge w:val="continue"/>
                  <w:tcBorders>
                    <w:left w:val="nil"/>
                    <w:right w:val="single" w:color="auto" w:sz="4" w:space="0"/>
                  </w:tcBorders>
                  <w:noWrap w:val="0"/>
                  <w:vAlign w:val="center"/>
                </w:tcPr>
                <w:p w14:paraId="5DFD5B8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680" w:type="pct"/>
                  <w:vMerge w:val="continue"/>
                  <w:tcBorders>
                    <w:left w:val="nil"/>
                    <w:right w:val="single" w:color="auto" w:sz="4" w:space="0"/>
                  </w:tcBorders>
                  <w:noWrap w:val="0"/>
                  <w:vAlign w:val="center"/>
                </w:tcPr>
                <w:p w14:paraId="3895AB1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401" w:type="pct"/>
                  <w:vMerge w:val="continue"/>
                  <w:tcBorders>
                    <w:left w:val="nil"/>
                    <w:right w:val="single" w:color="auto" w:sz="4" w:space="0"/>
                  </w:tcBorders>
                  <w:noWrap w:val="0"/>
                  <w:vAlign w:val="center"/>
                </w:tcPr>
                <w:p w14:paraId="4638085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408" w:type="pct"/>
                  <w:vMerge w:val="continue"/>
                  <w:tcBorders>
                    <w:left w:val="nil"/>
                    <w:right w:val="single" w:color="auto" w:sz="4" w:space="0"/>
                  </w:tcBorders>
                  <w:noWrap w:val="0"/>
                  <w:vAlign w:val="center"/>
                </w:tcPr>
                <w:p w14:paraId="57DAF33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05" w:type="pct"/>
                  <w:vMerge w:val="continue"/>
                  <w:tcBorders>
                    <w:left w:val="nil"/>
                    <w:right w:val="single" w:color="auto" w:sz="4" w:space="0"/>
                  </w:tcBorders>
                  <w:noWrap w:val="0"/>
                  <w:vAlign w:val="center"/>
                </w:tcPr>
                <w:p w14:paraId="50845D5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358" w:type="pct"/>
                  <w:vMerge w:val="continue"/>
                  <w:tcBorders>
                    <w:left w:val="nil"/>
                    <w:right w:val="single" w:color="auto" w:sz="4" w:space="0"/>
                  </w:tcBorders>
                  <w:noWrap w:val="0"/>
                  <w:vAlign w:val="center"/>
                </w:tcPr>
                <w:p w14:paraId="10FA10F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45" w:type="pct"/>
                  <w:vMerge w:val="continue"/>
                  <w:tcBorders>
                    <w:left w:val="nil"/>
                    <w:right w:val="single" w:color="auto" w:sz="4" w:space="0"/>
                  </w:tcBorders>
                  <w:noWrap w:val="0"/>
                  <w:vAlign w:val="center"/>
                </w:tcPr>
                <w:p w14:paraId="1E620AD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449" w:type="pct"/>
                  <w:tcBorders>
                    <w:top w:val="single" w:color="auto" w:sz="4" w:space="0"/>
                    <w:left w:val="nil"/>
                    <w:bottom w:val="single" w:color="auto" w:sz="4" w:space="0"/>
                    <w:right w:val="single" w:color="auto" w:sz="4" w:space="0"/>
                  </w:tcBorders>
                  <w:noWrap w:val="0"/>
                  <w:vAlign w:val="center"/>
                </w:tcPr>
                <w:p w14:paraId="31A6C89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NH</w:t>
                  </w:r>
                  <w:r>
                    <w:rPr>
                      <w:rFonts w:hint="default" w:ascii="Times New Roman" w:hAnsi="Times New Roman" w:eastAsia="宋体" w:cs="Times New Roman"/>
                      <w:b w:val="0"/>
                      <w:bCs w:val="0"/>
                      <w:color w:val="auto"/>
                      <w:spacing w:val="0"/>
                      <w:w w:val="100"/>
                      <w:position w:val="0"/>
                      <w:sz w:val="21"/>
                      <w:szCs w:val="21"/>
                      <w:vertAlign w:val="subscript"/>
                      <w:lang w:val="en-US" w:eastAsia="zh-CN"/>
                    </w:rPr>
                    <w:t>3</w:t>
                  </w:r>
                  <w:r>
                    <w:rPr>
                      <w:rFonts w:hint="default" w:ascii="Times New Roman" w:hAnsi="Times New Roman" w:eastAsia="宋体" w:cs="Times New Roman"/>
                      <w:b w:val="0"/>
                      <w:bCs w:val="0"/>
                      <w:color w:val="auto"/>
                      <w:spacing w:val="0"/>
                      <w:w w:val="100"/>
                      <w:position w:val="0"/>
                      <w:sz w:val="21"/>
                      <w:szCs w:val="21"/>
                      <w:lang w:val="en-US" w:eastAsia="zh-CN"/>
                    </w:rPr>
                    <w:t>-N</w:t>
                  </w:r>
                </w:p>
              </w:tc>
              <w:tc>
                <w:tcPr>
                  <w:tcW w:w="604" w:type="pct"/>
                  <w:tcBorders>
                    <w:top w:val="single" w:color="auto" w:sz="4" w:space="0"/>
                    <w:left w:val="nil"/>
                    <w:bottom w:val="single" w:color="auto" w:sz="4" w:space="0"/>
                    <w:right w:val="single" w:color="auto" w:sz="4" w:space="0"/>
                  </w:tcBorders>
                  <w:noWrap w:val="0"/>
                  <w:vAlign w:val="center"/>
                </w:tcPr>
                <w:p w14:paraId="44ABA5F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w:t>
                  </w:r>
                </w:p>
              </w:tc>
            </w:tr>
            <w:tr w14:paraId="31D8B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11"/>
                  <w:tcBorders>
                    <w:top w:val="single" w:color="auto" w:sz="4" w:space="0"/>
                    <w:left w:val="single" w:color="auto" w:sz="4" w:space="0"/>
                    <w:bottom w:val="single" w:color="auto" w:sz="4" w:space="0"/>
                    <w:right w:val="single" w:color="auto" w:sz="4" w:space="0"/>
                  </w:tcBorders>
                  <w:noWrap w:val="0"/>
                  <w:vAlign w:val="center"/>
                </w:tcPr>
                <w:p w14:paraId="254FD89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a 对于排至厂外公共污水处理系统的排放口，指废水排出厂界处经纬度坐标。</w:t>
                  </w:r>
                </w:p>
                <w:p w14:paraId="592D277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b 指厂外城镇或工业污水集中处理设施名称，如×××生活污水处理厂、×××化工园区污水处理厂等。</w:t>
                  </w:r>
                </w:p>
                <w:p w14:paraId="2C08DE6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val="0"/>
                      <w:bCs w:val="0"/>
                      <w:color w:val="auto"/>
                      <w:spacing w:val="0"/>
                      <w:w w:val="100"/>
                      <w:position w:val="0"/>
                      <w:sz w:val="21"/>
                      <w:szCs w:val="21"/>
                      <w:lang w:val="en-US" w:eastAsia="zh-CN"/>
                    </w:rPr>
                    <w:t>b 指厂外城镇或工业污水集中处理设施名称，如×××生活污水处理厂、×××化工园区污水处理厂等。</w:t>
                  </w:r>
                </w:p>
              </w:tc>
            </w:tr>
          </w:tbl>
          <w:p w14:paraId="00394201">
            <w:pPr>
              <w:keepNext w:val="0"/>
              <w:keepLines w:val="0"/>
              <w:suppressLineNumbers w:val="0"/>
              <w:spacing w:before="0" w:beforeAutospacing="0" w:after="0" w:afterAutospacing="0" w:line="36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color w:val="auto"/>
                <w:spacing w:val="0"/>
                <w:w w:val="100"/>
                <w:kern w:val="0"/>
                <w:position w:val="0"/>
                <w:sz w:val="21"/>
                <w:szCs w:val="21"/>
              </w:rPr>
              <w:t>表4-</w:t>
            </w:r>
            <w:r>
              <w:rPr>
                <w:rFonts w:hint="default" w:ascii="Times New Roman" w:hAnsi="Times New Roman" w:eastAsia="宋体" w:cs="Times New Roman"/>
                <w:b/>
                <w:color w:val="auto"/>
                <w:spacing w:val="0"/>
                <w:w w:val="100"/>
                <w:kern w:val="0"/>
                <w:position w:val="0"/>
                <w:sz w:val="21"/>
                <w:szCs w:val="21"/>
                <w:lang w:val="en-US" w:eastAsia="zh-CN"/>
              </w:rPr>
              <w:t>8</w:t>
            </w:r>
            <w:r>
              <w:rPr>
                <w:rFonts w:hint="default" w:ascii="Times New Roman" w:hAnsi="Times New Roman" w:eastAsia="宋体" w:cs="Times New Roman"/>
                <w:b/>
                <w:color w:val="auto"/>
                <w:spacing w:val="0"/>
                <w:w w:val="100"/>
                <w:kern w:val="0"/>
                <w:position w:val="0"/>
                <w:sz w:val="21"/>
                <w:szCs w:val="21"/>
              </w:rPr>
              <w:t xml:space="preserve">  废水污染物排放执行标准表</w:t>
            </w:r>
          </w:p>
          <w:tbl>
            <w:tblPr>
              <w:tblStyle w:val="5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791"/>
              <w:gridCol w:w="1158"/>
              <w:gridCol w:w="5514"/>
            </w:tblGrid>
            <w:tr w14:paraId="2F087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283" w:type="pct"/>
                  <w:vMerge w:val="restart"/>
                  <w:tcBorders>
                    <w:top w:val="single" w:color="auto" w:sz="4" w:space="0"/>
                    <w:left w:val="single" w:color="auto" w:sz="4" w:space="0"/>
                    <w:bottom w:val="single" w:color="auto" w:sz="4" w:space="0"/>
                    <w:right w:val="single" w:color="auto" w:sz="4" w:space="0"/>
                  </w:tcBorders>
                  <w:noWrap w:val="0"/>
                  <w:vAlign w:val="center"/>
                </w:tcPr>
                <w:p w14:paraId="56D0AC5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序号</w:t>
                  </w:r>
                </w:p>
              </w:tc>
              <w:tc>
                <w:tcPr>
                  <w:tcW w:w="500" w:type="pct"/>
                  <w:vMerge w:val="restart"/>
                  <w:tcBorders>
                    <w:top w:val="single" w:color="auto" w:sz="4" w:space="0"/>
                    <w:left w:val="nil"/>
                    <w:bottom w:val="single" w:color="auto" w:sz="4" w:space="0"/>
                    <w:right w:val="single" w:color="auto" w:sz="4" w:space="0"/>
                  </w:tcBorders>
                  <w:noWrap w:val="0"/>
                  <w:vAlign w:val="center"/>
                </w:tcPr>
                <w:p w14:paraId="60E0DEB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排放口编号</w:t>
                  </w:r>
                </w:p>
              </w:tc>
              <w:tc>
                <w:tcPr>
                  <w:tcW w:w="732" w:type="pct"/>
                  <w:vMerge w:val="restart"/>
                  <w:tcBorders>
                    <w:top w:val="single" w:color="auto" w:sz="4" w:space="0"/>
                    <w:left w:val="nil"/>
                    <w:bottom w:val="single" w:color="auto" w:sz="4" w:space="0"/>
                    <w:right w:val="single" w:color="auto" w:sz="4" w:space="0"/>
                  </w:tcBorders>
                  <w:noWrap w:val="0"/>
                  <w:vAlign w:val="center"/>
                </w:tcPr>
                <w:p w14:paraId="267B3DD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污染物种类</w:t>
                  </w:r>
                </w:p>
              </w:tc>
              <w:tc>
                <w:tcPr>
                  <w:tcW w:w="3483" w:type="pct"/>
                  <w:tcBorders>
                    <w:top w:val="single" w:color="auto" w:sz="4" w:space="0"/>
                    <w:left w:val="nil"/>
                    <w:bottom w:val="single" w:color="auto" w:sz="4" w:space="0"/>
                    <w:right w:val="single" w:color="auto" w:sz="4" w:space="0"/>
                  </w:tcBorders>
                  <w:noWrap w:val="0"/>
                  <w:vAlign w:val="center"/>
                </w:tcPr>
                <w:p w14:paraId="372BCA6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国家或地方污染物排放标准及其他按规定商定的排放协议a</w:t>
                  </w:r>
                </w:p>
              </w:tc>
            </w:tr>
            <w:tr w14:paraId="3C30C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283" w:type="pct"/>
                  <w:vMerge w:val="continue"/>
                  <w:tcBorders>
                    <w:top w:val="single" w:color="auto" w:sz="4" w:space="0"/>
                    <w:left w:val="single" w:color="auto" w:sz="4" w:space="0"/>
                    <w:bottom w:val="single" w:color="auto" w:sz="4" w:space="0"/>
                    <w:right w:val="single" w:color="auto" w:sz="4" w:space="0"/>
                  </w:tcBorders>
                  <w:noWrap w:val="0"/>
                  <w:vAlign w:val="center"/>
                </w:tcPr>
                <w:p w14:paraId="5C8E725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00" w:type="pct"/>
                  <w:vMerge w:val="continue"/>
                  <w:tcBorders>
                    <w:top w:val="single" w:color="auto" w:sz="4" w:space="0"/>
                    <w:left w:val="nil"/>
                    <w:bottom w:val="single" w:color="auto" w:sz="4" w:space="0"/>
                    <w:right w:val="single" w:color="auto" w:sz="4" w:space="0"/>
                  </w:tcBorders>
                  <w:noWrap w:val="0"/>
                  <w:vAlign w:val="center"/>
                </w:tcPr>
                <w:p w14:paraId="44F55AF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732" w:type="pct"/>
                  <w:vMerge w:val="continue"/>
                  <w:tcBorders>
                    <w:top w:val="single" w:color="auto" w:sz="4" w:space="0"/>
                    <w:left w:val="nil"/>
                    <w:bottom w:val="single" w:color="auto" w:sz="4" w:space="0"/>
                    <w:right w:val="single" w:color="auto" w:sz="4" w:space="0"/>
                  </w:tcBorders>
                  <w:noWrap w:val="0"/>
                  <w:vAlign w:val="center"/>
                </w:tcPr>
                <w:p w14:paraId="7FB54F6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3483" w:type="pct"/>
                  <w:tcBorders>
                    <w:top w:val="single" w:color="auto" w:sz="4" w:space="0"/>
                    <w:left w:val="nil"/>
                    <w:bottom w:val="single" w:color="auto" w:sz="4" w:space="0"/>
                    <w:right w:val="single" w:color="auto" w:sz="4" w:space="0"/>
                  </w:tcBorders>
                  <w:noWrap w:val="0"/>
                  <w:vAlign w:val="center"/>
                </w:tcPr>
                <w:p w14:paraId="4358191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《污水综合排放标准》（GB8978-1996）三级标准</w:t>
                  </w:r>
                </w:p>
              </w:tc>
            </w:tr>
            <w:tr w14:paraId="34252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3" w:type="pct"/>
                  <w:vMerge w:val="restart"/>
                  <w:tcBorders>
                    <w:top w:val="nil"/>
                    <w:left w:val="single" w:color="auto" w:sz="4" w:space="0"/>
                    <w:right w:val="single" w:color="auto" w:sz="4" w:space="0"/>
                  </w:tcBorders>
                  <w:noWrap w:val="0"/>
                  <w:vAlign w:val="center"/>
                </w:tcPr>
                <w:p w14:paraId="64E0E9F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500" w:type="pct"/>
                  <w:vMerge w:val="restart"/>
                  <w:tcBorders>
                    <w:top w:val="nil"/>
                    <w:left w:val="nil"/>
                    <w:right w:val="single" w:color="auto" w:sz="4" w:space="0"/>
                  </w:tcBorders>
                  <w:noWrap w:val="0"/>
                  <w:vAlign w:val="center"/>
                </w:tcPr>
                <w:p w14:paraId="384CADA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DW001</w:t>
                  </w:r>
                </w:p>
              </w:tc>
              <w:tc>
                <w:tcPr>
                  <w:tcW w:w="732" w:type="pct"/>
                  <w:tcBorders>
                    <w:top w:val="single" w:color="auto" w:sz="4" w:space="0"/>
                    <w:left w:val="nil"/>
                    <w:bottom w:val="single" w:color="auto" w:sz="4" w:space="0"/>
                    <w:right w:val="single" w:color="auto" w:sz="4" w:space="0"/>
                  </w:tcBorders>
                  <w:noWrap w:val="0"/>
                  <w:vAlign w:val="center"/>
                </w:tcPr>
                <w:p w14:paraId="7709977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COD</w:t>
                  </w:r>
                </w:p>
              </w:tc>
              <w:tc>
                <w:tcPr>
                  <w:tcW w:w="3483" w:type="pct"/>
                  <w:tcBorders>
                    <w:top w:val="single" w:color="auto" w:sz="4" w:space="0"/>
                    <w:left w:val="nil"/>
                    <w:bottom w:val="single" w:color="auto" w:sz="4" w:space="0"/>
                    <w:right w:val="single" w:color="auto" w:sz="4" w:space="0"/>
                  </w:tcBorders>
                  <w:noWrap w:val="0"/>
                  <w:vAlign w:val="center"/>
                </w:tcPr>
                <w:p w14:paraId="5FE85AF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500mg/L</w:t>
                  </w:r>
                </w:p>
              </w:tc>
            </w:tr>
            <w:tr w14:paraId="593E8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3" w:type="pct"/>
                  <w:vMerge w:val="continue"/>
                  <w:tcBorders>
                    <w:left w:val="single" w:color="auto" w:sz="4" w:space="0"/>
                    <w:right w:val="single" w:color="auto" w:sz="4" w:space="0"/>
                  </w:tcBorders>
                  <w:noWrap w:val="0"/>
                  <w:vAlign w:val="center"/>
                </w:tcPr>
                <w:p w14:paraId="481351B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00" w:type="pct"/>
                  <w:vMerge w:val="continue"/>
                  <w:tcBorders>
                    <w:left w:val="nil"/>
                    <w:right w:val="single" w:color="auto" w:sz="4" w:space="0"/>
                  </w:tcBorders>
                  <w:noWrap w:val="0"/>
                  <w:vAlign w:val="center"/>
                </w:tcPr>
                <w:p w14:paraId="2A2963A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732" w:type="pct"/>
                  <w:tcBorders>
                    <w:top w:val="single" w:color="auto" w:sz="4" w:space="0"/>
                    <w:left w:val="nil"/>
                    <w:bottom w:val="single" w:color="auto" w:sz="4" w:space="0"/>
                    <w:right w:val="single" w:color="auto" w:sz="4" w:space="0"/>
                  </w:tcBorders>
                  <w:noWrap w:val="0"/>
                  <w:vAlign w:val="center"/>
                </w:tcPr>
                <w:p w14:paraId="771C048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BOB</w:t>
                  </w:r>
                  <w:r>
                    <w:rPr>
                      <w:rFonts w:hint="default" w:ascii="Times New Roman" w:hAnsi="Times New Roman" w:eastAsia="宋体" w:cs="Times New Roman"/>
                      <w:b w:val="0"/>
                      <w:bCs w:val="0"/>
                      <w:color w:val="auto"/>
                      <w:spacing w:val="0"/>
                      <w:w w:val="100"/>
                      <w:position w:val="0"/>
                      <w:sz w:val="21"/>
                      <w:szCs w:val="21"/>
                      <w:vertAlign w:val="subscript"/>
                      <w:lang w:val="en-US" w:eastAsia="zh-CN"/>
                    </w:rPr>
                    <w:t>5</w:t>
                  </w:r>
                </w:p>
              </w:tc>
              <w:tc>
                <w:tcPr>
                  <w:tcW w:w="3483" w:type="pct"/>
                  <w:tcBorders>
                    <w:top w:val="single" w:color="auto" w:sz="4" w:space="0"/>
                    <w:left w:val="nil"/>
                    <w:bottom w:val="single" w:color="auto" w:sz="4" w:space="0"/>
                    <w:right w:val="single" w:color="auto" w:sz="4" w:space="0"/>
                  </w:tcBorders>
                  <w:noWrap w:val="0"/>
                  <w:vAlign w:val="center"/>
                </w:tcPr>
                <w:p w14:paraId="1004142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300mg/L</w:t>
                  </w:r>
                </w:p>
              </w:tc>
            </w:tr>
            <w:tr w14:paraId="0940B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3" w:type="pct"/>
                  <w:vMerge w:val="continue"/>
                  <w:tcBorders>
                    <w:left w:val="single" w:color="auto" w:sz="4" w:space="0"/>
                    <w:right w:val="single" w:color="auto" w:sz="4" w:space="0"/>
                  </w:tcBorders>
                  <w:noWrap w:val="0"/>
                  <w:vAlign w:val="center"/>
                </w:tcPr>
                <w:p w14:paraId="46AB754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00" w:type="pct"/>
                  <w:vMerge w:val="continue"/>
                  <w:tcBorders>
                    <w:left w:val="nil"/>
                    <w:right w:val="single" w:color="auto" w:sz="4" w:space="0"/>
                  </w:tcBorders>
                  <w:noWrap w:val="0"/>
                  <w:vAlign w:val="center"/>
                </w:tcPr>
                <w:p w14:paraId="7DEF776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732" w:type="pct"/>
                  <w:tcBorders>
                    <w:top w:val="single" w:color="auto" w:sz="4" w:space="0"/>
                    <w:left w:val="nil"/>
                    <w:bottom w:val="single" w:color="auto" w:sz="4" w:space="0"/>
                    <w:right w:val="single" w:color="auto" w:sz="4" w:space="0"/>
                  </w:tcBorders>
                  <w:noWrap w:val="0"/>
                  <w:vAlign w:val="center"/>
                </w:tcPr>
                <w:p w14:paraId="7FA47FA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SS</w:t>
                  </w:r>
                </w:p>
              </w:tc>
              <w:tc>
                <w:tcPr>
                  <w:tcW w:w="3483" w:type="pct"/>
                  <w:tcBorders>
                    <w:top w:val="single" w:color="auto" w:sz="4" w:space="0"/>
                    <w:left w:val="nil"/>
                    <w:bottom w:val="single" w:color="auto" w:sz="4" w:space="0"/>
                    <w:right w:val="single" w:color="auto" w:sz="4" w:space="0"/>
                  </w:tcBorders>
                  <w:noWrap w:val="0"/>
                  <w:vAlign w:val="center"/>
                </w:tcPr>
                <w:p w14:paraId="63F826F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400mg/L</w:t>
                  </w:r>
                </w:p>
              </w:tc>
            </w:tr>
            <w:tr w14:paraId="691FB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3" w:type="pct"/>
                  <w:vMerge w:val="continue"/>
                  <w:tcBorders>
                    <w:left w:val="single" w:color="auto" w:sz="4" w:space="0"/>
                    <w:right w:val="single" w:color="auto" w:sz="4" w:space="0"/>
                  </w:tcBorders>
                  <w:noWrap w:val="0"/>
                  <w:vAlign w:val="center"/>
                </w:tcPr>
                <w:p w14:paraId="41EAF88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00" w:type="pct"/>
                  <w:vMerge w:val="continue"/>
                  <w:tcBorders>
                    <w:left w:val="nil"/>
                    <w:right w:val="single" w:color="auto" w:sz="4" w:space="0"/>
                  </w:tcBorders>
                  <w:noWrap w:val="0"/>
                  <w:vAlign w:val="center"/>
                </w:tcPr>
                <w:p w14:paraId="54B32F3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732" w:type="pct"/>
                  <w:tcBorders>
                    <w:top w:val="single" w:color="auto" w:sz="4" w:space="0"/>
                    <w:left w:val="nil"/>
                    <w:bottom w:val="single" w:color="auto" w:sz="4" w:space="0"/>
                    <w:right w:val="single" w:color="auto" w:sz="4" w:space="0"/>
                  </w:tcBorders>
                  <w:noWrap w:val="0"/>
                  <w:vAlign w:val="center"/>
                </w:tcPr>
                <w:p w14:paraId="2C23A33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NH</w:t>
                  </w:r>
                  <w:r>
                    <w:rPr>
                      <w:rFonts w:hint="default" w:ascii="Times New Roman" w:hAnsi="Times New Roman" w:eastAsia="宋体" w:cs="Times New Roman"/>
                      <w:b w:val="0"/>
                      <w:bCs w:val="0"/>
                      <w:color w:val="auto"/>
                      <w:spacing w:val="0"/>
                      <w:w w:val="100"/>
                      <w:position w:val="0"/>
                      <w:sz w:val="21"/>
                      <w:szCs w:val="21"/>
                      <w:vertAlign w:val="subscript"/>
                      <w:lang w:val="en-US" w:eastAsia="zh-CN"/>
                    </w:rPr>
                    <w:t>3</w:t>
                  </w:r>
                  <w:r>
                    <w:rPr>
                      <w:rFonts w:hint="default" w:ascii="Times New Roman" w:hAnsi="Times New Roman" w:eastAsia="宋体" w:cs="Times New Roman"/>
                      <w:b w:val="0"/>
                      <w:bCs w:val="0"/>
                      <w:color w:val="auto"/>
                      <w:spacing w:val="0"/>
                      <w:w w:val="100"/>
                      <w:position w:val="0"/>
                      <w:sz w:val="21"/>
                      <w:szCs w:val="21"/>
                      <w:lang w:val="en-US" w:eastAsia="zh-CN"/>
                    </w:rPr>
                    <w:t>-N</w:t>
                  </w:r>
                </w:p>
              </w:tc>
              <w:tc>
                <w:tcPr>
                  <w:tcW w:w="3483" w:type="pct"/>
                  <w:tcBorders>
                    <w:top w:val="single" w:color="auto" w:sz="4" w:space="0"/>
                    <w:left w:val="nil"/>
                    <w:bottom w:val="single" w:color="auto" w:sz="4" w:space="0"/>
                    <w:right w:val="single" w:color="auto" w:sz="4" w:space="0"/>
                  </w:tcBorders>
                  <w:noWrap w:val="0"/>
                  <w:vAlign w:val="center"/>
                </w:tcPr>
                <w:p w14:paraId="3905F61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r>
            <w:tr w14:paraId="71A7A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4"/>
                  <w:tcBorders>
                    <w:top w:val="single" w:color="auto" w:sz="4" w:space="0"/>
                    <w:left w:val="single" w:color="auto" w:sz="4" w:space="0"/>
                    <w:bottom w:val="single" w:color="auto" w:sz="4" w:space="0"/>
                    <w:right w:val="single" w:color="auto" w:sz="4" w:space="0"/>
                  </w:tcBorders>
                  <w:noWrap w:val="0"/>
                  <w:vAlign w:val="center"/>
                </w:tcPr>
                <w:p w14:paraId="17B9BC3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a 指对应排放口需执行的国家或地方污染物排放标准以及其他按规定商定建设项目水污染物排放控制要求的协议，据此确定的排放浓度限值。</w:t>
                  </w:r>
                </w:p>
              </w:tc>
            </w:tr>
          </w:tbl>
          <w:p w14:paraId="6771CB9D">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pacing w:val="0"/>
                <w:w w:val="100"/>
                <w:kern w:val="0"/>
                <w:position w:val="0"/>
                <w:sz w:val="21"/>
                <w:szCs w:val="21"/>
              </w:rPr>
            </w:pPr>
            <w:r>
              <w:rPr>
                <w:rFonts w:hint="default" w:ascii="Times New Roman" w:hAnsi="Times New Roman" w:eastAsia="宋体" w:cs="Times New Roman"/>
                <w:b/>
                <w:color w:val="auto"/>
                <w:spacing w:val="0"/>
                <w:w w:val="100"/>
                <w:kern w:val="0"/>
                <w:position w:val="0"/>
                <w:sz w:val="21"/>
                <w:szCs w:val="21"/>
              </w:rPr>
              <w:t>表4-</w:t>
            </w:r>
            <w:r>
              <w:rPr>
                <w:rFonts w:hint="default" w:ascii="Times New Roman" w:hAnsi="Times New Roman" w:eastAsia="宋体" w:cs="Times New Roman"/>
                <w:b/>
                <w:color w:val="auto"/>
                <w:spacing w:val="0"/>
                <w:w w:val="100"/>
                <w:kern w:val="0"/>
                <w:position w:val="0"/>
                <w:sz w:val="21"/>
                <w:szCs w:val="21"/>
                <w:lang w:val="en-US" w:eastAsia="zh-CN"/>
              </w:rPr>
              <w:t>9</w:t>
            </w:r>
            <w:r>
              <w:rPr>
                <w:rFonts w:hint="default" w:ascii="Times New Roman" w:hAnsi="Times New Roman" w:eastAsia="宋体" w:cs="Times New Roman"/>
                <w:b/>
                <w:color w:val="auto"/>
                <w:spacing w:val="0"/>
                <w:w w:val="100"/>
                <w:kern w:val="0"/>
                <w:position w:val="0"/>
                <w:sz w:val="21"/>
                <w:szCs w:val="21"/>
              </w:rPr>
              <w:t xml:space="preserve">  废水污染物排放信息表（</w:t>
            </w:r>
            <w:r>
              <w:rPr>
                <w:rFonts w:hint="default" w:ascii="Times New Roman" w:hAnsi="Times New Roman" w:eastAsia="宋体" w:cs="Times New Roman"/>
                <w:b/>
                <w:color w:val="auto"/>
                <w:spacing w:val="0"/>
                <w:w w:val="100"/>
                <w:kern w:val="0"/>
                <w:position w:val="0"/>
                <w:sz w:val="21"/>
                <w:szCs w:val="21"/>
                <w:lang w:val="en-US" w:eastAsia="zh-CN"/>
              </w:rPr>
              <w:t>新建</w:t>
            </w:r>
            <w:r>
              <w:rPr>
                <w:rFonts w:hint="default" w:ascii="Times New Roman" w:hAnsi="Times New Roman" w:eastAsia="宋体" w:cs="Times New Roman"/>
                <w:b/>
                <w:color w:val="auto"/>
                <w:spacing w:val="0"/>
                <w:w w:val="100"/>
                <w:kern w:val="0"/>
                <w:position w:val="0"/>
                <w:sz w:val="21"/>
                <w:szCs w:val="21"/>
              </w:rPr>
              <w:t>项目）</w:t>
            </w:r>
          </w:p>
          <w:tbl>
            <w:tblPr>
              <w:tblStyle w:val="59"/>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4"/>
              <w:gridCol w:w="1049"/>
              <w:gridCol w:w="1208"/>
              <w:gridCol w:w="1451"/>
              <w:gridCol w:w="1613"/>
              <w:gridCol w:w="1712"/>
            </w:tblGrid>
            <w:tr w14:paraId="00EC8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3" w:type="pct"/>
                  <w:tcBorders>
                    <w:top w:val="single" w:color="auto" w:sz="4" w:space="0"/>
                    <w:left w:val="single" w:color="auto" w:sz="4" w:space="0"/>
                    <w:bottom w:val="single" w:color="auto" w:sz="4" w:space="0"/>
                    <w:right w:val="single" w:color="auto" w:sz="4" w:space="0"/>
                  </w:tcBorders>
                  <w:noWrap w:val="0"/>
                  <w:vAlign w:val="center"/>
                </w:tcPr>
                <w:p w14:paraId="3BB34BA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序号</w:t>
                  </w:r>
                </w:p>
              </w:tc>
              <w:tc>
                <w:tcPr>
                  <w:tcW w:w="663" w:type="pct"/>
                  <w:tcBorders>
                    <w:top w:val="single" w:color="auto" w:sz="4" w:space="0"/>
                    <w:left w:val="nil"/>
                    <w:bottom w:val="single" w:color="auto" w:sz="4" w:space="0"/>
                    <w:right w:val="single" w:color="auto" w:sz="4" w:space="0"/>
                  </w:tcBorders>
                  <w:noWrap w:val="0"/>
                  <w:vAlign w:val="center"/>
                </w:tcPr>
                <w:p w14:paraId="18A8AA0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排放口编号</w:t>
                  </w:r>
                </w:p>
              </w:tc>
              <w:tc>
                <w:tcPr>
                  <w:tcW w:w="764" w:type="pct"/>
                  <w:tcBorders>
                    <w:top w:val="single" w:color="auto" w:sz="4" w:space="0"/>
                    <w:left w:val="nil"/>
                    <w:bottom w:val="single" w:color="auto" w:sz="4" w:space="0"/>
                    <w:right w:val="single" w:color="auto" w:sz="4" w:space="0"/>
                  </w:tcBorders>
                  <w:noWrap w:val="0"/>
                  <w:vAlign w:val="center"/>
                </w:tcPr>
                <w:p w14:paraId="0F54D78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污染物种类</w:t>
                  </w:r>
                </w:p>
              </w:tc>
              <w:tc>
                <w:tcPr>
                  <w:tcW w:w="917" w:type="pct"/>
                  <w:tcBorders>
                    <w:top w:val="single" w:color="auto" w:sz="4" w:space="0"/>
                    <w:left w:val="nil"/>
                    <w:bottom w:val="single" w:color="auto" w:sz="4" w:space="0"/>
                    <w:right w:val="single" w:color="auto" w:sz="4" w:space="0"/>
                  </w:tcBorders>
                  <w:noWrap w:val="0"/>
                  <w:vAlign w:val="center"/>
                </w:tcPr>
                <w:p w14:paraId="4FE8CB9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排放浓度/（mg/L）</w:t>
                  </w:r>
                </w:p>
              </w:tc>
              <w:tc>
                <w:tcPr>
                  <w:tcW w:w="1020" w:type="pct"/>
                  <w:tcBorders>
                    <w:top w:val="single" w:color="auto" w:sz="4" w:space="0"/>
                    <w:left w:val="nil"/>
                    <w:bottom w:val="single" w:color="auto" w:sz="4" w:space="0"/>
                    <w:right w:val="single" w:color="auto" w:sz="4" w:space="0"/>
                  </w:tcBorders>
                  <w:noWrap w:val="0"/>
                  <w:vAlign w:val="center"/>
                </w:tcPr>
                <w:p w14:paraId="6B766E2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日排放量（t/d）</w:t>
                  </w:r>
                </w:p>
              </w:tc>
              <w:tc>
                <w:tcPr>
                  <w:tcW w:w="1082" w:type="pct"/>
                  <w:tcBorders>
                    <w:top w:val="single" w:color="auto" w:sz="4" w:space="0"/>
                    <w:left w:val="single" w:color="auto" w:sz="4" w:space="0"/>
                    <w:bottom w:val="single" w:color="auto" w:sz="4" w:space="0"/>
                    <w:right w:val="single" w:color="auto" w:sz="4" w:space="0"/>
                  </w:tcBorders>
                  <w:noWrap w:val="0"/>
                  <w:vAlign w:val="center"/>
                </w:tcPr>
                <w:p w14:paraId="40A63BB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年排放量/（t/a）</w:t>
                  </w:r>
                </w:p>
              </w:tc>
            </w:tr>
            <w:tr w14:paraId="74E54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3" w:type="pct"/>
                  <w:vMerge w:val="restart"/>
                  <w:tcBorders>
                    <w:top w:val="single" w:color="auto" w:sz="4" w:space="0"/>
                    <w:left w:val="single" w:color="auto" w:sz="4" w:space="0"/>
                    <w:right w:val="single" w:color="auto" w:sz="4" w:space="0"/>
                  </w:tcBorders>
                  <w:noWrap w:val="0"/>
                  <w:vAlign w:val="center"/>
                </w:tcPr>
                <w:p w14:paraId="4AF629C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663" w:type="pct"/>
                  <w:vMerge w:val="restart"/>
                  <w:tcBorders>
                    <w:top w:val="single" w:color="auto" w:sz="4" w:space="0"/>
                    <w:left w:val="single" w:color="auto" w:sz="4" w:space="0"/>
                    <w:right w:val="single" w:color="auto" w:sz="4" w:space="0"/>
                  </w:tcBorders>
                  <w:noWrap w:val="0"/>
                  <w:vAlign w:val="center"/>
                </w:tcPr>
                <w:p w14:paraId="418D9CC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DW001</w:t>
                  </w:r>
                </w:p>
              </w:tc>
              <w:tc>
                <w:tcPr>
                  <w:tcW w:w="764" w:type="pct"/>
                  <w:tcBorders>
                    <w:top w:val="single" w:color="auto" w:sz="4" w:space="0"/>
                    <w:left w:val="nil"/>
                    <w:bottom w:val="single" w:color="auto" w:sz="4" w:space="0"/>
                    <w:right w:val="single" w:color="auto" w:sz="4" w:space="0"/>
                  </w:tcBorders>
                  <w:noWrap w:val="0"/>
                  <w:vAlign w:val="center"/>
                </w:tcPr>
                <w:p w14:paraId="5D0AE27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COD</w:t>
                  </w:r>
                </w:p>
              </w:tc>
              <w:tc>
                <w:tcPr>
                  <w:tcW w:w="917" w:type="pct"/>
                  <w:tcBorders>
                    <w:top w:val="single" w:color="auto" w:sz="4" w:space="0"/>
                    <w:left w:val="nil"/>
                    <w:bottom w:val="single" w:color="auto" w:sz="4" w:space="0"/>
                    <w:right w:val="single" w:color="auto" w:sz="4" w:space="0"/>
                  </w:tcBorders>
                  <w:noWrap w:val="0"/>
                  <w:vAlign w:val="center"/>
                </w:tcPr>
                <w:p w14:paraId="6C1BE0E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103</w:t>
                  </w:r>
                </w:p>
              </w:tc>
              <w:tc>
                <w:tcPr>
                  <w:tcW w:w="1020" w:type="pct"/>
                  <w:tcBorders>
                    <w:top w:val="single" w:color="auto" w:sz="4" w:space="0"/>
                    <w:left w:val="nil"/>
                    <w:bottom w:val="single" w:color="auto" w:sz="4" w:space="0"/>
                    <w:right w:val="single" w:color="auto" w:sz="4" w:space="0"/>
                  </w:tcBorders>
                  <w:noWrap w:val="0"/>
                  <w:vAlign w:val="center"/>
                </w:tcPr>
                <w:p w14:paraId="2E7B619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2.468×10</w:t>
                  </w:r>
                  <w:r>
                    <w:rPr>
                      <w:rFonts w:hint="default" w:ascii="Times New Roman" w:hAnsi="Times New Roman" w:eastAsia="宋体" w:cs="Times New Roman"/>
                      <w:b w:val="0"/>
                      <w:bCs w:val="0"/>
                      <w:color w:val="auto"/>
                      <w:spacing w:val="0"/>
                      <w:w w:val="100"/>
                      <w:position w:val="0"/>
                      <w:sz w:val="21"/>
                      <w:szCs w:val="21"/>
                      <w:vertAlign w:val="superscript"/>
                      <w:lang w:val="en-US" w:eastAsia="zh-CN"/>
                    </w:rPr>
                    <w:t>-4</w:t>
                  </w:r>
                </w:p>
              </w:tc>
              <w:tc>
                <w:tcPr>
                  <w:tcW w:w="1082" w:type="pct"/>
                  <w:tcBorders>
                    <w:top w:val="single" w:color="auto" w:sz="4" w:space="0"/>
                    <w:left w:val="single" w:color="auto" w:sz="4" w:space="0"/>
                    <w:bottom w:val="single" w:color="auto" w:sz="4" w:space="0"/>
                    <w:right w:val="single" w:color="auto" w:sz="4" w:space="0"/>
                  </w:tcBorders>
                  <w:noWrap w:val="0"/>
                  <w:vAlign w:val="center"/>
                </w:tcPr>
                <w:p w14:paraId="3ED235D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0.0742</w:t>
                  </w:r>
                </w:p>
              </w:tc>
            </w:tr>
            <w:tr w14:paraId="59688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3" w:type="pct"/>
                  <w:vMerge w:val="continue"/>
                  <w:tcBorders>
                    <w:left w:val="single" w:color="auto" w:sz="4" w:space="0"/>
                    <w:right w:val="single" w:color="auto" w:sz="4" w:space="0"/>
                  </w:tcBorders>
                  <w:noWrap w:val="0"/>
                  <w:vAlign w:val="center"/>
                </w:tcPr>
                <w:p w14:paraId="0EF0E59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663" w:type="pct"/>
                  <w:vMerge w:val="continue"/>
                  <w:tcBorders>
                    <w:left w:val="single" w:color="auto" w:sz="4" w:space="0"/>
                    <w:right w:val="single" w:color="auto" w:sz="4" w:space="0"/>
                  </w:tcBorders>
                  <w:noWrap w:val="0"/>
                  <w:vAlign w:val="center"/>
                </w:tcPr>
                <w:p w14:paraId="3DAACFD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764" w:type="pct"/>
                  <w:tcBorders>
                    <w:top w:val="single" w:color="auto" w:sz="4" w:space="0"/>
                    <w:left w:val="nil"/>
                    <w:bottom w:val="single" w:color="auto" w:sz="4" w:space="0"/>
                    <w:right w:val="single" w:color="auto" w:sz="4" w:space="0"/>
                  </w:tcBorders>
                  <w:noWrap w:val="0"/>
                  <w:vAlign w:val="center"/>
                </w:tcPr>
                <w:p w14:paraId="13F8547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BOB</w:t>
                  </w:r>
                  <w:r>
                    <w:rPr>
                      <w:rFonts w:hint="default" w:ascii="Times New Roman" w:hAnsi="Times New Roman" w:eastAsia="宋体" w:cs="Times New Roman"/>
                      <w:b w:val="0"/>
                      <w:bCs w:val="0"/>
                      <w:color w:val="auto"/>
                      <w:spacing w:val="0"/>
                      <w:w w:val="100"/>
                      <w:position w:val="0"/>
                      <w:sz w:val="21"/>
                      <w:szCs w:val="21"/>
                      <w:vertAlign w:val="subscript"/>
                      <w:lang w:val="en-US" w:eastAsia="zh-CN"/>
                    </w:rPr>
                    <w:t>5</w:t>
                  </w:r>
                </w:p>
              </w:tc>
              <w:tc>
                <w:tcPr>
                  <w:tcW w:w="917" w:type="pct"/>
                  <w:tcBorders>
                    <w:top w:val="single" w:color="auto" w:sz="4" w:space="0"/>
                    <w:left w:val="nil"/>
                    <w:bottom w:val="single" w:color="auto" w:sz="4" w:space="0"/>
                    <w:right w:val="single" w:color="auto" w:sz="4" w:space="0"/>
                  </w:tcBorders>
                  <w:noWrap w:val="0"/>
                  <w:vAlign w:val="center"/>
                </w:tcPr>
                <w:p w14:paraId="3BFB874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150</w:t>
                  </w:r>
                </w:p>
              </w:tc>
              <w:tc>
                <w:tcPr>
                  <w:tcW w:w="1020" w:type="pct"/>
                  <w:tcBorders>
                    <w:top w:val="single" w:color="auto" w:sz="4" w:space="0"/>
                    <w:left w:val="nil"/>
                    <w:bottom w:val="single" w:color="auto" w:sz="4" w:space="0"/>
                    <w:right w:val="single" w:color="auto" w:sz="4" w:space="0"/>
                  </w:tcBorders>
                  <w:noWrap w:val="0"/>
                  <w:vAlign w:val="center"/>
                </w:tcPr>
                <w:p w14:paraId="530B096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3.600×10</w:t>
                  </w:r>
                  <w:r>
                    <w:rPr>
                      <w:rFonts w:hint="default" w:ascii="Times New Roman" w:hAnsi="Times New Roman" w:eastAsia="宋体" w:cs="Times New Roman"/>
                      <w:b w:val="0"/>
                      <w:bCs w:val="0"/>
                      <w:color w:val="auto"/>
                      <w:spacing w:val="0"/>
                      <w:w w:val="100"/>
                      <w:position w:val="0"/>
                      <w:sz w:val="21"/>
                      <w:szCs w:val="21"/>
                      <w:vertAlign w:val="superscript"/>
                      <w:lang w:val="en-US" w:eastAsia="zh-CN"/>
                    </w:rPr>
                    <w:t>-4</w:t>
                  </w:r>
                </w:p>
              </w:tc>
              <w:tc>
                <w:tcPr>
                  <w:tcW w:w="1082" w:type="pct"/>
                  <w:tcBorders>
                    <w:top w:val="single" w:color="auto" w:sz="4" w:space="0"/>
                    <w:left w:val="single" w:color="auto" w:sz="4" w:space="0"/>
                    <w:bottom w:val="single" w:color="auto" w:sz="4" w:space="0"/>
                    <w:right w:val="single" w:color="auto" w:sz="4" w:space="0"/>
                  </w:tcBorders>
                  <w:noWrap w:val="0"/>
                  <w:vAlign w:val="center"/>
                </w:tcPr>
                <w:p w14:paraId="1E2ACBA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0.1080</w:t>
                  </w:r>
                </w:p>
              </w:tc>
            </w:tr>
            <w:tr w14:paraId="7379E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3" w:type="pct"/>
                  <w:vMerge w:val="continue"/>
                  <w:tcBorders>
                    <w:left w:val="single" w:color="auto" w:sz="4" w:space="0"/>
                    <w:right w:val="single" w:color="auto" w:sz="4" w:space="0"/>
                  </w:tcBorders>
                  <w:noWrap w:val="0"/>
                  <w:vAlign w:val="center"/>
                </w:tcPr>
                <w:p w14:paraId="2893BCD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663" w:type="pct"/>
                  <w:vMerge w:val="continue"/>
                  <w:tcBorders>
                    <w:left w:val="single" w:color="auto" w:sz="4" w:space="0"/>
                    <w:right w:val="single" w:color="auto" w:sz="4" w:space="0"/>
                  </w:tcBorders>
                  <w:noWrap w:val="0"/>
                  <w:vAlign w:val="center"/>
                </w:tcPr>
                <w:p w14:paraId="6CC8C17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764" w:type="pct"/>
                  <w:tcBorders>
                    <w:top w:val="single" w:color="auto" w:sz="4" w:space="0"/>
                    <w:left w:val="nil"/>
                    <w:bottom w:val="single" w:color="auto" w:sz="4" w:space="0"/>
                    <w:right w:val="single" w:color="auto" w:sz="4" w:space="0"/>
                  </w:tcBorders>
                  <w:noWrap w:val="0"/>
                  <w:vAlign w:val="center"/>
                </w:tcPr>
                <w:p w14:paraId="3E7EAFD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SS</w:t>
                  </w:r>
                </w:p>
              </w:tc>
              <w:tc>
                <w:tcPr>
                  <w:tcW w:w="917" w:type="pct"/>
                  <w:tcBorders>
                    <w:top w:val="single" w:color="auto" w:sz="4" w:space="0"/>
                    <w:left w:val="nil"/>
                    <w:bottom w:val="single" w:color="auto" w:sz="4" w:space="0"/>
                    <w:right w:val="single" w:color="auto" w:sz="4" w:space="0"/>
                  </w:tcBorders>
                  <w:noWrap w:val="0"/>
                  <w:vAlign w:val="center"/>
                </w:tcPr>
                <w:p w14:paraId="4E70643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100</w:t>
                  </w:r>
                </w:p>
              </w:tc>
              <w:tc>
                <w:tcPr>
                  <w:tcW w:w="1020" w:type="pct"/>
                  <w:tcBorders>
                    <w:top w:val="single" w:color="auto" w:sz="4" w:space="0"/>
                    <w:left w:val="nil"/>
                    <w:bottom w:val="single" w:color="auto" w:sz="4" w:space="0"/>
                    <w:right w:val="single" w:color="auto" w:sz="4" w:space="0"/>
                  </w:tcBorders>
                  <w:noWrap w:val="0"/>
                  <w:vAlign w:val="center"/>
                </w:tcPr>
                <w:p w14:paraId="08A8750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2.400×10</w:t>
                  </w:r>
                  <w:r>
                    <w:rPr>
                      <w:rFonts w:hint="default" w:ascii="Times New Roman" w:hAnsi="Times New Roman" w:eastAsia="宋体" w:cs="Times New Roman"/>
                      <w:b w:val="0"/>
                      <w:bCs w:val="0"/>
                      <w:color w:val="auto"/>
                      <w:spacing w:val="0"/>
                      <w:w w:val="100"/>
                      <w:position w:val="0"/>
                      <w:sz w:val="21"/>
                      <w:szCs w:val="21"/>
                      <w:vertAlign w:val="superscript"/>
                      <w:lang w:val="en-US" w:eastAsia="zh-CN"/>
                    </w:rPr>
                    <w:t>-4</w:t>
                  </w:r>
                </w:p>
              </w:tc>
              <w:tc>
                <w:tcPr>
                  <w:tcW w:w="1082" w:type="pct"/>
                  <w:tcBorders>
                    <w:top w:val="single" w:color="auto" w:sz="4" w:space="0"/>
                    <w:left w:val="single" w:color="auto" w:sz="4" w:space="0"/>
                    <w:bottom w:val="single" w:color="auto" w:sz="4" w:space="0"/>
                    <w:right w:val="single" w:color="auto" w:sz="4" w:space="0"/>
                  </w:tcBorders>
                  <w:noWrap w:val="0"/>
                  <w:vAlign w:val="center"/>
                </w:tcPr>
                <w:p w14:paraId="693B7A6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0.0720</w:t>
                  </w:r>
                </w:p>
              </w:tc>
            </w:tr>
            <w:tr w14:paraId="16E4F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3" w:type="pct"/>
                  <w:vMerge w:val="continue"/>
                  <w:tcBorders>
                    <w:left w:val="single" w:color="auto" w:sz="4" w:space="0"/>
                    <w:right w:val="single" w:color="auto" w:sz="4" w:space="0"/>
                  </w:tcBorders>
                  <w:noWrap w:val="0"/>
                  <w:vAlign w:val="center"/>
                </w:tcPr>
                <w:p w14:paraId="3391FCC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663" w:type="pct"/>
                  <w:vMerge w:val="continue"/>
                  <w:tcBorders>
                    <w:left w:val="single" w:color="auto" w:sz="4" w:space="0"/>
                    <w:right w:val="single" w:color="auto" w:sz="4" w:space="0"/>
                  </w:tcBorders>
                  <w:noWrap w:val="0"/>
                  <w:vAlign w:val="center"/>
                </w:tcPr>
                <w:p w14:paraId="0A9E3A0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764" w:type="pct"/>
                  <w:tcBorders>
                    <w:top w:val="single" w:color="auto" w:sz="4" w:space="0"/>
                    <w:left w:val="nil"/>
                    <w:bottom w:val="single" w:color="auto" w:sz="4" w:space="0"/>
                    <w:right w:val="single" w:color="auto" w:sz="4" w:space="0"/>
                  </w:tcBorders>
                  <w:noWrap w:val="0"/>
                  <w:vAlign w:val="center"/>
                </w:tcPr>
                <w:p w14:paraId="0C0CD1D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NH</w:t>
                  </w:r>
                  <w:r>
                    <w:rPr>
                      <w:rFonts w:hint="default" w:ascii="Times New Roman" w:hAnsi="Times New Roman" w:eastAsia="宋体" w:cs="Times New Roman"/>
                      <w:b w:val="0"/>
                      <w:bCs w:val="0"/>
                      <w:color w:val="auto"/>
                      <w:spacing w:val="0"/>
                      <w:w w:val="100"/>
                      <w:position w:val="0"/>
                      <w:sz w:val="21"/>
                      <w:szCs w:val="21"/>
                      <w:vertAlign w:val="subscript"/>
                      <w:lang w:val="en-US" w:eastAsia="zh-CN"/>
                    </w:rPr>
                    <w:t>3</w:t>
                  </w:r>
                  <w:r>
                    <w:rPr>
                      <w:rFonts w:hint="default" w:ascii="Times New Roman" w:hAnsi="Times New Roman" w:eastAsia="宋体" w:cs="Times New Roman"/>
                      <w:b w:val="0"/>
                      <w:bCs w:val="0"/>
                      <w:color w:val="auto"/>
                      <w:spacing w:val="0"/>
                      <w:w w:val="100"/>
                      <w:position w:val="0"/>
                      <w:sz w:val="21"/>
                      <w:szCs w:val="21"/>
                      <w:lang w:val="en-US" w:eastAsia="zh-CN"/>
                    </w:rPr>
                    <w:t>-N</w:t>
                  </w:r>
                </w:p>
              </w:tc>
              <w:tc>
                <w:tcPr>
                  <w:tcW w:w="917" w:type="pct"/>
                  <w:tcBorders>
                    <w:top w:val="single" w:color="auto" w:sz="4" w:space="0"/>
                    <w:left w:val="nil"/>
                    <w:bottom w:val="single" w:color="auto" w:sz="4" w:space="0"/>
                    <w:right w:val="single" w:color="auto" w:sz="4" w:space="0"/>
                  </w:tcBorders>
                  <w:noWrap w:val="0"/>
                  <w:vAlign w:val="center"/>
                </w:tcPr>
                <w:p w14:paraId="26392F3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13.3</w:t>
                  </w:r>
                </w:p>
              </w:tc>
              <w:tc>
                <w:tcPr>
                  <w:tcW w:w="1020" w:type="pct"/>
                  <w:tcBorders>
                    <w:top w:val="single" w:color="auto" w:sz="4" w:space="0"/>
                    <w:left w:val="nil"/>
                    <w:bottom w:val="single" w:color="auto" w:sz="4" w:space="0"/>
                    <w:right w:val="single" w:color="auto" w:sz="4" w:space="0"/>
                  </w:tcBorders>
                  <w:noWrap w:val="0"/>
                  <w:vAlign w:val="center"/>
                </w:tcPr>
                <w:p w14:paraId="0D687BF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3.200×10</w:t>
                  </w:r>
                  <w:r>
                    <w:rPr>
                      <w:rFonts w:hint="default" w:ascii="Times New Roman" w:hAnsi="Times New Roman" w:eastAsia="宋体" w:cs="Times New Roman"/>
                      <w:b w:val="0"/>
                      <w:bCs w:val="0"/>
                      <w:color w:val="auto"/>
                      <w:spacing w:val="0"/>
                      <w:w w:val="100"/>
                      <w:position w:val="0"/>
                      <w:sz w:val="21"/>
                      <w:szCs w:val="21"/>
                      <w:vertAlign w:val="superscript"/>
                      <w:lang w:val="en-US" w:eastAsia="zh-CN"/>
                    </w:rPr>
                    <w:t>-5</w:t>
                  </w:r>
                </w:p>
              </w:tc>
              <w:tc>
                <w:tcPr>
                  <w:tcW w:w="1082" w:type="pct"/>
                  <w:tcBorders>
                    <w:top w:val="single" w:color="auto" w:sz="4" w:space="0"/>
                    <w:left w:val="single" w:color="auto" w:sz="4" w:space="0"/>
                    <w:bottom w:val="single" w:color="auto" w:sz="4" w:space="0"/>
                    <w:right w:val="single" w:color="auto" w:sz="4" w:space="0"/>
                  </w:tcBorders>
                  <w:noWrap w:val="0"/>
                  <w:vAlign w:val="center"/>
                </w:tcPr>
                <w:p w14:paraId="39A3C94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0.0096</w:t>
                  </w:r>
                </w:p>
              </w:tc>
            </w:tr>
            <w:tr w14:paraId="2237B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pct"/>
                  <w:gridSpan w:val="2"/>
                  <w:vMerge w:val="restart"/>
                  <w:tcBorders>
                    <w:top w:val="single" w:color="auto" w:sz="4" w:space="0"/>
                    <w:left w:val="single" w:color="auto" w:sz="4" w:space="0"/>
                    <w:right w:val="single" w:color="auto" w:sz="4" w:space="0"/>
                  </w:tcBorders>
                  <w:noWrap w:val="0"/>
                  <w:vAlign w:val="center"/>
                </w:tcPr>
                <w:p w14:paraId="2355500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全厂排放口合计</w:t>
                  </w:r>
                </w:p>
              </w:tc>
              <w:tc>
                <w:tcPr>
                  <w:tcW w:w="2701" w:type="pct"/>
                  <w:gridSpan w:val="3"/>
                  <w:tcBorders>
                    <w:top w:val="single" w:color="auto" w:sz="4" w:space="0"/>
                    <w:left w:val="nil"/>
                    <w:bottom w:val="single" w:color="auto" w:sz="4" w:space="0"/>
                    <w:right w:val="single" w:color="auto" w:sz="4" w:space="0"/>
                  </w:tcBorders>
                  <w:noWrap w:val="0"/>
                  <w:vAlign w:val="center"/>
                </w:tcPr>
                <w:p w14:paraId="70FD479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COD</w:t>
                  </w:r>
                </w:p>
              </w:tc>
              <w:tc>
                <w:tcPr>
                  <w:tcW w:w="3075" w:type="dxa"/>
                  <w:tcBorders>
                    <w:top w:val="single" w:color="auto" w:sz="4" w:space="0"/>
                    <w:left w:val="single" w:color="auto" w:sz="4" w:space="0"/>
                    <w:bottom w:val="single" w:color="auto" w:sz="4" w:space="0"/>
                    <w:right w:val="single" w:color="auto" w:sz="4" w:space="0"/>
                  </w:tcBorders>
                  <w:noWrap w:val="0"/>
                  <w:vAlign w:val="center"/>
                </w:tcPr>
                <w:p w14:paraId="2592E2F9">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0.0742</w:t>
                  </w:r>
                </w:p>
              </w:tc>
            </w:tr>
            <w:tr w14:paraId="5ECC5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pct"/>
                  <w:gridSpan w:val="2"/>
                  <w:vMerge w:val="continue"/>
                  <w:tcBorders>
                    <w:left w:val="single" w:color="auto" w:sz="4" w:space="0"/>
                    <w:right w:val="single" w:color="auto" w:sz="4" w:space="0"/>
                  </w:tcBorders>
                  <w:noWrap w:val="0"/>
                  <w:vAlign w:val="center"/>
                </w:tcPr>
                <w:p w14:paraId="6CBD3F2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701" w:type="pct"/>
                  <w:gridSpan w:val="3"/>
                  <w:tcBorders>
                    <w:top w:val="single" w:color="auto" w:sz="4" w:space="0"/>
                    <w:left w:val="nil"/>
                    <w:bottom w:val="single" w:color="auto" w:sz="4" w:space="0"/>
                    <w:right w:val="single" w:color="auto" w:sz="4" w:space="0"/>
                  </w:tcBorders>
                  <w:noWrap w:val="0"/>
                  <w:vAlign w:val="center"/>
                </w:tcPr>
                <w:p w14:paraId="5D8A787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BOB</w:t>
                  </w:r>
                  <w:r>
                    <w:rPr>
                      <w:rFonts w:hint="default" w:ascii="Times New Roman" w:hAnsi="Times New Roman" w:eastAsia="宋体" w:cs="Times New Roman"/>
                      <w:b w:val="0"/>
                      <w:bCs w:val="0"/>
                      <w:color w:val="auto"/>
                      <w:spacing w:val="0"/>
                      <w:w w:val="100"/>
                      <w:position w:val="0"/>
                      <w:sz w:val="21"/>
                      <w:szCs w:val="21"/>
                      <w:vertAlign w:val="subscript"/>
                      <w:lang w:val="en-US" w:eastAsia="zh-CN"/>
                    </w:rPr>
                    <w:t>5</w:t>
                  </w:r>
                </w:p>
              </w:tc>
              <w:tc>
                <w:tcPr>
                  <w:tcW w:w="3075" w:type="dxa"/>
                  <w:tcBorders>
                    <w:top w:val="single" w:color="auto" w:sz="4" w:space="0"/>
                    <w:left w:val="single" w:color="auto" w:sz="4" w:space="0"/>
                    <w:bottom w:val="single" w:color="auto" w:sz="4" w:space="0"/>
                    <w:right w:val="single" w:color="auto" w:sz="4" w:space="0"/>
                  </w:tcBorders>
                  <w:noWrap w:val="0"/>
                  <w:vAlign w:val="center"/>
                </w:tcPr>
                <w:p w14:paraId="59F2D2C4">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0.1080</w:t>
                  </w:r>
                </w:p>
              </w:tc>
            </w:tr>
            <w:tr w14:paraId="70AA3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pct"/>
                  <w:gridSpan w:val="2"/>
                  <w:vMerge w:val="continue"/>
                  <w:tcBorders>
                    <w:left w:val="single" w:color="auto" w:sz="4" w:space="0"/>
                    <w:right w:val="single" w:color="auto" w:sz="4" w:space="0"/>
                  </w:tcBorders>
                  <w:noWrap w:val="0"/>
                  <w:vAlign w:val="center"/>
                </w:tcPr>
                <w:p w14:paraId="0BCA9FD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701" w:type="pct"/>
                  <w:gridSpan w:val="3"/>
                  <w:tcBorders>
                    <w:top w:val="single" w:color="auto" w:sz="4" w:space="0"/>
                    <w:left w:val="nil"/>
                    <w:bottom w:val="single" w:color="auto" w:sz="4" w:space="0"/>
                    <w:right w:val="single" w:color="auto" w:sz="4" w:space="0"/>
                  </w:tcBorders>
                  <w:noWrap w:val="0"/>
                  <w:vAlign w:val="center"/>
                </w:tcPr>
                <w:p w14:paraId="5025D8D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SS</w:t>
                  </w:r>
                </w:p>
              </w:tc>
              <w:tc>
                <w:tcPr>
                  <w:tcW w:w="3075" w:type="dxa"/>
                  <w:tcBorders>
                    <w:top w:val="single" w:color="auto" w:sz="4" w:space="0"/>
                    <w:left w:val="single" w:color="auto" w:sz="4" w:space="0"/>
                    <w:bottom w:val="single" w:color="auto" w:sz="4" w:space="0"/>
                    <w:right w:val="single" w:color="auto" w:sz="4" w:space="0"/>
                  </w:tcBorders>
                  <w:noWrap w:val="0"/>
                  <w:vAlign w:val="center"/>
                </w:tcPr>
                <w:p w14:paraId="38F24A6D">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0.0720</w:t>
                  </w:r>
                </w:p>
              </w:tc>
            </w:tr>
            <w:tr w14:paraId="05B3F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pct"/>
                  <w:gridSpan w:val="2"/>
                  <w:vMerge w:val="continue"/>
                  <w:tcBorders>
                    <w:left w:val="single" w:color="auto" w:sz="4" w:space="0"/>
                    <w:right w:val="single" w:color="auto" w:sz="4" w:space="0"/>
                  </w:tcBorders>
                  <w:noWrap w:val="0"/>
                  <w:vAlign w:val="center"/>
                </w:tcPr>
                <w:p w14:paraId="0034810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701" w:type="pct"/>
                  <w:gridSpan w:val="3"/>
                  <w:tcBorders>
                    <w:top w:val="single" w:color="auto" w:sz="4" w:space="0"/>
                    <w:left w:val="nil"/>
                    <w:bottom w:val="single" w:color="auto" w:sz="4" w:space="0"/>
                    <w:right w:val="single" w:color="auto" w:sz="4" w:space="0"/>
                  </w:tcBorders>
                  <w:noWrap w:val="0"/>
                  <w:vAlign w:val="center"/>
                </w:tcPr>
                <w:p w14:paraId="3379285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NH</w:t>
                  </w:r>
                  <w:r>
                    <w:rPr>
                      <w:rFonts w:hint="default" w:ascii="Times New Roman" w:hAnsi="Times New Roman" w:eastAsia="宋体" w:cs="Times New Roman"/>
                      <w:b w:val="0"/>
                      <w:bCs w:val="0"/>
                      <w:color w:val="auto"/>
                      <w:spacing w:val="0"/>
                      <w:w w:val="100"/>
                      <w:position w:val="0"/>
                      <w:sz w:val="21"/>
                      <w:szCs w:val="21"/>
                      <w:vertAlign w:val="subscript"/>
                      <w:lang w:val="en-US" w:eastAsia="zh-CN"/>
                    </w:rPr>
                    <w:t>3</w:t>
                  </w:r>
                  <w:r>
                    <w:rPr>
                      <w:rFonts w:hint="default" w:ascii="Times New Roman" w:hAnsi="Times New Roman" w:eastAsia="宋体" w:cs="Times New Roman"/>
                      <w:b w:val="0"/>
                      <w:bCs w:val="0"/>
                      <w:color w:val="auto"/>
                      <w:spacing w:val="0"/>
                      <w:w w:val="100"/>
                      <w:position w:val="0"/>
                      <w:sz w:val="21"/>
                      <w:szCs w:val="21"/>
                      <w:lang w:val="en-US" w:eastAsia="zh-CN"/>
                    </w:rPr>
                    <w:t>-N</w:t>
                  </w:r>
                </w:p>
              </w:tc>
              <w:tc>
                <w:tcPr>
                  <w:tcW w:w="3075" w:type="dxa"/>
                  <w:tcBorders>
                    <w:top w:val="single" w:color="auto" w:sz="4" w:space="0"/>
                    <w:left w:val="single" w:color="auto" w:sz="4" w:space="0"/>
                    <w:bottom w:val="single" w:color="auto" w:sz="4" w:space="0"/>
                    <w:right w:val="single" w:color="auto" w:sz="4" w:space="0"/>
                  </w:tcBorders>
                  <w:noWrap w:val="0"/>
                  <w:vAlign w:val="center"/>
                </w:tcPr>
                <w:p w14:paraId="3218BEED">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0.0096</w:t>
                  </w:r>
                </w:p>
              </w:tc>
            </w:tr>
          </w:tbl>
          <w:p w14:paraId="6F59E7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pacing w:val="0"/>
                <w:w w:val="100"/>
                <w:kern w:val="0"/>
                <w:position w:val="0"/>
                <w:sz w:val="24"/>
                <w:lang w:val="en-US" w:eastAsia="zh-CN"/>
              </w:rPr>
            </w:pPr>
            <w:r>
              <w:rPr>
                <w:rFonts w:hint="default" w:ascii="Times New Roman" w:hAnsi="Times New Roman" w:eastAsia="宋体" w:cs="Times New Roman"/>
                <w:b/>
                <w:bCs/>
                <w:color w:val="auto"/>
                <w:spacing w:val="0"/>
                <w:w w:val="100"/>
                <w:kern w:val="0"/>
                <w:position w:val="0"/>
                <w:sz w:val="24"/>
                <w:lang w:val="en-US" w:eastAsia="zh-CN"/>
              </w:rPr>
              <w:t>3、固体废物</w:t>
            </w:r>
          </w:p>
          <w:p w14:paraId="61AA9A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pacing w:val="0"/>
                <w:w w:val="100"/>
                <w:kern w:val="0"/>
                <w:position w:val="0"/>
                <w:sz w:val="24"/>
                <w:lang w:val="en-US" w:eastAsia="zh-CN"/>
              </w:rPr>
            </w:pPr>
            <w:r>
              <w:rPr>
                <w:rFonts w:hint="default" w:ascii="Times New Roman" w:hAnsi="Times New Roman" w:eastAsia="宋体" w:cs="Times New Roman"/>
                <w:b/>
                <w:bCs/>
                <w:color w:val="auto"/>
                <w:spacing w:val="0"/>
                <w:w w:val="100"/>
                <w:kern w:val="0"/>
                <w:position w:val="0"/>
                <w:sz w:val="24"/>
                <w:lang w:val="en-US" w:eastAsia="zh-CN"/>
              </w:rPr>
              <w:t>1）固体废物产生情况</w:t>
            </w:r>
          </w:p>
          <w:p w14:paraId="354034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项目运营期产生的固体废物主要为一般固体废物（废铁屑、废砂、炉渣、布袋除尘灰）、危险废物（废活性炭）和生活垃圾。</w:t>
            </w:r>
          </w:p>
          <w:p w14:paraId="1B5127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pacing w:val="0"/>
                <w:w w:val="100"/>
                <w:kern w:val="0"/>
                <w:position w:val="0"/>
                <w:sz w:val="24"/>
                <w:lang w:val="en-US" w:eastAsia="zh-CN"/>
              </w:rPr>
            </w:pPr>
            <w:r>
              <w:rPr>
                <w:rFonts w:hint="default" w:ascii="Times New Roman" w:hAnsi="Times New Roman" w:eastAsia="宋体" w:cs="Times New Roman"/>
                <w:b/>
                <w:bCs/>
                <w:color w:val="auto"/>
                <w:spacing w:val="0"/>
                <w:w w:val="100"/>
                <w:kern w:val="0"/>
                <w:position w:val="0"/>
                <w:sz w:val="24"/>
                <w:lang w:val="en-US" w:eastAsia="zh-CN"/>
              </w:rPr>
              <w:t>ⅰ、</w:t>
            </w:r>
            <w:r>
              <w:rPr>
                <w:rFonts w:hint="default" w:ascii="Times New Roman" w:hAnsi="Times New Roman" w:eastAsia="宋体" w:cs="Times New Roman"/>
                <w:b w:val="0"/>
                <w:bCs w:val="0"/>
                <w:color w:val="auto"/>
                <w:spacing w:val="0"/>
                <w:w w:val="100"/>
                <w:kern w:val="0"/>
                <w:position w:val="0"/>
                <w:sz w:val="24"/>
                <w:lang w:val="en-US" w:eastAsia="zh-CN"/>
              </w:rPr>
              <w:t>废铁屑</w:t>
            </w:r>
          </w:p>
          <w:p w14:paraId="20A033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根据企业提供资料，铁屑产生量约0.3t/a，属于一般固体废物。根据《一般固体废物分类与代码》（GB/T39198-2020），代码为900-001-S17，收集后回用于外售。</w:t>
            </w:r>
          </w:p>
          <w:p w14:paraId="2D34E8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ⅱ、废砂</w:t>
            </w:r>
          </w:p>
          <w:p w14:paraId="45CFC6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根据企业提供资料，本项目废砂产生量约为8t/a，属于一般固体废物。根据《一般固体废物分类与代码》（GB/T39198-2020），代码为900-001-S59，收集后外售。</w:t>
            </w:r>
          </w:p>
          <w:p w14:paraId="29C855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bCs/>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ⅲ、炉渣</w:t>
            </w:r>
          </w:p>
          <w:p w14:paraId="7009F7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炉渣主要是生铁等熔化后废渣的混合物，根据企业提供资料，炉渣预计产生量约10t/a，属于一般固体废物。根据《一般固体废物分类与代码》（GB/T39198-2020），代码为900-099-S59，收集后外售。</w:t>
            </w:r>
          </w:p>
          <w:p w14:paraId="45DC4D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bCs/>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ⅳ、布袋除尘灰</w:t>
            </w:r>
          </w:p>
          <w:p w14:paraId="24E4C3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根据前文分析，电炉工序除尘器收集的粉尘量为0.776t/a；造型浇注工序布袋除尘器收集的粉尘量为1.5666t/a；落砂工序布袋除尘器收集的粉尘量为12.798t/a；清理工序除尘器收集的粉尘量为3.5478t/a。除尘灰总产生量为18.6884t/a。属于一般固体废物。根据《一般固体废物分类与代码》（GB/T39198-2020），代码为900-009-S17，布袋除尘器收集的粉尘经收集后外售处置。</w:t>
            </w:r>
          </w:p>
          <w:p w14:paraId="44D23E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ⅴ、废活性炭</w:t>
            </w:r>
          </w:p>
          <w:p w14:paraId="764343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项目采用二级活性炭吸附装置净化生产过程中产生的有机废气，此过程将产生废活性炭。根据《简明通风设计手册》（孙一坚主编 中国建筑工业出版社）活性炭对不同的有机废气吸附有效吸附量存在一定区别，一般为1kg活性炭可吸附0.25~0.45kg有机废气，项目计算取中间值，即1kg活性炭吸附0.35kg有机废气。则需要活性炭量为0.764t/a。项目设置的每级活性炭箱填装量约为0.45t，每年更换一次，每次所更换活性炭吸附废气量按0.2674t计算，则项目废活性炭产生量约为1.1674t/次（1.1674t/a）。根据《国家危险废物名录（2025年版）》可知，废活性炭属于危险废物，废物类别为HW49其他废物，废物代码为900-039-49，采用特定容器盛装，暂存于危险废物暂存间，定期委托有危险废物处置资质的单位转运处置。</w:t>
            </w:r>
          </w:p>
          <w:p w14:paraId="2EFCF3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ⅵ、废机油</w:t>
            </w:r>
          </w:p>
          <w:p w14:paraId="403190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本项目生产设备自行维修，并对设备进行日常维护；日常保养维护中会产生少量废机油、废润滑油等，根据《国家危险废物名录》（2025版），废机油、润滑油属于危险废物，废物代码为900-214-08。维护过程中将产生少量废机油，每年产生废机油及废油桶量约0.2t/a。废机油及废油桶属于危险废物，根据《国家危险废物名录（2025年版）》，废机油及废油桶属于HW08（废矿物油与含矿物油废物），废物代码：900-249-08（其他生产、销售、使用过程中产生的废矿物油及含矿物油废物）。项目在厂区设置一个5m</w:t>
            </w:r>
            <w:r>
              <w:rPr>
                <w:rFonts w:hint="default" w:ascii="Times New Roman" w:hAnsi="Times New Roman" w:eastAsia="宋体" w:cs="Times New Roman"/>
                <w:b w:val="0"/>
                <w:bCs w:val="0"/>
                <w:color w:val="auto"/>
                <w:spacing w:val="0"/>
                <w:w w:val="100"/>
                <w:kern w:val="0"/>
                <w:position w:val="0"/>
                <w:sz w:val="24"/>
                <w:vertAlign w:val="superscript"/>
                <w:lang w:val="en-US" w:eastAsia="zh-CN"/>
              </w:rPr>
              <w:t>2</w:t>
            </w:r>
            <w:r>
              <w:rPr>
                <w:rFonts w:hint="default" w:ascii="Times New Roman" w:hAnsi="Times New Roman" w:eastAsia="宋体" w:cs="Times New Roman"/>
                <w:b w:val="0"/>
                <w:bCs w:val="0"/>
                <w:color w:val="auto"/>
                <w:spacing w:val="0"/>
                <w:w w:val="100"/>
                <w:kern w:val="0"/>
                <w:position w:val="0"/>
                <w:sz w:val="24"/>
                <w:lang w:val="en-US" w:eastAsia="zh-CN"/>
              </w:rPr>
              <w:t>的危废贮存库，对各危险废物进行暂存后定期委托有资质的单位清运处置。</w:t>
            </w:r>
          </w:p>
          <w:p w14:paraId="7CE43B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Ⅶ、生活垃圾</w:t>
            </w:r>
          </w:p>
          <w:p w14:paraId="0EA425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项目总定员为60人，均不住厂。根据《生活源产排污系数及使用说明》（2010修订 环境保护部华南环境科学研究所）城镇居民生活源污染物产生、排放系数进行统计，不住厂人员以人均生活垃圾产生量0.51kg/d计，则项目员工生活垃圾产生量为30.6kg/d（9.18t/a），经垃圾桶分类收集后由环卫部门转运处置。</w:t>
            </w:r>
          </w:p>
          <w:p w14:paraId="3EB5F87E">
            <w:pPr>
              <w:pStyle w:val="75"/>
              <w:keepNext w:val="0"/>
              <w:keepLines w:val="0"/>
              <w:pageBreakBefore w:val="0"/>
              <w:widowControl w:val="0"/>
              <w:suppressLineNumbers w:val="0"/>
              <w:kinsoku/>
              <w:wordWrap/>
              <w:topLinePunct w:val="0"/>
              <w:bidi w:val="0"/>
              <w:snapToGrid/>
              <w:spacing w:before="0" w:beforeAutospacing="0" w:after="0" w:afterAutospacing="0" w:line="360" w:lineRule="auto"/>
              <w:ind w:left="0" w:right="0" w:firstLine="480"/>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pacing w:val="0"/>
                <w:w w:val="100"/>
                <w:kern w:val="0"/>
                <w:position w:val="0"/>
                <w:sz w:val="24"/>
                <w:szCs w:val="21"/>
                <w:lang w:val="en-US" w:eastAsia="zh-CN"/>
              </w:rPr>
              <w:t>项目运营期固体废物产生与处置情况汇总见表4-10。</w:t>
            </w:r>
          </w:p>
          <w:p w14:paraId="0DABD9B0">
            <w:pPr>
              <w:pStyle w:val="2"/>
              <w:keepNext w:val="0"/>
              <w:keepLines w:val="0"/>
              <w:pageBreakBefore w:val="0"/>
              <w:widowControl w:val="0"/>
              <w:suppressLineNumbers w:val="0"/>
              <w:kinsoku/>
              <w:wordWrap/>
              <w:topLinePunct w:val="0"/>
              <w:bidi w:val="0"/>
              <w:snapToGrid/>
              <w:spacing w:before="0" w:beforeAutospacing="0" w:afterAutospacing="0" w:line="360" w:lineRule="auto"/>
              <w:ind w:left="0" w:right="0" w:firstLine="0"/>
              <w:jc w:val="center"/>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spacing w:val="0"/>
                <w:w w:val="100"/>
                <w:kern w:val="0"/>
                <w:position w:val="0"/>
                <w:sz w:val="21"/>
                <w:szCs w:val="21"/>
              </w:rPr>
              <w:t>表4-</w:t>
            </w:r>
            <w:r>
              <w:rPr>
                <w:rFonts w:hint="default" w:ascii="Times New Roman" w:hAnsi="Times New Roman" w:eastAsia="宋体" w:cs="Times New Roman"/>
                <w:b/>
                <w:color w:val="auto"/>
                <w:spacing w:val="0"/>
                <w:w w:val="100"/>
                <w:kern w:val="0"/>
                <w:position w:val="0"/>
                <w:sz w:val="21"/>
                <w:szCs w:val="21"/>
                <w:lang w:val="en-US" w:eastAsia="zh-CN"/>
              </w:rPr>
              <w:t>10</w:t>
            </w:r>
            <w:r>
              <w:rPr>
                <w:rFonts w:hint="default" w:ascii="Times New Roman" w:hAnsi="Times New Roman" w:eastAsia="宋体" w:cs="Times New Roman"/>
                <w:b/>
                <w:color w:val="auto"/>
                <w:spacing w:val="0"/>
                <w:w w:val="100"/>
                <w:kern w:val="0"/>
                <w:position w:val="0"/>
                <w:sz w:val="21"/>
                <w:szCs w:val="21"/>
              </w:rPr>
              <w:t xml:space="preserve">  项目运营期固体废物产生一览表</w:t>
            </w:r>
          </w:p>
          <w:tbl>
            <w:tblPr>
              <w:tblStyle w:val="59"/>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0"/>
              <w:gridCol w:w="803"/>
              <w:gridCol w:w="758"/>
              <w:gridCol w:w="1061"/>
              <w:gridCol w:w="1106"/>
              <w:gridCol w:w="1591"/>
              <w:gridCol w:w="1121"/>
              <w:gridCol w:w="738"/>
            </w:tblGrid>
            <w:tr w14:paraId="2D4C3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1" w:type="pct"/>
                  <w:noWrap w:val="0"/>
                  <w:vAlign w:val="center"/>
                </w:tcPr>
                <w:p w14:paraId="3E0BD9D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固废名称</w:t>
                  </w:r>
                </w:p>
              </w:tc>
              <w:tc>
                <w:tcPr>
                  <w:tcW w:w="507" w:type="pct"/>
                  <w:tcBorders>
                    <w:right w:val="single" w:color="000000" w:sz="6" w:space="0"/>
                  </w:tcBorders>
                  <w:noWrap w:val="0"/>
                  <w:vAlign w:val="center"/>
                </w:tcPr>
                <w:p w14:paraId="2187A19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废铁屑</w:t>
                  </w:r>
                </w:p>
              </w:tc>
              <w:tc>
                <w:tcPr>
                  <w:tcW w:w="479" w:type="pct"/>
                  <w:tcBorders>
                    <w:left w:val="single" w:color="000000" w:sz="6" w:space="0"/>
                  </w:tcBorders>
                  <w:noWrap w:val="0"/>
                  <w:vAlign w:val="center"/>
                </w:tcPr>
                <w:p w14:paraId="143912B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废砂</w:t>
                  </w:r>
                </w:p>
              </w:tc>
              <w:tc>
                <w:tcPr>
                  <w:tcW w:w="670" w:type="pct"/>
                  <w:tcBorders>
                    <w:left w:val="single" w:color="000000" w:sz="6" w:space="0"/>
                  </w:tcBorders>
                  <w:noWrap w:val="0"/>
                  <w:vAlign w:val="center"/>
                </w:tcPr>
                <w:p w14:paraId="2429420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炉渣</w:t>
                  </w:r>
                </w:p>
              </w:tc>
              <w:tc>
                <w:tcPr>
                  <w:tcW w:w="699" w:type="pct"/>
                  <w:tcBorders>
                    <w:right w:val="single" w:color="000000" w:sz="6" w:space="0"/>
                  </w:tcBorders>
                  <w:noWrap w:val="0"/>
                  <w:vAlign w:val="center"/>
                </w:tcPr>
                <w:p w14:paraId="105391A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布袋除尘灰</w:t>
                  </w:r>
                </w:p>
              </w:tc>
              <w:tc>
                <w:tcPr>
                  <w:tcW w:w="1005" w:type="pct"/>
                  <w:tcBorders>
                    <w:left w:val="single" w:color="000000" w:sz="6" w:space="0"/>
                    <w:right w:val="single" w:color="000000" w:sz="6" w:space="0"/>
                  </w:tcBorders>
                  <w:noWrap w:val="0"/>
                  <w:vAlign w:val="center"/>
                </w:tcPr>
                <w:p w14:paraId="26E7B41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废活性炭</w:t>
                  </w:r>
                </w:p>
              </w:tc>
              <w:tc>
                <w:tcPr>
                  <w:tcW w:w="708" w:type="pct"/>
                  <w:tcBorders>
                    <w:left w:val="single" w:color="000000" w:sz="6" w:space="0"/>
                  </w:tcBorders>
                  <w:noWrap w:val="0"/>
                  <w:vAlign w:val="center"/>
                </w:tcPr>
                <w:p w14:paraId="7BB810D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废机油</w:t>
                  </w:r>
                </w:p>
              </w:tc>
              <w:tc>
                <w:tcPr>
                  <w:tcW w:w="466" w:type="pct"/>
                  <w:tcBorders>
                    <w:left w:val="single" w:color="000000" w:sz="6" w:space="0"/>
                  </w:tcBorders>
                  <w:noWrap w:val="0"/>
                  <w:vAlign w:val="center"/>
                </w:tcPr>
                <w:p w14:paraId="617E771D">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生活垃圾</w:t>
                  </w:r>
                </w:p>
              </w:tc>
            </w:tr>
            <w:tr w14:paraId="445A5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1" w:type="pct"/>
                  <w:noWrap w:val="0"/>
                  <w:vAlign w:val="center"/>
                </w:tcPr>
                <w:p w14:paraId="311513B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产生环节</w:t>
                  </w:r>
                </w:p>
              </w:tc>
              <w:tc>
                <w:tcPr>
                  <w:tcW w:w="507" w:type="pct"/>
                  <w:tcBorders>
                    <w:right w:val="single" w:color="000000" w:sz="6" w:space="0"/>
                  </w:tcBorders>
                  <w:noWrap w:val="0"/>
                  <w:vAlign w:val="center"/>
                </w:tcPr>
                <w:p w14:paraId="0B2434D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清理</w:t>
                  </w:r>
                </w:p>
              </w:tc>
              <w:tc>
                <w:tcPr>
                  <w:tcW w:w="479" w:type="pct"/>
                  <w:tcBorders>
                    <w:left w:val="single" w:color="000000" w:sz="6" w:space="0"/>
                    <w:right w:val="single" w:color="000000" w:sz="6" w:space="0"/>
                  </w:tcBorders>
                  <w:noWrap w:val="0"/>
                  <w:vAlign w:val="center"/>
                </w:tcPr>
                <w:p w14:paraId="422A9CF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落砂工序</w:t>
                  </w:r>
                </w:p>
              </w:tc>
              <w:tc>
                <w:tcPr>
                  <w:tcW w:w="670" w:type="pct"/>
                  <w:tcBorders>
                    <w:left w:val="single" w:color="000000" w:sz="6" w:space="0"/>
                    <w:right w:val="single" w:color="000000" w:sz="6" w:space="0"/>
                  </w:tcBorders>
                  <w:noWrap w:val="0"/>
                  <w:vAlign w:val="center"/>
                </w:tcPr>
                <w:p w14:paraId="1287B56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电炉熔化</w:t>
                  </w:r>
                </w:p>
              </w:tc>
              <w:tc>
                <w:tcPr>
                  <w:tcW w:w="699" w:type="pct"/>
                  <w:tcBorders>
                    <w:left w:val="single" w:color="000000" w:sz="6" w:space="0"/>
                    <w:right w:val="single" w:color="000000" w:sz="6" w:space="0"/>
                  </w:tcBorders>
                  <w:noWrap w:val="0"/>
                  <w:vAlign w:val="center"/>
                </w:tcPr>
                <w:p w14:paraId="1B459C4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废气处理</w:t>
                  </w:r>
                </w:p>
              </w:tc>
              <w:tc>
                <w:tcPr>
                  <w:tcW w:w="1005" w:type="pct"/>
                  <w:tcBorders>
                    <w:left w:val="single" w:color="000000" w:sz="6" w:space="0"/>
                    <w:right w:val="single" w:color="000000" w:sz="6" w:space="0"/>
                  </w:tcBorders>
                  <w:noWrap w:val="0"/>
                  <w:vAlign w:val="center"/>
                </w:tcPr>
                <w:p w14:paraId="0251C94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废气处理</w:t>
                  </w:r>
                </w:p>
              </w:tc>
              <w:tc>
                <w:tcPr>
                  <w:tcW w:w="708" w:type="pct"/>
                  <w:tcBorders>
                    <w:left w:val="single" w:color="000000" w:sz="6" w:space="0"/>
                  </w:tcBorders>
                  <w:noWrap w:val="0"/>
                  <w:vAlign w:val="center"/>
                </w:tcPr>
                <w:p w14:paraId="51F003A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设备维修</w:t>
                  </w:r>
                </w:p>
              </w:tc>
              <w:tc>
                <w:tcPr>
                  <w:tcW w:w="466" w:type="pct"/>
                  <w:tcBorders>
                    <w:left w:val="single" w:color="000000" w:sz="6" w:space="0"/>
                  </w:tcBorders>
                  <w:noWrap w:val="0"/>
                  <w:vAlign w:val="center"/>
                </w:tcPr>
                <w:p w14:paraId="737CA2FD">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日常生活</w:t>
                  </w:r>
                </w:p>
              </w:tc>
            </w:tr>
            <w:tr w14:paraId="21E34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1" w:type="pct"/>
                  <w:noWrap w:val="0"/>
                  <w:vAlign w:val="center"/>
                </w:tcPr>
                <w:p w14:paraId="6CC1896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属性</w:t>
                  </w:r>
                </w:p>
              </w:tc>
              <w:tc>
                <w:tcPr>
                  <w:tcW w:w="2357" w:type="pct"/>
                  <w:gridSpan w:val="4"/>
                  <w:tcBorders>
                    <w:right w:val="single" w:color="000000" w:sz="6" w:space="0"/>
                  </w:tcBorders>
                  <w:noWrap w:val="0"/>
                  <w:vAlign w:val="center"/>
                </w:tcPr>
                <w:p w14:paraId="24F416C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一般固体废物</w:t>
                  </w:r>
                </w:p>
              </w:tc>
              <w:tc>
                <w:tcPr>
                  <w:tcW w:w="1005" w:type="pct"/>
                  <w:tcBorders>
                    <w:left w:val="single" w:color="000000" w:sz="6" w:space="0"/>
                    <w:right w:val="single" w:color="000000" w:sz="6" w:space="0"/>
                  </w:tcBorders>
                  <w:noWrap w:val="0"/>
                  <w:vAlign w:val="center"/>
                </w:tcPr>
                <w:p w14:paraId="3FB9558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危险废物</w:t>
                  </w:r>
                </w:p>
              </w:tc>
              <w:tc>
                <w:tcPr>
                  <w:tcW w:w="708" w:type="pct"/>
                  <w:tcBorders>
                    <w:left w:val="single" w:color="000000" w:sz="6" w:space="0"/>
                  </w:tcBorders>
                  <w:noWrap w:val="0"/>
                  <w:vAlign w:val="center"/>
                </w:tcPr>
                <w:p w14:paraId="496EF0E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危险废物</w:t>
                  </w:r>
                </w:p>
              </w:tc>
              <w:tc>
                <w:tcPr>
                  <w:tcW w:w="466" w:type="pct"/>
                  <w:tcBorders>
                    <w:left w:val="single" w:color="000000" w:sz="6" w:space="0"/>
                  </w:tcBorders>
                  <w:noWrap w:val="0"/>
                  <w:vAlign w:val="center"/>
                </w:tcPr>
                <w:p w14:paraId="7F6B7E2C">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r>
            <w:tr w14:paraId="1E53F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1" w:type="pct"/>
                  <w:noWrap w:val="0"/>
                  <w:vAlign w:val="center"/>
                </w:tcPr>
                <w:p w14:paraId="7B07362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废物类别</w:t>
                  </w:r>
                </w:p>
              </w:tc>
              <w:tc>
                <w:tcPr>
                  <w:tcW w:w="507" w:type="pct"/>
                  <w:tcBorders>
                    <w:right w:val="single" w:color="000000" w:sz="6" w:space="0"/>
                  </w:tcBorders>
                  <w:noWrap w:val="0"/>
                  <w:vAlign w:val="center"/>
                </w:tcPr>
                <w:p w14:paraId="224148B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479" w:type="pct"/>
                  <w:tcBorders>
                    <w:left w:val="single" w:color="000000" w:sz="6" w:space="0"/>
                  </w:tcBorders>
                  <w:noWrap w:val="0"/>
                  <w:vAlign w:val="center"/>
                </w:tcPr>
                <w:p w14:paraId="7FFF598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670" w:type="pct"/>
                  <w:tcBorders>
                    <w:left w:val="single" w:color="000000" w:sz="6" w:space="0"/>
                  </w:tcBorders>
                  <w:noWrap w:val="0"/>
                  <w:vAlign w:val="center"/>
                </w:tcPr>
                <w:p w14:paraId="2B0660C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699" w:type="pct"/>
                  <w:tcBorders>
                    <w:right w:val="single" w:color="000000" w:sz="6" w:space="0"/>
                  </w:tcBorders>
                  <w:noWrap w:val="0"/>
                  <w:vAlign w:val="center"/>
                </w:tcPr>
                <w:p w14:paraId="4FB2CF0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1005" w:type="pct"/>
                  <w:tcBorders>
                    <w:left w:val="single" w:color="000000" w:sz="6" w:space="0"/>
                    <w:right w:val="single" w:color="000000" w:sz="6" w:space="0"/>
                  </w:tcBorders>
                  <w:noWrap w:val="0"/>
                  <w:vAlign w:val="center"/>
                </w:tcPr>
                <w:p w14:paraId="7368309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HW49</w:t>
                  </w:r>
                </w:p>
              </w:tc>
              <w:tc>
                <w:tcPr>
                  <w:tcW w:w="708" w:type="pct"/>
                  <w:tcBorders>
                    <w:left w:val="single" w:color="000000" w:sz="6" w:space="0"/>
                  </w:tcBorders>
                  <w:noWrap w:val="0"/>
                  <w:vAlign w:val="center"/>
                </w:tcPr>
                <w:p w14:paraId="692B139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HW08</w:t>
                  </w:r>
                </w:p>
              </w:tc>
              <w:tc>
                <w:tcPr>
                  <w:tcW w:w="466" w:type="pct"/>
                  <w:tcBorders>
                    <w:left w:val="single" w:color="000000" w:sz="6" w:space="0"/>
                  </w:tcBorders>
                  <w:noWrap w:val="0"/>
                  <w:vAlign w:val="center"/>
                </w:tcPr>
                <w:p w14:paraId="49A50C81">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r>
            <w:tr w14:paraId="24C67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1" w:type="pct"/>
                  <w:noWrap w:val="0"/>
                  <w:vAlign w:val="center"/>
                </w:tcPr>
                <w:p w14:paraId="1A4DA12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废物代码</w:t>
                  </w:r>
                </w:p>
              </w:tc>
              <w:tc>
                <w:tcPr>
                  <w:tcW w:w="507" w:type="pct"/>
                  <w:tcBorders>
                    <w:right w:val="single" w:color="000000" w:sz="6" w:space="0"/>
                  </w:tcBorders>
                  <w:noWrap w:val="0"/>
                  <w:vAlign w:val="center"/>
                </w:tcPr>
                <w:p w14:paraId="39ED411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900-001-S17</w:t>
                  </w:r>
                </w:p>
              </w:tc>
              <w:tc>
                <w:tcPr>
                  <w:tcW w:w="479" w:type="pct"/>
                  <w:tcBorders>
                    <w:left w:val="single" w:color="000000" w:sz="6" w:space="0"/>
                  </w:tcBorders>
                  <w:noWrap w:val="0"/>
                  <w:vAlign w:val="center"/>
                </w:tcPr>
                <w:p w14:paraId="62E334A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900-001-S59</w:t>
                  </w:r>
                </w:p>
              </w:tc>
              <w:tc>
                <w:tcPr>
                  <w:tcW w:w="670" w:type="pct"/>
                  <w:tcBorders>
                    <w:left w:val="single" w:color="000000" w:sz="6" w:space="0"/>
                  </w:tcBorders>
                  <w:noWrap w:val="0"/>
                  <w:vAlign w:val="center"/>
                </w:tcPr>
                <w:p w14:paraId="3F349D6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900-099-S59</w:t>
                  </w:r>
                </w:p>
              </w:tc>
              <w:tc>
                <w:tcPr>
                  <w:tcW w:w="699" w:type="pct"/>
                  <w:tcBorders>
                    <w:right w:val="single" w:color="000000" w:sz="6" w:space="0"/>
                  </w:tcBorders>
                  <w:noWrap w:val="0"/>
                  <w:vAlign w:val="center"/>
                </w:tcPr>
                <w:p w14:paraId="2CAD25C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900-009-S17</w:t>
                  </w:r>
                </w:p>
              </w:tc>
              <w:tc>
                <w:tcPr>
                  <w:tcW w:w="1005" w:type="pct"/>
                  <w:tcBorders>
                    <w:left w:val="single" w:color="000000" w:sz="6" w:space="0"/>
                    <w:right w:val="single" w:color="000000" w:sz="6" w:space="0"/>
                  </w:tcBorders>
                  <w:noWrap w:val="0"/>
                  <w:vAlign w:val="center"/>
                </w:tcPr>
                <w:p w14:paraId="162364B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900-039-49</w:t>
                  </w:r>
                </w:p>
              </w:tc>
              <w:tc>
                <w:tcPr>
                  <w:tcW w:w="708" w:type="pct"/>
                  <w:tcBorders>
                    <w:left w:val="single" w:color="000000" w:sz="6" w:space="0"/>
                  </w:tcBorders>
                  <w:noWrap w:val="0"/>
                  <w:vAlign w:val="center"/>
                </w:tcPr>
                <w:p w14:paraId="3B03E17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900-249-08</w:t>
                  </w:r>
                </w:p>
              </w:tc>
              <w:tc>
                <w:tcPr>
                  <w:tcW w:w="466" w:type="pct"/>
                  <w:tcBorders>
                    <w:left w:val="single" w:color="000000" w:sz="6" w:space="0"/>
                  </w:tcBorders>
                  <w:noWrap w:val="0"/>
                  <w:vAlign w:val="center"/>
                </w:tcPr>
                <w:p w14:paraId="3052B28D">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r>
            <w:tr w14:paraId="4995A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1" w:type="pct"/>
                  <w:noWrap w:val="0"/>
                  <w:vAlign w:val="center"/>
                </w:tcPr>
                <w:p w14:paraId="2EB797B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物理性状</w:t>
                  </w:r>
                </w:p>
              </w:tc>
              <w:tc>
                <w:tcPr>
                  <w:tcW w:w="507" w:type="pct"/>
                  <w:tcBorders>
                    <w:right w:val="single" w:color="000000" w:sz="6" w:space="0"/>
                  </w:tcBorders>
                  <w:noWrap w:val="0"/>
                  <w:vAlign w:val="center"/>
                </w:tcPr>
                <w:p w14:paraId="267EEEA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固态</w:t>
                  </w:r>
                </w:p>
              </w:tc>
              <w:tc>
                <w:tcPr>
                  <w:tcW w:w="479" w:type="pct"/>
                  <w:tcBorders>
                    <w:left w:val="single" w:color="000000" w:sz="6" w:space="0"/>
                  </w:tcBorders>
                  <w:noWrap w:val="0"/>
                  <w:vAlign w:val="center"/>
                </w:tcPr>
                <w:p w14:paraId="62BEB2B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固态</w:t>
                  </w:r>
                </w:p>
              </w:tc>
              <w:tc>
                <w:tcPr>
                  <w:tcW w:w="670" w:type="pct"/>
                  <w:tcBorders>
                    <w:left w:val="single" w:color="000000" w:sz="6" w:space="0"/>
                  </w:tcBorders>
                  <w:noWrap w:val="0"/>
                  <w:vAlign w:val="center"/>
                </w:tcPr>
                <w:p w14:paraId="13B8669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固态</w:t>
                  </w:r>
                </w:p>
              </w:tc>
              <w:tc>
                <w:tcPr>
                  <w:tcW w:w="699" w:type="pct"/>
                  <w:tcBorders>
                    <w:right w:val="single" w:color="000000" w:sz="6" w:space="0"/>
                  </w:tcBorders>
                  <w:noWrap w:val="0"/>
                  <w:vAlign w:val="center"/>
                </w:tcPr>
                <w:p w14:paraId="5A78348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固态</w:t>
                  </w:r>
                </w:p>
              </w:tc>
              <w:tc>
                <w:tcPr>
                  <w:tcW w:w="1005" w:type="pct"/>
                  <w:tcBorders>
                    <w:left w:val="single" w:color="000000" w:sz="6" w:space="0"/>
                    <w:right w:val="single" w:color="000000" w:sz="6" w:space="0"/>
                  </w:tcBorders>
                  <w:noWrap w:val="0"/>
                  <w:vAlign w:val="center"/>
                </w:tcPr>
                <w:p w14:paraId="2B197F0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固态</w:t>
                  </w:r>
                </w:p>
              </w:tc>
              <w:tc>
                <w:tcPr>
                  <w:tcW w:w="708" w:type="pct"/>
                  <w:tcBorders>
                    <w:left w:val="single" w:color="000000" w:sz="6" w:space="0"/>
                  </w:tcBorders>
                  <w:noWrap w:val="0"/>
                  <w:vAlign w:val="center"/>
                </w:tcPr>
                <w:p w14:paraId="06D5B1F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液态</w:t>
                  </w:r>
                </w:p>
              </w:tc>
              <w:tc>
                <w:tcPr>
                  <w:tcW w:w="466" w:type="pct"/>
                  <w:tcBorders>
                    <w:left w:val="single" w:color="000000" w:sz="6" w:space="0"/>
                  </w:tcBorders>
                  <w:noWrap w:val="0"/>
                  <w:vAlign w:val="center"/>
                </w:tcPr>
                <w:p w14:paraId="481CE735">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固态</w:t>
                  </w:r>
                </w:p>
              </w:tc>
            </w:tr>
            <w:tr w14:paraId="63207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1" w:type="pct"/>
                  <w:noWrap w:val="0"/>
                  <w:vAlign w:val="center"/>
                </w:tcPr>
                <w:p w14:paraId="7AB37CC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主要成分</w:t>
                  </w:r>
                </w:p>
              </w:tc>
              <w:tc>
                <w:tcPr>
                  <w:tcW w:w="507" w:type="pct"/>
                  <w:tcBorders>
                    <w:right w:val="single" w:color="000000" w:sz="6" w:space="0"/>
                  </w:tcBorders>
                  <w:noWrap w:val="0"/>
                  <w:vAlign w:val="center"/>
                </w:tcPr>
                <w:p w14:paraId="72EAD32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铁</w:t>
                  </w:r>
                </w:p>
              </w:tc>
              <w:tc>
                <w:tcPr>
                  <w:tcW w:w="479" w:type="pct"/>
                  <w:tcBorders>
                    <w:left w:val="single" w:color="000000" w:sz="6" w:space="0"/>
                  </w:tcBorders>
                  <w:noWrap w:val="0"/>
                  <w:vAlign w:val="center"/>
                </w:tcPr>
                <w:p w14:paraId="47CB2F6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砂子</w:t>
                  </w:r>
                </w:p>
              </w:tc>
              <w:tc>
                <w:tcPr>
                  <w:tcW w:w="670" w:type="pct"/>
                  <w:tcBorders>
                    <w:left w:val="single" w:color="000000" w:sz="6" w:space="0"/>
                  </w:tcBorders>
                  <w:noWrap w:val="0"/>
                  <w:vAlign w:val="center"/>
                </w:tcPr>
                <w:p w14:paraId="1BF514C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泥土</w:t>
                  </w:r>
                </w:p>
              </w:tc>
              <w:tc>
                <w:tcPr>
                  <w:tcW w:w="699" w:type="pct"/>
                  <w:tcBorders>
                    <w:right w:val="single" w:color="000000" w:sz="6" w:space="0"/>
                  </w:tcBorders>
                  <w:noWrap w:val="0"/>
                  <w:vAlign w:val="center"/>
                </w:tcPr>
                <w:p w14:paraId="2C63CB7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粉尘</w:t>
                  </w:r>
                </w:p>
              </w:tc>
              <w:tc>
                <w:tcPr>
                  <w:tcW w:w="1005" w:type="pct"/>
                  <w:tcBorders>
                    <w:left w:val="single" w:color="000000" w:sz="6" w:space="0"/>
                    <w:right w:val="single" w:color="000000" w:sz="6" w:space="0"/>
                  </w:tcBorders>
                  <w:noWrap w:val="0"/>
                  <w:vAlign w:val="center"/>
                </w:tcPr>
                <w:p w14:paraId="2470C70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含有机废物活性炭</w:t>
                  </w:r>
                </w:p>
              </w:tc>
              <w:tc>
                <w:tcPr>
                  <w:tcW w:w="708" w:type="pct"/>
                  <w:tcBorders>
                    <w:left w:val="single" w:color="000000" w:sz="6" w:space="0"/>
                  </w:tcBorders>
                  <w:noWrap w:val="0"/>
                  <w:vAlign w:val="center"/>
                </w:tcPr>
                <w:p w14:paraId="4CC79DE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废机油</w:t>
                  </w:r>
                </w:p>
              </w:tc>
              <w:tc>
                <w:tcPr>
                  <w:tcW w:w="466" w:type="pct"/>
                  <w:tcBorders>
                    <w:left w:val="single" w:color="000000" w:sz="6" w:space="0"/>
                  </w:tcBorders>
                  <w:noWrap w:val="0"/>
                  <w:vAlign w:val="center"/>
                </w:tcPr>
                <w:p w14:paraId="0501D95B">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纸、塑料等</w:t>
                  </w:r>
                </w:p>
              </w:tc>
            </w:tr>
            <w:tr w14:paraId="7B602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1" w:type="pct"/>
                  <w:noWrap w:val="0"/>
                  <w:vAlign w:val="center"/>
                </w:tcPr>
                <w:p w14:paraId="6FA5D70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危险特性</w:t>
                  </w:r>
                </w:p>
              </w:tc>
              <w:tc>
                <w:tcPr>
                  <w:tcW w:w="507" w:type="pct"/>
                  <w:tcBorders>
                    <w:right w:val="single" w:color="000000" w:sz="6" w:space="0"/>
                  </w:tcBorders>
                  <w:noWrap w:val="0"/>
                  <w:vAlign w:val="center"/>
                </w:tcPr>
                <w:p w14:paraId="74F433F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479" w:type="pct"/>
                  <w:tcBorders>
                    <w:left w:val="single" w:color="000000" w:sz="6" w:space="0"/>
                  </w:tcBorders>
                  <w:noWrap w:val="0"/>
                  <w:vAlign w:val="center"/>
                </w:tcPr>
                <w:p w14:paraId="5A8A86C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670" w:type="pct"/>
                  <w:tcBorders>
                    <w:left w:val="single" w:color="000000" w:sz="6" w:space="0"/>
                  </w:tcBorders>
                  <w:noWrap w:val="0"/>
                  <w:vAlign w:val="center"/>
                </w:tcPr>
                <w:p w14:paraId="64883E7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699" w:type="pct"/>
                  <w:tcBorders>
                    <w:right w:val="single" w:color="000000" w:sz="6" w:space="0"/>
                  </w:tcBorders>
                  <w:noWrap w:val="0"/>
                  <w:vAlign w:val="center"/>
                </w:tcPr>
                <w:p w14:paraId="506784F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1005" w:type="pct"/>
                  <w:tcBorders>
                    <w:left w:val="single" w:color="000000" w:sz="6" w:space="0"/>
                    <w:right w:val="single" w:color="000000" w:sz="6" w:space="0"/>
                  </w:tcBorders>
                  <w:noWrap w:val="0"/>
                  <w:vAlign w:val="center"/>
                </w:tcPr>
                <w:p w14:paraId="30952EC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T</w:t>
                  </w:r>
                </w:p>
              </w:tc>
              <w:tc>
                <w:tcPr>
                  <w:tcW w:w="708" w:type="pct"/>
                  <w:tcBorders>
                    <w:left w:val="single" w:color="000000" w:sz="6" w:space="0"/>
                  </w:tcBorders>
                  <w:noWrap w:val="0"/>
                  <w:vAlign w:val="center"/>
                </w:tcPr>
                <w:p w14:paraId="13C5E27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466" w:type="pct"/>
                  <w:tcBorders>
                    <w:left w:val="single" w:color="000000" w:sz="6" w:space="0"/>
                  </w:tcBorders>
                  <w:noWrap w:val="0"/>
                  <w:vAlign w:val="center"/>
                </w:tcPr>
                <w:p w14:paraId="6D212013">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r>
            <w:tr w14:paraId="6BC12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1" w:type="pct"/>
                  <w:noWrap w:val="0"/>
                  <w:vAlign w:val="center"/>
                </w:tcPr>
                <w:p w14:paraId="48EF4E4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产生量</w:t>
                  </w:r>
                </w:p>
              </w:tc>
              <w:tc>
                <w:tcPr>
                  <w:tcW w:w="507" w:type="pct"/>
                  <w:tcBorders>
                    <w:right w:val="single" w:color="000000" w:sz="6" w:space="0"/>
                  </w:tcBorders>
                  <w:noWrap w:val="0"/>
                  <w:vAlign w:val="center"/>
                </w:tcPr>
                <w:p w14:paraId="037512E6">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0.3t/a</w:t>
                  </w:r>
                </w:p>
              </w:tc>
              <w:tc>
                <w:tcPr>
                  <w:tcW w:w="479" w:type="pct"/>
                  <w:tcBorders>
                    <w:left w:val="single" w:color="000000" w:sz="6" w:space="0"/>
                  </w:tcBorders>
                  <w:noWrap w:val="0"/>
                  <w:vAlign w:val="center"/>
                </w:tcPr>
                <w:p w14:paraId="4AB2DF26">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8t/a</w:t>
                  </w:r>
                </w:p>
              </w:tc>
              <w:tc>
                <w:tcPr>
                  <w:tcW w:w="670" w:type="pct"/>
                  <w:tcBorders>
                    <w:left w:val="single" w:color="000000" w:sz="6" w:space="0"/>
                  </w:tcBorders>
                  <w:noWrap w:val="0"/>
                  <w:vAlign w:val="center"/>
                </w:tcPr>
                <w:p w14:paraId="49F19A8F">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10t/a</w:t>
                  </w:r>
                </w:p>
              </w:tc>
              <w:tc>
                <w:tcPr>
                  <w:tcW w:w="699" w:type="pct"/>
                  <w:tcBorders>
                    <w:right w:val="single" w:color="000000" w:sz="6" w:space="0"/>
                  </w:tcBorders>
                  <w:noWrap w:val="0"/>
                  <w:vAlign w:val="center"/>
                </w:tcPr>
                <w:p w14:paraId="2DF9F042">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18.6884t/a</w:t>
                  </w:r>
                </w:p>
              </w:tc>
              <w:tc>
                <w:tcPr>
                  <w:tcW w:w="1005" w:type="pct"/>
                  <w:tcBorders>
                    <w:left w:val="single" w:color="000000" w:sz="6" w:space="0"/>
                    <w:right w:val="single" w:color="000000" w:sz="6" w:space="0"/>
                  </w:tcBorders>
                  <w:noWrap w:val="0"/>
                  <w:vAlign w:val="center"/>
                </w:tcPr>
                <w:p w14:paraId="5D4D67F7">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1.1674t/a</w:t>
                  </w:r>
                </w:p>
              </w:tc>
              <w:tc>
                <w:tcPr>
                  <w:tcW w:w="708" w:type="pct"/>
                  <w:tcBorders>
                    <w:left w:val="single" w:color="000000" w:sz="6" w:space="0"/>
                  </w:tcBorders>
                  <w:noWrap w:val="0"/>
                  <w:vAlign w:val="center"/>
                </w:tcPr>
                <w:p w14:paraId="0EF9ABCB">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0.2t/a</w:t>
                  </w:r>
                </w:p>
              </w:tc>
              <w:tc>
                <w:tcPr>
                  <w:tcW w:w="466" w:type="pct"/>
                  <w:tcBorders>
                    <w:left w:val="single" w:color="000000" w:sz="6" w:space="0"/>
                  </w:tcBorders>
                  <w:noWrap w:val="0"/>
                  <w:vAlign w:val="center"/>
                </w:tcPr>
                <w:p w14:paraId="10EF83BF">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9.18t/a</w:t>
                  </w:r>
                </w:p>
              </w:tc>
            </w:tr>
            <w:tr w14:paraId="786F3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1" w:type="pct"/>
                  <w:noWrap w:val="0"/>
                  <w:vAlign w:val="center"/>
                </w:tcPr>
                <w:p w14:paraId="6D000D2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贮存方式</w:t>
                  </w:r>
                </w:p>
              </w:tc>
              <w:tc>
                <w:tcPr>
                  <w:tcW w:w="507" w:type="pct"/>
                  <w:tcBorders>
                    <w:right w:val="single" w:color="000000" w:sz="6" w:space="0"/>
                  </w:tcBorders>
                  <w:noWrap w:val="0"/>
                  <w:vAlign w:val="center"/>
                </w:tcPr>
                <w:p w14:paraId="37D5F20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一般固废暂存区</w:t>
                  </w:r>
                </w:p>
              </w:tc>
              <w:tc>
                <w:tcPr>
                  <w:tcW w:w="479" w:type="pct"/>
                  <w:tcBorders>
                    <w:left w:val="single" w:color="000000" w:sz="6" w:space="0"/>
                  </w:tcBorders>
                  <w:noWrap w:val="0"/>
                  <w:vAlign w:val="center"/>
                </w:tcPr>
                <w:p w14:paraId="1649804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一般固废暂存区</w:t>
                  </w:r>
                </w:p>
              </w:tc>
              <w:tc>
                <w:tcPr>
                  <w:tcW w:w="670" w:type="pct"/>
                  <w:tcBorders>
                    <w:left w:val="single" w:color="000000" w:sz="6" w:space="0"/>
                  </w:tcBorders>
                  <w:noWrap w:val="0"/>
                  <w:vAlign w:val="center"/>
                </w:tcPr>
                <w:p w14:paraId="0744931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一般固废暂存区</w:t>
                  </w:r>
                </w:p>
              </w:tc>
              <w:tc>
                <w:tcPr>
                  <w:tcW w:w="699" w:type="pct"/>
                  <w:tcBorders>
                    <w:right w:val="single" w:color="000000" w:sz="6" w:space="0"/>
                  </w:tcBorders>
                  <w:noWrap w:val="0"/>
                  <w:vAlign w:val="center"/>
                </w:tcPr>
                <w:p w14:paraId="516B020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一般固废暂存区</w:t>
                  </w:r>
                </w:p>
              </w:tc>
              <w:tc>
                <w:tcPr>
                  <w:tcW w:w="1005" w:type="pct"/>
                  <w:tcBorders>
                    <w:right w:val="single" w:color="000000" w:sz="6" w:space="0"/>
                  </w:tcBorders>
                  <w:noWrap w:val="0"/>
                  <w:vAlign w:val="center"/>
                </w:tcPr>
                <w:p w14:paraId="7072C70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708" w:type="pct"/>
                  <w:tcBorders>
                    <w:left w:val="single" w:color="000000" w:sz="6" w:space="0"/>
                  </w:tcBorders>
                  <w:noWrap w:val="0"/>
                  <w:vAlign w:val="center"/>
                </w:tcPr>
                <w:p w14:paraId="2EE64BA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466" w:type="pct"/>
                  <w:tcBorders>
                    <w:left w:val="single" w:color="000000" w:sz="6" w:space="0"/>
                  </w:tcBorders>
                  <w:noWrap w:val="0"/>
                  <w:vAlign w:val="center"/>
                </w:tcPr>
                <w:p w14:paraId="6C75ABE9">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r>
            <w:tr w14:paraId="53E56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1" w:type="pct"/>
                  <w:noWrap w:val="0"/>
                  <w:vAlign w:val="center"/>
                </w:tcPr>
                <w:p w14:paraId="7597610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处置方式</w:t>
                  </w:r>
                </w:p>
              </w:tc>
              <w:tc>
                <w:tcPr>
                  <w:tcW w:w="2357" w:type="pct"/>
                  <w:gridSpan w:val="4"/>
                  <w:tcBorders>
                    <w:right w:val="single" w:color="000000" w:sz="6" w:space="0"/>
                  </w:tcBorders>
                  <w:noWrap w:val="0"/>
                  <w:vAlign w:val="center"/>
                </w:tcPr>
                <w:p w14:paraId="2DD16E4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集中收集后外售</w:t>
                  </w:r>
                </w:p>
              </w:tc>
              <w:tc>
                <w:tcPr>
                  <w:tcW w:w="1005" w:type="pct"/>
                  <w:tcBorders>
                    <w:right w:val="single" w:color="000000" w:sz="6" w:space="0"/>
                  </w:tcBorders>
                  <w:noWrap w:val="0"/>
                  <w:vAlign w:val="center"/>
                </w:tcPr>
                <w:p w14:paraId="1E96FA8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暂存于危废暂存间，定期委托有危险废物处置资质的单位转运处置</w:t>
                  </w:r>
                </w:p>
              </w:tc>
              <w:tc>
                <w:tcPr>
                  <w:tcW w:w="708" w:type="pct"/>
                  <w:tcBorders>
                    <w:left w:val="single" w:color="000000" w:sz="6" w:space="0"/>
                  </w:tcBorders>
                  <w:noWrap w:val="0"/>
                  <w:vAlign w:val="center"/>
                </w:tcPr>
                <w:p w14:paraId="42985B2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暂存于危废暂存间，定期委托有危险废物处置资质的单位转运处置</w:t>
                  </w:r>
                </w:p>
              </w:tc>
              <w:tc>
                <w:tcPr>
                  <w:tcW w:w="466" w:type="pct"/>
                  <w:tcBorders>
                    <w:left w:val="single" w:color="000000" w:sz="6" w:space="0"/>
                  </w:tcBorders>
                  <w:noWrap w:val="0"/>
                  <w:vAlign w:val="center"/>
                </w:tcPr>
                <w:p w14:paraId="31173D8A">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经垃圾桶分类收集后由环卫部门转运处置</w:t>
                  </w:r>
                </w:p>
              </w:tc>
            </w:tr>
            <w:tr w14:paraId="2DE09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1" w:type="pct"/>
                  <w:noWrap w:val="0"/>
                  <w:vAlign w:val="center"/>
                </w:tcPr>
                <w:p w14:paraId="0CAD7AB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处置量</w:t>
                  </w:r>
                </w:p>
              </w:tc>
              <w:tc>
                <w:tcPr>
                  <w:tcW w:w="507" w:type="pct"/>
                  <w:tcBorders>
                    <w:right w:val="single" w:color="000000" w:sz="6" w:space="0"/>
                  </w:tcBorders>
                  <w:noWrap w:val="0"/>
                  <w:vAlign w:val="center"/>
                </w:tcPr>
                <w:p w14:paraId="6F74108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0.3t/a</w:t>
                  </w:r>
                </w:p>
              </w:tc>
              <w:tc>
                <w:tcPr>
                  <w:tcW w:w="479" w:type="pct"/>
                  <w:tcBorders>
                    <w:left w:val="single" w:color="000000" w:sz="6" w:space="0"/>
                  </w:tcBorders>
                  <w:noWrap w:val="0"/>
                  <w:vAlign w:val="center"/>
                </w:tcPr>
                <w:p w14:paraId="5A9A186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8t/a</w:t>
                  </w:r>
                </w:p>
              </w:tc>
              <w:tc>
                <w:tcPr>
                  <w:tcW w:w="670" w:type="pct"/>
                  <w:tcBorders>
                    <w:left w:val="single" w:color="000000" w:sz="6" w:space="0"/>
                  </w:tcBorders>
                  <w:noWrap w:val="0"/>
                  <w:vAlign w:val="center"/>
                </w:tcPr>
                <w:p w14:paraId="145919A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10t/a</w:t>
                  </w:r>
                </w:p>
              </w:tc>
              <w:tc>
                <w:tcPr>
                  <w:tcW w:w="699" w:type="pct"/>
                  <w:tcBorders>
                    <w:right w:val="single" w:color="000000" w:sz="6" w:space="0"/>
                  </w:tcBorders>
                  <w:noWrap w:val="0"/>
                  <w:vAlign w:val="center"/>
                </w:tcPr>
                <w:p w14:paraId="0A0FBC7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18.6884t/a</w:t>
                  </w:r>
                </w:p>
              </w:tc>
              <w:tc>
                <w:tcPr>
                  <w:tcW w:w="1005" w:type="pct"/>
                  <w:tcBorders>
                    <w:left w:val="single" w:color="000000" w:sz="6" w:space="0"/>
                    <w:right w:val="single" w:color="000000" w:sz="6" w:space="0"/>
                  </w:tcBorders>
                  <w:noWrap w:val="0"/>
                  <w:vAlign w:val="center"/>
                </w:tcPr>
                <w:p w14:paraId="50E1FC0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1.1674t/a</w:t>
                  </w:r>
                </w:p>
              </w:tc>
              <w:tc>
                <w:tcPr>
                  <w:tcW w:w="708" w:type="pct"/>
                  <w:tcBorders>
                    <w:left w:val="single" w:color="000000" w:sz="6" w:space="0"/>
                  </w:tcBorders>
                  <w:noWrap w:val="0"/>
                  <w:vAlign w:val="center"/>
                </w:tcPr>
                <w:p w14:paraId="1F0DAEB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0.2t/a</w:t>
                  </w:r>
                </w:p>
              </w:tc>
              <w:tc>
                <w:tcPr>
                  <w:tcW w:w="466" w:type="pct"/>
                  <w:tcBorders>
                    <w:left w:val="single" w:color="000000" w:sz="6" w:space="0"/>
                  </w:tcBorders>
                  <w:noWrap w:val="0"/>
                  <w:vAlign w:val="center"/>
                </w:tcPr>
                <w:p w14:paraId="5E47B29A">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9.18t/a</w:t>
                  </w:r>
                </w:p>
              </w:tc>
            </w:tr>
          </w:tbl>
          <w:p w14:paraId="11266C50">
            <w:pPr>
              <w:pStyle w:val="2"/>
              <w:keepNext w:val="0"/>
              <w:keepLines w:val="0"/>
              <w:suppressLineNumbers w:val="0"/>
              <w:spacing w:before="0" w:beforeAutospacing="0" w:afterAutospacing="0"/>
              <w:ind w:left="0" w:right="0"/>
              <w:rPr>
                <w:rFonts w:hint="default" w:ascii="Times New Roman" w:hAnsi="Times New Roman" w:eastAsia="宋体" w:cs="Times New Roman"/>
                <w:color w:val="auto"/>
                <w:spacing w:val="0"/>
                <w:w w:val="100"/>
                <w:kern w:val="0"/>
                <w:position w:val="0"/>
                <w:sz w:val="24"/>
                <w:szCs w:val="21"/>
                <w:highlight w:val="none"/>
                <w:lang w:val="en-US" w:eastAsia="zh-CN"/>
              </w:rPr>
            </w:pPr>
            <w:r>
              <w:rPr>
                <w:rFonts w:hint="default" w:ascii="Times New Roman" w:hAnsi="Times New Roman" w:eastAsia="宋体" w:cs="Times New Roman"/>
                <w:color w:val="auto"/>
                <w:spacing w:val="0"/>
                <w:w w:val="100"/>
                <w:kern w:val="0"/>
                <w:position w:val="0"/>
                <w:sz w:val="24"/>
                <w:szCs w:val="21"/>
                <w:highlight w:val="none"/>
                <w:lang w:val="en-US" w:eastAsia="zh-CN"/>
              </w:rPr>
              <w:t>总体而言，项目产生的固体废物在产生、收集、贮存、转运、处置环节，严格管理，规范操作，各类固体废物均可得到有效处理、处置，对环境外排量为零，不会对外环境影响产生明显影响，亦不会造成二次污染。</w:t>
            </w:r>
          </w:p>
          <w:p w14:paraId="5A5B7178">
            <w:pPr>
              <w:keepNext w:val="0"/>
              <w:keepLines w:val="0"/>
              <w:suppressLineNumbers w:val="0"/>
              <w:spacing w:before="0" w:beforeAutospacing="0" w:after="0" w:afterAutospacing="0"/>
              <w:ind w:left="0" w:right="0"/>
              <w:rPr>
                <w:rFonts w:hint="default" w:ascii="Times New Roman" w:hAnsi="Times New Roman" w:eastAsia="宋体" w:cs="Times New Roman"/>
                <w:b/>
                <w:bCs/>
                <w:color w:val="auto"/>
                <w:spacing w:val="0"/>
                <w:w w:val="100"/>
                <w:kern w:val="0"/>
                <w:position w:val="0"/>
                <w:sz w:val="24"/>
                <w:lang w:val="en-US" w:eastAsia="zh-CN"/>
              </w:rPr>
            </w:pPr>
            <w:r>
              <w:rPr>
                <w:rFonts w:hint="default" w:ascii="Times New Roman" w:hAnsi="Times New Roman" w:eastAsia="宋体" w:cs="Times New Roman"/>
                <w:b/>
                <w:bCs/>
                <w:color w:val="auto"/>
                <w:spacing w:val="0"/>
                <w:w w:val="100"/>
                <w:kern w:val="0"/>
                <w:position w:val="0"/>
                <w:sz w:val="24"/>
                <w:lang w:val="en-US" w:eastAsia="zh-CN"/>
              </w:rPr>
              <w:t>2）固体废物环境管理要求</w:t>
            </w:r>
          </w:p>
          <w:p w14:paraId="2BF752EB">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固体废物应分类收集、分类贮存，如将危险废物与一般工业固体废物、生活垃圾混合贮存，会相互污染，不利于选择正确的处置方式并增加处置风险，不利于固体废物减量化、资源化，甚至造成环境二次污染。项目通过设置特定贮存工具对固体废物进行暂存，并且强化废物产生、收集、贮存各环节的管理，杜绝固体废物在厂区的散失、渗漏。各类工业固体废物在安全处置前，可暂存厂区内部，同时做好固体废物在厂区内的收集和储存相关防护工作，避免造成二次污染。</w:t>
            </w:r>
          </w:p>
          <w:p w14:paraId="67F2329A">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fldChar w:fldCharType="begin"/>
            </w:r>
            <w:r>
              <w:rPr>
                <w:rFonts w:hint="default" w:ascii="Times New Roman" w:hAnsi="Times New Roman" w:eastAsia="宋体" w:cs="Times New Roman"/>
                <w:b w:val="0"/>
                <w:bCs w:val="0"/>
                <w:color w:val="auto"/>
                <w:spacing w:val="0"/>
                <w:w w:val="100"/>
                <w:kern w:val="0"/>
                <w:position w:val="0"/>
                <w:sz w:val="24"/>
                <w:lang w:val="en-US" w:eastAsia="zh-CN"/>
              </w:rPr>
              <w:instrText xml:space="preserve"> = 1 \* ROMAN \* MERGEFORMAT </w:instrText>
            </w:r>
            <w:r>
              <w:rPr>
                <w:rFonts w:hint="default" w:ascii="Times New Roman" w:hAnsi="Times New Roman" w:eastAsia="宋体" w:cs="Times New Roman"/>
                <w:b w:val="0"/>
                <w:bCs w:val="0"/>
                <w:color w:val="auto"/>
                <w:spacing w:val="0"/>
                <w:w w:val="100"/>
                <w:kern w:val="0"/>
                <w:position w:val="0"/>
                <w:sz w:val="24"/>
                <w:lang w:val="en-US" w:eastAsia="zh-CN"/>
              </w:rPr>
              <w:fldChar w:fldCharType="separate"/>
            </w:r>
            <w:r>
              <w:rPr>
                <w:rFonts w:hint="default" w:ascii="Times New Roman" w:hAnsi="Times New Roman" w:eastAsia="宋体" w:cs="Times New Roman"/>
                <w:b w:val="0"/>
                <w:bCs w:val="0"/>
                <w:color w:val="auto"/>
                <w:spacing w:val="0"/>
                <w:w w:val="100"/>
                <w:kern w:val="0"/>
                <w:position w:val="0"/>
                <w:sz w:val="24"/>
                <w:lang w:val="en-US" w:eastAsia="zh-CN"/>
              </w:rPr>
              <w:t>I</w:t>
            </w:r>
            <w:r>
              <w:rPr>
                <w:rFonts w:hint="default" w:ascii="Times New Roman" w:hAnsi="Times New Roman" w:eastAsia="宋体" w:cs="Times New Roman"/>
                <w:b w:val="0"/>
                <w:bCs w:val="0"/>
                <w:color w:val="auto"/>
                <w:spacing w:val="0"/>
                <w:w w:val="100"/>
                <w:kern w:val="0"/>
                <w:position w:val="0"/>
                <w:sz w:val="24"/>
                <w:lang w:val="en-US" w:eastAsia="zh-CN"/>
              </w:rPr>
              <w:fldChar w:fldCharType="end"/>
            </w:r>
            <w:r>
              <w:rPr>
                <w:rFonts w:hint="default" w:ascii="Times New Roman" w:hAnsi="Times New Roman" w:eastAsia="宋体" w:cs="Times New Roman"/>
                <w:b w:val="0"/>
                <w:bCs w:val="0"/>
                <w:color w:val="auto"/>
                <w:spacing w:val="0"/>
                <w:w w:val="100"/>
                <w:kern w:val="0"/>
                <w:position w:val="0"/>
                <w:sz w:val="24"/>
                <w:lang w:val="en-US" w:eastAsia="zh-CN"/>
              </w:rPr>
              <w:t>、生活垃圾管理要求</w:t>
            </w:r>
          </w:p>
          <w:p w14:paraId="688D5BA8">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项目产生的生活垃圾采用垃圾桶进行分类收集，由环卫部门转运处置。</w:t>
            </w:r>
          </w:p>
          <w:p w14:paraId="6247491A">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fldChar w:fldCharType="begin"/>
            </w:r>
            <w:r>
              <w:rPr>
                <w:rFonts w:hint="default" w:ascii="Times New Roman" w:hAnsi="Times New Roman" w:eastAsia="宋体" w:cs="Times New Roman"/>
                <w:b w:val="0"/>
                <w:bCs w:val="0"/>
                <w:color w:val="auto"/>
                <w:spacing w:val="0"/>
                <w:w w:val="100"/>
                <w:kern w:val="0"/>
                <w:position w:val="0"/>
                <w:sz w:val="24"/>
                <w:lang w:val="en-US" w:eastAsia="zh-CN"/>
              </w:rPr>
              <w:instrText xml:space="preserve"> = 2 \* ROMAN \* MERGEFORMAT </w:instrText>
            </w:r>
            <w:r>
              <w:rPr>
                <w:rFonts w:hint="default" w:ascii="Times New Roman" w:hAnsi="Times New Roman" w:eastAsia="宋体" w:cs="Times New Roman"/>
                <w:b w:val="0"/>
                <w:bCs w:val="0"/>
                <w:color w:val="auto"/>
                <w:spacing w:val="0"/>
                <w:w w:val="100"/>
                <w:kern w:val="0"/>
                <w:position w:val="0"/>
                <w:sz w:val="24"/>
                <w:lang w:val="en-US" w:eastAsia="zh-CN"/>
              </w:rPr>
              <w:fldChar w:fldCharType="separate"/>
            </w:r>
            <w:r>
              <w:rPr>
                <w:rFonts w:hint="default" w:ascii="Times New Roman" w:hAnsi="Times New Roman" w:eastAsia="宋体" w:cs="Times New Roman"/>
                <w:b w:val="0"/>
                <w:bCs w:val="0"/>
                <w:color w:val="auto"/>
                <w:spacing w:val="0"/>
                <w:w w:val="100"/>
                <w:kern w:val="0"/>
                <w:position w:val="0"/>
                <w:sz w:val="24"/>
                <w:lang w:val="en-US" w:eastAsia="zh-CN"/>
              </w:rPr>
              <w:t>II</w:t>
            </w:r>
            <w:r>
              <w:rPr>
                <w:rFonts w:hint="default" w:ascii="Times New Roman" w:hAnsi="Times New Roman" w:eastAsia="宋体" w:cs="Times New Roman"/>
                <w:b w:val="0"/>
                <w:bCs w:val="0"/>
                <w:color w:val="auto"/>
                <w:spacing w:val="0"/>
                <w:w w:val="100"/>
                <w:kern w:val="0"/>
                <w:position w:val="0"/>
                <w:sz w:val="24"/>
                <w:lang w:val="en-US" w:eastAsia="zh-CN"/>
              </w:rPr>
              <w:fldChar w:fldCharType="end"/>
            </w:r>
            <w:r>
              <w:rPr>
                <w:rFonts w:hint="default" w:ascii="Times New Roman" w:hAnsi="Times New Roman" w:eastAsia="宋体" w:cs="Times New Roman"/>
                <w:b w:val="0"/>
                <w:bCs w:val="0"/>
                <w:color w:val="auto"/>
                <w:spacing w:val="0"/>
                <w:w w:val="100"/>
                <w:kern w:val="0"/>
                <w:position w:val="0"/>
                <w:sz w:val="24"/>
                <w:lang w:val="en-US" w:eastAsia="zh-CN"/>
              </w:rPr>
              <w:t>、一般工业固体废物管理要求</w:t>
            </w:r>
          </w:p>
          <w:p w14:paraId="524A6C64">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固体废物的管理遵照《中华人民共和国固体废物污染环境防治法》中的有关规定执行。项目一般固废暂存区占地面积约10m</w:t>
            </w:r>
            <w:r>
              <w:rPr>
                <w:rFonts w:hint="default" w:ascii="Times New Roman" w:hAnsi="Times New Roman" w:eastAsia="宋体" w:cs="Times New Roman"/>
                <w:b w:val="0"/>
                <w:bCs w:val="0"/>
                <w:color w:val="auto"/>
                <w:spacing w:val="0"/>
                <w:w w:val="100"/>
                <w:kern w:val="0"/>
                <w:position w:val="0"/>
                <w:sz w:val="24"/>
                <w:vertAlign w:val="superscript"/>
                <w:lang w:val="en-US" w:eastAsia="zh-CN"/>
              </w:rPr>
              <w:t>2</w:t>
            </w:r>
            <w:r>
              <w:rPr>
                <w:rFonts w:hint="default" w:ascii="Times New Roman" w:hAnsi="Times New Roman" w:eastAsia="宋体" w:cs="Times New Roman"/>
                <w:b w:val="0"/>
                <w:bCs w:val="0"/>
                <w:color w:val="auto"/>
                <w:spacing w:val="0"/>
                <w:w w:val="100"/>
                <w:kern w:val="0"/>
                <w:position w:val="0"/>
                <w:sz w:val="24"/>
                <w:lang w:val="en-US" w:eastAsia="zh-CN"/>
              </w:rPr>
              <w:t>，一般工业固体废物（废铁屑、废砂、炉渣、布袋除尘灰等）主要暂存于一般固废暂存区，废铁屑、废砂、炉渣、布袋除尘灰经分类收集后外售。因此，一般固废暂存区能够满足项目一般固体废物暂存需求。</w:t>
            </w:r>
          </w:p>
          <w:p w14:paraId="5B0BE57B">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项目一般固体废物分别采用特定容器盛装，地面采用水泥硬化进行防渗。一般固体废物暂存区按照《环境保护图形标志》等相关要求设置标志牌，建立环境管理台账制度，落实环境管理台账记录的责任部门和责任人。</w:t>
            </w:r>
          </w:p>
          <w:p w14:paraId="27D4DC96">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fldChar w:fldCharType="begin"/>
            </w:r>
            <w:r>
              <w:rPr>
                <w:rFonts w:hint="default" w:ascii="Times New Roman" w:hAnsi="Times New Roman" w:eastAsia="宋体" w:cs="Times New Roman"/>
                <w:b w:val="0"/>
                <w:bCs w:val="0"/>
                <w:color w:val="auto"/>
                <w:spacing w:val="0"/>
                <w:w w:val="100"/>
                <w:kern w:val="0"/>
                <w:position w:val="0"/>
                <w:sz w:val="24"/>
                <w:lang w:val="en-US" w:eastAsia="zh-CN"/>
              </w:rPr>
              <w:instrText xml:space="preserve"> = 3 \* ROMAN \* MERGEFORMAT </w:instrText>
            </w:r>
            <w:r>
              <w:rPr>
                <w:rFonts w:hint="default" w:ascii="Times New Roman" w:hAnsi="Times New Roman" w:eastAsia="宋体" w:cs="Times New Roman"/>
                <w:b w:val="0"/>
                <w:bCs w:val="0"/>
                <w:color w:val="auto"/>
                <w:spacing w:val="0"/>
                <w:w w:val="100"/>
                <w:kern w:val="0"/>
                <w:position w:val="0"/>
                <w:sz w:val="24"/>
                <w:lang w:val="en-US" w:eastAsia="zh-CN"/>
              </w:rPr>
              <w:fldChar w:fldCharType="separate"/>
            </w:r>
            <w:r>
              <w:rPr>
                <w:rFonts w:hint="default" w:ascii="Times New Roman" w:hAnsi="Times New Roman" w:eastAsia="宋体" w:cs="Times New Roman"/>
                <w:b w:val="0"/>
                <w:bCs w:val="0"/>
                <w:color w:val="auto"/>
                <w:spacing w:val="0"/>
                <w:w w:val="100"/>
                <w:kern w:val="0"/>
                <w:position w:val="0"/>
                <w:sz w:val="24"/>
                <w:lang w:val="en-US" w:eastAsia="zh-CN"/>
              </w:rPr>
              <w:t>III</w:t>
            </w:r>
            <w:r>
              <w:rPr>
                <w:rFonts w:hint="default" w:ascii="Times New Roman" w:hAnsi="Times New Roman" w:eastAsia="宋体" w:cs="Times New Roman"/>
                <w:b w:val="0"/>
                <w:bCs w:val="0"/>
                <w:color w:val="auto"/>
                <w:spacing w:val="0"/>
                <w:w w:val="100"/>
                <w:kern w:val="0"/>
                <w:position w:val="0"/>
                <w:sz w:val="24"/>
                <w:lang w:val="en-US" w:eastAsia="zh-CN"/>
              </w:rPr>
              <w:fldChar w:fldCharType="end"/>
            </w:r>
            <w:r>
              <w:rPr>
                <w:rFonts w:hint="default" w:ascii="Times New Roman" w:hAnsi="Times New Roman" w:eastAsia="宋体" w:cs="Times New Roman"/>
                <w:b w:val="0"/>
                <w:bCs w:val="0"/>
                <w:color w:val="auto"/>
                <w:spacing w:val="0"/>
                <w:w w:val="100"/>
                <w:kern w:val="0"/>
                <w:position w:val="0"/>
                <w:sz w:val="24"/>
                <w:lang w:val="en-US" w:eastAsia="zh-CN"/>
              </w:rPr>
              <w:t>、危险废物环境管理要求</w:t>
            </w:r>
          </w:p>
          <w:p w14:paraId="718F7C0B">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固体废物的管理遵照《中华人民共和国固体废物污染环境防治法》中的有关规定执行。项目废活性炭等危险废物分别采用特定容器分类收集，暂存于危险废物暂存间。项目危险废物暂存间占地面积为10m</w:t>
            </w:r>
            <w:r>
              <w:rPr>
                <w:rFonts w:hint="default" w:ascii="Times New Roman" w:hAnsi="Times New Roman" w:eastAsia="宋体" w:cs="Times New Roman"/>
                <w:b w:val="0"/>
                <w:bCs w:val="0"/>
                <w:color w:val="auto"/>
                <w:spacing w:val="0"/>
                <w:w w:val="100"/>
                <w:kern w:val="0"/>
                <w:position w:val="0"/>
                <w:sz w:val="24"/>
                <w:vertAlign w:val="superscript"/>
                <w:lang w:val="en-US" w:eastAsia="zh-CN"/>
              </w:rPr>
              <w:t>2</w:t>
            </w:r>
            <w:r>
              <w:rPr>
                <w:rFonts w:hint="default" w:ascii="Times New Roman" w:hAnsi="Times New Roman" w:eastAsia="宋体" w:cs="Times New Roman"/>
                <w:b w:val="0"/>
                <w:bCs w:val="0"/>
                <w:color w:val="auto"/>
                <w:spacing w:val="0"/>
                <w:w w:val="100"/>
                <w:kern w:val="0"/>
                <w:position w:val="0"/>
                <w:sz w:val="24"/>
                <w:lang w:val="en-US" w:eastAsia="zh-CN"/>
              </w:rPr>
              <w:t>，储存能力为5t。废活性炭等危险废物产生量为1.1674t/a，每年转运一次，单次危险废物最大产生量约为1.1674t，危险废物暂存间有足够的能力贮存项目产生的危险废物。危险废物暂存间按照《环境保护图形标志》等相关要求设置标志牌，做到“防风、防雨、防晒、防渗漏”，并由专人管理和维护，符合《危险废物贮存污染控制标准》的要求。</w:t>
            </w:r>
          </w:p>
          <w:p w14:paraId="1B2861B4">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①危险废物暂存间规范化设置要求：</w:t>
            </w:r>
          </w:p>
          <w:p w14:paraId="0DF91A2B">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A、危险废物贮存间密闭建设，门口内侧设立围堰，地面做好硬化及防风、防雨、防晒、防渗漏措施。</w:t>
            </w:r>
          </w:p>
          <w:p w14:paraId="17D8C476">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B、危险废物贮存间门口张贴标准规范的危险废物标识和危废信息板，屋内张贴企业《危险废物管理制度》。</w:t>
            </w:r>
          </w:p>
          <w:p w14:paraId="0B1EACAE">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C、危险废物贮存间按照“双人双锁”制度管理，即两把钥匙分别由两个危废负责人管理，不得一人管理。</w:t>
            </w:r>
          </w:p>
          <w:p w14:paraId="4CF4B84D">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D、不同种类危险废物有明显的过道划分，墙上张贴危废名称，液态危废承装容器放至防泄漏托盘内并在容器粘贴危险废物标签，固态危废包装完好无破损并系挂危险废物标签，并按要求填写。</w:t>
            </w:r>
          </w:p>
          <w:p w14:paraId="036B3CA1">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E、同一贮存设施采用相同的防渗、防腐工艺（包括防渗、防腐结构或材料），防渗、防腐材料应覆盖所有可能与废物及其渗滤液、渗漏液等接触的构筑物表面；采用不同防渗、 防腐工艺应分别建设贮存分区。</w:t>
            </w:r>
          </w:p>
          <w:p w14:paraId="6163EFE2">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F、危废暂存间采取技术和管理措施防止无关人员进入。</w:t>
            </w:r>
          </w:p>
          <w:p w14:paraId="2AB8133E">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G、危废暂存间内不同贮存分区之间采取隔离措施。隔离措施可根据危险废物特性采用过道、隔板或隔墙等方式。</w:t>
            </w:r>
          </w:p>
          <w:p w14:paraId="33B11482">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H、在危废暂存间内或通过贮存分区方式贮存液态危险废物的，具有液体泄漏堵截设施，堵截设施最小容积不应低于对应贮存区域最大液态废物容器容积或液态废物总储量1/10（二者取较大者）；用于贮存可能产生渗滤液的危险废物的危废暂存间或贮存分区设计渗滤液收集设施，收集设施容积应满足渗滤液的收集要求。</w:t>
            </w:r>
          </w:p>
          <w:p w14:paraId="65DE6E73">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I、容器和包装物材质、内衬与盛装的危险废物相容。</w:t>
            </w:r>
          </w:p>
          <w:p w14:paraId="3135AD07">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J、针对不同类别、形态、物理化学性质的危险废物，其容器和包装物满足相应的防渗、防漏、防腐和强度等要求。</w:t>
            </w:r>
          </w:p>
          <w:p w14:paraId="44F49F5F">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K、使用容器盛装液态、半固态危险废物时，容器内部留有适当的空间，以适应因温度变化等可能引发的收缩和膨胀，防止其导致容器渗漏或永久变形。</w:t>
            </w:r>
          </w:p>
          <w:p w14:paraId="1B94C267">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L、容器和包装物外表面保持清洁。</w:t>
            </w:r>
          </w:p>
          <w:p w14:paraId="5029FEA3">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M、危险废物识别标志见图4-1、图4-2、图4-3。</w:t>
            </w:r>
          </w:p>
          <w:p w14:paraId="33BB13F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cs="Times New Roman"/>
                <w:color w:val="auto"/>
                <w:sz w:val="20"/>
                <w:highlight w:val="none"/>
              </w:rPr>
              <w:drawing>
                <wp:inline distT="0" distB="0" distL="114300" distR="114300">
                  <wp:extent cx="3048000" cy="2921635"/>
                  <wp:effectExtent l="0" t="0" r="0" b="12065"/>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19"/>
                          <a:srcRect t="2647" r="2721" b="4242"/>
                          <a:stretch>
                            <a:fillRect/>
                          </a:stretch>
                        </pic:blipFill>
                        <pic:spPr>
                          <a:xfrm>
                            <a:off x="0" y="0"/>
                            <a:ext cx="3048000" cy="2921635"/>
                          </a:xfrm>
                          <a:prstGeom prst="rect">
                            <a:avLst/>
                          </a:prstGeom>
                          <a:noFill/>
                          <a:ln>
                            <a:noFill/>
                          </a:ln>
                        </pic:spPr>
                      </pic:pic>
                    </a:graphicData>
                  </a:graphic>
                </wp:inline>
              </w:drawing>
            </w:r>
          </w:p>
          <w:p w14:paraId="6E8AFE2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图4-1  危险废物标签</w:t>
            </w:r>
          </w:p>
          <w:p w14:paraId="765E6AF6">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说明：</w:t>
            </w:r>
          </w:p>
          <w:p w14:paraId="550B901C">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颜色：危险废物标签背景色采用醒目的橘黄色，RGB颜色值为（255,150,0）。标签边框和字体颜色为黑色，RGB颜色值为（0,0,0）。</w:t>
            </w:r>
          </w:p>
          <w:p w14:paraId="2DE0AD7E">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字体：危险废物标签字体宜采用黑体字，其中“危险废物”字样加粗放大。</w:t>
            </w:r>
          </w:p>
          <w:p w14:paraId="17A2EBC0">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尺寸：</w:t>
            </w:r>
          </w:p>
          <w:tbl>
            <w:tblPr>
              <w:tblStyle w:val="5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6"/>
              <w:gridCol w:w="2538"/>
              <w:gridCol w:w="2526"/>
              <w:gridCol w:w="1980"/>
            </w:tblGrid>
            <w:tr w14:paraId="3CF8C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7" w:type="pct"/>
                  <w:noWrap w:val="0"/>
                  <w:vAlign w:val="center"/>
                </w:tcPr>
                <w:p w14:paraId="3B17F91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序号</w:t>
                  </w:r>
                </w:p>
              </w:tc>
              <w:tc>
                <w:tcPr>
                  <w:tcW w:w="1604" w:type="pct"/>
                  <w:noWrap w:val="0"/>
                  <w:vAlign w:val="center"/>
                </w:tcPr>
                <w:p w14:paraId="4F7028D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容器或包装物容积（L）</w:t>
                  </w:r>
                </w:p>
              </w:tc>
              <w:tc>
                <w:tcPr>
                  <w:tcW w:w="1596" w:type="pct"/>
                  <w:noWrap w:val="0"/>
                  <w:vAlign w:val="center"/>
                </w:tcPr>
                <w:p w14:paraId="1DEAFFD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标签最小尺寸（mm×mm）</w:t>
                  </w:r>
                </w:p>
              </w:tc>
              <w:tc>
                <w:tcPr>
                  <w:tcW w:w="1251" w:type="pct"/>
                  <w:noWrap w:val="0"/>
                  <w:vAlign w:val="center"/>
                </w:tcPr>
                <w:p w14:paraId="412E979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最低文字高度（mm）</w:t>
                  </w:r>
                </w:p>
              </w:tc>
            </w:tr>
            <w:tr w14:paraId="447D8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7" w:type="pct"/>
                  <w:noWrap w:val="0"/>
                  <w:vAlign w:val="center"/>
                </w:tcPr>
                <w:p w14:paraId="5C81BF4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1604" w:type="pct"/>
                  <w:noWrap w:val="0"/>
                  <w:vAlign w:val="center"/>
                </w:tcPr>
                <w:p w14:paraId="6A2D298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≤50</w:t>
                  </w:r>
                </w:p>
              </w:tc>
              <w:tc>
                <w:tcPr>
                  <w:tcW w:w="1596" w:type="pct"/>
                  <w:noWrap w:val="0"/>
                  <w:vAlign w:val="center"/>
                </w:tcPr>
                <w:p w14:paraId="0FECF09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100×100</w:t>
                  </w:r>
                </w:p>
              </w:tc>
              <w:tc>
                <w:tcPr>
                  <w:tcW w:w="1251" w:type="pct"/>
                  <w:noWrap w:val="0"/>
                  <w:vAlign w:val="center"/>
                </w:tcPr>
                <w:p w14:paraId="1DE061D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r>
            <w:tr w14:paraId="4FB17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7" w:type="pct"/>
                  <w:noWrap w:val="0"/>
                  <w:vAlign w:val="center"/>
                </w:tcPr>
                <w:p w14:paraId="4190482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w:t>
                  </w:r>
                </w:p>
              </w:tc>
              <w:tc>
                <w:tcPr>
                  <w:tcW w:w="1604" w:type="pct"/>
                  <w:noWrap w:val="0"/>
                  <w:vAlign w:val="center"/>
                </w:tcPr>
                <w:p w14:paraId="683C324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＞50~≤450</w:t>
                  </w:r>
                </w:p>
              </w:tc>
              <w:tc>
                <w:tcPr>
                  <w:tcW w:w="1596" w:type="pct"/>
                  <w:noWrap w:val="0"/>
                  <w:vAlign w:val="center"/>
                </w:tcPr>
                <w:p w14:paraId="7AC6C06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150×150</w:t>
                  </w:r>
                </w:p>
              </w:tc>
              <w:tc>
                <w:tcPr>
                  <w:tcW w:w="1251" w:type="pct"/>
                  <w:noWrap w:val="0"/>
                  <w:vAlign w:val="center"/>
                </w:tcPr>
                <w:p w14:paraId="18980F4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w:t>
                  </w:r>
                </w:p>
              </w:tc>
            </w:tr>
            <w:tr w14:paraId="68339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7" w:type="pct"/>
                  <w:noWrap w:val="0"/>
                  <w:vAlign w:val="center"/>
                </w:tcPr>
                <w:p w14:paraId="54CBF52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c>
                <w:tcPr>
                  <w:tcW w:w="1604" w:type="pct"/>
                  <w:noWrap w:val="0"/>
                  <w:vAlign w:val="center"/>
                </w:tcPr>
                <w:p w14:paraId="6F0F234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＞450</w:t>
                  </w:r>
                </w:p>
              </w:tc>
              <w:tc>
                <w:tcPr>
                  <w:tcW w:w="1596" w:type="pct"/>
                  <w:noWrap w:val="0"/>
                  <w:vAlign w:val="center"/>
                </w:tcPr>
                <w:p w14:paraId="074DEA8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200×200</w:t>
                  </w:r>
                </w:p>
              </w:tc>
              <w:tc>
                <w:tcPr>
                  <w:tcW w:w="1251" w:type="pct"/>
                  <w:noWrap w:val="0"/>
                  <w:vAlign w:val="center"/>
                </w:tcPr>
                <w:p w14:paraId="01170DD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w:t>
                  </w:r>
                </w:p>
              </w:tc>
            </w:tr>
          </w:tbl>
          <w:p w14:paraId="1CD0B328">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材质：危险废物标签所选用的材质宜具有一定的耐用性和防水性。标签可采用不干胶印刷品，或印刷品外加防水塑料袋或塑封等。</w:t>
            </w:r>
          </w:p>
          <w:p w14:paraId="1F35DE2A">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印刷：危险废物标签印刷的油墨均匀，图案和文字清晰、完整。危险废物标签的文字边缘宜加黑色边框，边框宽度不小于1mm，边框外宜留不小于3mm的空白。</w:t>
            </w:r>
          </w:p>
          <w:p w14:paraId="2276EA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cs="Times New Roman"/>
                <w:color w:val="auto"/>
                <w:sz w:val="20"/>
                <w:highlight w:val="none"/>
              </w:rPr>
              <w:drawing>
                <wp:inline distT="0" distB="0" distL="114300" distR="114300">
                  <wp:extent cx="4039235" cy="3698875"/>
                  <wp:effectExtent l="0" t="0" r="18415" b="15875"/>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20"/>
                          <a:srcRect t="4935" b="3699"/>
                          <a:stretch>
                            <a:fillRect/>
                          </a:stretch>
                        </pic:blipFill>
                        <pic:spPr>
                          <a:xfrm>
                            <a:off x="0" y="0"/>
                            <a:ext cx="4039235" cy="3698875"/>
                          </a:xfrm>
                          <a:prstGeom prst="rect">
                            <a:avLst/>
                          </a:prstGeom>
                          <a:noFill/>
                          <a:ln>
                            <a:noFill/>
                          </a:ln>
                        </pic:spPr>
                      </pic:pic>
                    </a:graphicData>
                  </a:graphic>
                </wp:inline>
              </w:drawing>
            </w:r>
          </w:p>
          <w:p w14:paraId="4D05B510">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ind w:left="0" w:right="0" w:firstLine="0" w:firstLineChars="0"/>
              <w:jc w:val="center"/>
              <w:textAlignment w:val="auto"/>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图4-2  危险废物贮存分区标志</w:t>
            </w:r>
          </w:p>
          <w:p w14:paraId="7BDFA4A1">
            <w:pPr>
              <w:pStyle w:val="2"/>
              <w:keepNext w:val="0"/>
              <w:keepLines w:val="0"/>
              <w:suppressLineNumbers w:val="0"/>
              <w:spacing w:before="0" w:beforeAutospacing="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说明：</w:t>
            </w:r>
          </w:p>
          <w:p w14:paraId="6874B439">
            <w:pPr>
              <w:pStyle w:val="2"/>
              <w:keepNext w:val="0"/>
              <w:keepLines w:val="0"/>
              <w:suppressLineNumbers w:val="0"/>
              <w:spacing w:before="0" w:beforeAutospacing="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颜色：危险废物分区标志背景色采用黄色，RGB颜色值为（255,255,0）。废物种类信息采用醒目的橘黄色，RGB颜色值为（255,150,0）。字体颜色为黑色，RGB颜色值为（0,0,0）。</w:t>
            </w:r>
          </w:p>
          <w:p w14:paraId="6B0F343F">
            <w:pPr>
              <w:pStyle w:val="2"/>
              <w:keepNext w:val="0"/>
              <w:keepLines w:val="0"/>
              <w:suppressLineNumbers w:val="0"/>
              <w:spacing w:before="0" w:beforeAutospacing="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字体：危险废物分区标志的字体宜采用黑体字，其中“危险废物贮存分区标志”字样加粗放大并居中显示。</w:t>
            </w:r>
          </w:p>
          <w:p w14:paraId="4287FCF0">
            <w:pPr>
              <w:pStyle w:val="2"/>
              <w:keepNext w:val="0"/>
              <w:keepLines w:val="0"/>
              <w:suppressLineNumbers w:val="0"/>
              <w:spacing w:before="0" w:beforeAutospacing="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尺寸：</w:t>
            </w:r>
          </w:p>
          <w:tbl>
            <w:tblPr>
              <w:tblStyle w:val="5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6"/>
              <w:gridCol w:w="2867"/>
              <w:gridCol w:w="1851"/>
              <w:gridCol w:w="1546"/>
            </w:tblGrid>
            <w:tr w14:paraId="0B0D2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0" w:type="pct"/>
                  <w:vMerge w:val="restart"/>
                  <w:noWrap w:val="0"/>
                  <w:vAlign w:val="center"/>
                </w:tcPr>
                <w:p w14:paraId="3F7B1AA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观察距离L（m）</w:t>
                  </w:r>
                </w:p>
              </w:tc>
              <w:tc>
                <w:tcPr>
                  <w:tcW w:w="1812" w:type="pct"/>
                  <w:vMerge w:val="restart"/>
                  <w:noWrap w:val="0"/>
                  <w:vAlign w:val="center"/>
                </w:tcPr>
                <w:p w14:paraId="550BA8D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标志整体外形最小尺寸（mm）</w:t>
                  </w:r>
                </w:p>
              </w:tc>
              <w:tc>
                <w:tcPr>
                  <w:tcW w:w="2147" w:type="pct"/>
                  <w:gridSpan w:val="2"/>
                  <w:noWrap w:val="0"/>
                  <w:vAlign w:val="center"/>
                </w:tcPr>
                <w:p w14:paraId="5424B83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最低文字高度（mm）</w:t>
                  </w:r>
                </w:p>
              </w:tc>
            </w:tr>
            <w:tr w14:paraId="4F813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0" w:type="pct"/>
                  <w:vMerge w:val="continue"/>
                  <w:noWrap w:val="0"/>
                  <w:vAlign w:val="center"/>
                </w:tcPr>
                <w:p w14:paraId="1BB53F1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p>
              </w:tc>
              <w:tc>
                <w:tcPr>
                  <w:tcW w:w="1812" w:type="pct"/>
                  <w:vMerge w:val="continue"/>
                  <w:noWrap w:val="0"/>
                  <w:vAlign w:val="center"/>
                </w:tcPr>
                <w:p w14:paraId="13AC7BF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p>
              </w:tc>
              <w:tc>
                <w:tcPr>
                  <w:tcW w:w="1170" w:type="pct"/>
                  <w:noWrap w:val="0"/>
                  <w:vAlign w:val="center"/>
                </w:tcPr>
                <w:p w14:paraId="2EFC962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贮存分区标志</w:t>
                  </w:r>
                </w:p>
              </w:tc>
              <w:tc>
                <w:tcPr>
                  <w:tcW w:w="976" w:type="pct"/>
                  <w:noWrap w:val="0"/>
                  <w:vAlign w:val="center"/>
                </w:tcPr>
                <w:p w14:paraId="172EE05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其他文字</w:t>
                  </w:r>
                </w:p>
              </w:tc>
            </w:tr>
            <w:tr w14:paraId="7ADDB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0" w:type="pct"/>
                  <w:noWrap w:val="0"/>
                  <w:vAlign w:val="center"/>
                </w:tcPr>
                <w:p w14:paraId="79D931B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0＜L≤2.5</w:t>
                  </w:r>
                </w:p>
              </w:tc>
              <w:tc>
                <w:tcPr>
                  <w:tcW w:w="1812" w:type="pct"/>
                  <w:noWrap w:val="0"/>
                  <w:vAlign w:val="center"/>
                </w:tcPr>
                <w:p w14:paraId="29452B4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300×300</w:t>
                  </w:r>
                </w:p>
              </w:tc>
              <w:tc>
                <w:tcPr>
                  <w:tcW w:w="1170" w:type="pct"/>
                  <w:noWrap w:val="0"/>
                  <w:vAlign w:val="center"/>
                </w:tcPr>
                <w:p w14:paraId="6494BF6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20</w:t>
                  </w:r>
                </w:p>
              </w:tc>
              <w:tc>
                <w:tcPr>
                  <w:tcW w:w="976" w:type="pct"/>
                  <w:noWrap w:val="0"/>
                  <w:vAlign w:val="center"/>
                </w:tcPr>
                <w:p w14:paraId="102D7D4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w:t>
                  </w:r>
                </w:p>
              </w:tc>
            </w:tr>
            <w:tr w14:paraId="62773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0" w:type="pct"/>
                  <w:noWrap w:val="0"/>
                  <w:vAlign w:val="center"/>
                </w:tcPr>
                <w:p w14:paraId="4E0DF6F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2.5＜L≤4</w:t>
                  </w:r>
                </w:p>
              </w:tc>
              <w:tc>
                <w:tcPr>
                  <w:tcW w:w="1812" w:type="pct"/>
                  <w:noWrap w:val="0"/>
                  <w:vAlign w:val="center"/>
                </w:tcPr>
                <w:p w14:paraId="22DDB45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450×450</w:t>
                  </w:r>
                </w:p>
              </w:tc>
              <w:tc>
                <w:tcPr>
                  <w:tcW w:w="1170" w:type="pct"/>
                  <w:noWrap w:val="0"/>
                  <w:vAlign w:val="center"/>
                </w:tcPr>
                <w:p w14:paraId="5C035C4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30</w:t>
                  </w:r>
                </w:p>
              </w:tc>
              <w:tc>
                <w:tcPr>
                  <w:tcW w:w="976" w:type="pct"/>
                  <w:noWrap w:val="0"/>
                  <w:vAlign w:val="center"/>
                </w:tcPr>
                <w:p w14:paraId="344ED62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w:t>
                  </w:r>
                </w:p>
              </w:tc>
            </w:tr>
            <w:tr w14:paraId="3A33C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0" w:type="pct"/>
                  <w:noWrap w:val="0"/>
                  <w:vAlign w:val="center"/>
                </w:tcPr>
                <w:p w14:paraId="73C04EB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L＞4</w:t>
                  </w:r>
                </w:p>
              </w:tc>
              <w:tc>
                <w:tcPr>
                  <w:tcW w:w="1812" w:type="pct"/>
                  <w:noWrap w:val="0"/>
                  <w:vAlign w:val="center"/>
                </w:tcPr>
                <w:p w14:paraId="4A59690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600×600</w:t>
                  </w:r>
                </w:p>
              </w:tc>
              <w:tc>
                <w:tcPr>
                  <w:tcW w:w="1170" w:type="pct"/>
                  <w:noWrap w:val="0"/>
                  <w:vAlign w:val="center"/>
                </w:tcPr>
                <w:p w14:paraId="10DDCA9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40</w:t>
                  </w:r>
                </w:p>
              </w:tc>
              <w:tc>
                <w:tcPr>
                  <w:tcW w:w="976" w:type="pct"/>
                  <w:noWrap w:val="0"/>
                  <w:vAlign w:val="center"/>
                </w:tcPr>
                <w:p w14:paraId="3C1EC17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12</w:t>
                  </w:r>
                </w:p>
              </w:tc>
            </w:tr>
          </w:tbl>
          <w:p w14:paraId="6353DC93">
            <w:pPr>
              <w:pStyle w:val="2"/>
              <w:keepNext w:val="0"/>
              <w:keepLines w:val="0"/>
              <w:suppressLineNumbers w:val="0"/>
              <w:spacing w:before="0" w:beforeAutospacing="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材质：危险废物贮存分区标志的衬底宜采用坚固耐用的材料，并具有耐用性和防水性。废物贮存种类信息等可采用印刷纸张、不粘胶材质或塑料卡片等，以便固定在衬底上。</w:t>
            </w:r>
          </w:p>
          <w:p w14:paraId="1A5D5D2F">
            <w:pPr>
              <w:pStyle w:val="2"/>
              <w:keepNext w:val="0"/>
              <w:keepLines w:val="0"/>
              <w:suppressLineNumbers w:val="0"/>
              <w:spacing w:before="0" w:beforeAutospacing="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印刷：危险废物贮存分区标志的图形和文字清晰、完整,保证在足够的观察距离条件下不影响阅读。"危险废物贮存分区标志”字样与其他信息宜加黑色分界线区分，分界线的宽度不小于2 mm。</w:t>
            </w:r>
          </w:p>
          <w:p w14:paraId="65C817DB">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ind w:left="0" w:right="0" w:firstLine="0" w:firstLineChars="0"/>
              <w:jc w:val="center"/>
              <w:textAlignment w:val="auto"/>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cs="Times New Roman"/>
                <w:color w:val="auto"/>
                <w:highlight w:val="none"/>
              </w:rPr>
              <w:drawing>
                <wp:inline distT="0" distB="0" distL="114300" distR="114300">
                  <wp:extent cx="3572510" cy="2222500"/>
                  <wp:effectExtent l="0" t="0" r="8890" b="6350"/>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21"/>
                          <a:srcRect t="1009"/>
                          <a:stretch>
                            <a:fillRect/>
                          </a:stretch>
                        </pic:blipFill>
                        <pic:spPr>
                          <a:xfrm>
                            <a:off x="0" y="0"/>
                            <a:ext cx="3572510" cy="2222500"/>
                          </a:xfrm>
                          <a:prstGeom prst="rect">
                            <a:avLst/>
                          </a:prstGeom>
                          <a:noFill/>
                          <a:ln>
                            <a:noFill/>
                          </a:ln>
                        </pic:spPr>
                      </pic:pic>
                    </a:graphicData>
                  </a:graphic>
                </wp:inline>
              </w:drawing>
            </w:r>
          </w:p>
          <w:p w14:paraId="1CF3C58D">
            <w:pPr>
              <w:pStyle w:val="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ind w:left="0" w:right="0" w:firstLine="0" w:firstLineChars="0"/>
              <w:jc w:val="center"/>
              <w:textAlignment w:val="auto"/>
              <w:rPr>
                <w:rFonts w:hint="default" w:ascii="Times New Roman" w:hAnsi="Times New Roman" w:eastAsia="宋体" w:cs="Times New Roman"/>
                <w:b/>
                <w:bCs/>
                <w:color w:val="auto"/>
                <w:spacing w:val="0"/>
                <w:w w:val="100"/>
                <w:kern w:val="0"/>
                <w:position w:val="0"/>
                <w:sz w:val="24"/>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图4-3  危险废物贮存设施标志（横版）</w:t>
            </w:r>
          </w:p>
          <w:p w14:paraId="1D2AB612">
            <w:pPr>
              <w:pStyle w:val="2"/>
              <w:keepNext w:val="0"/>
              <w:keepLines w:val="0"/>
              <w:suppressLineNumbers w:val="0"/>
              <w:spacing w:before="0" w:beforeAutospacing="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说明：</w:t>
            </w:r>
          </w:p>
          <w:p w14:paraId="21B80031">
            <w:pPr>
              <w:pStyle w:val="2"/>
              <w:keepNext w:val="0"/>
              <w:keepLines w:val="0"/>
              <w:suppressLineNumbers w:val="0"/>
              <w:spacing w:before="0" w:beforeAutospacing="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颜色：危险废物设施标志背景颜色为黄色，RGB颜色值为（255,255,0）。字体和边框颜色为黑色，RGB颜色值为（0,0,0）。</w:t>
            </w:r>
          </w:p>
          <w:p w14:paraId="06B29CDE">
            <w:pPr>
              <w:pStyle w:val="2"/>
              <w:keepNext w:val="0"/>
              <w:keepLines w:val="0"/>
              <w:suppressLineNumbers w:val="0"/>
              <w:spacing w:before="0" w:beforeAutospacing="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字体：危险废物设施标志字体采用黑体字，其中危险废物设施类型的字样加粗放大并居中显示；</w:t>
            </w:r>
          </w:p>
          <w:p w14:paraId="6E468C99">
            <w:pPr>
              <w:pStyle w:val="2"/>
              <w:keepNext w:val="0"/>
              <w:keepLines w:val="0"/>
              <w:suppressLineNumbers w:val="0"/>
              <w:spacing w:before="0" w:beforeAutospacing="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尺寸：</w:t>
            </w:r>
          </w:p>
          <w:tbl>
            <w:tblPr>
              <w:tblStyle w:val="5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4"/>
              <w:gridCol w:w="1140"/>
              <w:gridCol w:w="1061"/>
              <w:gridCol w:w="1032"/>
              <w:gridCol w:w="937"/>
              <w:gridCol w:w="1151"/>
              <w:gridCol w:w="883"/>
              <w:gridCol w:w="742"/>
            </w:tblGrid>
            <w:tr w14:paraId="1953E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9" w:type="pct"/>
                  <w:vMerge w:val="restart"/>
                  <w:noWrap w:val="0"/>
                  <w:vAlign w:val="center"/>
                </w:tcPr>
                <w:p w14:paraId="3252287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设置位置</w:t>
                  </w:r>
                </w:p>
              </w:tc>
              <w:tc>
                <w:tcPr>
                  <w:tcW w:w="720" w:type="pct"/>
                  <w:vMerge w:val="restart"/>
                  <w:noWrap w:val="0"/>
                  <w:vAlign w:val="center"/>
                </w:tcPr>
                <w:p w14:paraId="655514B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观察距离L（m）</w:t>
                  </w:r>
                </w:p>
              </w:tc>
              <w:tc>
                <w:tcPr>
                  <w:tcW w:w="670" w:type="pct"/>
                  <w:vMerge w:val="restart"/>
                  <w:noWrap w:val="0"/>
                  <w:vAlign w:val="center"/>
                </w:tcPr>
                <w:p w14:paraId="2684FD9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标志牌整体外形最小尺寸（mm）</w:t>
                  </w:r>
                </w:p>
              </w:tc>
              <w:tc>
                <w:tcPr>
                  <w:tcW w:w="1971" w:type="pct"/>
                  <w:gridSpan w:val="3"/>
                  <w:noWrap w:val="0"/>
                  <w:vAlign w:val="center"/>
                </w:tcPr>
                <w:p w14:paraId="41192D3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三角形警告性标志</w:t>
                  </w:r>
                </w:p>
              </w:tc>
              <w:tc>
                <w:tcPr>
                  <w:tcW w:w="1027" w:type="pct"/>
                  <w:gridSpan w:val="2"/>
                  <w:noWrap w:val="0"/>
                  <w:vAlign w:val="center"/>
                </w:tcPr>
                <w:p w14:paraId="7BB63A7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最低文字高度（mm）</w:t>
                  </w:r>
                </w:p>
              </w:tc>
            </w:tr>
            <w:tr w14:paraId="4DB4E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9" w:type="pct"/>
                  <w:vMerge w:val="continue"/>
                  <w:noWrap w:val="0"/>
                  <w:vAlign w:val="center"/>
                </w:tcPr>
                <w:p w14:paraId="5EF1EA8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p>
              </w:tc>
              <w:tc>
                <w:tcPr>
                  <w:tcW w:w="720" w:type="pct"/>
                  <w:vMerge w:val="continue"/>
                  <w:noWrap w:val="0"/>
                  <w:vAlign w:val="center"/>
                </w:tcPr>
                <w:p w14:paraId="728AC0B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p>
              </w:tc>
              <w:tc>
                <w:tcPr>
                  <w:tcW w:w="670" w:type="pct"/>
                  <w:vMerge w:val="continue"/>
                  <w:noWrap w:val="0"/>
                  <w:vAlign w:val="center"/>
                </w:tcPr>
                <w:p w14:paraId="598C025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p>
              </w:tc>
              <w:tc>
                <w:tcPr>
                  <w:tcW w:w="652" w:type="pct"/>
                  <w:noWrap w:val="0"/>
                  <w:vAlign w:val="center"/>
                </w:tcPr>
                <w:p w14:paraId="38EE017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三角形外边长a1（mm）</w:t>
                  </w:r>
                </w:p>
              </w:tc>
              <w:tc>
                <w:tcPr>
                  <w:tcW w:w="592" w:type="pct"/>
                  <w:noWrap w:val="0"/>
                  <w:vAlign w:val="center"/>
                </w:tcPr>
                <w:p w14:paraId="10031A0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三角形内边长a2（mm）</w:t>
                  </w:r>
                </w:p>
              </w:tc>
              <w:tc>
                <w:tcPr>
                  <w:tcW w:w="726" w:type="pct"/>
                  <w:noWrap w:val="0"/>
                  <w:vAlign w:val="center"/>
                </w:tcPr>
                <w:p w14:paraId="6C0BF06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边框外角圆弧半径（mm）</w:t>
                  </w:r>
                </w:p>
              </w:tc>
              <w:tc>
                <w:tcPr>
                  <w:tcW w:w="558" w:type="pct"/>
                  <w:noWrap w:val="0"/>
                  <w:vAlign w:val="center"/>
                </w:tcPr>
                <w:p w14:paraId="5FF1A5E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设施类型名称</w:t>
                  </w:r>
                </w:p>
              </w:tc>
              <w:tc>
                <w:tcPr>
                  <w:tcW w:w="469" w:type="pct"/>
                  <w:noWrap w:val="0"/>
                  <w:vAlign w:val="center"/>
                </w:tcPr>
                <w:p w14:paraId="00FF515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lang w:val="en-US" w:eastAsia="zh-CN"/>
                    </w:rPr>
                  </w:pPr>
                  <w:r>
                    <w:rPr>
                      <w:rFonts w:hint="default" w:ascii="Times New Roman" w:hAnsi="Times New Roman" w:eastAsia="宋体" w:cs="Times New Roman"/>
                      <w:b/>
                      <w:bCs/>
                      <w:color w:val="auto"/>
                      <w:spacing w:val="0"/>
                      <w:w w:val="100"/>
                      <w:position w:val="0"/>
                      <w:sz w:val="21"/>
                      <w:szCs w:val="21"/>
                      <w:lang w:val="en-US" w:eastAsia="zh-CN"/>
                    </w:rPr>
                    <w:t>其他文字</w:t>
                  </w:r>
                </w:p>
              </w:tc>
            </w:tr>
            <w:tr w14:paraId="46EBA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9" w:type="pct"/>
                  <w:noWrap w:val="0"/>
                  <w:vAlign w:val="center"/>
                </w:tcPr>
                <w:p w14:paraId="472D3F7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露天/室外入口</w:t>
                  </w:r>
                </w:p>
              </w:tc>
              <w:tc>
                <w:tcPr>
                  <w:tcW w:w="720" w:type="pct"/>
                  <w:noWrap w:val="0"/>
                  <w:vAlign w:val="center"/>
                </w:tcPr>
                <w:p w14:paraId="4AD1290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w:t>
                  </w:r>
                </w:p>
              </w:tc>
              <w:tc>
                <w:tcPr>
                  <w:tcW w:w="670" w:type="pct"/>
                  <w:noWrap w:val="0"/>
                  <w:vAlign w:val="center"/>
                </w:tcPr>
                <w:p w14:paraId="0CBE9BA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900×558</w:t>
                  </w:r>
                </w:p>
              </w:tc>
              <w:tc>
                <w:tcPr>
                  <w:tcW w:w="652" w:type="pct"/>
                  <w:noWrap w:val="0"/>
                  <w:vAlign w:val="center"/>
                </w:tcPr>
                <w:p w14:paraId="1357354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500</w:t>
                  </w:r>
                </w:p>
              </w:tc>
              <w:tc>
                <w:tcPr>
                  <w:tcW w:w="592" w:type="pct"/>
                  <w:noWrap w:val="0"/>
                  <w:vAlign w:val="center"/>
                </w:tcPr>
                <w:p w14:paraId="71EC2C8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375</w:t>
                  </w:r>
                </w:p>
              </w:tc>
              <w:tc>
                <w:tcPr>
                  <w:tcW w:w="726" w:type="pct"/>
                  <w:noWrap w:val="0"/>
                  <w:vAlign w:val="center"/>
                </w:tcPr>
                <w:p w14:paraId="6315F6F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30</w:t>
                  </w:r>
                </w:p>
              </w:tc>
              <w:tc>
                <w:tcPr>
                  <w:tcW w:w="558" w:type="pct"/>
                  <w:noWrap w:val="0"/>
                  <w:vAlign w:val="center"/>
                </w:tcPr>
                <w:p w14:paraId="117EBD7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48</w:t>
                  </w:r>
                </w:p>
              </w:tc>
              <w:tc>
                <w:tcPr>
                  <w:tcW w:w="469" w:type="pct"/>
                  <w:noWrap w:val="0"/>
                  <w:vAlign w:val="center"/>
                </w:tcPr>
                <w:p w14:paraId="16CEA9A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24</w:t>
                  </w:r>
                </w:p>
              </w:tc>
            </w:tr>
            <w:tr w14:paraId="62340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9" w:type="pct"/>
                  <w:noWrap w:val="0"/>
                  <w:vAlign w:val="center"/>
                </w:tcPr>
                <w:p w14:paraId="52F4B90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室内</w:t>
                  </w:r>
                </w:p>
              </w:tc>
              <w:tc>
                <w:tcPr>
                  <w:tcW w:w="720" w:type="pct"/>
                  <w:noWrap w:val="0"/>
                  <w:vAlign w:val="center"/>
                </w:tcPr>
                <w:p w14:paraId="0C9058A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4＜L≤10</w:t>
                  </w:r>
                </w:p>
              </w:tc>
              <w:tc>
                <w:tcPr>
                  <w:tcW w:w="670" w:type="pct"/>
                  <w:noWrap w:val="0"/>
                  <w:vAlign w:val="center"/>
                </w:tcPr>
                <w:p w14:paraId="569093B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600×372</w:t>
                  </w:r>
                </w:p>
              </w:tc>
              <w:tc>
                <w:tcPr>
                  <w:tcW w:w="652" w:type="pct"/>
                  <w:noWrap w:val="0"/>
                  <w:vAlign w:val="center"/>
                </w:tcPr>
                <w:p w14:paraId="33210A6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300</w:t>
                  </w:r>
                </w:p>
              </w:tc>
              <w:tc>
                <w:tcPr>
                  <w:tcW w:w="592" w:type="pct"/>
                  <w:noWrap w:val="0"/>
                  <w:vAlign w:val="center"/>
                </w:tcPr>
                <w:p w14:paraId="0772AE2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225</w:t>
                  </w:r>
                </w:p>
              </w:tc>
              <w:tc>
                <w:tcPr>
                  <w:tcW w:w="726" w:type="pct"/>
                  <w:noWrap w:val="0"/>
                  <w:vAlign w:val="center"/>
                </w:tcPr>
                <w:p w14:paraId="7D1B5BE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18</w:t>
                  </w:r>
                </w:p>
              </w:tc>
              <w:tc>
                <w:tcPr>
                  <w:tcW w:w="558" w:type="pct"/>
                  <w:noWrap w:val="0"/>
                  <w:vAlign w:val="center"/>
                </w:tcPr>
                <w:p w14:paraId="1662990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32</w:t>
                  </w:r>
                </w:p>
              </w:tc>
              <w:tc>
                <w:tcPr>
                  <w:tcW w:w="469" w:type="pct"/>
                  <w:noWrap w:val="0"/>
                  <w:vAlign w:val="center"/>
                </w:tcPr>
                <w:p w14:paraId="08A2766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16</w:t>
                  </w:r>
                </w:p>
              </w:tc>
            </w:tr>
            <w:tr w14:paraId="65DAD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9" w:type="pct"/>
                  <w:noWrap w:val="0"/>
                  <w:vAlign w:val="center"/>
                </w:tcPr>
                <w:p w14:paraId="14362AA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室内</w:t>
                  </w:r>
                </w:p>
              </w:tc>
              <w:tc>
                <w:tcPr>
                  <w:tcW w:w="720" w:type="pct"/>
                  <w:noWrap w:val="0"/>
                  <w:vAlign w:val="center"/>
                </w:tcPr>
                <w:p w14:paraId="2E2F66F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w:t>
                  </w:r>
                </w:p>
              </w:tc>
              <w:tc>
                <w:tcPr>
                  <w:tcW w:w="670" w:type="pct"/>
                  <w:noWrap w:val="0"/>
                  <w:vAlign w:val="center"/>
                </w:tcPr>
                <w:p w14:paraId="7AB08B3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300×186</w:t>
                  </w:r>
                </w:p>
              </w:tc>
              <w:tc>
                <w:tcPr>
                  <w:tcW w:w="652" w:type="pct"/>
                  <w:noWrap w:val="0"/>
                  <w:vAlign w:val="center"/>
                </w:tcPr>
                <w:p w14:paraId="19CE9C8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140</w:t>
                  </w:r>
                </w:p>
              </w:tc>
              <w:tc>
                <w:tcPr>
                  <w:tcW w:w="592" w:type="pct"/>
                  <w:noWrap w:val="0"/>
                  <w:vAlign w:val="center"/>
                </w:tcPr>
                <w:p w14:paraId="0A983CB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105</w:t>
                  </w:r>
                </w:p>
              </w:tc>
              <w:tc>
                <w:tcPr>
                  <w:tcW w:w="726" w:type="pct"/>
                  <w:noWrap w:val="0"/>
                  <w:vAlign w:val="center"/>
                </w:tcPr>
                <w:p w14:paraId="73EDA2C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8.4</w:t>
                  </w:r>
                </w:p>
              </w:tc>
              <w:tc>
                <w:tcPr>
                  <w:tcW w:w="558" w:type="pct"/>
                  <w:noWrap w:val="0"/>
                  <w:vAlign w:val="center"/>
                </w:tcPr>
                <w:p w14:paraId="7087B40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16</w:t>
                  </w:r>
                </w:p>
              </w:tc>
              <w:tc>
                <w:tcPr>
                  <w:tcW w:w="469" w:type="pct"/>
                  <w:noWrap w:val="0"/>
                  <w:vAlign w:val="center"/>
                </w:tcPr>
                <w:p w14:paraId="240BAEA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w:t>
                  </w:r>
                </w:p>
              </w:tc>
            </w:tr>
          </w:tbl>
          <w:p w14:paraId="011146C3">
            <w:pPr>
              <w:pStyle w:val="2"/>
              <w:keepNext w:val="0"/>
              <w:keepLines w:val="0"/>
              <w:suppressLineNumbers w:val="0"/>
              <w:spacing w:before="0" w:beforeAutospacing="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材质：危险废物贮存、利用、处置设施标志宜采用坚固耐用的材料（如1.5 mm~2 mm冷轧钢板），并做搪瓷处理或贴膜处理。一般不宜使用遇水变形、变质或易燃的材料。柱式标志牌的立柱可采用38×4无缝钢管或其他坚固耐用的材料，并经过防腐处理。</w:t>
            </w:r>
          </w:p>
          <w:p w14:paraId="02BE06A2">
            <w:pPr>
              <w:pStyle w:val="2"/>
              <w:keepNext w:val="0"/>
              <w:keepLines w:val="0"/>
              <w:suppressLineNumbers w:val="0"/>
              <w:spacing w:before="0" w:beforeAutospacing="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印刷：危险废物贮存、利用、处置设施标志的图形和文字清晰、完整，保证在足够的观察距离条件下也不影响阅读。三角形警告性图形与其他信息间宜加黑色分界线区分，分界线的宽度宜不小于3 mm。</w:t>
            </w:r>
          </w:p>
          <w:p w14:paraId="522673CC">
            <w:pPr>
              <w:pStyle w:val="2"/>
              <w:keepNext w:val="0"/>
              <w:keepLines w:val="0"/>
              <w:suppressLineNumbers w:val="0"/>
              <w:spacing w:before="0" w:beforeAutospacing="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外观质量要求：危险废物贮存、利用、处置设施的标志牌和立柱无明显变形。标志牌表面无气泡，膜或搪瓷无脱落。图案清晰，色泽一致，没有明显缺损。</w:t>
            </w:r>
          </w:p>
          <w:p w14:paraId="2460430C">
            <w:pPr>
              <w:pStyle w:val="2"/>
              <w:keepNext w:val="0"/>
              <w:keepLines w:val="0"/>
              <w:suppressLineNumbers w:val="0"/>
              <w:spacing w:before="0" w:beforeAutospacing="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样式：危险废物贮存、利用、处置设施标志可采用横版或竖版的形式。</w:t>
            </w:r>
          </w:p>
          <w:p w14:paraId="03EFA43D">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②危险废物的运输要求</w:t>
            </w:r>
          </w:p>
          <w:p w14:paraId="49F84CC1">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项目危险废物运输采用公路运输方式，应按照《道路危险货物运输管理规定》（中华人民共和国交通运输部令 2019年第42号）执行，须由持有危险废物经营许可证的单位按照其许可证的经营范围组织实施，承担危险废物运输的单位须获得交通运输部门颁布的危险货物运输资质。项目危险废物的转移运输，按照《危险废物转移管理办法》（</w:t>
            </w:r>
            <w:r>
              <w:rPr>
                <w:rFonts w:hint="eastAsia" w:ascii="Times New Roman" w:hAnsi="Times New Roman" w:eastAsia="宋体" w:cs="Times New Roman"/>
                <w:b w:val="0"/>
                <w:bCs w:val="0"/>
                <w:color w:val="auto"/>
                <w:spacing w:val="0"/>
                <w:w w:val="100"/>
                <w:kern w:val="0"/>
                <w:position w:val="0"/>
                <w:sz w:val="24"/>
                <w:lang w:val="en-US" w:eastAsia="zh-CN"/>
              </w:rPr>
              <w:t>生态环境部、公安部、交通运输</w:t>
            </w:r>
            <w:r>
              <w:rPr>
                <w:rFonts w:hint="default" w:ascii="Times New Roman" w:hAnsi="Times New Roman" w:eastAsia="宋体" w:cs="Times New Roman"/>
                <w:b w:val="0"/>
                <w:bCs w:val="0"/>
                <w:color w:val="auto"/>
                <w:spacing w:val="0"/>
                <w:w w:val="100"/>
                <w:kern w:val="0"/>
                <w:position w:val="0"/>
                <w:sz w:val="24"/>
                <w:lang w:val="en-US" w:eastAsia="zh-CN"/>
              </w:rPr>
              <w:t>部令 第23号）规定执行危险废物转移联单制度。</w:t>
            </w:r>
          </w:p>
          <w:p w14:paraId="6D6CCBC1">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项目运营过程中产生部分危险废物，运输过程中一旦出现事故将会对周围环境产生危害，因此危险废物外运过程中须采取如下措施：</w:t>
            </w:r>
          </w:p>
          <w:p w14:paraId="3E9D643E">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fldChar w:fldCharType="begin"/>
            </w:r>
            <w:r>
              <w:rPr>
                <w:rFonts w:hint="default" w:ascii="Times New Roman" w:hAnsi="Times New Roman" w:eastAsia="宋体" w:cs="Times New Roman"/>
                <w:b w:val="0"/>
                <w:bCs w:val="0"/>
                <w:color w:val="auto"/>
                <w:spacing w:val="0"/>
                <w:w w:val="100"/>
                <w:kern w:val="0"/>
                <w:position w:val="0"/>
                <w:sz w:val="24"/>
                <w:lang w:val="en-US" w:eastAsia="zh-CN"/>
              </w:rPr>
              <w:instrText xml:space="preserve"> = 1 \* roman \* MERGEFORMAT </w:instrText>
            </w:r>
            <w:r>
              <w:rPr>
                <w:rFonts w:hint="default" w:ascii="Times New Roman" w:hAnsi="Times New Roman" w:eastAsia="宋体" w:cs="Times New Roman"/>
                <w:b w:val="0"/>
                <w:bCs w:val="0"/>
                <w:color w:val="auto"/>
                <w:spacing w:val="0"/>
                <w:w w:val="100"/>
                <w:kern w:val="0"/>
                <w:position w:val="0"/>
                <w:sz w:val="24"/>
                <w:lang w:val="en-US" w:eastAsia="zh-CN"/>
              </w:rPr>
              <w:fldChar w:fldCharType="separate"/>
            </w:r>
            <w:r>
              <w:rPr>
                <w:rFonts w:hint="default" w:ascii="Times New Roman" w:hAnsi="Times New Roman" w:eastAsia="宋体" w:cs="Times New Roman"/>
                <w:b w:val="0"/>
                <w:bCs w:val="0"/>
                <w:color w:val="auto"/>
                <w:spacing w:val="0"/>
                <w:w w:val="100"/>
                <w:kern w:val="0"/>
                <w:position w:val="0"/>
                <w:sz w:val="24"/>
                <w:lang w:val="en-US" w:eastAsia="zh-CN"/>
              </w:rPr>
              <w:t>i</w:t>
            </w:r>
            <w:r>
              <w:rPr>
                <w:rFonts w:hint="default" w:ascii="Times New Roman" w:hAnsi="Times New Roman" w:eastAsia="宋体" w:cs="Times New Roman"/>
                <w:b w:val="0"/>
                <w:bCs w:val="0"/>
                <w:color w:val="auto"/>
                <w:spacing w:val="0"/>
                <w:w w:val="100"/>
                <w:kern w:val="0"/>
                <w:position w:val="0"/>
                <w:sz w:val="24"/>
                <w:lang w:val="en-US" w:eastAsia="zh-CN"/>
              </w:rPr>
              <w:fldChar w:fldCharType="end"/>
            </w:r>
            <w:r>
              <w:rPr>
                <w:rFonts w:hint="default" w:ascii="Times New Roman" w:hAnsi="Times New Roman" w:eastAsia="宋体" w:cs="Times New Roman"/>
                <w:b w:val="0"/>
                <w:bCs w:val="0"/>
                <w:color w:val="auto"/>
                <w:spacing w:val="0"/>
                <w:w w:val="100"/>
                <w:kern w:val="0"/>
                <w:position w:val="0"/>
                <w:sz w:val="24"/>
                <w:lang w:val="en-US" w:eastAsia="zh-CN"/>
              </w:rPr>
              <w:t>、转移危险废物的，通过国家危险废物信息管理系统填写、运行危险废物电子转移联单，并依照国家有关规定公开危险废物转移相关污染环境防治信息。</w:t>
            </w:r>
          </w:p>
          <w:p w14:paraId="7309DE47">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fldChar w:fldCharType="begin"/>
            </w:r>
            <w:r>
              <w:rPr>
                <w:rFonts w:hint="default" w:ascii="Times New Roman" w:hAnsi="Times New Roman" w:eastAsia="宋体" w:cs="Times New Roman"/>
                <w:b w:val="0"/>
                <w:bCs w:val="0"/>
                <w:color w:val="auto"/>
                <w:spacing w:val="0"/>
                <w:w w:val="100"/>
                <w:kern w:val="0"/>
                <w:position w:val="0"/>
                <w:sz w:val="24"/>
                <w:lang w:val="en-US" w:eastAsia="zh-CN"/>
              </w:rPr>
              <w:instrText xml:space="preserve"> = 2 \* roman \* MERGEFORMAT </w:instrText>
            </w:r>
            <w:r>
              <w:rPr>
                <w:rFonts w:hint="default" w:ascii="Times New Roman" w:hAnsi="Times New Roman" w:eastAsia="宋体" w:cs="Times New Roman"/>
                <w:b w:val="0"/>
                <w:bCs w:val="0"/>
                <w:color w:val="auto"/>
                <w:spacing w:val="0"/>
                <w:w w:val="100"/>
                <w:kern w:val="0"/>
                <w:position w:val="0"/>
                <w:sz w:val="24"/>
                <w:lang w:val="en-US" w:eastAsia="zh-CN"/>
              </w:rPr>
              <w:fldChar w:fldCharType="separate"/>
            </w:r>
            <w:r>
              <w:rPr>
                <w:rFonts w:hint="default" w:ascii="Times New Roman" w:hAnsi="Times New Roman" w:eastAsia="宋体" w:cs="Times New Roman"/>
                <w:b w:val="0"/>
                <w:bCs w:val="0"/>
                <w:color w:val="auto"/>
                <w:spacing w:val="0"/>
                <w:w w:val="100"/>
                <w:kern w:val="0"/>
                <w:position w:val="0"/>
                <w:sz w:val="24"/>
                <w:lang w:val="en-US" w:eastAsia="zh-CN"/>
              </w:rPr>
              <w:t>ii</w:t>
            </w:r>
            <w:r>
              <w:rPr>
                <w:rFonts w:hint="default" w:ascii="Times New Roman" w:hAnsi="Times New Roman" w:eastAsia="宋体" w:cs="Times New Roman"/>
                <w:b w:val="0"/>
                <w:bCs w:val="0"/>
                <w:color w:val="auto"/>
                <w:spacing w:val="0"/>
                <w:w w:val="100"/>
                <w:kern w:val="0"/>
                <w:position w:val="0"/>
                <w:sz w:val="24"/>
                <w:lang w:val="en-US" w:eastAsia="zh-CN"/>
              </w:rPr>
              <w:fldChar w:fldCharType="end"/>
            </w:r>
            <w:r>
              <w:rPr>
                <w:rFonts w:hint="default" w:ascii="Times New Roman" w:hAnsi="Times New Roman" w:eastAsia="宋体" w:cs="Times New Roman"/>
                <w:b w:val="0"/>
                <w:bCs w:val="0"/>
                <w:color w:val="auto"/>
                <w:spacing w:val="0"/>
                <w:w w:val="100"/>
                <w:kern w:val="0"/>
                <w:position w:val="0"/>
                <w:sz w:val="24"/>
                <w:lang w:val="en-US" w:eastAsia="zh-CN"/>
              </w:rPr>
              <w:t>、移出人对承运人或者接受人的主体资格和技术能力进行核实，依法签订书面合同，并在合同中约定运输、贮存、利用、处置危险废物的污染防治要求及相关责任；制定危险废物管理计划，明确拟转移危险废物的种类、重量（数量）和流向等信息；建立危险废物管理台账，对转移的危险废物进行计量称重，如实记录、妥善保管转移危险废物的种类、重量（数量）和接受人等相关信息；填写、运行危险废物转移联单，在危险废物转移联单中如实填写移出人、承运人、接受人信息，转移危险废物的种类、重量（数量）、危险特性等信息，以及突发环境事件的防范措施等；及时核实接受人贮存、利用或者处置相关危险废物情况。</w:t>
            </w:r>
          </w:p>
          <w:p w14:paraId="06C2D83D">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fldChar w:fldCharType="begin"/>
            </w:r>
            <w:r>
              <w:rPr>
                <w:rFonts w:hint="default" w:ascii="Times New Roman" w:hAnsi="Times New Roman" w:eastAsia="宋体" w:cs="Times New Roman"/>
                <w:b w:val="0"/>
                <w:bCs w:val="0"/>
                <w:color w:val="auto"/>
                <w:spacing w:val="0"/>
                <w:w w:val="100"/>
                <w:kern w:val="0"/>
                <w:position w:val="0"/>
                <w:sz w:val="24"/>
                <w:lang w:val="en-US" w:eastAsia="zh-CN"/>
              </w:rPr>
              <w:instrText xml:space="preserve"> = 3 \* roman \* MERGEFORMAT </w:instrText>
            </w:r>
            <w:r>
              <w:rPr>
                <w:rFonts w:hint="default" w:ascii="Times New Roman" w:hAnsi="Times New Roman" w:eastAsia="宋体" w:cs="Times New Roman"/>
                <w:b w:val="0"/>
                <w:bCs w:val="0"/>
                <w:color w:val="auto"/>
                <w:spacing w:val="0"/>
                <w:w w:val="100"/>
                <w:kern w:val="0"/>
                <w:position w:val="0"/>
                <w:sz w:val="24"/>
                <w:lang w:val="en-US" w:eastAsia="zh-CN"/>
              </w:rPr>
              <w:fldChar w:fldCharType="separate"/>
            </w:r>
            <w:r>
              <w:rPr>
                <w:rFonts w:hint="default" w:ascii="Times New Roman" w:hAnsi="Times New Roman" w:eastAsia="宋体" w:cs="Times New Roman"/>
                <w:b w:val="0"/>
                <w:bCs w:val="0"/>
                <w:color w:val="auto"/>
                <w:spacing w:val="0"/>
                <w:w w:val="100"/>
                <w:kern w:val="0"/>
                <w:position w:val="0"/>
                <w:sz w:val="24"/>
                <w:lang w:val="en-US" w:eastAsia="zh-CN"/>
              </w:rPr>
              <w:t>iii</w:t>
            </w:r>
            <w:r>
              <w:rPr>
                <w:rFonts w:hint="default" w:ascii="Times New Roman" w:hAnsi="Times New Roman" w:eastAsia="宋体" w:cs="Times New Roman"/>
                <w:b w:val="0"/>
                <w:bCs w:val="0"/>
                <w:color w:val="auto"/>
                <w:spacing w:val="0"/>
                <w:w w:val="100"/>
                <w:kern w:val="0"/>
                <w:position w:val="0"/>
                <w:sz w:val="24"/>
                <w:lang w:val="en-US" w:eastAsia="zh-CN"/>
              </w:rPr>
              <w:fldChar w:fldCharType="end"/>
            </w:r>
            <w:r>
              <w:rPr>
                <w:rFonts w:hint="default" w:ascii="Times New Roman" w:hAnsi="Times New Roman" w:eastAsia="宋体" w:cs="Times New Roman"/>
                <w:b w:val="0"/>
                <w:bCs w:val="0"/>
                <w:color w:val="auto"/>
                <w:spacing w:val="0"/>
                <w:w w:val="100"/>
                <w:kern w:val="0"/>
                <w:position w:val="0"/>
                <w:sz w:val="24"/>
                <w:lang w:val="en-US" w:eastAsia="zh-CN"/>
              </w:rPr>
              <w:t>、承运人应核实危险废物转移联单，没有转移联单的，拒绝运输；填写、运行危险废物转移联单，在危险废物转移联单中如实填写承运人名称、运输工具及其营运证件号，以及运输起点和终点等运输相关信息，并与危险货物运单一并随运输工具携带；按照危险废物污染环境防治和危险货物运输相关规定运输危险废物，记录运输轨迹，防范危险废物丢失、包装破损、泄漏或者发生突发环境事件；将运输的危险废物运抵接受人地址，交付给危险废物转移联单上指定的接受人，并将运输情况及时告知移出人。</w:t>
            </w:r>
          </w:p>
          <w:p w14:paraId="2F10226F">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fldChar w:fldCharType="begin"/>
            </w:r>
            <w:r>
              <w:rPr>
                <w:rFonts w:hint="default" w:ascii="Times New Roman" w:hAnsi="Times New Roman" w:eastAsia="宋体" w:cs="Times New Roman"/>
                <w:b w:val="0"/>
                <w:bCs w:val="0"/>
                <w:color w:val="auto"/>
                <w:spacing w:val="0"/>
                <w:w w:val="100"/>
                <w:kern w:val="0"/>
                <w:position w:val="0"/>
                <w:sz w:val="24"/>
                <w:lang w:val="en-US" w:eastAsia="zh-CN"/>
              </w:rPr>
              <w:instrText xml:space="preserve"> = 4 \* roman \* MERGEFORMAT </w:instrText>
            </w:r>
            <w:r>
              <w:rPr>
                <w:rFonts w:hint="default" w:ascii="Times New Roman" w:hAnsi="Times New Roman" w:eastAsia="宋体" w:cs="Times New Roman"/>
                <w:b w:val="0"/>
                <w:bCs w:val="0"/>
                <w:color w:val="auto"/>
                <w:spacing w:val="0"/>
                <w:w w:val="100"/>
                <w:kern w:val="0"/>
                <w:position w:val="0"/>
                <w:sz w:val="24"/>
                <w:lang w:val="en-US" w:eastAsia="zh-CN"/>
              </w:rPr>
              <w:fldChar w:fldCharType="separate"/>
            </w:r>
            <w:r>
              <w:rPr>
                <w:rFonts w:hint="default" w:ascii="Times New Roman" w:hAnsi="Times New Roman" w:eastAsia="宋体" w:cs="Times New Roman"/>
                <w:b w:val="0"/>
                <w:bCs w:val="0"/>
                <w:color w:val="auto"/>
                <w:spacing w:val="0"/>
                <w:w w:val="100"/>
                <w:kern w:val="0"/>
                <w:position w:val="0"/>
                <w:sz w:val="24"/>
                <w:lang w:val="en-US" w:eastAsia="zh-CN"/>
              </w:rPr>
              <w:t>iv</w:t>
            </w:r>
            <w:r>
              <w:rPr>
                <w:rFonts w:hint="default" w:ascii="Times New Roman" w:hAnsi="Times New Roman" w:eastAsia="宋体" w:cs="Times New Roman"/>
                <w:b w:val="0"/>
                <w:bCs w:val="0"/>
                <w:color w:val="auto"/>
                <w:spacing w:val="0"/>
                <w:w w:val="100"/>
                <w:kern w:val="0"/>
                <w:position w:val="0"/>
                <w:sz w:val="24"/>
                <w:lang w:val="en-US" w:eastAsia="zh-CN"/>
              </w:rPr>
              <w:fldChar w:fldCharType="end"/>
            </w:r>
            <w:r>
              <w:rPr>
                <w:rFonts w:hint="default" w:ascii="Times New Roman" w:hAnsi="Times New Roman" w:eastAsia="宋体" w:cs="Times New Roman"/>
                <w:b w:val="0"/>
                <w:bCs w:val="0"/>
                <w:color w:val="auto"/>
                <w:spacing w:val="0"/>
                <w:w w:val="100"/>
                <w:kern w:val="0"/>
                <w:position w:val="0"/>
                <w:sz w:val="24"/>
                <w:lang w:val="en-US" w:eastAsia="zh-CN"/>
              </w:rPr>
              <w:t>、接受人核实拟接受的危险废物的种类、重量（数量）、包装、识别标志等相关信息；填写、运行危险废物转移联单，在危险废物转移联单中如实填写是否接受的意见，以及利用、处置方式和接受量等信息；按照国家和地方有关规定和标准，对接受的危险废物进行贮存、利用或者处置；将危险废物接受情况、利用或者处置结果及时告知移出人。</w:t>
            </w:r>
          </w:p>
          <w:p w14:paraId="681E4ACB">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fldChar w:fldCharType="begin"/>
            </w:r>
            <w:r>
              <w:rPr>
                <w:rFonts w:hint="default" w:ascii="Times New Roman" w:hAnsi="Times New Roman" w:eastAsia="宋体" w:cs="Times New Roman"/>
                <w:b w:val="0"/>
                <w:bCs w:val="0"/>
                <w:color w:val="auto"/>
                <w:spacing w:val="0"/>
                <w:w w:val="100"/>
                <w:kern w:val="0"/>
                <w:position w:val="0"/>
                <w:sz w:val="24"/>
                <w:lang w:val="en-US" w:eastAsia="zh-CN"/>
              </w:rPr>
              <w:instrText xml:space="preserve"> = 5 \* roman \* MERGEFORMAT </w:instrText>
            </w:r>
            <w:r>
              <w:rPr>
                <w:rFonts w:hint="default" w:ascii="Times New Roman" w:hAnsi="Times New Roman" w:eastAsia="宋体" w:cs="Times New Roman"/>
                <w:b w:val="0"/>
                <w:bCs w:val="0"/>
                <w:color w:val="auto"/>
                <w:spacing w:val="0"/>
                <w:w w:val="100"/>
                <w:kern w:val="0"/>
                <w:position w:val="0"/>
                <w:sz w:val="24"/>
                <w:lang w:val="en-US" w:eastAsia="zh-CN"/>
              </w:rPr>
              <w:fldChar w:fldCharType="separate"/>
            </w:r>
            <w:r>
              <w:rPr>
                <w:rFonts w:hint="default" w:ascii="Times New Roman" w:hAnsi="Times New Roman" w:eastAsia="宋体" w:cs="Times New Roman"/>
                <w:b w:val="0"/>
                <w:bCs w:val="0"/>
                <w:color w:val="auto"/>
                <w:spacing w:val="0"/>
                <w:w w:val="100"/>
                <w:kern w:val="0"/>
                <w:position w:val="0"/>
                <w:sz w:val="24"/>
                <w:lang w:val="en-US" w:eastAsia="zh-CN"/>
              </w:rPr>
              <w:t>v</w:t>
            </w:r>
            <w:r>
              <w:rPr>
                <w:rFonts w:hint="default" w:ascii="Times New Roman" w:hAnsi="Times New Roman" w:eastAsia="宋体" w:cs="Times New Roman"/>
                <w:b w:val="0"/>
                <w:bCs w:val="0"/>
                <w:color w:val="auto"/>
                <w:spacing w:val="0"/>
                <w:w w:val="100"/>
                <w:kern w:val="0"/>
                <w:position w:val="0"/>
                <w:sz w:val="24"/>
                <w:lang w:val="en-US" w:eastAsia="zh-CN"/>
              </w:rPr>
              <w:fldChar w:fldCharType="end"/>
            </w:r>
            <w:r>
              <w:rPr>
                <w:rFonts w:hint="default" w:ascii="Times New Roman" w:hAnsi="Times New Roman" w:eastAsia="宋体" w:cs="Times New Roman"/>
                <w:b w:val="0"/>
                <w:bCs w:val="0"/>
                <w:color w:val="auto"/>
                <w:spacing w:val="0"/>
                <w:w w:val="100"/>
                <w:kern w:val="0"/>
                <w:position w:val="0"/>
                <w:sz w:val="24"/>
                <w:lang w:val="en-US" w:eastAsia="zh-CN"/>
              </w:rPr>
              <w:t>、移出人、承运人、接受人依法制定突发环境事件的防范措施和应急预案，并报有关部门备案；发生危险废物突发环境事件时，立即采取有效措施消除或者减轻对环境的污染危害，并按相关规定向事故发生地有关部门报告，接受调查处理。</w:t>
            </w:r>
          </w:p>
          <w:p w14:paraId="387F4841">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③危险废物处置要求</w:t>
            </w:r>
          </w:p>
          <w:p w14:paraId="52B8A035">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项目产生的危险废物主要为废活性炭，须委托具有相关危废处理资质的单位清运处置。</w:t>
            </w:r>
          </w:p>
          <w:p w14:paraId="3889037F">
            <w:pPr>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lang w:val="en-US" w:eastAsia="zh-CN"/>
              </w:rPr>
            </w:pPr>
            <w:r>
              <w:rPr>
                <w:rFonts w:hint="default" w:ascii="Times New Roman" w:hAnsi="Times New Roman" w:eastAsia="宋体" w:cs="Times New Roman"/>
                <w:b w:val="0"/>
                <w:bCs w:val="0"/>
                <w:color w:val="auto"/>
                <w:spacing w:val="0"/>
                <w:w w:val="100"/>
                <w:kern w:val="0"/>
                <w:position w:val="0"/>
                <w:sz w:val="24"/>
                <w:lang w:val="en-US" w:eastAsia="zh-CN"/>
              </w:rPr>
              <w:t>在广西壮族自治区生态环境厅网站查询到区内具有HW49 900-039-49收集、处置经营资质的部分单位见下表，这些有经营资质的单位有足够的处理能力处理项目产生的危险废物。项目运营后建设单位可根据实际情况委托有资质的单位进行危险废物的处置。</w:t>
            </w:r>
          </w:p>
          <w:p w14:paraId="28C92FAB">
            <w:pPr>
              <w:keepNext w:val="0"/>
              <w:keepLines w:val="0"/>
              <w:suppressLineNumbers w:val="0"/>
              <w:spacing w:before="0" w:beforeAutospacing="0" w:after="0" w:afterAutospacing="0"/>
              <w:ind w:left="0" w:right="0"/>
              <w:rPr>
                <w:rFonts w:hint="default" w:ascii="Times New Roman" w:hAnsi="Times New Roman" w:eastAsia="宋体" w:cs="Times New Roman"/>
                <w:b/>
                <w:bCs/>
                <w:color w:val="auto"/>
                <w:spacing w:val="0"/>
                <w:w w:val="100"/>
                <w:kern w:val="0"/>
                <w:position w:val="0"/>
                <w:sz w:val="24"/>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表4-11  项目周边具有危险废物处置经营资质单位一览表（部分）</w:t>
            </w:r>
          </w:p>
          <w:p w14:paraId="473329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pacing w:val="0"/>
                <w:w w:val="100"/>
                <w:kern w:val="0"/>
                <w:position w:val="0"/>
                <w:sz w:val="24"/>
                <w:lang w:val="en-US" w:eastAsia="zh-CN"/>
              </w:rPr>
            </w:pPr>
            <w:r>
              <w:rPr>
                <w:rFonts w:hint="eastAsia" w:ascii="Times New Roman" w:hAnsi="Times New Roman" w:eastAsia="宋体" w:cs="Times New Roman"/>
                <w:b/>
                <w:bCs/>
                <w:color w:val="auto"/>
                <w:spacing w:val="0"/>
                <w:w w:val="100"/>
                <w:kern w:val="0"/>
                <w:position w:val="0"/>
                <w:sz w:val="24"/>
                <w:lang w:val="en-US" w:eastAsia="zh-CN"/>
              </w:rPr>
              <w:t>******</w:t>
            </w:r>
          </w:p>
          <w:p w14:paraId="3D3076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pacing w:val="0"/>
                <w:w w:val="100"/>
                <w:kern w:val="0"/>
                <w:position w:val="0"/>
                <w:sz w:val="24"/>
                <w:lang w:val="en-US" w:eastAsia="zh-CN"/>
              </w:rPr>
            </w:pPr>
            <w:r>
              <w:rPr>
                <w:rFonts w:hint="default" w:ascii="Times New Roman" w:hAnsi="Times New Roman" w:eastAsia="宋体" w:cs="Times New Roman"/>
                <w:b/>
                <w:bCs/>
                <w:color w:val="auto"/>
                <w:spacing w:val="0"/>
                <w:w w:val="100"/>
                <w:kern w:val="0"/>
                <w:position w:val="0"/>
                <w:sz w:val="24"/>
                <w:lang w:val="en-US" w:eastAsia="zh-CN"/>
              </w:rPr>
              <w:t>4</w:t>
            </w:r>
            <w:r>
              <w:rPr>
                <w:rFonts w:hint="default" w:ascii="Times New Roman" w:hAnsi="Times New Roman" w:eastAsia="宋体" w:cs="Times New Roman"/>
                <w:b/>
                <w:bCs/>
                <w:color w:val="auto"/>
                <w:spacing w:val="0"/>
                <w:w w:val="100"/>
                <w:kern w:val="0"/>
                <w:position w:val="0"/>
                <w:sz w:val="24"/>
              </w:rPr>
              <w:t>、噪声</w:t>
            </w:r>
            <w:r>
              <w:rPr>
                <w:rFonts w:hint="default" w:ascii="Times New Roman" w:hAnsi="Times New Roman" w:eastAsia="宋体" w:cs="Times New Roman"/>
                <w:b/>
                <w:bCs/>
                <w:color w:val="auto"/>
                <w:spacing w:val="0"/>
                <w:w w:val="100"/>
                <w:kern w:val="0"/>
                <w:position w:val="0"/>
                <w:sz w:val="24"/>
                <w:lang w:val="en-US" w:eastAsia="zh-CN"/>
              </w:rPr>
              <w:t>影响分析</w:t>
            </w:r>
          </w:p>
          <w:p w14:paraId="18568A00">
            <w:pPr>
              <w:keepNext w:val="0"/>
              <w:keepLines w:val="0"/>
              <w:suppressLineNumbers w:val="0"/>
              <w:adjustRightInd/>
              <w:snapToGrid/>
              <w:spacing w:before="0" w:beforeAutospacing="0" w:after="0" w:afterAutospacing="0"/>
              <w:ind w:left="0" w:right="0" w:firstLine="482"/>
              <w:rPr>
                <w:rFonts w:hint="default" w:ascii="Times New Roman" w:hAnsi="Times New Roman" w:eastAsia="宋体" w:cs="Times New Roman"/>
                <w:color w:val="auto"/>
                <w:spacing w:val="0"/>
                <w:w w:val="100"/>
                <w:position w:val="0"/>
                <w:sz w:val="24"/>
              </w:rPr>
            </w:pPr>
            <w:r>
              <w:rPr>
                <w:rFonts w:hint="default" w:ascii="Times New Roman" w:hAnsi="Times New Roman" w:eastAsia="宋体" w:cs="Times New Roman"/>
                <w:b/>
                <w:bCs/>
                <w:color w:val="auto"/>
                <w:spacing w:val="0"/>
                <w:w w:val="100"/>
                <w:position w:val="0"/>
                <w:sz w:val="24"/>
                <w:lang w:val="en-US" w:eastAsia="zh-CN"/>
              </w:rPr>
              <w:t>4</w:t>
            </w:r>
            <w:r>
              <w:rPr>
                <w:rFonts w:hint="default" w:ascii="Times New Roman" w:hAnsi="Times New Roman" w:eastAsia="宋体" w:cs="Times New Roman"/>
                <w:b/>
                <w:bCs/>
                <w:color w:val="auto"/>
                <w:spacing w:val="0"/>
                <w:w w:val="100"/>
                <w:position w:val="0"/>
                <w:sz w:val="24"/>
              </w:rPr>
              <w:t>.</w:t>
            </w:r>
            <w:r>
              <w:rPr>
                <w:rFonts w:hint="default" w:ascii="Times New Roman" w:hAnsi="Times New Roman" w:eastAsia="宋体" w:cs="Times New Roman"/>
                <w:b/>
                <w:bCs/>
                <w:color w:val="auto"/>
                <w:spacing w:val="0"/>
                <w:w w:val="100"/>
                <w:position w:val="0"/>
                <w:sz w:val="24"/>
                <w:lang w:val="en-US" w:eastAsia="zh-CN"/>
              </w:rPr>
              <w:t>1</w:t>
            </w:r>
            <w:r>
              <w:rPr>
                <w:rFonts w:hint="default" w:ascii="Times New Roman" w:hAnsi="Times New Roman" w:eastAsia="宋体" w:cs="Times New Roman"/>
                <w:b/>
                <w:bCs/>
                <w:color w:val="auto"/>
                <w:spacing w:val="0"/>
                <w:w w:val="100"/>
                <w:position w:val="0"/>
                <w:sz w:val="24"/>
              </w:rPr>
              <w:t>噪声源强分析</w:t>
            </w:r>
          </w:p>
          <w:p w14:paraId="48892C77">
            <w:pPr>
              <w:keepNext w:val="0"/>
              <w:keepLines w:val="0"/>
              <w:suppressLineNumbers w:val="0"/>
              <w:adjustRightInd/>
              <w:snapToGrid/>
              <w:spacing w:before="0" w:beforeAutospacing="0" w:after="0" w:afterAutospacing="0"/>
              <w:ind w:left="0" w:right="0" w:firstLine="480"/>
              <w:rPr>
                <w:rFonts w:hint="default" w:ascii="Times New Roman" w:hAnsi="Times New Roman" w:cs="Times New Roman"/>
                <w:color w:val="auto"/>
                <w:spacing w:val="0"/>
                <w:sz w:val="20"/>
                <w:lang w:val="en-US" w:eastAsia="zh-CN"/>
              </w:rPr>
            </w:pPr>
            <w:r>
              <w:rPr>
                <w:rFonts w:hint="default" w:ascii="Times New Roman" w:hAnsi="Times New Roman" w:eastAsia="宋体" w:cs="Times New Roman"/>
                <w:color w:val="auto"/>
                <w:spacing w:val="0"/>
                <w:w w:val="100"/>
                <w:position w:val="0"/>
                <w:sz w:val="24"/>
                <w:lang w:val="en-US" w:eastAsia="zh-CN"/>
              </w:rPr>
              <w:t>项目运营期噪声主要来抛丸机、车床、风机等设备运行时产生的机械噪声，各种设备噪声源强在70~90dB（A）之间。项目噪声源强调查清单见下表</w:t>
            </w:r>
            <w:r>
              <w:rPr>
                <w:rFonts w:hint="default" w:ascii="Times New Roman" w:hAnsi="Times New Roman" w:eastAsia="宋体" w:cs="Times New Roman"/>
                <w:color w:val="auto"/>
                <w:spacing w:val="0"/>
                <w:w w:val="100"/>
                <w:position w:val="0"/>
                <w:sz w:val="24"/>
              </w:rPr>
              <w:t>。</w:t>
            </w:r>
          </w:p>
        </w:tc>
      </w:tr>
    </w:tbl>
    <w:p w14:paraId="05CEF9CB">
      <w:pPr>
        <w:ind w:left="0" w:leftChars="0" w:firstLine="0" w:firstLineChars="0"/>
        <w:rPr>
          <w:rFonts w:hint="default" w:ascii="Times New Roman" w:hAnsi="Times New Roman" w:cs="Times New Roman"/>
          <w:color w:val="auto"/>
          <w:spacing w:val="0"/>
          <w:position w:val="0"/>
          <w:lang w:val="en-US" w:eastAsia="zh-CN"/>
        </w:rPr>
        <w:sectPr>
          <w:pgSz w:w="11906" w:h="16838"/>
          <w:pgMar w:top="1134" w:right="1701" w:bottom="1134" w:left="1701" w:header="567" w:footer="567" w:gutter="0"/>
          <w:pgBorders>
            <w:top w:val="none" w:sz="0" w:space="0"/>
            <w:left w:val="none" w:sz="0" w:space="0"/>
            <w:bottom w:val="none" w:sz="0" w:space="0"/>
            <w:right w:val="none" w:sz="0" w:space="0"/>
          </w:pgBorders>
          <w:pgNumType w:fmt="decimal"/>
          <w:cols w:space="720" w:num="1"/>
          <w:docGrid w:type="lines" w:linePitch="312" w:charSpace="0"/>
        </w:sectPr>
      </w:pPr>
      <w:bookmarkStart w:id="113" w:name="_Hlk54167917"/>
    </w:p>
    <w:tbl>
      <w:tblPr>
        <w:tblStyle w:val="59"/>
        <w:tblW w:w="501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54"/>
        <w:gridCol w:w="14187"/>
      </w:tblGrid>
      <w:tr w14:paraId="66F3EA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8" w:type="pct"/>
            <w:noWrap w:val="0"/>
            <w:tcMar>
              <w:left w:w="28" w:type="dxa"/>
              <w:right w:w="28" w:type="dxa"/>
            </w:tcMar>
            <w:vAlign w:val="center"/>
          </w:tcPr>
          <w:p w14:paraId="358FD5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运</w:t>
            </w:r>
          </w:p>
          <w:p w14:paraId="053D6B3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营</w:t>
            </w:r>
          </w:p>
          <w:p w14:paraId="04ED9F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期</w:t>
            </w:r>
          </w:p>
          <w:p w14:paraId="358443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环</w:t>
            </w:r>
          </w:p>
          <w:p w14:paraId="37BAF0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境</w:t>
            </w:r>
          </w:p>
          <w:p w14:paraId="61146D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影</w:t>
            </w:r>
          </w:p>
          <w:p w14:paraId="5B6400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响</w:t>
            </w:r>
          </w:p>
          <w:p w14:paraId="7E5D74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和</w:t>
            </w:r>
          </w:p>
          <w:p w14:paraId="3C077C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保</w:t>
            </w:r>
          </w:p>
          <w:p w14:paraId="4F0A2C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护</w:t>
            </w:r>
          </w:p>
          <w:p w14:paraId="5EDCB4C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措</w:t>
            </w:r>
          </w:p>
          <w:p w14:paraId="6645728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等线" w:cs="Times New Roman"/>
                <w:bCs/>
                <w:color w:val="auto"/>
                <w:spacing w:val="0"/>
                <w:w w:val="100"/>
                <w:position w:val="0"/>
                <w:sz w:val="24"/>
                <w:szCs w:val="21"/>
              </w:rPr>
            </w:pPr>
            <w:r>
              <w:rPr>
                <w:rFonts w:hint="default" w:ascii="Times New Roman" w:hAnsi="Times New Roman" w:eastAsia="宋体" w:cs="Times New Roman"/>
                <w:color w:val="auto"/>
                <w:spacing w:val="0"/>
                <w:w w:val="100"/>
                <w:position w:val="0"/>
                <w:sz w:val="24"/>
                <w:szCs w:val="24"/>
                <w:lang w:val="en-US" w:eastAsia="zh-CN"/>
              </w:rPr>
              <w:t>施</w:t>
            </w:r>
          </w:p>
        </w:tc>
        <w:tc>
          <w:tcPr>
            <w:tcW w:w="4811" w:type="pct"/>
            <w:noWrap w:val="0"/>
            <w:vAlign w:val="center"/>
          </w:tcPr>
          <w:p w14:paraId="4FCA67A1">
            <w:pPr>
              <w:keepNext w:val="0"/>
              <w:keepLines w:val="0"/>
              <w:suppressLineNumbers w:val="0"/>
              <w:adjustRightInd/>
              <w:snapToGrid/>
              <w:spacing w:before="0" w:beforeAutospacing="0" w:after="0" w:afterAutospacing="0"/>
              <w:ind w:left="0" w:right="0" w:firstLine="0" w:firstLineChars="0"/>
              <w:contextualSpacing/>
              <w:jc w:val="center"/>
              <w:rPr>
                <w:rFonts w:hint="default" w:ascii="Times New Roman" w:hAnsi="Times New Roman" w:eastAsia="宋体" w:cs="Times New Roman"/>
                <w:b/>
                <w:bCs/>
                <w:color w:val="auto"/>
                <w:spacing w:val="0"/>
                <w:w w:val="100"/>
                <w:position w:val="0"/>
                <w:sz w:val="21"/>
                <w:lang w:eastAsia="zh-CN"/>
              </w:rPr>
            </w:pPr>
            <w:r>
              <w:rPr>
                <w:rFonts w:hint="default" w:ascii="Times New Roman" w:hAnsi="Times New Roman" w:eastAsia="宋体" w:cs="Times New Roman"/>
                <w:b/>
                <w:bCs/>
                <w:color w:val="auto"/>
                <w:spacing w:val="0"/>
                <w:w w:val="100"/>
                <w:position w:val="0"/>
                <w:sz w:val="21"/>
              </w:rPr>
              <w:t>表4-</w:t>
            </w:r>
            <w:r>
              <w:rPr>
                <w:rFonts w:hint="default" w:ascii="Times New Roman" w:hAnsi="Times New Roman" w:eastAsia="宋体" w:cs="Times New Roman"/>
                <w:b/>
                <w:bCs/>
                <w:color w:val="auto"/>
                <w:spacing w:val="0"/>
                <w:w w:val="100"/>
                <w:position w:val="0"/>
                <w:sz w:val="21"/>
                <w:lang w:val="en-US" w:eastAsia="zh-CN"/>
              </w:rPr>
              <w:t xml:space="preserve">12 </w:t>
            </w:r>
            <w:r>
              <w:rPr>
                <w:rFonts w:hint="default" w:ascii="Times New Roman" w:hAnsi="Times New Roman" w:eastAsia="宋体" w:cs="Times New Roman"/>
                <w:b/>
                <w:bCs/>
                <w:color w:val="auto"/>
                <w:spacing w:val="0"/>
                <w:w w:val="100"/>
                <w:position w:val="0"/>
                <w:sz w:val="21"/>
              </w:rPr>
              <w:t xml:space="preserve"> 项目噪声源强调查清单（室内声源</w:t>
            </w:r>
            <w:r>
              <w:rPr>
                <w:rFonts w:hint="default" w:ascii="Times New Roman" w:hAnsi="Times New Roman" w:eastAsia="宋体" w:cs="Times New Roman"/>
                <w:b/>
                <w:bCs/>
                <w:color w:val="auto"/>
                <w:spacing w:val="0"/>
                <w:w w:val="100"/>
                <w:position w:val="0"/>
                <w:sz w:val="21"/>
                <w:lang w:eastAsia="zh-CN"/>
              </w:rPr>
              <w:t>）</w:t>
            </w:r>
          </w:p>
          <w:tbl>
            <w:tblPr>
              <w:tblStyle w:val="60"/>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2"/>
              <w:gridCol w:w="809"/>
              <w:gridCol w:w="1462"/>
              <w:gridCol w:w="1200"/>
              <w:gridCol w:w="1033"/>
              <w:gridCol w:w="1063"/>
              <w:gridCol w:w="664"/>
              <w:gridCol w:w="701"/>
              <w:gridCol w:w="703"/>
              <w:gridCol w:w="751"/>
              <w:gridCol w:w="648"/>
              <w:gridCol w:w="684"/>
              <w:gridCol w:w="720"/>
              <w:gridCol w:w="675"/>
              <w:gridCol w:w="712"/>
              <w:gridCol w:w="809"/>
              <w:gridCol w:w="741"/>
            </w:tblGrid>
            <w:tr w14:paraId="04DB9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 w:type="pct"/>
                  <w:vMerge w:val="restart"/>
                  <w:noWrap w:val="0"/>
                  <w:vAlign w:val="center"/>
                </w:tcPr>
                <w:p w14:paraId="3D50819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序号</w:t>
                  </w:r>
                </w:p>
              </w:tc>
              <w:tc>
                <w:tcPr>
                  <w:tcW w:w="290" w:type="pct"/>
                  <w:vMerge w:val="restart"/>
                  <w:noWrap w:val="0"/>
                  <w:vAlign w:val="center"/>
                </w:tcPr>
                <w:p w14:paraId="0979DA0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建筑名称</w:t>
                  </w:r>
                </w:p>
              </w:tc>
              <w:tc>
                <w:tcPr>
                  <w:tcW w:w="524" w:type="pct"/>
                  <w:vMerge w:val="restart"/>
                  <w:noWrap w:val="0"/>
                  <w:vAlign w:val="center"/>
                </w:tcPr>
                <w:p w14:paraId="01229F9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声源名称</w:t>
                  </w:r>
                </w:p>
              </w:tc>
              <w:tc>
                <w:tcPr>
                  <w:tcW w:w="430" w:type="pct"/>
                  <w:vMerge w:val="restart"/>
                  <w:noWrap w:val="0"/>
                  <w:vAlign w:val="center"/>
                </w:tcPr>
                <w:p w14:paraId="41440DB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型号</w:t>
                  </w:r>
                </w:p>
              </w:tc>
              <w:tc>
                <w:tcPr>
                  <w:tcW w:w="370" w:type="pct"/>
                  <w:vMerge w:val="restart"/>
                  <w:noWrap w:val="0"/>
                  <w:vAlign w:val="center"/>
                </w:tcPr>
                <w:p w14:paraId="4C5ECEE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声功率级dB（A）</w:t>
                  </w:r>
                </w:p>
              </w:tc>
              <w:tc>
                <w:tcPr>
                  <w:tcW w:w="381" w:type="pct"/>
                  <w:vMerge w:val="restart"/>
                  <w:noWrap w:val="0"/>
                  <w:vAlign w:val="center"/>
                </w:tcPr>
                <w:p w14:paraId="072867A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声源控制措施</w:t>
                  </w:r>
                </w:p>
              </w:tc>
              <w:tc>
                <w:tcPr>
                  <w:tcW w:w="741" w:type="pct"/>
                  <w:gridSpan w:val="3"/>
                  <w:noWrap w:val="0"/>
                  <w:vAlign w:val="center"/>
                </w:tcPr>
                <w:p w14:paraId="6F84B04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空间相对位置/m</w:t>
                  </w:r>
                </w:p>
              </w:tc>
              <w:tc>
                <w:tcPr>
                  <w:tcW w:w="1004" w:type="pct"/>
                  <w:gridSpan w:val="4"/>
                  <w:noWrap w:val="0"/>
                  <w:vAlign w:val="center"/>
                </w:tcPr>
                <w:p w14:paraId="41E288A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距室内边界距离</w:t>
                  </w:r>
                </w:p>
              </w:tc>
              <w:tc>
                <w:tcPr>
                  <w:tcW w:w="1052" w:type="pct"/>
                  <w:gridSpan w:val="4"/>
                  <w:noWrap w:val="0"/>
                  <w:vAlign w:val="center"/>
                </w:tcPr>
                <w:p w14:paraId="4770D77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室内边界声级/dB（A）</w:t>
                  </w:r>
                </w:p>
              </w:tc>
            </w:tr>
            <w:tr w14:paraId="015EA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 w:type="pct"/>
                  <w:vMerge w:val="continue"/>
                  <w:noWrap w:val="0"/>
                  <w:vAlign w:val="center"/>
                </w:tcPr>
                <w:p w14:paraId="3761815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90" w:type="pct"/>
                  <w:vMerge w:val="continue"/>
                  <w:noWrap w:val="0"/>
                  <w:vAlign w:val="center"/>
                </w:tcPr>
                <w:p w14:paraId="7EC15AE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vMerge w:val="continue"/>
                  <w:noWrap w:val="0"/>
                  <w:vAlign w:val="center"/>
                </w:tcPr>
                <w:p w14:paraId="7C83A19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430" w:type="pct"/>
                  <w:vMerge w:val="continue"/>
                  <w:noWrap w:val="0"/>
                  <w:vAlign w:val="center"/>
                </w:tcPr>
                <w:p w14:paraId="0977F4E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370" w:type="pct"/>
                  <w:vMerge w:val="continue"/>
                  <w:noWrap w:val="0"/>
                  <w:vAlign w:val="center"/>
                </w:tcPr>
                <w:p w14:paraId="09A494E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381" w:type="pct"/>
                  <w:vMerge w:val="continue"/>
                  <w:noWrap w:val="0"/>
                  <w:vAlign w:val="center"/>
                </w:tcPr>
                <w:p w14:paraId="34F461A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10527E2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X</w:t>
                  </w:r>
                </w:p>
              </w:tc>
              <w:tc>
                <w:tcPr>
                  <w:tcW w:w="251" w:type="pct"/>
                  <w:noWrap w:val="0"/>
                  <w:vAlign w:val="center"/>
                </w:tcPr>
                <w:p w14:paraId="35F0403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Y</w:t>
                  </w:r>
                </w:p>
              </w:tc>
              <w:tc>
                <w:tcPr>
                  <w:tcW w:w="252" w:type="pct"/>
                  <w:noWrap w:val="0"/>
                  <w:vAlign w:val="center"/>
                </w:tcPr>
                <w:p w14:paraId="609F82A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Z</w:t>
                  </w:r>
                </w:p>
              </w:tc>
              <w:tc>
                <w:tcPr>
                  <w:tcW w:w="269" w:type="pct"/>
                  <w:noWrap w:val="0"/>
                  <w:vAlign w:val="center"/>
                </w:tcPr>
                <w:p w14:paraId="5C25187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东面</w:t>
                  </w:r>
                </w:p>
              </w:tc>
              <w:tc>
                <w:tcPr>
                  <w:tcW w:w="232" w:type="pct"/>
                  <w:noWrap w:val="0"/>
                  <w:vAlign w:val="center"/>
                </w:tcPr>
                <w:p w14:paraId="4D1D796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南面</w:t>
                  </w:r>
                </w:p>
              </w:tc>
              <w:tc>
                <w:tcPr>
                  <w:tcW w:w="245" w:type="pct"/>
                  <w:noWrap w:val="0"/>
                  <w:vAlign w:val="center"/>
                </w:tcPr>
                <w:p w14:paraId="17A888B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西面</w:t>
                  </w:r>
                </w:p>
              </w:tc>
              <w:tc>
                <w:tcPr>
                  <w:tcW w:w="258" w:type="pct"/>
                  <w:noWrap w:val="0"/>
                  <w:vAlign w:val="center"/>
                </w:tcPr>
                <w:p w14:paraId="2FDD5ED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北面</w:t>
                  </w:r>
                </w:p>
              </w:tc>
              <w:tc>
                <w:tcPr>
                  <w:tcW w:w="242" w:type="pct"/>
                  <w:noWrap w:val="0"/>
                  <w:vAlign w:val="center"/>
                </w:tcPr>
                <w:p w14:paraId="2E4F068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东面</w:t>
                  </w:r>
                </w:p>
              </w:tc>
              <w:tc>
                <w:tcPr>
                  <w:tcW w:w="255" w:type="pct"/>
                  <w:noWrap w:val="0"/>
                  <w:vAlign w:val="center"/>
                </w:tcPr>
                <w:p w14:paraId="0410B10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南面</w:t>
                  </w:r>
                </w:p>
              </w:tc>
              <w:tc>
                <w:tcPr>
                  <w:tcW w:w="290" w:type="pct"/>
                  <w:noWrap w:val="0"/>
                  <w:vAlign w:val="center"/>
                </w:tcPr>
                <w:p w14:paraId="736B74C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西面</w:t>
                  </w:r>
                </w:p>
              </w:tc>
              <w:tc>
                <w:tcPr>
                  <w:tcW w:w="265" w:type="pct"/>
                  <w:noWrap w:val="0"/>
                  <w:vAlign w:val="center"/>
                </w:tcPr>
                <w:p w14:paraId="40CBFBD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北面</w:t>
                  </w:r>
                </w:p>
              </w:tc>
            </w:tr>
            <w:tr w14:paraId="657C6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205" w:type="pct"/>
                  <w:noWrap w:val="0"/>
                  <w:vAlign w:val="center"/>
                </w:tcPr>
                <w:p w14:paraId="7AD8974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90" w:type="pct"/>
                  <w:vMerge w:val="restart"/>
                  <w:noWrap w:val="0"/>
                  <w:vAlign w:val="center"/>
                </w:tcPr>
                <w:p w14:paraId="67F36D0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生产 车间</w:t>
                  </w:r>
                </w:p>
              </w:tc>
              <w:tc>
                <w:tcPr>
                  <w:tcW w:w="524" w:type="pct"/>
                  <w:noWrap w:val="0"/>
                  <w:vAlign w:val="center"/>
                </w:tcPr>
                <w:p w14:paraId="362B60B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中频炉1</w:t>
                  </w:r>
                </w:p>
              </w:tc>
              <w:tc>
                <w:tcPr>
                  <w:tcW w:w="430" w:type="pct"/>
                  <w:noWrap w:val="0"/>
                  <w:vAlign w:val="center"/>
                </w:tcPr>
                <w:p w14:paraId="35F76B5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GW-0.75T</w:t>
                  </w:r>
                </w:p>
              </w:tc>
              <w:tc>
                <w:tcPr>
                  <w:tcW w:w="370" w:type="pct"/>
                  <w:noWrap w:val="0"/>
                  <w:vAlign w:val="center"/>
                </w:tcPr>
                <w:p w14:paraId="12B0DB3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restart"/>
                  <w:noWrap w:val="0"/>
                  <w:vAlign w:val="center"/>
                </w:tcPr>
                <w:p w14:paraId="5E18BDE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基础减振合理布局科学管理厂房隔声</w:t>
                  </w:r>
                </w:p>
              </w:tc>
              <w:tc>
                <w:tcPr>
                  <w:tcW w:w="238" w:type="pct"/>
                  <w:noWrap w:val="0"/>
                  <w:vAlign w:val="center"/>
                </w:tcPr>
                <w:p w14:paraId="01DE09F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w:t>
                  </w:r>
                </w:p>
              </w:tc>
              <w:tc>
                <w:tcPr>
                  <w:tcW w:w="251" w:type="pct"/>
                  <w:noWrap w:val="0"/>
                  <w:vAlign w:val="center"/>
                </w:tcPr>
                <w:p w14:paraId="761EEE9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26</w:t>
                  </w:r>
                </w:p>
              </w:tc>
              <w:tc>
                <w:tcPr>
                  <w:tcW w:w="252" w:type="pct"/>
                  <w:noWrap w:val="0"/>
                  <w:vAlign w:val="center"/>
                </w:tcPr>
                <w:p w14:paraId="2208284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4533524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57</w:t>
                  </w:r>
                </w:p>
              </w:tc>
              <w:tc>
                <w:tcPr>
                  <w:tcW w:w="232" w:type="pct"/>
                  <w:noWrap w:val="0"/>
                  <w:vAlign w:val="center"/>
                </w:tcPr>
                <w:p w14:paraId="5CB6F01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15</w:t>
                  </w:r>
                </w:p>
              </w:tc>
              <w:tc>
                <w:tcPr>
                  <w:tcW w:w="245" w:type="pct"/>
                  <w:noWrap w:val="0"/>
                  <w:vAlign w:val="center"/>
                </w:tcPr>
                <w:p w14:paraId="518C97D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w:t>
                  </w:r>
                </w:p>
              </w:tc>
              <w:tc>
                <w:tcPr>
                  <w:tcW w:w="258" w:type="pct"/>
                  <w:noWrap w:val="0"/>
                  <w:vAlign w:val="center"/>
                </w:tcPr>
                <w:p w14:paraId="545F4B3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c>
                <w:tcPr>
                  <w:tcW w:w="242" w:type="pct"/>
                  <w:noWrap w:val="0"/>
                  <w:vAlign w:val="center"/>
                </w:tcPr>
                <w:p w14:paraId="1EA91E5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62</w:t>
                  </w:r>
                </w:p>
              </w:tc>
              <w:tc>
                <w:tcPr>
                  <w:tcW w:w="255" w:type="pct"/>
                  <w:noWrap w:val="0"/>
                  <w:vAlign w:val="center"/>
                </w:tcPr>
                <w:p w14:paraId="3B9E19B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68</w:t>
                  </w:r>
                </w:p>
              </w:tc>
              <w:tc>
                <w:tcPr>
                  <w:tcW w:w="290" w:type="pct"/>
                  <w:noWrap w:val="0"/>
                  <w:vAlign w:val="center"/>
                </w:tcPr>
                <w:p w14:paraId="58765FD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74</w:t>
                  </w:r>
                </w:p>
              </w:tc>
              <w:tc>
                <w:tcPr>
                  <w:tcW w:w="265" w:type="pct"/>
                  <w:noWrap w:val="0"/>
                  <w:vAlign w:val="center"/>
                </w:tcPr>
                <w:p w14:paraId="3C245BF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r>
            <w:tr w14:paraId="03C21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 w:type="pct"/>
                  <w:noWrap w:val="0"/>
                  <w:vAlign w:val="center"/>
                </w:tcPr>
                <w:p w14:paraId="513C4A7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w:t>
                  </w:r>
                </w:p>
              </w:tc>
              <w:tc>
                <w:tcPr>
                  <w:tcW w:w="290" w:type="pct"/>
                  <w:vMerge w:val="continue"/>
                  <w:noWrap w:val="0"/>
                  <w:vAlign w:val="center"/>
                </w:tcPr>
                <w:p w14:paraId="4B29558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3CF282B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中频炉2</w:t>
                  </w:r>
                </w:p>
              </w:tc>
              <w:tc>
                <w:tcPr>
                  <w:tcW w:w="430" w:type="pct"/>
                  <w:noWrap w:val="0"/>
                  <w:vAlign w:val="center"/>
                </w:tcPr>
                <w:p w14:paraId="41D422B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GW-1T</w:t>
                  </w:r>
                </w:p>
              </w:tc>
              <w:tc>
                <w:tcPr>
                  <w:tcW w:w="370" w:type="pct"/>
                  <w:noWrap w:val="0"/>
                  <w:vAlign w:val="center"/>
                </w:tcPr>
                <w:p w14:paraId="0F8E441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276FC0E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5D17AD9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12</w:t>
                  </w:r>
                </w:p>
              </w:tc>
              <w:tc>
                <w:tcPr>
                  <w:tcW w:w="251" w:type="pct"/>
                  <w:noWrap w:val="0"/>
                  <w:vAlign w:val="center"/>
                </w:tcPr>
                <w:p w14:paraId="06F06AE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26</w:t>
                  </w:r>
                </w:p>
              </w:tc>
              <w:tc>
                <w:tcPr>
                  <w:tcW w:w="252" w:type="pct"/>
                  <w:noWrap w:val="0"/>
                  <w:vAlign w:val="center"/>
                </w:tcPr>
                <w:p w14:paraId="33683EB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0F9C11F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55</w:t>
                  </w:r>
                </w:p>
              </w:tc>
              <w:tc>
                <w:tcPr>
                  <w:tcW w:w="232" w:type="pct"/>
                  <w:noWrap w:val="0"/>
                  <w:vAlign w:val="center"/>
                </w:tcPr>
                <w:p w14:paraId="5EC9376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15</w:t>
                  </w:r>
                </w:p>
              </w:tc>
              <w:tc>
                <w:tcPr>
                  <w:tcW w:w="245" w:type="pct"/>
                  <w:noWrap w:val="0"/>
                  <w:vAlign w:val="center"/>
                </w:tcPr>
                <w:p w14:paraId="0901461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w:t>
                  </w:r>
                </w:p>
              </w:tc>
              <w:tc>
                <w:tcPr>
                  <w:tcW w:w="258" w:type="pct"/>
                  <w:noWrap w:val="0"/>
                  <w:vAlign w:val="center"/>
                </w:tcPr>
                <w:p w14:paraId="277CAE6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c>
                <w:tcPr>
                  <w:tcW w:w="242" w:type="pct"/>
                  <w:noWrap w:val="0"/>
                  <w:vAlign w:val="center"/>
                </w:tcPr>
                <w:p w14:paraId="24E41FF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63</w:t>
                  </w:r>
                </w:p>
              </w:tc>
              <w:tc>
                <w:tcPr>
                  <w:tcW w:w="255" w:type="pct"/>
                  <w:noWrap w:val="0"/>
                  <w:vAlign w:val="center"/>
                </w:tcPr>
                <w:p w14:paraId="76E4016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68</w:t>
                  </w:r>
                </w:p>
              </w:tc>
              <w:tc>
                <w:tcPr>
                  <w:tcW w:w="290" w:type="pct"/>
                  <w:noWrap w:val="0"/>
                  <w:vAlign w:val="center"/>
                </w:tcPr>
                <w:p w14:paraId="4979E01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72</w:t>
                  </w:r>
                </w:p>
              </w:tc>
              <w:tc>
                <w:tcPr>
                  <w:tcW w:w="265" w:type="pct"/>
                  <w:noWrap w:val="0"/>
                  <w:vAlign w:val="center"/>
                </w:tcPr>
                <w:p w14:paraId="37D2ED2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r>
            <w:tr w14:paraId="749D5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 w:type="pct"/>
                  <w:noWrap w:val="0"/>
                  <w:vAlign w:val="center"/>
                </w:tcPr>
                <w:p w14:paraId="61DE501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c>
                <w:tcPr>
                  <w:tcW w:w="290" w:type="pct"/>
                  <w:vMerge w:val="continue"/>
                  <w:noWrap w:val="0"/>
                  <w:vAlign w:val="center"/>
                </w:tcPr>
                <w:p w14:paraId="243791B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410AE0A8">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空压机1</w:t>
                  </w:r>
                </w:p>
              </w:tc>
              <w:tc>
                <w:tcPr>
                  <w:tcW w:w="430" w:type="pct"/>
                  <w:noWrap w:val="0"/>
                  <w:vAlign w:val="center"/>
                </w:tcPr>
                <w:p w14:paraId="7DC494A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00E948A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3BBC9BB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6099BCA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37</w:t>
                  </w:r>
                </w:p>
              </w:tc>
              <w:tc>
                <w:tcPr>
                  <w:tcW w:w="251" w:type="pct"/>
                  <w:noWrap w:val="0"/>
                  <w:vAlign w:val="center"/>
                </w:tcPr>
                <w:p w14:paraId="1C9D768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12</w:t>
                  </w:r>
                </w:p>
              </w:tc>
              <w:tc>
                <w:tcPr>
                  <w:tcW w:w="252" w:type="pct"/>
                  <w:noWrap w:val="0"/>
                  <w:vAlign w:val="center"/>
                </w:tcPr>
                <w:p w14:paraId="735AC68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052442F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27</w:t>
                  </w:r>
                </w:p>
              </w:tc>
              <w:tc>
                <w:tcPr>
                  <w:tcW w:w="232" w:type="pct"/>
                  <w:noWrap w:val="0"/>
                  <w:vAlign w:val="center"/>
                </w:tcPr>
                <w:p w14:paraId="192375D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w:t>
                  </w:r>
                </w:p>
              </w:tc>
              <w:tc>
                <w:tcPr>
                  <w:tcW w:w="245" w:type="pct"/>
                  <w:noWrap w:val="0"/>
                  <w:vAlign w:val="center"/>
                </w:tcPr>
                <w:p w14:paraId="407CB6C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34</w:t>
                  </w:r>
                </w:p>
              </w:tc>
              <w:tc>
                <w:tcPr>
                  <w:tcW w:w="258" w:type="pct"/>
                  <w:noWrap w:val="0"/>
                  <w:vAlign w:val="center"/>
                </w:tcPr>
                <w:p w14:paraId="10CE5B5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14</w:t>
                  </w:r>
                </w:p>
              </w:tc>
              <w:tc>
                <w:tcPr>
                  <w:tcW w:w="242" w:type="pct"/>
                  <w:noWrap w:val="0"/>
                  <w:vAlign w:val="center"/>
                </w:tcPr>
                <w:p w14:paraId="13E804B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66</w:t>
                  </w:r>
                </w:p>
              </w:tc>
              <w:tc>
                <w:tcPr>
                  <w:tcW w:w="255" w:type="pct"/>
                  <w:noWrap w:val="0"/>
                  <w:vAlign w:val="center"/>
                </w:tcPr>
                <w:p w14:paraId="65677FF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74</w:t>
                  </w:r>
                </w:p>
              </w:tc>
              <w:tc>
                <w:tcPr>
                  <w:tcW w:w="290" w:type="pct"/>
                  <w:noWrap w:val="0"/>
                  <w:vAlign w:val="center"/>
                </w:tcPr>
                <w:p w14:paraId="6FF3986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65</w:t>
                  </w:r>
                </w:p>
              </w:tc>
              <w:tc>
                <w:tcPr>
                  <w:tcW w:w="265" w:type="pct"/>
                  <w:noWrap w:val="0"/>
                  <w:vAlign w:val="center"/>
                </w:tcPr>
                <w:p w14:paraId="12CB107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69</w:t>
                  </w:r>
                </w:p>
              </w:tc>
            </w:tr>
            <w:tr w14:paraId="0E169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 w:type="pct"/>
                  <w:noWrap w:val="0"/>
                  <w:vAlign w:val="center"/>
                </w:tcPr>
                <w:p w14:paraId="78DCF5C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w:t>
                  </w:r>
                </w:p>
              </w:tc>
              <w:tc>
                <w:tcPr>
                  <w:tcW w:w="290" w:type="pct"/>
                  <w:vMerge w:val="continue"/>
                  <w:noWrap w:val="0"/>
                  <w:vAlign w:val="center"/>
                </w:tcPr>
                <w:p w14:paraId="31E1B55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7A3B0EB7">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空压机2</w:t>
                  </w:r>
                </w:p>
              </w:tc>
              <w:tc>
                <w:tcPr>
                  <w:tcW w:w="430" w:type="pct"/>
                  <w:noWrap w:val="0"/>
                  <w:vAlign w:val="center"/>
                </w:tcPr>
                <w:p w14:paraId="6BAFF04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100ED6B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58114BF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3ACE2DF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38</w:t>
                  </w:r>
                </w:p>
              </w:tc>
              <w:tc>
                <w:tcPr>
                  <w:tcW w:w="251" w:type="pct"/>
                  <w:noWrap w:val="0"/>
                  <w:vAlign w:val="center"/>
                </w:tcPr>
                <w:p w14:paraId="5CA282D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12</w:t>
                  </w:r>
                </w:p>
              </w:tc>
              <w:tc>
                <w:tcPr>
                  <w:tcW w:w="252" w:type="pct"/>
                  <w:noWrap w:val="0"/>
                  <w:vAlign w:val="center"/>
                </w:tcPr>
                <w:p w14:paraId="365EACB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0B6AA1D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26</w:t>
                  </w:r>
                </w:p>
              </w:tc>
              <w:tc>
                <w:tcPr>
                  <w:tcW w:w="232" w:type="pct"/>
                  <w:noWrap w:val="0"/>
                  <w:vAlign w:val="center"/>
                </w:tcPr>
                <w:p w14:paraId="762E8C6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w:t>
                  </w:r>
                </w:p>
              </w:tc>
              <w:tc>
                <w:tcPr>
                  <w:tcW w:w="245" w:type="pct"/>
                  <w:noWrap w:val="0"/>
                  <w:vAlign w:val="center"/>
                </w:tcPr>
                <w:p w14:paraId="43A0508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35</w:t>
                  </w:r>
                </w:p>
              </w:tc>
              <w:tc>
                <w:tcPr>
                  <w:tcW w:w="258" w:type="pct"/>
                  <w:noWrap w:val="0"/>
                  <w:vAlign w:val="center"/>
                </w:tcPr>
                <w:p w14:paraId="447F9FF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14</w:t>
                  </w:r>
                </w:p>
              </w:tc>
              <w:tc>
                <w:tcPr>
                  <w:tcW w:w="242" w:type="pct"/>
                  <w:noWrap w:val="0"/>
                  <w:vAlign w:val="center"/>
                </w:tcPr>
                <w:p w14:paraId="6C849F6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66</w:t>
                  </w:r>
                </w:p>
              </w:tc>
              <w:tc>
                <w:tcPr>
                  <w:tcW w:w="255" w:type="pct"/>
                  <w:noWrap w:val="0"/>
                  <w:vAlign w:val="center"/>
                </w:tcPr>
                <w:p w14:paraId="2A9D5BE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74</w:t>
                  </w:r>
                </w:p>
              </w:tc>
              <w:tc>
                <w:tcPr>
                  <w:tcW w:w="290" w:type="pct"/>
                  <w:noWrap w:val="0"/>
                  <w:vAlign w:val="center"/>
                </w:tcPr>
                <w:p w14:paraId="1A28565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65</w:t>
                  </w:r>
                </w:p>
              </w:tc>
              <w:tc>
                <w:tcPr>
                  <w:tcW w:w="265" w:type="pct"/>
                  <w:noWrap w:val="0"/>
                  <w:vAlign w:val="center"/>
                </w:tcPr>
                <w:p w14:paraId="74D2CDB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69</w:t>
                  </w:r>
                </w:p>
              </w:tc>
            </w:tr>
            <w:tr w14:paraId="29B55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 w:type="pct"/>
                  <w:noWrap w:val="0"/>
                  <w:vAlign w:val="center"/>
                </w:tcPr>
                <w:p w14:paraId="03329B7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w:t>
                  </w:r>
                </w:p>
              </w:tc>
              <w:tc>
                <w:tcPr>
                  <w:tcW w:w="290" w:type="pct"/>
                  <w:vMerge w:val="continue"/>
                  <w:noWrap w:val="0"/>
                  <w:vAlign w:val="center"/>
                </w:tcPr>
                <w:p w14:paraId="7023A9A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541C4EC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热处理炉1</w:t>
                  </w:r>
                </w:p>
              </w:tc>
              <w:tc>
                <w:tcPr>
                  <w:tcW w:w="430" w:type="pct"/>
                  <w:noWrap w:val="0"/>
                  <w:vAlign w:val="center"/>
                </w:tcPr>
                <w:p w14:paraId="037146C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RT-120-12</w:t>
                  </w:r>
                </w:p>
              </w:tc>
              <w:tc>
                <w:tcPr>
                  <w:tcW w:w="370" w:type="pct"/>
                  <w:noWrap w:val="0"/>
                  <w:vAlign w:val="center"/>
                </w:tcPr>
                <w:p w14:paraId="7A47DF2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3BB55A3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33AB074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12</w:t>
                  </w:r>
                </w:p>
              </w:tc>
              <w:tc>
                <w:tcPr>
                  <w:tcW w:w="251" w:type="pct"/>
                  <w:noWrap w:val="0"/>
                  <w:vAlign w:val="center"/>
                </w:tcPr>
                <w:p w14:paraId="3DF5C83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13</w:t>
                  </w:r>
                </w:p>
              </w:tc>
              <w:tc>
                <w:tcPr>
                  <w:tcW w:w="252" w:type="pct"/>
                  <w:noWrap w:val="0"/>
                  <w:vAlign w:val="center"/>
                </w:tcPr>
                <w:p w14:paraId="349D4B7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73CCC9D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55</w:t>
                  </w:r>
                </w:p>
              </w:tc>
              <w:tc>
                <w:tcPr>
                  <w:tcW w:w="232" w:type="pct"/>
                  <w:noWrap w:val="0"/>
                  <w:vAlign w:val="center"/>
                </w:tcPr>
                <w:p w14:paraId="259F1EF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w:t>
                  </w:r>
                </w:p>
              </w:tc>
              <w:tc>
                <w:tcPr>
                  <w:tcW w:w="245" w:type="pct"/>
                  <w:noWrap w:val="0"/>
                  <w:vAlign w:val="center"/>
                </w:tcPr>
                <w:p w14:paraId="19772AA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w:t>
                  </w:r>
                </w:p>
              </w:tc>
              <w:tc>
                <w:tcPr>
                  <w:tcW w:w="258" w:type="pct"/>
                  <w:noWrap w:val="0"/>
                  <w:vAlign w:val="center"/>
                </w:tcPr>
                <w:p w14:paraId="7B50993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13</w:t>
                  </w:r>
                </w:p>
              </w:tc>
              <w:tc>
                <w:tcPr>
                  <w:tcW w:w="242" w:type="pct"/>
                  <w:noWrap w:val="0"/>
                  <w:vAlign w:val="center"/>
                </w:tcPr>
                <w:p w14:paraId="7980ACC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63</w:t>
                  </w:r>
                </w:p>
              </w:tc>
              <w:tc>
                <w:tcPr>
                  <w:tcW w:w="255" w:type="pct"/>
                  <w:noWrap w:val="0"/>
                  <w:vAlign w:val="center"/>
                </w:tcPr>
                <w:p w14:paraId="153AC3E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73</w:t>
                  </w:r>
                </w:p>
              </w:tc>
              <w:tc>
                <w:tcPr>
                  <w:tcW w:w="290" w:type="pct"/>
                  <w:noWrap w:val="0"/>
                  <w:vAlign w:val="center"/>
                </w:tcPr>
                <w:p w14:paraId="618239F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72</w:t>
                  </w:r>
                </w:p>
              </w:tc>
              <w:tc>
                <w:tcPr>
                  <w:tcW w:w="265" w:type="pct"/>
                  <w:noWrap w:val="0"/>
                  <w:vAlign w:val="center"/>
                </w:tcPr>
                <w:p w14:paraId="2431F5A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69</w:t>
                  </w:r>
                </w:p>
              </w:tc>
            </w:tr>
            <w:tr w14:paraId="7B217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 w:type="pct"/>
                  <w:noWrap w:val="0"/>
                  <w:vAlign w:val="center"/>
                </w:tcPr>
                <w:p w14:paraId="04AC1BC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w:t>
                  </w:r>
                </w:p>
              </w:tc>
              <w:tc>
                <w:tcPr>
                  <w:tcW w:w="290" w:type="pct"/>
                  <w:vMerge w:val="continue"/>
                  <w:noWrap w:val="0"/>
                  <w:vAlign w:val="center"/>
                </w:tcPr>
                <w:p w14:paraId="6E3EF26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58E918E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热处理炉2</w:t>
                  </w:r>
                </w:p>
              </w:tc>
              <w:tc>
                <w:tcPr>
                  <w:tcW w:w="430" w:type="pct"/>
                  <w:noWrap w:val="0"/>
                  <w:vAlign w:val="center"/>
                </w:tcPr>
                <w:p w14:paraId="786F3A2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RT-120-12</w:t>
                  </w:r>
                </w:p>
              </w:tc>
              <w:tc>
                <w:tcPr>
                  <w:tcW w:w="370" w:type="pct"/>
                  <w:noWrap w:val="0"/>
                  <w:vAlign w:val="center"/>
                </w:tcPr>
                <w:p w14:paraId="18EB9C5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539E91A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092F7B5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14</w:t>
                  </w:r>
                </w:p>
              </w:tc>
              <w:tc>
                <w:tcPr>
                  <w:tcW w:w="251" w:type="pct"/>
                  <w:noWrap w:val="0"/>
                  <w:vAlign w:val="center"/>
                </w:tcPr>
                <w:p w14:paraId="564FC92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13</w:t>
                  </w:r>
                </w:p>
              </w:tc>
              <w:tc>
                <w:tcPr>
                  <w:tcW w:w="252" w:type="pct"/>
                  <w:noWrap w:val="0"/>
                  <w:vAlign w:val="center"/>
                </w:tcPr>
                <w:p w14:paraId="64F3820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02FD85F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53</w:t>
                  </w:r>
                </w:p>
              </w:tc>
              <w:tc>
                <w:tcPr>
                  <w:tcW w:w="232" w:type="pct"/>
                  <w:noWrap w:val="0"/>
                  <w:vAlign w:val="center"/>
                </w:tcPr>
                <w:p w14:paraId="53E2328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w:t>
                  </w:r>
                </w:p>
              </w:tc>
              <w:tc>
                <w:tcPr>
                  <w:tcW w:w="245" w:type="pct"/>
                  <w:noWrap w:val="0"/>
                  <w:vAlign w:val="center"/>
                </w:tcPr>
                <w:p w14:paraId="3EABBC2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w:t>
                  </w:r>
                </w:p>
              </w:tc>
              <w:tc>
                <w:tcPr>
                  <w:tcW w:w="258" w:type="pct"/>
                  <w:noWrap w:val="0"/>
                  <w:vAlign w:val="center"/>
                </w:tcPr>
                <w:p w14:paraId="3D23F1A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13</w:t>
                  </w:r>
                </w:p>
              </w:tc>
              <w:tc>
                <w:tcPr>
                  <w:tcW w:w="242" w:type="pct"/>
                  <w:noWrap w:val="0"/>
                  <w:vAlign w:val="center"/>
                </w:tcPr>
                <w:p w14:paraId="157F87A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63</w:t>
                  </w:r>
                </w:p>
              </w:tc>
              <w:tc>
                <w:tcPr>
                  <w:tcW w:w="255" w:type="pct"/>
                  <w:noWrap w:val="0"/>
                  <w:vAlign w:val="center"/>
                </w:tcPr>
                <w:p w14:paraId="2F0FEDE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73</w:t>
                  </w:r>
                </w:p>
              </w:tc>
              <w:tc>
                <w:tcPr>
                  <w:tcW w:w="290" w:type="pct"/>
                  <w:noWrap w:val="0"/>
                  <w:vAlign w:val="center"/>
                </w:tcPr>
                <w:p w14:paraId="76C6DE7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71</w:t>
                  </w:r>
                </w:p>
              </w:tc>
              <w:tc>
                <w:tcPr>
                  <w:tcW w:w="265" w:type="pct"/>
                  <w:noWrap w:val="0"/>
                  <w:vAlign w:val="center"/>
                </w:tcPr>
                <w:p w14:paraId="3C03729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69</w:t>
                  </w:r>
                </w:p>
              </w:tc>
            </w:tr>
            <w:tr w14:paraId="0DB60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 w:type="pct"/>
                  <w:noWrap w:val="0"/>
                  <w:vAlign w:val="center"/>
                </w:tcPr>
                <w:p w14:paraId="0DF45F8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w:t>
                  </w:r>
                </w:p>
              </w:tc>
              <w:tc>
                <w:tcPr>
                  <w:tcW w:w="290" w:type="pct"/>
                  <w:vMerge w:val="continue"/>
                  <w:noWrap w:val="0"/>
                  <w:vAlign w:val="center"/>
                </w:tcPr>
                <w:p w14:paraId="0FDAAC5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40977DF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热处理炉3</w:t>
                  </w:r>
                </w:p>
              </w:tc>
              <w:tc>
                <w:tcPr>
                  <w:tcW w:w="430" w:type="pct"/>
                  <w:noWrap w:val="0"/>
                  <w:vAlign w:val="center"/>
                </w:tcPr>
                <w:p w14:paraId="605DC99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RT-75-9</w:t>
                  </w:r>
                </w:p>
              </w:tc>
              <w:tc>
                <w:tcPr>
                  <w:tcW w:w="370" w:type="pct"/>
                  <w:noWrap w:val="0"/>
                  <w:vAlign w:val="center"/>
                </w:tcPr>
                <w:p w14:paraId="1B03E32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37BF737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7C364E4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16</w:t>
                  </w:r>
                </w:p>
              </w:tc>
              <w:tc>
                <w:tcPr>
                  <w:tcW w:w="251" w:type="pct"/>
                  <w:noWrap w:val="0"/>
                  <w:vAlign w:val="center"/>
                </w:tcPr>
                <w:p w14:paraId="7F83725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13</w:t>
                  </w:r>
                </w:p>
              </w:tc>
              <w:tc>
                <w:tcPr>
                  <w:tcW w:w="252" w:type="pct"/>
                  <w:noWrap w:val="0"/>
                  <w:vAlign w:val="center"/>
                </w:tcPr>
                <w:p w14:paraId="78F2B36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26D1D8A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51</w:t>
                  </w:r>
                </w:p>
              </w:tc>
              <w:tc>
                <w:tcPr>
                  <w:tcW w:w="232" w:type="pct"/>
                  <w:noWrap w:val="0"/>
                  <w:vAlign w:val="center"/>
                </w:tcPr>
                <w:p w14:paraId="70A2D21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w:t>
                  </w:r>
                </w:p>
              </w:tc>
              <w:tc>
                <w:tcPr>
                  <w:tcW w:w="245" w:type="pct"/>
                  <w:noWrap w:val="0"/>
                  <w:vAlign w:val="center"/>
                </w:tcPr>
                <w:p w14:paraId="738EEE7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w:t>
                  </w:r>
                </w:p>
              </w:tc>
              <w:tc>
                <w:tcPr>
                  <w:tcW w:w="258" w:type="pct"/>
                  <w:noWrap w:val="0"/>
                  <w:vAlign w:val="center"/>
                </w:tcPr>
                <w:p w14:paraId="798F3A0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13</w:t>
                  </w:r>
                </w:p>
              </w:tc>
              <w:tc>
                <w:tcPr>
                  <w:tcW w:w="242" w:type="pct"/>
                  <w:noWrap w:val="0"/>
                  <w:vAlign w:val="center"/>
                </w:tcPr>
                <w:p w14:paraId="5D971AD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63</w:t>
                  </w:r>
                </w:p>
              </w:tc>
              <w:tc>
                <w:tcPr>
                  <w:tcW w:w="255" w:type="pct"/>
                  <w:noWrap w:val="0"/>
                  <w:vAlign w:val="center"/>
                </w:tcPr>
                <w:p w14:paraId="4B7D0F6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73</w:t>
                  </w:r>
                </w:p>
              </w:tc>
              <w:tc>
                <w:tcPr>
                  <w:tcW w:w="290" w:type="pct"/>
                  <w:noWrap w:val="0"/>
                  <w:vAlign w:val="center"/>
                </w:tcPr>
                <w:p w14:paraId="550DFBD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c>
                <w:tcPr>
                  <w:tcW w:w="265" w:type="pct"/>
                  <w:noWrap w:val="0"/>
                  <w:vAlign w:val="center"/>
                </w:tcPr>
                <w:p w14:paraId="26F6FBC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69</w:t>
                  </w:r>
                </w:p>
              </w:tc>
            </w:tr>
            <w:tr w14:paraId="5D2FD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 w:type="pct"/>
                  <w:noWrap w:val="0"/>
                  <w:vAlign w:val="center"/>
                </w:tcPr>
                <w:p w14:paraId="0AA3DB5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w:t>
                  </w:r>
                </w:p>
              </w:tc>
              <w:tc>
                <w:tcPr>
                  <w:tcW w:w="290" w:type="pct"/>
                  <w:vMerge w:val="continue"/>
                  <w:noWrap w:val="0"/>
                  <w:vAlign w:val="center"/>
                </w:tcPr>
                <w:p w14:paraId="4167918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23ADC5F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射心机1</w:t>
                  </w:r>
                </w:p>
              </w:tc>
              <w:tc>
                <w:tcPr>
                  <w:tcW w:w="430" w:type="pct"/>
                  <w:noWrap w:val="0"/>
                  <w:vAlign w:val="center"/>
                </w:tcPr>
                <w:p w14:paraId="6481536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4921B9D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3E33B7D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0B289EB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25</w:t>
                  </w:r>
                </w:p>
              </w:tc>
              <w:tc>
                <w:tcPr>
                  <w:tcW w:w="251" w:type="pct"/>
                  <w:noWrap w:val="0"/>
                  <w:vAlign w:val="center"/>
                </w:tcPr>
                <w:p w14:paraId="2BAE8EB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15</w:t>
                  </w:r>
                </w:p>
              </w:tc>
              <w:tc>
                <w:tcPr>
                  <w:tcW w:w="252" w:type="pct"/>
                  <w:noWrap w:val="0"/>
                  <w:vAlign w:val="center"/>
                </w:tcPr>
                <w:p w14:paraId="6056F4E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6667985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40</w:t>
                  </w:r>
                </w:p>
              </w:tc>
              <w:tc>
                <w:tcPr>
                  <w:tcW w:w="232" w:type="pct"/>
                  <w:noWrap w:val="0"/>
                  <w:vAlign w:val="center"/>
                </w:tcPr>
                <w:p w14:paraId="2AB2221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w:t>
                  </w:r>
                </w:p>
              </w:tc>
              <w:tc>
                <w:tcPr>
                  <w:tcW w:w="245" w:type="pct"/>
                  <w:noWrap w:val="0"/>
                  <w:vAlign w:val="center"/>
                </w:tcPr>
                <w:p w14:paraId="4F5F992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21</w:t>
                  </w:r>
                </w:p>
              </w:tc>
              <w:tc>
                <w:tcPr>
                  <w:tcW w:w="258" w:type="pct"/>
                  <w:noWrap w:val="0"/>
                  <w:vAlign w:val="center"/>
                </w:tcPr>
                <w:p w14:paraId="5E820F7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11</w:t>
                  </w:r>
                </w:p>
              </w:tc>
              <w:tc>
                <w:tcPr>
                  <w:tcW w:w="242" w:type="pct"/>
                  <w:noWrap w:val="0"/>
                  <w:vAlign w:val="center"/>
                </w:tcPr>
                <w:p w14:paraId="313B515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59</w:t>
                  </w:r>
                </w:p>
              </w:tc>
              <w:tc>
                <w:tcPr>
                  <w:tcW w:w="255" w:type="pct"/>
                  <w:noWrap w:val="0"/>
                  <w:vAlign w:val="center"/>
                </w:tcPr>
                <w:p w14:paraId="5152017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c>
                <w:tcPr>
                  <w:tcW w:w="290" w:type="pct"/>
                  <w:noWrap w:val="0"/>
                  <w:vAlign w:val="center"/>
                </w:tcPr>
                <w:p w14:paraId="760A271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62</w:t>
                  </w:r>
                </w:p>
              </w:tc>
              <w:tc>
                <w:tcPr>
                  <w:tcW w:w="265" w:type="pct"/>
                  <w:noWrap w:val="0"/>
                  <w:vAlign w:val="center"/>
                </w:tcPr>
                <w:p w14:paraId="1B161BF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65</w:t>
                  </w:r>
                </w:p>
              </w:tc>
            </w:tr>
            <w:tr w14:paraId="55E36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 w:type="pct"/>
                  <w:noWrap w:val="0"/>
                  <w:vAlign w:val="center"/>
                </w:tcPr>
                <w:p w14:paraId="0A9FB48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w:t>
                  </w:r>
                </w:p>
              </w:tc>
              <w:tc>
                <w:tcPr>
                  <w:tcW w:w="290" w:type="pct"/>
                  <w:vMerge w:val="continue"/>
                  <w:noWrap w:val="0"/>
                  <w:vAlign w:val="center"/>
                </w:tcPr>
                <w:p w14:paraId="27F1826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7CCD6E3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射心机2</w:t>
                  </w:r>
                </w:p>
              </w:tc>
              <w:tc>
                <w:tcPr>
                  <w:tcW w:w="430" w:type="pct"/>
                  <w:noWrap w:val="0"/>
                  <w:vAlign w:val="center"/>
                </w:tcPr>
                <w:p w14:paraId="5FC71CC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5AE9928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6027C37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6A1002E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26</w:t>
                  </w:r>
                </w:p>
              </w:tc>
              <w:tc>
                <w:tcPr>
                  <w:tcW w:w="251" w:type="pct"/>
                  <w:noWrap w:val="0"/>
                  <w:vAlign w:val="center"/>
                </w:tcPr>
                <w:p w14:paraId="3011519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15</w:t>
                  </w:r>
                </w:p>
              </w:tc>
              <w:tc>
                <w:tcPr>
                  <w:tcW w:w="252" w:type="pct"/>
                  <w:noWrap w:val="0"/>
                  <w:vAlign w:val="center"/>
                </w:tcPr>
                <w:p w14:paraId="1E21DF9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68D40AF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37</w:t>
                  </w:r>
                </w:p>
              </w:tc>
              <w:tc>
                <w:tcPr>
                  <w:tcW w:w="232" w:type="pct"/>
                  <w:noWrap w:val="0"/>
                  <w:vAlign w:val="center"/>
                </w:tcPr>
                <w:p w14:paraId="418B141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w:t>
                  </w:r>
                </w:p>
              </w:tc>
              <w:tc>
                <w:tcPr>
                  <w:tcW w:w="245" w:type="pct"/>
                  <w:noWrap w:val="0"/>
                  <w:vAlign w:val="center"/>
                </w:tcPr>
                <w:p w14:paraId="328D463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22</w:t>
                  </w:r>
                </w:p>
              </w:tc>
              <w:tc>
                <w:tcPr>
                  <w:tcW w:w="258" w:type="pct"/>
                  <w:noWrap w:val="0"/>
                  <w:vAlign w:val="center"/>
                </w:tcPr>
                <w:p w14:paraId="4866384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11</w:t>
                  </w:r>
                </w:p>
              </w:tc>
              <w:tc>
                <w:tcPr>
                  <w:tcW w:w="242" w:type="pct"/>
                  <w:noWrap w:val="0"/>
                  <w:vAlign w:val="center"/>
                </w:tcPr>
                <w:p w14:paraId="5DC13D2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59</w:t>
                  </w:r>
                </w:p>
              </w:tc>
              <w:tc>
                <w:tcPr>
                  <w:tcW w:w="255" w:type="pct"/>
                  <w:noWrap w:val="0"/>
                  <w:vAlign w:val="center"/>
                </w:tcPr>
                <w:p w14:paraId="7D118C2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c>
                <w:tcPr>
                  <w:tcW w:w="290" w:type="pct"/>
                  <w:noWrap w:val="0"/>
                  <w:vAlign w:val="center"/>
                </w:tcPr>
                <w:p w14:paraId="4E2E555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62</w:t>
                  </w:r>
                </w:p>
              </w:tc>
              <w:tc>
                <w:tcPr>
                  <w:tcW w:w="265" w:type="pct"/>
                  <w:noWrap w:val="0"/>
                  <w:vAlign w:val="center"/>
                </w:tcPr>
                <w:p w14:paraId="7F38813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65</w:t>
                  </w:r>
                </w:p>
              </w:tc>
            </w:tr>
            <w:tr w14:paraId="0C1EC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 w:type="pct"/>
                  <w:noWrap w:val="0"/>
                  <w:vAlign w:val="center"/>
                </w:tcPr>
                <w:p w14:paraId="1DEB486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w:t>
                  </w:r>
                </w:p>
              </w:tc>
              <w:tc>
                <w:tcPr>
                  <w:tcW w:w="290" w:type="pct"/>
                  <w:vMerge w:val="continue"/>
                  <w:noWrap w:val="0"/>
                  <w:vAlign w:val="center"/>
                </w:tcPr>
                <w:p w14:paraId="1830BAA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43B2401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射心机3</w:t>
                  </w:r>
                </w:p>
              </w:tc>
              <w:tc>
                <w:tcPr>
                  <w:tcW w:w="430" w:type="pct"/>
                  <w:noWrap w:val="0"/>
                  <w:vAlign w:val="center"/>
                </w:tcPr>
                <w:p w14:paraId="6011564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5A5B72C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4ABA3D1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30143B6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27</w:t>
                  </w:r>
                </w:p>
              </w:tc>
              <w:tc>
                <w:tcPr>
                  <w:tcW w:w="251" w:type="pct"/>
                  <w:noWrap w:val="0"/>
                  <w:vAlign w:val="center"/>
                </w:tcPr>
                <w:p w14:paraId="231078A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15</w:t>
                  </w:r>
                </w:p>
              </w:tc>
              <w:tc>
                <w:tcPr>
                  <w:tcW w:w="252" w:type="pct"/>
                  <w:noWrap w:val="0"/>
                  <w:vAlign w:val="center"/>
                </w:tcPr>
                <w:p w14:paraId="1256E11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0C3B7A9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38</w:t>
                  </w:r>
                </w:p>
              </w:tc>
              <w:tc>
                <w:tcPr>
                  <w:tcW w:w="232" w:type="pct"/>
                  <w:noWrap w:val="0"/>
                  <w:vAlign w:val="center"/>
                </w:tcPr>
                <w:p w14:paraId="3F4B684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w:t>
                  </w:r>
                </w:p>
              </w:tc>
              <w:tc>
                <w:tcPr>
                  <w:tcW w:w="245" w:type="pct"/>
                  <w:noWrap w:val="0"/>
                  <w:vAlign w:val="center"/>
                </w:tcPr>
                <w:p w14:paraId="1162A71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23</w:t>
                  </w:r>
                </w:p>
              </w:tc>
              <w:tc>
                <w:tcPr>
                  <w:tcW w:w="258" w:type="pct"/>
                  <w:noWrap w:val="0"/>
                  <w:vAlign w:val="center"/>
                </w:tcPr>
                <w:p w14:paraId="434C583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11</w:t>
                  </w:r>
                </w:p>
              </w:tc>
              <w:tc>
                <w:tcPr>
                  <w:tcW w:w="242" w:type="pct"/>
                  <w:noWrap w:val="0"/>
                  <w:vAlign w:val="center"/>
                </w:tcPr>
                <w:p w14:paraId="364739D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59</w:t>
                  </w:r>
                </w:p>
              </w:tc>
              <w:tc>
                <w:tcPr>
                  <w:tcW w:w="255" w:type="pct"/>
                  <w:noWrap w:val="0"/>
                  <w:vAlign w:val="center"/>
                </w:tcPr>
                <w:p w14:paraId="07DEAB9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c>
                <w:tcPr>
                  <w:tcW w:w="290" w:type="pct"/>
                  <w:noWrap w:val="0"/>
                  <w:vAlign w:val="center"/>
                </w:tcPr>
                <w:p w14:paraId="3EF318B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61</w:t>
                  </w:r>
                </w:p>
              </w:tc>
              <w:tc>
                <w:tcPr>
                  <w:tcW w:w="265" w:type="pct"/>
                  <w:noWrap w:val="0"/>
                  <w:vAlign w:val="center"/>
                </w:tcPr>
                <w:p w14:paraId="07D7F79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65</w:t>
                  </w:r>
                </w:p>
              </w:tc>
            </w:tr>
            <w:tr w14:paraId="71760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 w:type="pct"/>
                  <w:noWrap w:val="0"/>
                  <w:vAlign w:val="center"/>
                </w:tcPr>
                <w:p w14:paraId="06567FA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11</w:t>
                  </w:r>
                </w:p>
              </w:tc>
              <w:tc>
                <w:tcPr>
                  <w:tcW w:w="290" w:type="pct"/>
                  <w:vMerge w:val="continue"/>
                  <w:noWrap w:val="0"/>
                  <w:vAlign w:val="center"/>
                </w:tcPr>
                <w:p w14:paraId="663559B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0B9036C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射心机4</w:t>
                  </w:r>
                </w:p>
              </w:tc>
              <w:tc>
                <w:tcPr>
                  <w:tcW w:w="430" w:type="pct"/>
                  <w:noWrap w:val="0"/>
                  <w:vAlign w:val="center"/>
                </w:tcPr>
                <w:p w14:paraId="6E72D2D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026D80A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2A406D5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47E435D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28</w:t>
                  </w:r>
                </w:p>
              </w:tc>
              <w:tc>
                <w:tcPr>
                  <w:tcW w:w="251" w:type="pct"/>
                  <w:noWrap w:val="0"/>
                  <w:vAlign w:val="center"/>
                </w:tcPr>
                <w:p w14:paraId="085B27B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15</w:t>
                  </w:r>
                </w:p>
              </w:tc>
              <w:tc>
                <w:tcPr>
                  <w:tcW w:w="252" w:type="pct"/>
                  <w:noWrap w:val="0"/>
                  <w:vAlign w:val="center"/>
                </w:tcPr>
                <w:p w14:paraId="704754E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24956D3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37</w:t>
                  </w:r>
                </w:p>
              </w:tc>
              <w:tc>
                <w:tcPr>
                  <w:tcW w:w="232" w:type="pct"/>
                  <w:noWrap w:val="0"/>
                  <w:vAlign w:val="center"/>
                </w:tcPr>
                <w:p w14:paraId="6008FDA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w:t>
                  </w:r>
                </w:p>
              </w:tc>
              <w:tc>
                <w:tcPr>
                  <w:tcW w:w="245" w:type="pct"/>
                  <w:noWrap w:val="0"/>
                  <w:vAlign w:val="center"/>
                </w:tcPr>
                <w:p w14:paraId="2FDA39B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24</w:t>
                  </w:r>
                </w:p>
              </w:tc>
              <w:tc>
                <w:tcPr>
                  <w:tcW w:w="258" w:type="pct"/>
                  <w:noWrap w:val="0"/>
                  <w:vAlign w:val="center"/>
                </w:tcPr>
                <w:p w14:paraId="02E5CAC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11</w:t>
                  </w:r>
                </w:p>
              </w:tc>
              <w:tc>
                <w:tcPr>
                  <w:tcW w:w="242" w:type="pct"/>
                  <w:noWrap w:val="0"/>
                  <w:vAlign w:val="center"/>
                </w:tcPr>
                <w:p w14:paraId="5B27B62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59</w:t>
                  </w:r>
                </w:p>
              </w:tc>
              <w:tc>
                <w:tcPr>
                  <w:tcW w:w="255" w:type="pct"/>
                  <w:noWrap w:val="0"/>
                  <w:vAlign w:val="center"/>
                </w:tcPr>
                <w:p w14:paraId="2F7E31B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c>
                <w:tcPr>
                  <w:tcW w:w="290" w:type="pct"/>
                  <w:noWrap w:val="0"/>
                  <w:vAlign w:val="center"/>
                </w:tcPr>
                <w:p w14:paraId="383326E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61</w:t>
                  </w:r>
                </w:p>
              </w:tc>
              <w:tc>
                <w:tcPr>
                  <w:tcW w:w="265" w:type="pct"/>
                  <w:noWrap w:val="0"/>
                  <w:vAlign w:val="center"/>
                </w:tcPr>
                <w:p w14:paraId="5216491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65</w:t>
                  </w:r>
                </w:p>
              </w:tc>
            </w:tr>
            <w:tr w14:paraId="45DA1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 w:type="pct"/>
                  <w:noWrap w:val="0"/>
                  <w:vAlign w:val="center"/>
                </w:tcPr>
                <w:p w14:paraId="126040D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12</w:t>
                  </w:r>
                </w:p>
              </w:tc>
              <w:tc>
                <w:tcPr>
                  <w:tcW w:w="290" w:type="pct"/>
                  <w:vMerge w:val="continue"/>
                  <w:noWrap w:val="0"/>
                  <w:vAlign w:val="center"/>
                </w:tcPr>
                <w:p w14:paraId="3D6D43A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29EEDF5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射心机5</w:t>
                  </w:r>
                </w:p>
              </w:tc>
              <w:tc>
                <w:tcPr>
                  <w:tcW w:w="430" w:type="pct"/>
                  <w:noWrap w:val="0"/>
                  <w:vAlign w:val="center"/>
                </w:tcPr>
                <w:p w14:paraId="21C5550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0C5962E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4D505FE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23C6255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29</w:t>
                  </w:r>
                </w:p>
              </w:tc>
              <w:tc>
                <w:tcPr>
                  <w:tcW w:w="251" w:type="pct"/>
                  <w:noWrap w:val="0"/>
                  <w:vAlign w:val="center"/>
                </w:tcPr>
                <w:p w14:paraId="71D0517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15</w:t>
                  </w:r>
                </w:p>
              </w:tc>
              <w:tc>
                <w:tcPr>
                  <w:tcW w:w="252" w:type="pct"/>
                  <w:noWrap w:val="0"/>
                  <w:vAlign w:val="center"/>
                </w:tcPr>
                <w:p w14:paraId="337106E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04BEB46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36</w:t>
                  </w:r>
                </w:p>
              </w:tc>
              <w:tc>
                <w:tcPr>
                  <w:tcW w:w="232" w:type="pct"/>
                  <w:noWrap w:val="0"/>
                  <w:vAlign w:val="center"/>
                </w:tcPr>
                <w:p w14:paraId="35D37CF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w:t>
                  </w:r>
                </w:p>
              </w:tc>
              <w:tc>
                <w:tcPr>
                  <w:tcW w:w="245" w:type="pct"/>
                  <w:noWrap w:val="0"/>
                  <w:vAlign w:val="center"/>
                </w:tcPr>
                <w:p w14:paraId="213DE66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25</w:t>
                  </w:r>
                </w:p>
              </w:tc>
              <w:tc>
                <w:tcPr>
                  <w:tcW w:w="258" w:type="pct"/>
                  <w:noWrap w:val="0"/>
                  <w:vAlign w:val="center"/>
                </w:tcPr>
                <w:p w14:paraId="5601501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11</w:t>
                  </w:r>
                </w:p>
              </w:tc>
              <w:tc>
                <w:tcPr>
                  <w:tcW w:w="242" w:type="pct"/>
                  <w:noWrap w:val="0"/>
                  <w:vAlign w:val="center"/>
                </w:tcPr>
                <w:p w14:paraId="40EECAA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59</w:t>
                  </w:r>
                </w:p>
              </w:tc>
              <w:tc>
                <w:tcPr>
                  <w:tcW w:w="255" w:type="pct"/>
                  <w:noWrap w:val="0"/>
                  <w:vAlign w:val="center"/>
                </w:tcPr>
                <w:p w14:paraId="544364F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c>
                <w:tcPr>
                  <w:tcW w:w="290" w:type="pct"/>
                  <w:noWrap w:val="0"/>
                  <w:vAlign w:val="center"/>
                </w:tcPr>
                <w:p w14:paraId="75ACA3A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61</w:t>
                  </w:r>
                </w:p>
              </w:tc>
              <w:tc>
                <w:tcPr>
                  <w:tcW w:w="265" w:type="pct"/>
                  <w:noWrap w:val="0"/>
                  <w:vAlign w:val="center"/>
                </w:tcPr>
                <w:p w14:paraId="53331E9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65</w:t>
                  </w:r>
                </w:p>
              </w:tc>
            </w:tr>
            <w:tr w14:paraId="60D02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 w:type="pct"/>
                  <w:noWrap w:val="0"/>
                  <w:vAlign w:val="center"/>
                </w:tcPr>
                <w:p w14:paraId="693BD5F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13</w:t>
                  </w:r>
                </w:p>
              </w:tc>
              <w:tc>
                <w:tcPr>
                  <w:tcW w:w="290" w:type="pct"/>
                  <w:vMerge w:val="continue"/>
                  <w:noWrap w:val="0"/>
                  <w:vAlign w:val="center"/>
                </w:tcPr>
                <w:p w14:paraId="6EFBCCC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022C7DE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造型机1</w:t>
                  </w:r>
                </w:p>
              </w:tc>
              <w:tc>
                <w:tcPr>
                  <w:tcW w:w="430" w:type="pct"/>
                  <w:noWrap w:val="0"/>
                  <w:vAlign w:val="center"/>
                </w:tcPr>
                <w:p w14:paraId="3464552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648DB15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2988AA9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457D8FD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w:t>
                  </w:r>
                </w:p>
              </w:tc>
              <w:tc>
                <w:tcPr>
                  <w:tcW w:w="251" w:type="pct"/>
                  <w:noWrap w:val="0"/>
                  <w:vAlign w:val="center"/>
                </w:tcPr>
                <w:p w14:paraId="4EEB5D7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17</w:t>
                  </w:r>
                </w:p>
              </w:tc>
              <w:tc>
                <w:tcPr>
                  <w:tcW w:w="252" w:type="pct"/>
                  <w:noWrap w:val="0"/>
                  <w:vAlign w:val="center"/>
                </w:tcPr>
                <w:p w14:paraId="40CB760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598A106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57</w:t>
                  </w:r>
                </w:p>
              </w:tc>
              <w:tc>
                <w:tcPr>
                  <w:tcW w:w="232" w:type="pct"/>
                  <w:noWrap w:val="0"/>
                  <w:vAlign w:val="center"/>
                </w:tcPr>
                <w:p w14:paraId="1E91E1C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w:t>
                  </w:r>
                </w:p>
              </w:tc>
              <w:tc>
                <w:tcPr>
                  <w:tcW w:w="245" w:type="pct"/>
                  <w:noWrap w:val="0"/>
                  <w:vAlign w:val="center"/>
                </w:tcPr>
                <w:p w14:paraId="2C4F1F2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w:t>
                  </w:r>
                </w:p>
              </w:tc>
              <w:tc>
                <w:tcPr>
                  <w:tcW w:w="258" w:type="pct"/>
                  <w:noWrap w:val="0"/>
                  <w:vAlign w:val="center"/>
                </w:tcPr>
                <w:p w14:paraId="16C9BEA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w:t>
                  </w:r>
                </w:p>
              </w:tc>
              <w:tc>
                <w:tcPr>
                  <w:tcW w:w="242" w:type="pct"/>
                  <w:noWrap w:val="0"/>
                  <w:vAlign w:val="center"/>
                </w:tcPr>
                <w:p w14:paraId="28AE5C1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57</w:t>
                  </w:r>
                </w:p>
              </w:tc>
              <w:tc>
                <w:tcPr>
                  <w:tcW w:w="255" w:type="pct"/>
                  <w:noWrap w:val="0"/>
                  <w:vAlign w:val="center"/>
                </w:tcPr>
                <w:p w14:paraId="6337896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65</w:t>
                  </w:r>
                </w:p>
              </w:tc>
              <w:tc>
                <w:tcPr>
                  <w:tcW w:w="290" w:type="pct"/>
                  <w:noWrap w:val="0"/>
                  <w:vAlign w:val="center"/>
                </w:tcPr>
                <w:p w14:paraId="03A7F8D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69</w:t>
                  </w:r>
                </w:p>
              </w:tc>
              <w:tc>
                <w:tcPr>
                  <w:tcW w:w="265" w:type="pct"/>
                  <w:noWrap w:val="0"/>
                  <w:vAlign w:val="center"/>
                </w:tcPr>
                <w:p w14:paraId="0244AD1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66</w:t>
                  </w:r>
                </w:p>
              </w:tc>
            </w:tr>
            <w:tr w14:paraId="7D3D3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 w:type="pct"/>
                  <w:noWrap w:val="0"/>
                  <w:vAlign w:val="center"/>
                </w:tcPr>
                <w:p w14:paraId="4AE451A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14</w:t>
                  </w:r>
                </w:p>
              </w:tc>
              <w:tc>
                <w:tcPr>
                  <w:tcW w:w="290" w:type="pct"/>
                  <w:vMerge w:val="continue"/>
                  <w:noWrap w:val="0"/>
                  <w:vAlign w:val="center"/>
                </w:tcPr>
                <w:p w14:paraId="7F7FE3B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7FE366C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造型机2</w:t>
                  </w:r>
                </w:p>
              </w:tc>
              <w:tc>
                <w:tcPr>
                  <w:tcW w:w="430" w:type="pct"/>
                  <w:noWrap w:val="0"/>
                  <w:vAlign w:val="center"/>
                </w:tcPr>
                <w:p w14:paraId="4658106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0F66D06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7F9F566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206FD91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w:t>
                  </w:r>
                </w:p>
              </w:tc>
              <w:tc>
                <w:tcPr>
                  <w:tcW w:w="251" w:type="pct"/>
                  <w:noWrap w:val="0"/>
                  <w:vAlign w:val="center"/>
                </w:tcPr>
                <w:p w14:paraId="0BF8094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18</w:t>
                  </w:r>
                </w:p>
              </w:tc>
              <w:tc>
                <w:tcPr>
                  <w:tcW w:w="252" w:type="pct"/>
                  <w:noWrap w:val="0"/>
                  <w:vAlign w:val="center"/>
                </w:tcPr>
                <w:p w14:paraId="5C500E3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560B413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57</w:t>
                  </w:r>
                </w:p>
              </w:tc>
              <w:tc>
                <w:tcPr>
                  <w:tcW w:w="232" w:type="pct"/>
                  <w:noWrap w:val="0"/>
                  <w:vAlign w:val="center"/>
                </w:tcPr>
                <w:p w14:paraId="69DC181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11</w:t>
                  </w:r>
                </w:p>
              </w:tc>
              <w:tc>
                <w:tcPr>
                  <w:tcW w:w="245" w:type="pct"/>
                  <w:noWrap w:val="0"/>
                  <w:vAlign w:val="center"/>
                </w:tcPr>
                <w:p w14:paraId="1740E4B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w:t>
                  </w:r>
                </w:p>
              </w:tc>
              <w:tc>
                <w:tcPr>
                  <w:tcW w:w="258" w:type="pct"/>
                  <w:noWrap w:val="0"/>
                  <w:vAlign w:val="center"/>
                </w:tcPr>
                <w:p w14:paraId="2BF2960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w:t>
                  </w:r>
                </w:p>
              </w:tc>
              <w:tc>
                <w:tcPr>
                  <w:tcW w:w="242" w:type="pct"/>
                  <w:noWrap w:val="0"/>
                  <w:vAlign w:val="center"/>
                </w:tcPr>
                <w:p w14:paraId="65AC9AD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57</w:t>
                  </w:r>
                </w:p>
              </w:tc>
              <w:tc>
                <w:tcPr>
                  <w:tcW w:w="255" w:type="pct"/>
                  <w:noWrap w:val="0"/>
                  <w:vAlign w:val="center"/>
                </w:tcPr>
                <w:p w14:paraId="165FC39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65</w:t>
                  </w:r>
                </w:p>
              </w:tc>
              <w:tc>
                <w:tcPr>
                  <w:tcW w:w="290" w:type="pct"/>
                  <w:noWrap w:val="0"/>
                  <w:vAlign w:val="center"/>
                </w:tcPr>
                <w:p w14:paraId="1109876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69</w:t>
                  </w:r>
                </w:p>
              </w:tc>
              <w:tc>
                <w:tcPr>
                  <w:tcW w:w="265" w:type="pct"/>
                  <w:noWrap w:val="0"/>
                  <w:vAlign w:val="center"/>
                </w:tcPr>
                <w:p w14:paraId="3BD7CAC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r>
            <w:tr w14:paraId="26D74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 w:type="pct"/>
                  <w:noWrap w:val="0"/>
                  <w:vAlign w:val="center"/>
                </w:tcPr>
                <w:p w14:paraId="7C0F6A0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15</w:t>
                  </w:r>
                </w:p>
              </w:tc>
              <w:tc>
                <w:tcPr>
                  <w:tcW w:w="290" w:type="pct"/>
                  <w:vMerge w:val="continue"/>
                  <w:noWrap w:val="0"/>
                  <w:vAlign w:val="center"/>
                </w:tcPr>
                <w:p w14:paraId="3E7D6AB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1C5DD67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造型机3</w:t>
                  </w:r>
                </w:p>
              </w:tc>
              <w:tc>
                <w:tcPr>
                  <w:tcW w:w="430" w:type="pct"/>
                  <w:noWrap w:val="0"/>
                  <w:vAlign w:val="center"/>
                </w:tcPr>
                <w:p w14:paraId="6BA6FF9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508F8C8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38A2A62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7175C9B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w:t>
                  </w:r>
                </w:p>
              </w:tc>
              <w:tc>
                <w:tcPr>
                  <w:tcW w:w="251" w:type="pct"/>
                  <w:noWrap w:val="0"/>
                  <w:vAlign w:val="center"/>
                </w:tcPr>
                <w:p w14:paraId="1C2908A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19</w:t>
                  </w:r>
                </w:p>
              </w:tc>
              <w:tc>
                <w:tcPr>
                  <w:tcW w:w="252" w:type="pct"/>
                  <w:noWrap w:val="0"/>
                  <w:vAlign w:val="center"/>
                </w:tcPr>
                <w:p w14:paraId="318B97D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4906A18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57</w:t>
                  </w:r>
                </w:p>
              </w:tc>
              <w:tc>
                <w:tcPr>
                  <w:tcW w:w="232" w:type="pct"/>
                  <w:noWrap w:val="0"/>
                  <w:vAlign w:val="center"/>
                </w:tcPr>
                <w:p w14:paraId="615691A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12</w:t>
                  </w:r>
                </w:p>
              </w:tc>
              <w:tc>
                <w:tcPr>
                  <w:tcW w:w="245" w:type="pct"/>
                  <w:noWrap w:val="0"/>
                  <w:vAlign w:val="center"/>
                </w:tcPr>
                <w:p w14:paraId="4529B7E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w:t>
                  </w:r>
                </w:p>
              </w:tc>
              <w:tc>
                <w:tcPr>
                  <w:tcW w:w="258" w:type="pct"/>
                  <w:noWrap w:val="0"/>
                  <w:vAlign w:val="center"/>
                </w:tcPr>
                <w:p w14:paraId="5B3C466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w:t>
                  </w:r>
                </w:p>
              </w:tc>
              <w:tc>
                <w:tcPr>
                  <w:tcW w:w="242" w:type="pct"/>
                  <w:noWrap w:val="0"/>
                  <w:vAlign w:val="center"/>
                </w:tcPr>
                <w:p w14:paraId="7A50647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57</w:t>
                  </w:r>
                </w:p>
              </w:tc>
              <w:tc>
                <w:tcPr>
                  <w:tcW w:w="255" w:type="pct"/>
                  <w:noWrap w:val="0"/>
                  <w:vAlign w:val="center"/>
                </w:tcPr>
                <w:p w14:paraId="650D152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64</w:t>
                  </w:r>
                </w:p>
              </w:tc>
              <w:tc>
                <w:tcPr>
                  <w:tcW w:w="290" w:type="pct"/>
                  <w:noWrap w:val="0"/>
                  <w:vAlign w:val="center"/>
                </w:tcPr>
                <w:p w14:paraId="17E0A23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69</w:t>
                  </w:r>
                </w:p>
              </w:tc>
              <w:tc>
                <w:tcPr>
                  <w:tcW w:w="265" w:type="pct"/>
                  <w:noWrap w:val="0"/>
                  <w:vAlign w:val="center"/>
                </w:tcPr>
                <w:p w14:paraId="152C0E7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r>
            <w:tr w14:paraId="59054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 w:type="pct"/>
                  <w:noWrap w:val="0"/>
                  <w:vAlign w:val="center"/>
                </w:tcPr>
                <w:p w14:paraId="0503D66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16</w:t>
                  </w:r>
                </w:p>
              </w:tc>
              <w:tc>
                <w:tcPr>
                  <w:tcW w:w="290" w:type="pct"/>
                  <w:vMerge w:val="continue"/>
                  <w:noWrap w:val="0"/>
                  <w:vAlign w:val="center"/>
                </w:tcPr>
                <w:p w14:paraId="4F392FB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395FF17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造型机4</w:t>
                  </w:r>
                </w:p>
              </w:tc>
              <w:tc>
                <w:tcPr>
                  <w:tcW w:w="430" w:type="pct"/>
                  <w:noWrap w:val="0"/>
                  <w:vAlign w:val="center"/>
                </w:tcPr>
                <w:p w14:paraId="1E88289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5751AFB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6CFD9F2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2E7A288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w:t>
                  </w:r>
                </w:p>
              </w:tc>
              <w:tc>
                <w:tcPr>
                  <w:tcW w:w="251" w:type="pct"/>
                  <w:noWrap w:val="0"/>
                  <w:vAlign w:val="center"/>
                </w:tcPr>
                <w:p w14:paraId="6DD9448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20</w:t>
                  </w:r>
                </w:p>
              </w:tc>
              <w:tc>
                <w:tcPr>
                  <w:tcW w:w="252" w:type="pct"/>
                  <w:noWrap w:val="0"/>
                  <w:vAlign w:val="center"/>
                </w:tcPr>
                <w:p w14:paraId="27FA118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35A7580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57</w:t>
                  </w:r>
                </w:p>
              </w:tc>
              <w:tc>
                <w:tcPr>
                  <w:tcW w:w="232" w:type="pct"/>
                  <w:noWrap w:val="0"/>
                  <w:vAlign w:val="center"/>
                </w:tcPr>
                <w:p w14:paraId="322D728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13</w:t>
                  </w:r>
                </w:p>
              </w:tc>
              <w:tc>
                <w:tcPr>
                  <w:tcW w:w="245" w:type="pct"/>
                  <w:noWrap w:val="0"/>
                  <w:vAlign w:val="center"/>
                </w:tcPr>
                <w:p w14:paraId="30F376F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w:t>
                  </w:r>
                </w:p>
              </w:tc>
              <w:tc>
                <w:tcPr>
                  <w:tcW w:w="258" w:type="pct"/>
                  <w:noWrap w:val="0"/>
                  <w:vAlign w:val="center"/>
                </w:tcPr>
                <w:p w14:paraId="3F35842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w:t>
                  </w:r>
                </w:p>
              </w:tc>
              <w:tc>
                <w:tcPr>
                  <w:tcW w:w="242" w:type="pct"/>
                  <w:noWrap w:val="0"/>
                  <w:vAlign w:val="center"/>
                </w:tcPr>
                <w:p w14:paraId="0E93357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57</w:t>
                  </w:r>
                </w:p>
              </w:tc>
              <w:tc>
                <w:tcPr>
                  <w:tcW w:w="255" w:type="pct"/>
                  <w:noWrap w:val="0"/>
                  <w:vAlign w:val="center"/>
                </w:tcPr>
                <w:p w14:paraId="38211D6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64</w:t>
                  </w:r>
                </w:p>
              </w:tc>
              <w:tc>
                <w:tcPr>
                  <w:tcW w:w="290" w:type="pct"/>
                  <w:noWrap w:val="0"/>
                  <w:vAlign w:val="center"/>
                </w:tcPr>
                <w:p w14:paraId="7B23F98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69</w:t>
                  </w:r>
                </w:p>
              </w:tc>
              <w:tc>
                <w:tcPr>
                  <w:tcW w:w="265" w:type="pct"/>
                  <w:noWrap w:val="0"/>
                  <w:vAlign w:val="center"/>
                </w:tcPr>
                <w:p w14:paraId="6857747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68</w:t>
                  </w:r>
                </w:p>
              </w:tc>
            </w:tr>
            <w:tr w14:paraId="212EA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 w:type="pct"/>
                  <w:noWrap w:val="0"/>
                  <w:vAlign w:val="center"/>
                </w:tcPr>
                <w:p w14:paraId="0881790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17</w:t>
                  </w:r>
                </w:p>
              </w:tc>
              <w:tc>
                <w:tcPr>
                  <w:tcW w:w="290" w:type="pct"/>
                  <w:vMerge w:val="continue"/>
                  <w:noWrap w:val="0"/>
                  <w:vAlign w:val="center"/>
                </w:tcPr>
                <w:p w14:paraId="28B998B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6B7073B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造型机5</w:t>
                  </w:r>
                </w:p>
              </w:tc>
              <w:tc>
                <w:tcPr>
                  <w:tcW w:w="430" w:type="pct"/>
                  <w:noWrap w:val="0"/>
                  <w:vAlign w:val="center"/>
                </w:tcPr>
                <w:p w14:paraId="463472F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033AFDC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1AF0D12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48AABD4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12</w:t>
                  </w:r>
                </w:p>
              </w:tc>
              <w:tc>
                <w:tcPr>
                  <w:tcW w:w="251" w:type="pct"/>
                  <w:noWrap w:val="0"/>
                  <w:vAlign w:val="center"/>
                </w:tcPr>
                <w:p w14:paraId="5FA8414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17</w:t>
                  </w:r>
                </w:p>
              </w:tc>
              <w:tc>
                <w:tcPr>
                  <w:tcW w:w="252" w:type="pct"/>
                  <w:noWrap w:val="0"/>
                  <w:vAlign w:val="center"/>
                </w:tcPr>
                <w:p w14:paraId="09B330E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1EACA57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55</w:t>
                  </w:r>
                </w:p>
              </w:tc>
              <w:tc>
                <w:tcPr>
                  <w:tcW w:w="232" w:type="pct"/>
                  <w:noWrap w:val="0"/>
                  <w:vAlign w:val="center"/>
                </w:tcPr>
                <w:p w14:paraId="1E2050D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w:t>
                  </w:r>
                </w:p>
              </w:tc>
              <w:tc>
                <w:tcPr>
                  <w:tcW w:w="245" w:type="pct"/>
                  <w:noWrap w:val="0"/>
                  <w:vAlign w:val="center"/>
                </w:tcPr>
                <w:p w14:paraId="5DB97AB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w:t>
                  </w:r>
                </w:p>
              </w:tc>
              <w:tc>
                <w:tcPr>
                  <w:tcW w:w="258" w:type="pct"/>
                  <w:noWrap w:val="0"/>
                  <w:vAlign w:val="center"/>
                </w:tcPr>
                <w:p w14:paraId="12D7D8F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w:t>
                  </w:r>
                </w:p>
              </w:tc>
              <w:tc>
                <w:tcPr>
                  <w:tcW w:w="242" w:type="pct"/>
                  <w:noWrap w:val="0"/>
                  <w:vAlign w:val="center"/>
                </w:tcPr>
                <w:p w14:paraId="5FC154C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58</w:t>
                  </w:r>
                </w:p>
              </w:tc>
              <w:tc>
                <w:tcPr>
                  <w:tcW w:w="255" w:type="pct"/>
                  <w:noWrap w:val="0"/>
                  <w:vAlign w:val="center"/>
                </w:tcPr>
                <w:p w14:paraId="1F99634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65</w:t>
                  </w:r>
                </w:p>
              </w:tc>
              <w:tc>
                <w:tcPr>
                  <w:tcW w:w="290" w:type="pct"/>
                  <w:noWrap w:val="0"/>
                  <w:vAlign w:val="center"/>
                </w:tcPr>
                <w:p w14:paraId="69C35A1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c>
                <w:tcPr>
                  <w:tcW w:w="265" w:type="pct"/>
                  <w:noWrap w:val="0"/>
                  <w:vAlign w:val="center"/>
                </w:tcPr>
                <w:p w14:paraId="1040BE9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66</w:t>
                  </w:r>
                </w:p>
              </w:tc>
            </w:tr>
            <w:tr w14:paraId="53FC4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5" w:type="pct"/>
                  <w:noWrap w:val="0"/>
                  <w:vAlign w:val="center"/>
                </w:tcPr>
                <w:p w14:paraId="3DDB72C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18</w:t>
                  </w:r>
                </w:p>
              </w:tc>
              <w:tc>
                <w:tcPr>
                  <w:tcW w:w="290" w:type="pct"/>
                  <w:vMerge w:val="continue"/>
                  <w:noWrap w:val="0"/>
                  <w:vAlign w:val="center"/>
                </w:tcPr>
                <w:p w14:paraId="078F46B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7903479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造型机6</w:t>
                  </w:r>
                </w:p>
              </w:tc>
              <w:tc>
                <w:tcPr>
                  <w:tcW w:w="430" w:type="pct"/>
                  <w:noWrap w:val="0"/>
                  <w:vAlign w:val="center"/>
                </w:tcPr>
                <w:p w14:paraId="4B5343B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6CDE4B1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5497FA2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3754581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12</w:t>
                  </w:r>
                </w:p>
              </w:tc>
              <w:tc>
                <w:tcPr>
                  <w:tcW w:w="251" w:type="pct"/>
                  <w:noWrap w:val="0"/>
                  <w:vAlign w:val="center"/>
                </w:tcPr>
                <w:p w14:paraId="1BA86C2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18</w:t>
                  </w:r>
                </w:p>
              </w:tc>
              <w:tc>
                <w:tcPr>
                  <w:tcW w:w="252" w:type="pct"/>
                  <w:noWrap w:val="0"/>
                  <w:vAlign w:val="center"/>
                </w:tcPr>
                <w:p w14:paraId="791E739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44841F1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55</w:t>
                  </w:r>
                </w:p>
              </w:tc>
              <w:tc>
                <w:tcPr>
                  <w:tcW w:w="232" w:type="pct"/>
                  <w:noWrap w:val="0"/>
                  <w:vAlign w:val="center"/>
                </w:tcPr>
                <w:p w14:paraId="08561F6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11</w:t>
                  </w:r>
                </w:p>
              </w:tc>
              <w:tc>
                <w:tcPr>
                  <w:tcW w:w="245" w:type="pct"/>
                  <w:noWrap w:val="0"/>
                  <w:vAlign w:val="center"/>
                </w:tcPr>
                <w:p w14:paraId="0DD6E1D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w:t>
                  </w:r>
                </w:p>
              </w:tc>
              <w:tc>
                <w:tcPr>
                  <w:tcW w:w="258" w:type="pct"/>
                  <w:noWrap w:val="0"/>
                  <w:vAlign w:val="center"/>
                </w:tcPr>
                <w:p w14:paraId="71E503D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w:t>
                  </w:r>
                </w:p>
              </w:tc>
              <w:tc>
                <w:tcPr>
                  <w:tcW w:w="242" w:type="pct"/>
                  <w:noWrap w:val="0"/>
                  <w:vAlign w:val="center"/>
                </w:tcPr>
                <w:p w14:paraId="540D200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58</w:t>
                  </w:r>
                </w:p>
              </w:tc>
              <w:tc>
                <w:tcPr>
                  <w:tcW w:w="255" w:type="pct"/>
                  <w:noWrap w:val="0"/>
                  <w:vAlign w:val="center"/>
                </w:tcPr>
                <w:p w14:paraId="40D090F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65</w:t>
                  </w:r>
                </w:p>
              </w:tc>
              <w:tc>
                <w:tcPr>
                  <w:tcW w:w="290" w:type="pct"/>
                  <w:noWrap w:val="0"/>
                  <w:vAlign w:val="center"/>
                </w:tcPr>
                <w:p w14:paraId="15ECDB1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c>
                <w:tcPr>
                  <w:tcW w:w="265" w:type="pct"/>
                  <w:noWrap w:val="0"/>
                  <w:vAlign w:val="center"/>
                </w:tcPr>
                <w:p w14:paraId="7740BB4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r>
            <w:tr w14:paraId="4C94F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6D6EDBD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19</w:t>
                  </w:r>
                </w:p>
              </w:tc>
              <w:tc>
                <w:tcPr>
                  <w:tcW w:w="290" w:type="pct"/>
                  <w:vMerge w:val="continue"/>
                  <w:noWrap w:val="0"/>
                  <w:vAlign w:val="center"/>
                </w:tcPr>
                <w:p w14:paraId="7F202BA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5D648F9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造型机7</w:t>
                  </w:r>
                </w:p>
              </w:tc>
              <w:tc>
                <w:tcPr>
                  <w:tcW w:w="430" w:type="pct"/>
                  <w:noWrap w:val="0"/>
                  <w:vAlign w:val="center"/>
                </w:tcPr>
                <w:p w14:paraId="74CE1B9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1F9298E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6403E6D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04DFE2E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12</w:t>
                  </w:r>
                </w:p>
              </w:tc>
              <w:tc>
                <w:tcPr>
                  <w:tcW w:w="251" w:type="pct"/>
                  <w:noWrap w:val="0"/>
                  <w:vAlign w:val="center"/>
                </w:tcPr>
                <w:p w14:paraId="0510A85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19</w:t>
                  </w:r>
                </w:p>
              </w:tc>
              <w:tc>
                <w:tcPr>
                  <w:tcW w:w="252" w:type="pct"/>
                  <w:noWrap w:val="0"/>
                  <w:vAlign w:val="center"/>
                </w:tcPr>
                <w:p w14:paraId="3561221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26E2E8A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55</w:t>
                  </w:r>
                </w:p>
              </w:tc>
              <w:tc>
                <w:tcPr>
                  <w:tcW w:w="232" w:type="pct"/>
                  <w:noWrap w:val="0"/>
                  <w:vAlign w:val="center"/>
                </w:tcPr>
                <w:p w14:paraId="28CD433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12</w:t>
                  </w:r>
                </w:p>
              </w:tc>
              <w:tc>
                <w:tcPr>
                  <w:tcW w:w="245" w:type="pct"/>
                  <w:noWrap w:val="0"/>
                  <w:vAlign w:val="center"/>
                </w:tcPr>
                <w:p w14:paraId="3AA630F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w:t>
                  </w:r>
                </w:p>
              </w:tc>
              <w:tc>
                <w:tcPr>
                  <w:tcW w:w="258" w:type="pct"/>
                  <w:noWrap w:val="0"/>
                  <w:vAlign w:val="center"/>
                </w:tcPr>
                <w:p w14:paraId="3BCC4E8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w:t>
                  </w:r>
                </w:p>
              </w:tc>
              <w:tc>
                <w:tcPr>
                  <w:tcW w:w="242" w:type="pct"/>
                  <w:noWrap w:val="0"/>
                  <w:vAlign w:val="center"/>
                </w:tcPr>
                <w:p w14:paraId="7584920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58</w:t>
                  </w:r>
                </w:p>
              </w:tc>
              <w:tc>
                <w:tcPr>
                  <w:tcW w:w="255" w:type="pct"/>
                  <w:noWrap w:val="0"/>
                  <w:vAlign w:val="center"/>
                </w:tcPr>
                <w:p w14:paraId="0B606EA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64</w:t>
                  </w:r>
                </w:p>
              </w:tc>
              <w:tc>
                <w:tcPr>
                  <w:tcW w:w="290" w:type="pct"/>
                  <w:noWrap w:val="0"/>
                  <w:vAlign w:val="center"/>
                </w:tcPr>
                <w:p w14:paraId="0955E35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c>
                <w:tcPr>
                  <w:tcW w:w="265" w:type="pct"/>
                  <w:noWrap w:val="0"/>
                  <w:vAlign w:val="center"/>
                </w:tcPr>
                <w:p w14:paraId="0D22A7F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r>
            <w:tr w14:paraId="27EC0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7F78065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20</w:t>
                  </w:r>
                </w:p>
              </w:tc>
              <w:tc>
                <w:tcPr>
                  <w:tcW w:w="290" w:type="pct"/>
                  <w:vMerge w:val="continue"/>
                  <w:noWrap w:val="0"/>
                  <w:vAlign w:val="center"/>
                </w:tcPr>
                <w:p w14:paraId="4C51A29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2CC50C4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造型机8</w:t>
                  </w:r>
                </w:p>
              </w:tc>
              <w:tc>
                <w:tcPr>
                  <w:tcW w:w="430" w:type="pct"/>
                  <w:noWrap w:val="0"/>
                  <w:vAlign w:val="center"/>
                </w:tcPr>
                <w:p w14:paraId="38BBFCF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4285FA5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238E560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39D846B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12</w:t>
                  </w:r>
                </w:p>
              </w:tc>
              <w:tc>
                <w:tcPr>
                  <w:tcW w:w="251" w:type="pct"/>
                  <w:noWrap w:val="0"/>
                  <w:vAlign w:val="center"/>
                </w:tcPr>
                <w:p w14:paraId="278DF9B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20</w:t>
                  </w:r>
                </w:p>
              </w:tc>
              <w:tc>
                <w:tcPr>
                  <w:tcW w:w="252" w:type="pct"/>
                  <w:noWrap w:val="0"/>
                  <w:vAlign w:val="center"/>
                </w:tcPr>
                <w:p w14:paraId="1CD10E5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49ADEFE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55</w:t>
                  </w:r>
                </w:p>
              </w:tc>
              <w:tc>
                <w:tcPr>
                  <w:tcW w:w="232" w:type="pct"/>
                  <w:noWrap w:val="0"/>
                  <w:vAlign w:val="center"/>
                </w:tcPr>
                <w:p w14:paraId="4BB7AC4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13</w:t>
                  </w:r>
                </w:p>
              </w:tc>
              <w:tc>
                <w:tcPr>
                  <w:tcW w:w="245" w:type="pct"/>
                  <w:noWrap w:val="0"/>
                  <w:vAlign w:val="center"/>
                </w:tcPr>
                <w:p w14:paraId="2A62662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w:t>
                  </w:r>
                </w:p>
              </w:tc>
              <w:tc>
                <w:tcPr>
                  <w:tcW w:w="258" w:type="pct"/>
                  <w:noWrap w:val="0"/>
                  <w:vAlign w:val="center"/>
                </w:tcPr>
                <w:p w14:paraId="41A7F93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w:t>
                  </w:r>
                </w:p>
              </w:tc>
              <w:tc>
                <w:tcPr>
                  <w:tcW w:w="242" w:type="pct"/>
                  <w:noWrap w:val="0"/>
                  <w:vAlign w:val="center"/>
                </w:tcPr>
                <w:p w14:paraId="4F97F77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58</w:t>
                  </w:r>
                </w:p>
              </w:tc>
              <w:tc>
                <w:tcPr>
                  <w:tcW w:w="255" w:type="pct"/>
                  <w:noWrap w:val="0"/>
                  <w:vAlign w:val="center"/>
                </w:tcPr>
                <w:p w14:paraId="29749CB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64</w:t>
                  </w:r>
                </w:p>
              </w:tc>
              <w:tc>
                <w:tcPr>
                  <w:tcW w:w="290" w:type="pct"/>
                  <w:noWrap w:val="0"/>
                  <w:vAlign w:val="center"/>
                </w:tcPr>
                <w:p w14:paraId="13788B4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c>
                <w:tcPr>
                  <w:tcW w:w="265" w:type="pct"/>
                  <w:noWrap w:val="0"/>
                  <w:vAlign w:val="center"/>
                </w:tcPr>
                <w:p w14:paraId="158EAC0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68</w:t>
                  </w:r>
                </w:p>
              </w:tc>
            </w:tr>
            <w:tr w14:paraId="09759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4D23B82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21</w:t>
                  </w:r>
                </w:p>
              </w:tc>
              <w:tc>
                <w:tcPr>
                  <w:tcW w:w="290" w:type="pct"/>
                  <w:vMerge w:val="continue"/>
                  <w:noWrap w:val="0"/>
                  <w:vAlign w:val="center"/>
                </w:tcPr>
                <w:p w14:paraId="0E015F6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5916055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烘房</w:t>
                  </w:r>
                </w:p>
              </w:tc>
              <w:tc>
                <w:tcPr>
                  <w:tcW w:w="430" w:type="pct"/>
                  <w:noWrap w:val="0"/>
                  <w:vAlign w:val="center"/>
                </w:tcPr>
                <w:p w14:paraId="3BB8BB9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77369CE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729E5A8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1457FE5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33</w:t>
                  </w:r>
                </w:p>
              </w:tc>
              <w:tc>
                <w:tcPr>
                  <w:tcW w:w="251" w:type="pct"/>
                  <w:noWrap w:val="0"/>
                  <w:vAlign w:val="center"/>
                </w:tcPr>
                <w:p w14:paraId="62FAF96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22</w:t>
                  </w:r>
                </w:p>
              </w:tc>
              <w:tc>
                <w:tcPr>
                  <w:tcW w:w="252" w:type="pct"/>
                  <w:noWrap w:val="0"/>
                  <w:vAlign w:val="center"/>
                </w:tcPr>
                <w:p w14:paraId="6747B5E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032C75F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30</w:t>
                  </w:r>
                </w:p>
              </w:tc>
              <w:tc>
                <w:tcPr>
                  <w:tcW w:w="232" w:type="pct"/>
                  <w:noWrap w:val="0"/>
                  <w:vAlign w:val="center"/>
                </w:tcPr>
                <w:p w14:paraId="32C45DA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w:t>
                  </w:r>
                </w:p>
              </w:tc>
              <w:tc>
                <w:tcPr>
                  <w:tcW w:w="245" w:type="pct"/>
                  <w:noWrap w:val="0"/>
                  <w:vAlign w:val="center"/>
                </w:tcPr>
                <w:p w14:paraId="3602D33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31</w:t>
                  </w:r>
                </w:p>
              </w:tc>
              <w:tc>
                <w:tcPr>
                  <w:tcW w:w="258" w:type="pct"/>
                  <w:noWrap w:val="0"/>
                  <w:vAlign w:val="center"/>
                </w:tcPr>
                <w:p w14:paraId="7728FC1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w:t>
                  </w:r>
                </w:p>
              </w:tc>
              <w:tc>
                <w:tcPr>
                  <w:tcW w:w="242" w:type="pct"/>
                  <w:noWrap w:val="0"/>
                  <w:vAlign w:val="center"/>
                </w:tcPr>
                <w:p w14:paraId="57E015D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60</w:t>
                  </w:r>
                </w:p>
              </w:tc>
              <w:tc>
                <w:tcPr>
                  <w:tcW w:w="255" w:type="pct"/>
                  <w:noWrap w:val="0"/>
                  <w:vAlign w:val="center"/>
                </w:tcPr>
                <w:p w14:paraId="55BCBFC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65</w:t>
                  </w:r>
                </w:p>
              </w:tc>
              <w:tc>
                <w:tcPr>
                  <w:tcW w:w="290" w:type="pct"/>
                  <w:noWrap w:val="0"/>
                  <w:vAlign w:val="center"/>
                </w:tcPr>
                <w:p w14:paraId="5C66CB1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60</w:t>
                  </w:r>
                </w:p>
              </w:tc>
              <w:tc>
                <w:tcPr>
                  <w:tcW w:w="265" w:type="pct"/>
                  <w:noWrap w:val="0"/>
                  <w:vAlign w:val="center"/>
                </w:tcPr>
                <w:p w14:paraId="2B08F18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65</w:t>
                  </w:r>
                </w:p>
              </w:tc>
            </w:tr>
            <w:tr w14:paraId="22D36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3B59487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22</w:t>
                  </w:r>
                </w:p>
              </w:tc>
              <w:tc>
                <w:tcPr>
                  <w:tcW w:w="290" w:type="pct"/>
                  <w:vMerge w:val="continue"/>
                  <w:noWrap w:val="0"/>
                  <w:vAlign w:val="center"/>
                </w:tcPr>
                <w:p w14:paraId="488A1FA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2AA9E12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圆盘磨床1</w:t>
                  </w:r>
                </w:p>
              </w:tc>
              <w:tc>
                <w:tcPr>
                  <w:tcW w:w="430" w:type="pct"/>
                  <w:noWrap w:val="0"/>
                  <w:vAlign w:val="center"/>
                </w:tcPr>
                <w:p w14:paraId="3F9FFD9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5495C46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53988A1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4FBFFFD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45</w:t>
                  </w:r>
                </w:p>
              </w:tc>
              <w:tc>
                <w:tcPr>
                  <w:tcW w:w="251" w:type="pct"/>
                  <w:noWrap w:val="0"/>
                  <w:vAlign w:val="center"/>
                </w:tcPr>
                <w:p w14:paraId="2599A4A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22</w:t>
                  </w:r>
                </w:p>
              </w:tc>
              <w:tc>
                <w:tcPr>
                  <w:tcW w:w="252" w:type="pct"/>
                  <w:noWrap w:val="0"/>
                  <w:vAlign w:val="center"/>
                </w:tcPr>
                <w:p w14:paraId="06CC4C8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4051A35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20</w:t>
                  </w:r>
                </w:p>
              </w:tc>
              <w:tc>
                <w:tcPr>
                  <w:tcW w:w="232" w:type="pct"/>
                  <w:noWrap w:val="0"/>
                  <w:vAlign w:val="center"/>
                </w:tcPr>
                <w:p w14:paraId="3D0DEA8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w:t>
                  </w:r>
                </w:p>
              </w:tc>
              <w:tc>
                <w:tcPr>
                  <w:tcW w:w="245" w:type="pct"/>
                  <w:noWrap w:val="0"/>
                  <w:vAlign w:val="center"/>
                </w:tcPr>
                <w:p w14:paraId="35F2767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41</w:t>
                  </w:r>
                </w:p>
              </w:tc>
              <w:tc>
                <w:tcPr>
                  <w:tcW w:w="258" w:type="pct"/>
                  <w:noWrap w:val="0"/>
                  <w:vAlign w:val="center"/>
                </w:tcPr>
                <w:p w14:paraId="1942B9E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w:t>
                  </w:r>
                </w:p>
              </w:tc>
              <w:tc>
                <w:tcPr>
                  <w:tcW w:w="242" w:type="pct"/>
                  <w:noWrap w:val="0"/>
                  <w:vAlign w:val="center"/>
                </w:tcPr>
                <w:p w14:paraId="15ECFC9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c>
                <w:tcPr>
                  <w:tcW w:w="255" w:type="pct"/>
                  <w:noWrap w:val="0"/>
                  <w:vAlign w:val="center"/>
                </w:tcPr>
                <w:p w14:paraId="4DD4618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c>
                <w:tcPr>
                  <w:tcW w:w="290" w:type="pct"/>
                  <w:noWrap w:val="0"/>
                  <w:vAlign w:val="center"/>
                </w:tcPr>
                <w:p w14:paraId="220211B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64</w:t>
                  </w:r>
                </w:p>
              </w:tc>
              <w:tc>
                <w:tcPr>
                  <w:tcW w:w="265" w:type="pct"/>
                  <w:noWrap w:val="0"/>
                  <w:vAlign w:val="center"/>
                </w:tcPr>
                <w:p w14:paraId="56AF1A3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r>
            <w:tr w14:paraId="3E53B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7856CF8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23</w:t>
                  </w:r>
                </w:p>
              </w:tc>
              <w:tc>
                <w:tcPr>
                  <w:tcW w:w="290" w:type="pct"/>
                  <w:vMerge w:val="continue"/>
                  <w:noWrap w:val="0"/>
                  <w:vAlign w:val="center"/>
                </w:tcPr>
                <w:p w14:paraId="7D59990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1DBF4D8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圆盘磨床2</w:t>
                  </w:r>
                </w:p>
              </w:tc>
              <w:tc>
                <w:tcPr>
                  <w:tcW w:w="430" w:type="pct"/>
                  <w:noWrap w:val="0"/>
                  <w:vAlign w:val="center"/>
                </w:tcPr>
                <w:p w14:paraId="561E784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3188242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5A7505C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676234B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46</w:t>
                  </w:r>
                </w:p>
              </w:tc>
              <w:tc>
                <w:tcPr>
                  <w:tcW w:w="251" w:type="pct"/>
                  <w:noWrap w:val="0"/>
                  <w:vAlign w:val="center"/>
                </w:tcPr>
                <w:p w14:paraId="071846E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22</w:t>
                  </w:r>
                </w:p>
              </w:tc>
              <w:tc>
                <w:tcPr>
                  <w:tcW w:w="252" w:type="pct"/>
                  <w:noWrap w:val="0"/>
                  <w:vAlign w:val="center"/>
                </w:tcPr>
                <w:p w14:paraId="744F3A5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1ECC181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19</w:t>
                  </w:r>
                </w:p>
              </w:tc>
              <w:tc>
                <w:tcPr>
                  <w:tcW w:w="232" w:type="pct"/>
                  <w:noWrap w:val="0"/>
                  <w:vAlign w:val="center"/>
                </w:tcPr>
                <w:p w14:paraId="2956C03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w:t>
                  </w:r>
                </w:p>
              </w:tc>
              <w:tc>
                <w:tcPr>
                  <w:tcW w:w="245" w:type="pct"/>
                  <w:noWrap w:val="0"/>
                  <w:vAlign w:val="center"/>
                </w:tcPr>
                <w:p w14:paraId="611749F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42</w:t>
                  </w:r>
                </w:p>
              </w:tc>
              <w:tc>
                <w:tcPr>
                  <w:tcW w:w="258" w:type="pct"/>
                  <w:noWrap w:val="0"/>
                  <w:vAlign w:val="center"/>
                </w:tcPr>
                <w:p w14:paraId="590C9B5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w:t>
                  </w:r>
                </w:p>
              </w:tc>
              <w:tc>
                <w:tcPr>
                  <w:tcW w:w="242" w:type="pct"/>
                  <w:noWrap w:val="0"/>
                  <w:vAlign w:val="center"/>
                </w:tcPr>
                <w:p w14:paraId="732D8B5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c>
                <w:tcPr>
                  <w:tcW w:w="255" w:type="pct"/>
                  <w:noWrap w:val="0"/>
                  <w:vAlign w:val="center"/>
                </w:tcPr>
                <w:p w14:paraId="1601509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c>
                <w:tcPr>
                  <w:tcW w:w="290" w:type="pct"/>
                  <w:noWrap w:val="0"/>
                  <w:vAlign w:val="center"/>
                </w:tcPr>
                <w:p w14:paraId="67F9359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64</w:t>
                  </w:r>
                </w:p>
              </w:tc>
              <w:tc>
                <w:tcPr>
                  <w:tcW w:w="265" w:type="pct"/>
                  <w:noWrap w:val="0"/>
                  <w:vAlign w:val="center"/>
                </w:tcPr>
                <w:p w14:paraId="47AACA7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r>
            <w:tr w14:paraId="6B818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7EF7865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24</w:t>
                  </w:r>
                </w:p>
              </w:tc>
              <w:tc>
                <w:tcPr>
                  <w:tcW w:w="290" w:type="pct"/>
                  <w:vMerge w:val="continue"/>
                  <w:noWrap w:val="0"/>
                  <w:vAlign w:val="center"/>
                </w:tcPr>
                <w:p w14:paraId="5075858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1FD4734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圆盘磨床3</w:t>
                  </w:r>
                </w:p>
              </w:tc>
              <w:tc>
                <w:tcPr>
                  <w:tcW w:w="430" w:type="pct"/>
                  <w:noWrap w:val="0"/>
                  <w:vAlign w:val="center"/>
                </w:tcPr>
                <w:p w14:paraId="3581C7E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0E71E26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09F6638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66BD982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47</w:t>
                  </w:r>
                </w:p>
              </w:tc>
              <w:tc>
                <w:tcPr>
                  <w:tcW w:w="251" w:type="pct"/>
                  <w:noWrap w:val="0"/>
                  <w:vAlign w:val="center"/>
                </w:tcPr>
                <w:p w14:paraId="1122CC9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22</w:t>
                  </w:r>
                </w:p>
              </w:tc>
              <w:tc>
                <w:tcPr>
                  <w:tcW w:w="252" w:type="pct"/>
                  <w:noWrap w:val="0"/>
                  <w:vAlign w:val="center"/>
                </w:tcPr>
                <w:p w14:paraId="2DB0737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325AD1E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18</w:t>
                  </w:r>
                </w:p>
              </w:tc>
              <w:tc>
                <w:tcPr>
                  <w:tcW w:w="232" w:type="pct"/>
                  <w:noWrap w:val="0"/>
                  <w:vAlign w:val="center"/>
                </w:tcPr>
                <w:p w14:paraId="3B15373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w:t>
                  </w:r>
                </w:p>
              </w:tc>
              <w:tc>
                <w:tcPr>
                  <w:tcW w:w="245" w:type="pct"/>
                  <w:noWrap w:val="0"/>
                  <w:vAlign w:val="center"/>
                </w:tcPr>
                <w:p w14:paraId="66DF35C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43</w:t>
                  </w:r>
                </w:p>
              </w:tc>
              <w:tc>
                <w:tcPr>
                  <w:tcW w:w="258" w:type="pct"/>
                  <w:noWrap w:val="0"/>
                  <w:vAlign w:val="center"/>
                </w:tcPr>
                <w:p w14:paraId="46C5DCC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w:t>
                  </w:r>
                </w:p>
              </w:tc>
              <w:tc>
                <w:tcPr>
                  <w:tcW w:w="242" w:type="pct"/>
                  <w:noWrap w:val="0"/>
                  <w:vAlign w:val="center"/>
                </w:tcPr>
                <w:p w14:paraId="39B6BCA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c>
                <w:tcPr>
                  <w:tcW w:w="255" w:type="pct"/>
                  <w:noWrap w:val="0"/>
                  <w:vAlign w:val="center"/>
                </w:tcPr>
                <w:p w14:paraId="1C1552A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c>
                <w:tcPr>
                  <w:tcW w:w="290" w:type="pct"/>
                  <w:noWrap w:val="0"/>
                  <w:vAlign w:val="center"/>
                </w:tcPr>
                <w:p w14:paraId="557DB87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64</w:t>
                  </w:r>
                </w:p>
              </w:tc>
              <w:tc>
                <w:tcPr>
                  <w:tcW w:w="265" w:type="pct"/>
                  <w:noWrap w:val="0"/>
                  <w:vAlign w:val="center"/>
                </w:tcPr>
                <w:p w14:paraId="31B2E31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r>
            <w:tr w14:paraId="65438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51EE4DF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25</w:t>
                  </w:r>
                </w:p>
              </w:tc>
              <w:tc>
                <w:tcPr>
                  <w:tcW w:w="290" w:type="pct"/>
                  <w:vMerge w:val="continue"/>
                  <w:noWrap w:val="0"/>
                  <w:vAlign w:val="center"/>
                </w:tcPr>
                <w:p w14:paraId="36B4195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38A1927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圆盘磨床4</w:t>
                  </w:r>
                </w:p>
              </w:tc>
              <w:tc>
                <w:tcPr>
                  <w:tcW w:w="430" w:type="pct"/>
                  <w:noWrap w:val="0"/>
                  <w:vAlign w:val="center"/>
                </w:tcPr>
                <w:p w14:paraId="09674EA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2472212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114A0BD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580CDD5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45</w:t>
                  </w:r>
                </w:p>
              </w:tc>
              <w:tc>
                <w:tcPr>
                  <w:tcW w:w="251" w:type="pct"/>
                  <w:noWrap w:val="0"/>
                  <w:vAlign w:val="center"/>
                </w:tcPr>
                <w:p w14:paraId="563F63B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23</w:t>
                  </w:r>
                </w:p>
              </w:tc>
              <w:tc>
                <w:tcPr>
                  <w:tcW w:w="252" w:type="pct"/>
                  <w:noWrap w:val="0"/>
                  <w:vAlign w:val="center"/>
                </w:tcPr>
                <w:p w14:paraId="6A2A26C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4960A13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20</w:t>
                  </w:r>
                </w:p>
              </w:tc>
              <w:tc>
                <w:tcPr>
                  <w:tcW w:w="232" w:type="pct"/>
                  <w:noWrap w:val="0"/>
                  <w:vAlign w:val="center"/>
                </w:tcPr>
                <w:p w14:paraId="3F8AD86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w:t>
                  </w:r>
                </w:p>
              </w:tc>
              <w:tc>
                <w:tcPr>
                  <w:tcW w:w="245" w:type="pct"/>
                  <w:noWrap w:val="0"/>
                  <w:vAlign w:val="center"/>
                </w:tcPr>
                <w:p w14:paraId="6211045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41</w:t>
                  </w:r>
                </w:p>
              </w:tc>
              <w:tc>
                <w:tcPr>
                  <w:tcW w:w="258" w:type="pct"/>
                  <w:noWrap w:val="0"/>
                  <w:vAlign w:val="center"/>
                </w:tcPr>
                <w:p w14:paraId="42AFF81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w:t>
                  </w:r>
                </w:p>
              </w:tc>
              <w:tc>
                <w:tcPr>
                  <w:tcW w:w="242" w:type="pct"/>
                  <w:noWrap w:val="0"/>
                  <w:vAlign w:val="center"/>
                </w:tcPr>
                <w:p w14:paraId="03C03C6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c>
                <w:tcPr>
                  <w:tcW w:w="255" w:type="pct"/>
                  <w:noWrap w:val="0"/>
                  <w:vAlign w:val="center"/>
                </w:tcPr>
                <w:p w14:paraId="1FFD13D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c>
                <w:tcPr>
                  <w:tcW w:w="290" w:type="pct"/>
                  <w:noWrap w:val="0"/>
                  <w:vAlign w:val="center"/>
                </w:tcPr>
                <w:p w14:paraId="443777B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64</w:t>
                  </w:r>
                </w:p>
              </w:tc>
              <w:tc>
                <w:tcPr>
                  <w:tcW w:w="265" w:type="pct"/>
                  <w:noWrap w:val="0"/>
                  <w:vAlign w:val="center"/>
                </w:tcPr>
                <w:p w14:paraId="153F187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71</w:t>
                  </w:r>
                </w:p>
              </w:tc>
            </w:tr>
            <w:tr w14:paraId="1B80F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6C76D9F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26</w:t>
                  </w:r>
                </w:p>
              </w:tc>
              <w:tc>
                <w:tcPr>
                  <w:tcW w:w="290" w:type="pct"/>
                  <w:vMerge w:val="continue"/>
                  <w:noWrap w:val="0"/>
                  <w:vAlign w:val="center"/>
                </w:tcPr>
                <w:p w14:paraId="15D4BFA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6259B4E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圆盘磨床5</w:t>
                  </w:r>
                </w:p>
              </w:tc>
              <w:tc>
                <w:tcPr>
                  <w:tcW w:w="430" w:type="pct"/>
                  <w:noWrap w:val="0"/>
                  <w:vAlign w:val="center"/>
                </w:tcPr>
                <w:p w14:paraId="55E2A84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223F50B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564DDA6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55605E0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46</w:t>
                  </w:r>
                </w:p>
              </w:tc>
              <w:tc>
                <w:tcPr>
                  <w:tcW w:w="251" w:type="pct"/>
                  <w:noWrap w:val="0"/>
                  <w:vAlign w:val="center"/>
                </w:tcPr>
                <w:p w14:paraId="251BC26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23</w:t>
                  </w:r>
                </w:p>
              </w:tc>
              <w:tc>
                <w:tcPr>
                  <w:tcW w:w="252" w:type="pct"/>
                  <w:noWrap w:val="0"/>
                  <w:vAlign w:val="center"/>
                </w:tcPr>
                <w:p w14:paraId="5CA321B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209654B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19</w:t>
                  </w:r>
                </w:p>
              </w:tc>
              <w:tc>
                <w:tcPr>
                  <w:tcW w:w="232" w:type="pct"/>
                  <w:noWrap w:val="0"/>
                  <w:vAlign w:val="center"/>
                </w:tcPr>
                <w:p w14:paraId="0B38DFA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w:t>
                  </w:r>
                </w:p>
              </w:tc>
              <w:tc>
                <w:tcPr>
                  <w:tcW w:w="245" w:type="pct"/>
                  <w:noWrap w:val="0"/>
                  <w:vAlign w:val="center"/>
                </w:tcPr>
                <w:p w14:paraId="3476462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42</w:t>
                  </w:r>
                </w:p>
              </w:tc>
              <w:tc>
                <w:tcPr>
                  <w:tcW w:w="258" w:type="pct"/>
                  <w:noWrap w:val="0"/>
                  <w:vAlign w:val="center"/>
                </w:tcPr>
                <w:p w14:paraId="7C7ADF0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w:t>
                  </w:r>
                </w:p>
              </w:tc>
              <w:tc>
                <w:tcPr>
                  <w:tcW w:w="242" w:type="pct"/>
                  <w:noWrap w:val="0"/>
                  <w:vAlign w:val="center"/>
                </w:tcPr>
                <w:p w14:paraId="0DA2775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c>
                <w:tcPr>
                  <w:tcW w:w="255" w:type="pct"/>
                  <w:noWrap w:val="0"/>
                  <w:vAlign w:val="center"/>
                </w:tcPr>
                <w:p w14:paraId="5DE987F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c>
                <w:tcPr>
                  <w:tcW w:w="290" w:type="pct"/>
                  <w:noWrap w:val="0"/>
                  <w:vAlign w:val="center"/>
                </w:tcPr>
                <w:p w14:paraId="14E44BA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64</w:t>
                  </w:r>
                </w:p>
              </w:tc>
              <w:tc>
                <w:tcPr>
                  <w:tcW w:w="265" w:type="pct"/>
                  <w:noWrap w:val="0"/>
                  <w:vAlign w:val="center"/>
                </w:tcPr>
                <w:p w14:paraId="081B261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71</w:t>
                  </w:r>
                </w:p>
              </w:tc>
            </w:tr>
            <w:tr w14:paraId="307C2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4C90AB4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27</w:t>
                  </w:r>
                </w:p>
              </w:tc>
              <w:tc>
                <w:tcPr>
                  <w:tcW w:w="290" w:type="pct"/>
                  <w:vMerge w:val="continue"/>
                  <w:noWrap w:val="0"/>
                  <w:vAlign w:val="center"/>
                </w:tcPr>
                <w:p w14:paraId="1DF164F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3FB1302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平面磨床1</w:t>
                  </w:r>
                </w:p>
              </w:tc>
              <w:tc>
                <w:tcPr>
                  <w:tcW w:w="430" w:type="pct"/>
                  <w:noWrap w:val="0"/>
                  <w:vAlign w:val="center"/>
                </w:tcPr>
                <w:p w14:paraId="18A8D4D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43C7036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7132D59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346DA6B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58</w:t>
                  </w:r>
                </w:p>
              </w:tc>
              <w:tc>
                <w:tcPr>
                  <w:tcW w:w="251" w:type="pct"/>
                  <w:noWrap w:val="0"/>
                  <w:vAlign w:val="center"/>
                </w:tcPr>
                <w:p w14:paraId="1A6A6D4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18</w:t>
                  </w:r>
                </w:p>
              </w:tc>
              <w:tc>
                <w:tcPr>
                  <w:tcW w:w="252" w:type="pct"/>
                  <w:noWrap w:val="0"/>
                  <w:vAlign w:val="center"/>
                </w:tcPr>
                <w:p w14:paraId="173CD36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52C5180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c>
                <w:tcPr>
                  <w:tcW w:w="232" w:type="pct"/>
                  <w:noWrap w:val="0"/>
                  <w:vAlign w:val="center"/>
                </w:tcPr>
                <w:p w14:paraId="0553A0C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w:t>
                  </w:r>
                </w:p>
              </w:tc>
              <w:tc>
                <w:tcPr>
                  <w:tcW w:w="245" w:type="pct"/>
                  <w:noWrap w:val="0"/>
                  <w:vAlign w:val="center"/>
                </w:tcPr>
                <w:p w14:paraId="1028351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58</w:t>
                  </w:r>
                </w:p>
              </w:tc>
              <w:tc>
                <w:tcPr>
                  <w:tcW w:w="258" w:type="pct"/>
                  <w:noWrap w:val="0"/>
                  <w:vAlign w:val="center"/>
                </w:tcPr>
                <w:p w14:paraId="5BE3536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w:t>
                  </w:r>
                </w:p>
              </w:tc>
              <w:tc>
                <w:tcPr>
                  <w:tcW w:w="242" w:type="pct"/>
                  <w:noWrap w:val="0"/>
                  <w:vAlign w:val="center"/>
                </w:tcPr>
                <w:p w14:paraId="5452AEB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255" w:type="pct"/>
                  <w:noWrap w:val="0"/>
                  <w:vAlign w:val="center"/>
                </w:tcPr>
                <w:p w14:paraId="47D9F40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c>
                <w:tcPr>
                  <w:tcW w:w="290" w:type="pct"/>
                  <w:noWrap w:val="0"/>
                  <w:vAlign w:val="center"/>
                </w:tcPr>
                <w:p w14:paraId="1ABBDCE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62</w:t>
                  </w:r>
                </w:p>
              </w:tc>
              <w:tc>
                <w:tcPr>
                  <w:tcW w:w="265" w:type="pct"/>
                  <w:noWrap w:val="0"/>
                  <w:vAlign w:val="center"/>
                </w:tcPr>
                <w:p w14:paraId="13DB279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r>
            <w:tr w14:paraId="34566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3692952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28</w:t>
                  </w:r>
                </w:p>
              </w:tc>
              <w:tc>
                <w:tcPr>
                  <w:tcW w:w="290" w:type="pct"/>
                  <w:vMerge w:val="continue"/>
                  <w:noWrap w:val="0"/>
                  <w:vAlign w:val="center"/>
                </w:tcPr>
                <w:p w14:paraId="5C55F29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025FEB0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平面磨床2</w:t>
                  </w:r>
                </w:p>
              </w:tc>
              <w:tc>
                <w:tcPr>
                  <w:tcW w:w="430" w:type="pct"/>
                  <w:noWrap w:val="0"/>
                  <w:vAlign w:val="center"/>
                </w:tcPr>
                <w:p w14:paraId="18A1705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168E11A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1B7631B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2AD7A96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58</w:t>
                  </w:r>
                </w:p>
              </w:tc>
              <w:tc>
                <w:tcPr>
                  <w:tcW w:w="251" w:type="pct"/>
                  <w:noWrap w:val="0"/>
                  <w:vAlign w:val="center"/>
                </w:tcPr>
                <w:p w14:paraId="471C6C0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19</w:t>
                  </w:r>
                </w:p>
              </w:tc>
              <w:tc>
                <w:tcPr>
                  <w:tcW w:w="252" w:type="pct"/>
                  <w:noWrap w:val="0"/>
                  <w:vAlign w:val="center"/>
                </w:tcPr>
                <w:p w14:paraId="5D6AD89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42ED59A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c>
                <w:tcPr>
                  <w:tcW w:w="232" w:type="pct"/>
                  <w:noWrap w:val="0"/>
                  <w:vAlign w:val="center"/>
                </w:tcPr>
                <w:p w14:paraId="1F2756D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w:t>
                  </w:r>
                </w:p>
              </w:tc>
              <w:tc>
                <w:tcPr>
                  <w:tcW w:w="245" w:type="pct"/>
                  <w:noWrap w:val="0"/>
                  <w:vAlign w:val="center"/>
                </w:tcPr>
                <w:p w14:paraId="665A003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58</w:t>
                  </w:r>
                </w:p>
              </w:tc>
              <w:tc>
                <w:tcPr>
                  <w:tcW w:w="258" w:type="pct"/>
                  <w:noWrap w:val="0"/>
                  <w:vAlign w:val="center"/>
                </w:tcPr>
                <w:p w14:paraId="44B4647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w:t>
                  </w:r>
                </w:p>
              </w:tc>
              <w:tc>
                <w:tcPr>
                  <w:tcW w:w="242" w:type="pct"/>
                  <w:noWrap w:val="0"/>
                  <w:vAlign w:val="center"/>
                </w:tcPr>
                <w:p w14:paraId="668A7E2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255" w:type="pct"/>
                  <w:noWrap w:val="0"/>
                  <w:vAlign w:val="center"/>
                </w:tcPr>
                <w:p w14:paraId="4CA36F2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c>
                <w:tcPr>
                  <w:tcW w:w="290" w:type="pct"/>
                  <w:noWrap w:val="0"/>
                  <w:vAlign w:val="center"/>
                </w:tcPr>
                <w:p w14:paraId="4E3C4F5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62</w:t>
                  </w:r>
                </w:p>
              </w:tc>
              <w:tc>
                <w:tcPr>
                  <w:tcW w:w="265" w:type="pct"/>
                  <w:noWrap w:val="0"/>
                  <w:vAlign w:val="center"/>
                </w:tcPr>
                <w:p w14:paraId="5F09729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71</w:t>
                  </w:r>
                </w:p>
              </w:tc>
            </w:tr>
            <w:tr w14:paraId="2FB19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762AB81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29</w:t>
                  </w:r>
                </w:p>
              </w:tc>
              <w:tc>
                <w:tcPr>
                  <w:tcW w:w="290" w:type="pct"/>
                  <w:vMerge w:val="continue"/>
                  <w:noWrap w:val="0"/>
                  <w:vAlign w:val="center"/>
                </w:tcPr>
                <w:p w14:paraId="125E03F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473D61E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平面磨床3</w:t>
                  </w:r>
                </w:p>
              </w:tc>
              <w:tc>
                <w:tcPr>
                  <w:tcW w:w="430" w:type="pct"/>
                  <w:noWrap w:val="0"/>
                  <w:vAlign w:val="center"/>
                </w:tcPr>
                <w:p w14:paraId="116EBAC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43889BE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18CCD6B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2E0A874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58</w:t>
                  </w:r>
                </w:p>
              </w:tc>
              <w:tc>
                <w:tcPr>
                  <w:tcW w:w="251" w:type="pct"/>
                  <w:noWrap w:val="0"/>
                  <w:vAlign w:val="center"/>
                </w:tcPr>
                <w:p w14:paraId="04E72FF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20</w:t>
                  </w:r>
                </w:p>
              </w:tc>
              <w:tc>
                <w:tcPr>
                  <w:tcW w:w="252" w:type="pct"/>
                  <w:noWrap w:val="0"/>
                  <w:vAlign w:val="center"/>
                </w:tcPr>
                <w:p w14:paraId="174C074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7B4ACA1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c>
                <w:tcPr>
                  <w:tcW w:w="232" w:type="pct"/>
                  <w:noWrap w:val="0"/>
                  <w:vAlign w:val="center"/>
                </w:tcPr>
                <w:p w14:paraId="369C00A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11</w:t>
                  </w:r>
                </w:p>
              </w:tc>
              <w:tc>
                <w:tcPr>
                  <w:tcW w:w="245" w:type="pct"/>
                  <w:noWrap w:val="0"/>
                  <w:vAlign w:val="center"/>
                </w:tcPr>
                <w:p w14:paraId="05308B7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58</w:t>
                  </w:r>
                </w:p>
              </w:tc>
              <w:tc>
                <w:tcPr>
                  <w:tcW w:w="258" w:type="pct"/>
                  <w:noWrap w:val="0"/>
                  <w:vAlign w:val="center"/>
                </w:tcPr>
                <w:p w14:paraId="6C5E057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w:t>
                  </w:r>
                </w:p>
              </w:tc>
              <w:tc>
                <w:tcPr>
                  <w:tcW w:w="242" w:type="pct"/>
                  <w:noWrap w:val="0"/>
                  <w:vAlign w:val="center"/>
                </w:tcPr>
                <w:p w14:paraId="382AAEE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255" w:type="pct"/>
                  <w:noWrap w:val="0"/>
                  <w:vAlign w:val="center"/>
                </w:tcPr>
                <w:p w14:paraId="2A941E7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c>
                <w:tcPr>
                  <w:tcW w:w="290" w:type="pct"/>
                  <w:noWrap w:val="0"/>
                  <w:vAlign w:val="center"/>
                </w:tcPr>
                <w:p w14:paraId="0E31AD0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62</w:t>
                  </w:r>
                </w:p>
              </w:tc>
              <w:tc>
                <w:tcPr>
                  <w:tcW w:w="265" w:type="pct"/>
                  <w:noWrap w:val="0"/>
                  <w:vAlign w:val="center"/>
                </w:tcPr>
                <w:p w14:paraId="75D57C5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72</w:t>
                  </w:r>
                </w:p>
              </w:tc>
            </w:tr>
            <w:tr w14:paraId="77A84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05110CE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30</w:t>
                  </w:r>
                </w:p>
              </w:tc>
              <w:tc>
                <w:tcPr>
                  <w:tcW w:w="290" w:type="pct"/>
                  <w:vMerge w:val="continue"/>
                  <w:noWrap w:val="0"/>
                  <w:vAlign w:val="center"/>
                </w:tcPr>
                <w:p w14:paraId="033AFAB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2F0A9AD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平面磨床4</w:t>
                  </w:r>
                </w:p>
              </w:tc>
              <w:tc>
                <w:tcPr>
                  <w:tcW w:w="430" w:type="pct"/>
                  <w:noWrap w:val="0"/>
                  <w:vAlign w:val="center"/>
                </w:tcPr>
                <w:p w14:paraId="78A51C1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0BE99C8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4C7630F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4C9550E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58</w:t>
                  </w:r>
                </w:p>
              </w:tc>
              <w:tc>
                <w:tcPr>
                  <w:tcW w:w="251" w:type="pct"/>
                  <w:noWrap w:val="0"/>
                  <w:vAlign w:val="center"/>
                </w:tcPr>
                <w:p w14:paraId="45591E3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21</w:t>
                  </w:r>
                </w:p>
              </w:tc>
              <w:tc>
                <w:tcPr>
                  <w:tcW w:w="252" w:type="pct"/>
                  <w:noWrap w:val="0"/>
                  <w:vAlign w:val="center"/>
                </w:tcPr>
                <w:p w14:paraId="41612BB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3492F06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c>
                <w:tcPr>
                  <w:tcW w:w="232" w:type="pct"/>
                  <w:noWrap w:val="0"/>
                  <w:vAlign w:val="center"/>
                </w:tcPr>
                <w:p w14:paraId="76005D9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12</w:t>
                  </w:r>
                </w:p>
              </w:tc>
              <w:tc>
                <w:tcPr>
                  <w:tcW w:w="245" w:type="pct"/>
                  <w:noWrap w:val="0"/>
                  <w:vAlign w:val="center"/>
                </w:tcPr>
                <w:p w14:paraId="5F2B779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58</w:t>
                  </w:r>
                </w:p>
              </w:tc>
              <w:tc>
                <w:tcPr>
                  <w:tcW w:w="258" w:type="pct"/>
                  <w:noWrap w:val="0"/>
                  <w:vAlign w:val="center"/>
                </w:tcPr>
                <w:p w14:paraId="128D843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w:t>
                  </w:r>
                </w:p>
              </w:tc>
              <w:tc>
                <w:tcPr>
                  <w:tcW w:w="242" w:type="pct"/>
                  <w:noWrap w:val="0"/>
                  <w:vAlign w:val="center"/>
                </w:tcPr>
                <w:p w14:paraId="2AA43DF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255" w:type="pct"/>
                  <w:noWrap w:val="0"/>
                  <w:vAlign w:val="center"/>
                </w:tcPr>
                <w:p w14:paraId="7FE3364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69</w:t>
                  </w:r>
                </w:p>
              </w:tc>
              <w:tc>
                <w:tcPr>
                  <w:tcW w:w="290" w:type="pct"/>
                  <w:noWrap w:val="0"/>
                  <w:vAlign w:val="center"/>
                </w:tcPr>
                <w:p w14:paraId="4D1ECE5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62</w:t>
                  </w:r>
                </w:p>
              </w:tc>
              <w:tc>
                <w:tcPr>
                  <w:tcW w:w="265" w:type="pct"/>
                  <w:noWrap w:val="0"/>
                  <w:vAlign w:val="center"/>
                </w:tcPr>
                <w:p w14:paraId="6E52F5C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72</w:t>
                  </w:r>
                </w:p>
              </w:tc>
            </w:tr>
            <w:tr w14:paraId="6411F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3D644DF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31</w:t>
                  </w:r>
                </w:p>
              </w:tc>
              <w:tc>
                <w:tcPr>
                  <w:tcW w:w="290" w:type="pct"/>
                  <w:vMerge w:val="continue"/>
                  <w:noWrap w:val="0"/>
                  <w:vAlign w:val="center"/>
                </w:tcPr>
                <w:p w14:paraId="5CECE37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420413C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平面磨床5</w:t>
                  </w:r>
                </w:p>
              </w:tc>
              <w:tc>
                <w:tcPr>
                  <w:tcW w:w="430" w:type="pct"/>
                  <w:noWrap w:val="0"/>
                  <w:vAlign w:val="center"/>
                </w:tcPr>
                <w:p w14:paraId="1652615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7521E01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6CA1577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7D77F7E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58</w:t>
                  </w:r>
                </w:p>
              </w:tc>
              <w:tc>
                <w:tcPr>
                  <w:tcW w:w="251" w:type="pct"/>
                  <w:noWrap w:val="0"/>
                  <w:vAlign w:val="center"/>
                </w:tcPr>
                <w:p w14:paraId="16DD42C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22</w:t>
                  </w:r>
                </w:p>
              </w:tc>
              <w:tc>
                <w:tcPr>
                  <w:tcW w:w="252" w:type="pct"/>
                  <w:noWrap w:val="0"/>
                  <w:vAlign w:val="center"/>
                </w:tcPr>
                <w:p w14:paraId="25CD3FC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16AAA85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c>
                <w:tcPr>
                  <w:tcW w:w="232" w:type="pct"/>
                  <w:noWrap w:val="0"/>
                  <w:vAlign w:val="center"/>
                </w:tcPr>
                <w:p w14:paraId="3D7CFD8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13</w:t>
                  </w:r>
                </w:p>
              </w:tc>
              <w:tc>
                <w:tcPr>
                  <w:tcW w:w="245" w:type="pct"/>
                  <w:noWrap w:val="0"/>
                  <w:vAlign w:val="center"/>
                </w:tcPr>
                <w:p w14:paraId="72662C0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58</w:t>
                  </w:r>
                </w:p>
              </w:tc>
              <w:tc>
                <w:tcPr>
                  <w:tcW w:w="258" w:type="pct"/>
                  <w:noWrap w:val="0"/>
                  <w:vAlign w:val="center"/>
                </w:tcPr>
                <w:p w14:paraId="40B94B2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w:t>
                  </w:r>
                </w:p>
              </w:tc>
              <w:tc>
                <w:tcPr>
                  <w:tcW w:w="242" w:type="pct"/>
                  <w:noWrap w:val="0"/>
                  <w:vAlign w:val="center"/>
                </w:tcPr>
                <w:p w14:paraId="20FB8B5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255" w:type="pct"/>
                  <w:noWrap w:val="0"/>
                  <w:vAlign w:val="center"/>
                </w:tcPr>
                <w:p w14:paraId="1C38BA8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69</w:t>
                  </w:r>
                </w:p>
              </w:tc>
              <w:tc>
                <w:tcPr>
                  <w:tcW w:w="290" w:type="pct"/>
                  <w:noWrap w:val="0"/>
                  <w:vAlign w:val="center"/>
                </w:tcPr>
                <w:p w14:paraId="46E8084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62</w:t>
                  </w:r>
                </w:p>
              </w:tc>
              <w:tc>
                <w:tcPr>
                  <w:tcW w:w="265" w:type="pct"/>
                  <w:noWrap w:val="0"/>
                  <w:vAlign w:val="center"/>
                </w:tcPr>
                <w:p w14:paraId="00EFE40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73</w:t>
                  </w:r>
                </w:p>
              </w:tc>
            </w:tr>
            <w:tr w14:paraId="787A2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5F77617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32</w:t>
                  </w:r>
                </w:p>
              </w:tc>
              <w:tc>
                <w:tcPr>
                  <w:tcW w:w="290" w:type="pct"/>
                  <w:vMerge w:val="continue"/>
                  <w:noWrap w:val="0"/>
                  <w:vAlign w:val="center"/>
                </w:tcPr>
                <w:p w14:paraId="5EE672B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63F3505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立车1</w:t>
                  </w:r>
                </w:p>
              </w:tc>
              <w:tc>
                <w:tcPr>
                  <w:tcW w:w="430" w:type="pct"/>
                  <w:noWrap w:val="0"/>
                  <w:vAlign w:val="center"/>
                </w:tcPr>
                <w:p w14:paraId="6038D6E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797AB92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6738F16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7B17E1E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40</w:t>
                  </w:r>
                </w:p>
              </w:tc>
              <w:tc>
                <w:tcPr>
                  <w:tcW w:w="251" w:type="pct"/>
                  <w:noWrap w:val="0"/>
                  <w:vAlign w:val="center"/>
                </w:tcPr>
                <w:p w14:paraId="38B0E7C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29</w:t>
                  </w:r>
                </w:p>
              </w:tc>
              <w:tc>
                <w:tcPr>
                  <w:tcW w:w="252" w:type="pct"/>
                  <w:noWrap w:val="0"/>
                  <w:vAlign w:val="center"/>
                </w:tcPr>
                <w:p w14:paraId="6FDAEFD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3ED3EFD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25</w:t>
                  </w:r>
                </w:p>
              </w:tc>
              <w:tc>
                <w:tcPr>
                  <w:tcW w:w="232" w:type="pct"/>
                  <w:noWrap w:val="0"/>
                  <w:vAlign w:val="center"/>
                </w:tcPr>
                <w:p w14:paraId="5DF0110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15</w:t>
                  </w:r>
                </w:p>
              </w:tc>
              <w:tc>
                <w:tcPr>
                  <w:tcW w:w="245" w:type="pct"/>
                  <w:noWrap w:val="0"/>
                  <w:vAlign w:val="center"/>
                </w:tcPr>
                <w:p w14:paraId="5A02100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36</w:t>
                  </w:r>
                </w:p>
              </w:tc>
              <w:tc>
                <w:tcPr>
                  <w:tcW w:w="258" w:type="pct"/>
                  <w:noWrap w:val="0"/>
                  <w:vAlign w:val="center"/>
                </w:tcPr>
                <w:p w14:paraId="62F5AE3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c>
                <w:tcPr>
                  <w:tcW w:w="242" w:type="pct"/>
                  <w:noWrap w:val="0"/>
                  <w:vAlign w:val="center"/>
                </w:tcPr>
                <w:p w14:paraId="51D5232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61</w:t>
                  </w:r>
                </w:p>
              </w:tc>
              <w:tc>
                <w:tcPr>
                  <w:tcW w:w="255" w:type="pct"/>
                  <w:noWrap w:val="0"/>
                  <w:vAlign w:val="center"/>
                </w:tcPr>
                <w:p w14:paraId="68106BB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63</w:t>
                  </w:r>
                </w:p>
              </w:tc>
              <w:tc>
                <w:tcPr>
                  <w:tcW w:w="290" w:type="pct"/>
                  <w:noWrap w:val="0"/>
                  <w:vAlign w:val="center"/>
                </w:tcPr>
                <w:p w14:paraId="0894EA2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59</w:t>
                  </w:r>
                </w:p>
              </w:tc>
              <w:tc>
                <w:tcPr>
                  <w:tcW w:w="265" w:type="pct"/>
                  <w:noWrap w:val="0"/>
                  <w:vAlign w:val="center"/>
                </w:tcPr>
                <w:p w14:paraId="5243D43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r>
            <w:tr w14:paraId="0976B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1BAD337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33</w:t>
                  </w:r>
                </w:p>
              </w:tc>
              <w:tc>
                <w:tcPr>
                  <w:tcW w:w="290" w:type="pct"/>
                  <w:vMerge w:val="continue"/>
                  <w:noWrap w:val="0"/>
                  <w:vAlign w:val="center"/>
                </w:tcPr>
                <w:p w14:paraId="5CD7CF0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7284A6F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立车2</w:t>
                  </w:r>
                </w:p>
              </w:tc>
              <w:tc>
                <w:tcPr>
                  <w:tcW w:w="430" w:type="pct"/>
                  <w:noWrap w:val="0"/>
                  <w:vAlign w:val="center"/>
                </w:tcPr>
                <w:p w14:paraId="13946A6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38950C2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422072B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4CD762E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41</w:t>
                  </w:r>
                </w:p>
              </w:tc>
              <w:tc>
                <w:tcPr>
                  <w:tcW w:w="251" w:type="pct"/>
                  <w:noWrap w:val="0"/>
                  <w:vAlign w:val="center"/>
                </w:tcPr>
                <w:p w14:paraId="1CA2468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29</w:t>
                  </w:r>
                </w:p>
              </w:tc>
              <w:tc>
                <w:tcPr>
                  <w:tcW w:w="252" w:type="pct"/>
                  <w:noWrap w:val="0"/>
                  <w:vAlign w:val="center"/>
                </w:tcPr>
                <w:p w14:paraId="3213A76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773A9A0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24</w:t>
                  </w:r>
                </w:p>
              </w:tc>
              <w:tc>
                <w:tcPr>
                  <w:tcW w:w="232" w:type="pct"/>
                  <w:noWrap w:val="0"/>
                  <w:vAlign w:val="center"/>
                </w:tcPr>
                <w:p w14:paraId="258D48A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15</w:t>
                  </w:r>
                </w:p>
              </w:tc>
              <w:tc>
                <w:tcPr>
                  <w:tcW w:w="245" w:type="pct"/>
                  <w:noWrap w:val="0"/>
                  <w:vAlign w:val="center"/>
                </w:tcPr>
                <w:p w14:paraId="0D35E74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37</w:t>
                  </w:r>
                </w:p>
              </w:tc>
              <w:tc>
                <w:tcPr>
                  <w:tcW w:w="258" w:type="pct"/>
                  <w:noWrap w:val="0"/>
                  <w:vAlign w:val="center"/>
                </w:tcPr>
                <w:p w14:paraId="432BB20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c>
                <w:tcPr>
                  <w:tcW w:w="242" w:type="pct"/>
                  <w:noWrap w:val="0"/>
                  <w:vAlign w:val="center"/>
                </w:tcPr>
                <w:p w14:paraId="37B40D3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61</w:t>
                  </w:r>
                </w:p>
              </w:tc>
              <w:tc>
                <w:tcPr>
                  <w:tcW w:w="255" w:type="pct"/>
                  <w:noWrap w:val="0"/>
                  <w:vAlign w:val="center"/>
                </w:tcPr>
                <w:p w14:paraId="678CFD9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63</w:t>
                  </w:r>
                </w:p>
              </w:tc>
              <w:tc>
                <w:tcPr>
                  <w:tcW w:w="290" w:type="pct"/>
                  <w:noWrap w:val="0"/>
                  <w:vAlign w:val="center"/>
                </w:tcPr>
                <w:p w14:paraId="1F170B7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59</w:t>
                  </w:r>
                </w:p>
              </w:tc>
              <w:tc>
                <w:tcPr>
                  <w:tcW w:w="265" w:type="pct"/>
                  <w:noWrap w:val="0"/>
                  <w:vAlign w:val="center"/>
                </w:tcPr>
                <w:p w14:paraId="078A9AD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r>
            <w:tr w14:paraId="18AA7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27994E2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34</w:t>
                  </w:r>
                </w:p>
              </w:tc>
              <w:tc>
                <w:tcPr>
                  <w:tcW w:w="290" w:type="pct"/>
                  <w:vMerge w:val="continue"/>
                  <w:noWrap w:val="0"/>
                  <w:vAlign w:val="center"/>
                </w:tcPr>
                <w:p w14:paraId="1325CA0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17A8BE8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立车3</w:t>
                  </w:r>
                </w:p>
              </w:tc>
              <w:tc>
                <w:tcPr>
                  <w:tcW w:w="430" w:type="pct"/>
                  <w:noWrap w:val="0"/>
                  <w:vAlign w:val="center"/>
                </w:tcPr>
                <w:p w14:paraId="153CE70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75A59FE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37D6EA1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4654AA0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42</w:t>
                  </w:r>
                </w:p>
              </w:tc>
              <w:tc>
                <w:tcPr>
                  <w:tcW w:w="251" w:type="pct"/>
                  <w:noWrap w:val="0"/>
                  <w:vAlign w:val="center"/>
                </w:tcPr>
                <w:p w14:paraId="542107B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29</w:t>
                  </w:r>
                </w:p>
              </w:tc>
              <w:tc>
                <w:tcPr>
                  <w:tcW w:w="252" w:type="pct"/>
                  <w:noWrap w:val="0"/>
                  <w:vAlign w:val="center"/>
                </w:tcPr>
                <w:p w14:paraId="11ABE1B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08D6572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23</w:t>
                  </w:r>
                </w:p>
              </w:tc>
              <w:tc>
                <w:tcPr>
                  <w:tcW w:w="232" w:type="pct"/>
                  <w:noWrap w:val="0"/>
                  <w:vAlign w:val="center"/>
                </w:tcPr>
                <w:p w14:paraId="120D166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15</w:t>
                  </w:r>
                </w:p>
              </w:tc>
              <w:tc>
                <w:tcPr>
                  <w:tcW w:w="245" w:type="pct"/>
                  <w:noWrap w:val="0"/>
                  <w:vAlign w:val="center"/>
                </w:tcPr>
                <w:p w14:paraId="3047C46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36</w:t>
                  </w:r>
                </w:p>
              </w:tc>
              <w:tc>
                <w:tcPr>
                  <w:tcW w:w="258" w:type="pct"/>
                  <w:noWrap w:val="0"/>
                  <w:vAlign w:val="center"/>
                </w:tcPr>
                <w:p w14:paraId="6D95812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c>
                <w:tcPr>
                  <w:tcW w:w="242" w:type="pct"/>
                  <w:noWrap w:val="0"/>
                  <w:vAlign w:val="center"/>
                </w:tcPr>
                <w:p w14:paraId="3D1CE8A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61</w:t>
                  </w:r>
                </w:p>
              </w:tc>
              <w:tc>
                <w:tcPr>
                  <w:tcW w:w="255" w:type="pct"/>
                  <w:noWrap w:val="0"/>
                  <w:vAlign w:val="center"/>
                </w:tcPr>
                <w:p w14:paraId="40D76A1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63</w:t>
                  </w:r>
                </w:p>
              </w:tc>
              <w:tc>
                <w:tcPr>
                  <w:tcW w:w="290" w:type="pct"/>
                  <w:noWrap w:val="0"/>
                  <w:vAlign w:val="center"/>
                </w:tcPr>
                <w:p w14:paraId="50074CE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59</w:t>
                  </w:r>
                </w:p>
              </w:tc>
              <w:tc>
                <w:tcPr>
                  <w:tcW w:w="265" w:type="pct"/>
                  <w:noWrap w:val="0"/>
                  <w:vAlign w:val="center"/>
                </w:tcPr>
                <w:p w14:paraId="276C628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r>
            <w:tr w14:paraId="765FD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08EDC58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35</w:t>
                  </w:r>
                </w:p>
              </w:tc>
              <w:tc>
                <w:tcPr>
                  <w:tcW w:w="290" w:type="pct"/>
                  <w:vMerge w:val="continue"/>
                  <w:noWrap w:val="0"/>
                  <w:vAlign w:val="center"/>
                </w:tcPr>
                <w:p w14:paraId="0D51696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7E1A8FF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立车4</w:t>
                  </w:r>
                </w:p>
              </w:tc>
              <w:tc>
                <w:tcPr>
                  <w:tcW w:w="430" w:type="pct"/>
                  <w:noWrap w:val="0"/>
                  <w:vAlign w:val="center"/>
                </w:tcPr>
                <w:p w14:paraId="283A212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22B4DBA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2FB9A13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7643C8C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43</w:t>
                  </w:r>
                </w:p>
              </w:tc>
              <w:tc>
                <w:tcPr>
                  <w:tcW w:w="251" w:type="pct"/>
                  <w:noWrap w:val="0"/>
                  <w:vAlign w:val="center"/>
                </w:tcPr>
                <w:p w14:paraId="05FF96C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29</w:t>
                  </w:r>
                </w:p>
              </w:tc>
              <w:tc>
                <w:tcPr>
                  <w:tcW w:w="252" w:type="pct"/>
                  <w:noWrap w:val="0"/>
                  <w:vAlign w:val="center"/>
                </w:tcPr>
                <w:p w14:paraId="3ADB0DA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77E218E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22</w:t>
                  </w:r>
                </w:p>
              </w:tc>
              <w:tc>
                <w:tcPr>
                  <w:tcW w:w="232" w:type="pct"/>
                  <w:noWrap w:val="0"/>
                  <w:vAlign w:val="center"/>
                </w:tcPr>
                <w:p w14:paraId="7FBB2B6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15</w:t>
                  </w:r>
                </w:p>
              </w:tc>
              <w:tc>
                <w:tcPr>
                  <w:tcW w:w="245" w:type="pct"/>
                  <w:noWrap w:val="0"/>
                  <w:vAlign w:val="center"/>
                </w:tcPr>
                <w:p w14:paraId="10391EA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35</w:t>
                  </w:r>
                </w:p>
              </w:tc>
              <w:tc>
                <w:tcPr>
                  <w:tcW w:w="258" w:type="pct"/>
                  <w:noWrap w:val="0"/>
                  <w:vAlign w:val="center"/>
                </w:tcPr>
                <w:p w14:paraId="0B97A6E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c>
                <w:tcPr>
                  <w:tcW w:w="242" w:type="pct"/>
                  <w:noWrap w:val="0"/>
                  <w:vAlign w:val="center"/>
                </w:tcPr>
                <w:p w14:paraId="5ABE701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62</w:t>
                  </w:r>
                </w:p>
              </w:tc>
              <w:tc>
                <w:tcPr>
                  <w:tcW w:w="255" w:type="pct"/>
                  <w:noWrap w:val="0"/>
                  <w:vAlign w:val="center"/>
                </w:tcPr>
                <w:p w14:paraId="74C7CF1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63</w:t>
                  </w:r>
                </w:p>
              </w:tc>
              <w:tc>
                <w:tcPr>
                  <w:tcW w:w="290" w:type="pct"/>
                  <w:noWrap w:val="0"/>
                  <w:vAlign w:val="center"/>
                </w:tcPr>
                <w:p w14:paraId="2BDFEE8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60</w:t>
                  </w:r>
                </w:p>
              </w:tc>
              <w:tc>
                <w:tcPr>
                  <w:tcW w:w="265" w:type="pct"/>
                  <w:noWrap w:val="0"/>
                  <w:vAlign w:val="center"/>
                </w:tcPr>
                <w:p w14:paraId="403EB0A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r>
            <w:tr w14:paraId="3D05A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0E2F7D6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36</w:t>
                  </w:r>
                </w:p>
              </w:tc>
              <w:tc>
                <w:tcPr>
                  <w:tcW w:w="290" w:type="pct"/>
                  <w:vMerge w:val="continue"/>
                  <w:noWrap w:val="0"/>
                  <w:vAlign w:val="center"/>
                </w:tcPr>
                <w:p w14:paraId="0AA740E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21502B0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立车5</w:t>
                  </w:r>
                </w:p>
              </w:tc>
              <w:tc>
                <w:tcPr>
                  <w:tcW w:w="430" w:type="pct"/>
                  <w:shd w:val="clear" w:color="auto" w:fill="auto"/>
                  <w:noWrap w:val="0"/>
                  <w:vAlign w:val="center"/>
                </w:tcPr>
                <w:p w14:paraId="4705CB90">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323FA98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537C0F6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3294A58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44</w:t>
                  </w:r>
                </w:p>
              </w:tc>
              <w:tc>
                <w:tcPr>
                  <w:tcW w:w="251" w:type="pct"/>
                  <w:noWrap w:val="0"/>
                  <w:vAlign w:val="center"/>
                </w:tcPr>
                <w:p w14:paraId="5BB259E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29</w:t>
                  </w:r>
                </w:p>
              </w:tc>
              <w:tc>
                <w:tcPr>
                  <w:tcW w:w="252" w:type="pct"/>
                  <w:noWrap w:val="0"/>
                  <w:vAlign w:val="center"/>
                </w:tcPr>
                <w:p w14:paraId="20887DD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7E8AACB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21</w:t>
                  </w:r>
                </w:p>
              </w:tc>
              <w:tc>
                <w:tcPr>
                  <w:tcW w:w="232" w:type="pct"/>
                  <w:noWrap w:val="0"/>
                  <w:vAlign w:val="center"/>
                </w:tcPr>
                <w:p w14:paraId="5530DE5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15</w:t>
                  </w:r>
                </w:p>
              </w:tc>
              <w:tc>
                <w:tcPr>
                  <w:tcW w:w="245" w:type="pct"/>
                  <w:noWrap w:val="0"/>
                  <w:vAlign w:val="center"/>
                </w:tcPr>
                <w:p w14:paraId="1A0D41F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34</w:t>
                  </w:r>
                </w:p>
              </w:tc>
              <w:tc>
                <w:tcPr>
                  <w:tcW w:w="258" w:type="pct"/>
                  <w:noWrap w:val="0"/>
                  <w:vAlign w:val="center"/>
                </w:tcPr>
                <w:p w14:paraId="1A3ED82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c>
                <w:tcPr>
                  <w:tcW w:w="242" w:type="pct"/>
                  <w:noWrap w:val="0"/>
                  <w:vAlign w:val="center"/>
                </w:tcPr>
                <w:p w14:paraId="6115BC1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62</w:t>
                  </w:r>
                </w:p>
              </w:tc>
              <w:tc>
                <w:tcPr>
                  <w:tcW w:w="255" w:type="pct"/>
                  <w:noWrap w:val="0"/>
                  <w:vAlign w:val="center"/>
                </w:tcPr>
                <w:p w14:paraId="7AD4731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63</w:t>
                  </w:r>
                </w:p>
              </w:tc>
              <w:tc>
                <w:tcPr>
                  <w:tcW w:w="290" w:type="pct"/>
                  <w:noWrap w:val="0"/>
                  <w:vAlign w:val="center"/>
                </w:tcPr>
                <w:p w14:paraId="7877BFC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60</w:t>
                  </w:r>
                </w:p>
              </w:tc>
              <w:tc>
                <w:tcPr>
                  <w:tcW w:w="265" w:type="pct"/>
                  <w:noWrap w:val="0"/>
                  <w:vAlign w:val="center"/>
                </w:tcPr>
                <w:p w14:paraId="0974718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r>
            <w:tr w14:paraId="6C53F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79D45D9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37</w:t>
                  </w:r>
                </w:p>
              </w:tc>
              <w:tc>
                <w:tcPr>
                  <w:tcW w:w="290" w:type="pct"/>
                  <w:vMerge w:val="continue"/>
                  <w:noWrap w:val="0"/>
                  <w:vAlign w:val="center"/>
                </w:tcPr>
                <w:p w14:paraId="710A199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5FBB0B1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平衡机1</w:t>
                  </w:r>
                </w:p>
              </w:tc>
              <w:tc>
                <w:tcPr>
                  <w:tcW w:w="430" w:type="pct"/>
                  <w:shd w:val="clear" w:color="auto" w:fill="auto"/>
                  <w:noWrap w:val="0"/>
                  <w:vAlign w:val="center"/>
                </w:tcPr>
                <w:p w14:paraId="2F5FB29D">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358557D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c>
                <w:tcPr>
                  <w:tcW w:w="381" w:type="pct"/>
                  <w:vMerge w:val="continue"/>
                  <w:noWrap w:val="0"/>
                  <w:vAlign w:val="center"/>
                </w:tcPr>
                <w:p w14:paraId="750202E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1E8CA7E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53</w:t>
                  </w:r>
                </w:p>
              </w:tc>
              <w:tc>
                <w:tcPr>
                  <w:tcW w:w="251" w:type="pct"/>
                  <w:noWrap w:val="0"/>
                  <w:vAlign w:val="center"/>
                </w:tcPr>
                <w:p w14:paraId="472A9BE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14</w:t>
                  </w:r>
                </w:p>
              </w:tc>
              <w:tc>
                <w:tcPr>
                  <w:tcW w:w="252" w:type="pct"/>
                  <w:noWrap w:val="0"/>
                  <w:vAlign w:val="center"/>
                </w:tcPr>
                <w:p w14:paraId="1BACF94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17EB428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w:t>
                  </w:r>
                </w:p>
              </w:tc>
              <w:tc>
                <w:tcPr>
                  <w:tcW w:w="232" w:type="pct"/>
                  <w:noWrap w:val="0"/>
                  <w:vAlign w:val="center"/>
                </w:tcPr>
                <w:p w14:paraId="544015B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w:t>
                  </w:r>
                </w:p>
              </w:tc>
              <w:tc>
                <w:tcPr>
                  <w:tcW w:w="245" w:type="pct"/>
                  <w:noWrap w:val="0"/>
                  <w:vAlign w:val="center"/>
                </w:tcPr>
                <w:p w14:paraId="3D239AB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53</w:t>
                  </w:r>
                </w:p>
              </w:tc>
              <w:tc>
                <w:tcPr>
                  <w:tcW w:w="258" w:type="pct"/>
                  <w:noWrap w:val="0"/>
                  <w:vAlign w:val="center"/>
                </w:tcPr>
                <w:p w14:paraId="490091C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14</w:t>
                  </w:r>
                </w:p>
              </w:tc>
              <w:tc>
                <w:tcPr>
                  <w:tcW w:w="242" w:type="pct"/>
                  <w:noWrap w:val="0"/>
                  <w:vAlign w:val="center"/>
                </w:tcPr>
                <w:p w14:paraId="69F31B1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62</w:t>
                  </w:r>
                </w:p>
              </w:tc>
              <w:tc>
                <w:tcPr>
                  <w:tcW w:w="255" w:type="pct"/>
                  <w:noWrap w:val="0"/>
                  <w:vAlign w:val="center"/>
                </w:tcPr>
                <w:p w14:paraId="573AA98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64</w:t>
                  </w:r>
                </w:p>
              </w:tc>
              <w:tc>
                <w:tcPr>
                  <w:tcW w:w="290" w:type="pct"/>
                  <w:noWrap w:val="0"/>
                  <w:vAlign w:val="center"/>
                </w:tcPr>
                <w:p w14:paraId="5513005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53</w:t>
                  </w:r>
                </w:p>
              </w:tc>
              <w:tc>
                <w:tcPr>
                  <w:tcW w:w="265" w:type="pct"/>
                  <w:noWrap w:val="0"/>
                  <w:vAlign w:val="center"/>
                </w:tcPr>
                <w:p w14:paraId="64E26E2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59</w:t>
                  </w:r>
                </w:p>
              </w:tc>
            </w:tr>
            <w:tr w14:paraId="55CEE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7BA090D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38</w:t>
                  </w:r>
                </w:p>
              </w:tc>
              <w:tc>
                <w:tcPr>
                  <w:tcW w:w="290" w:type="pct"/>
                  <w:vMerge w:val="continue"/>
                  <w:noWrap w:val="0"/>
                  <w:vAlign w:val="center"/>
                </w:tcPr>
                <w:p w14:paraId="6CE6E47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7CBB2F9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平衡机2</w:t>
                  </w:r>
                </w:p>
              </w:tc>
              <w:tc>
                <w:tcPr>
                  <w:tcW w:w="430" w:type="pct"/>
                  <w:shd w:val="clear" w:color="auto" w:fill="auto"/>
                  <w:noWrap w:val="0"/>
                  <w:vAlign w:val="center"/>
                </w:tcPr>
                <w:p w14:paraId="43BA4C0A">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1640C3C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c>
                <w:tcPr>
                  <w:tcW w:w="381" w:type="pct"/>
                  <w:vMerge w:val="continue"/>
                  <w:noWrap w:val="0"/>
                  <w:vAlign w:val="center"/>
                </w:tcPr>
                <w:p w14:paraId="6940FC6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659D9B0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54</w:t>
                  </w:r>
                </w:p>
              </w:tc>
              <w:tc>
                <w:tcPr>
                  <w:tcW w:w="251" w:type="pct"/>
                  <w:noWrap w:val="0"/>
                  <w:vAlign w:val="center"/>
                </w:tcPr>
                <w:p w14:paraId="2DD7DFC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14</w:t>
                  </w:r>
                </w:p>
              </w:tc>
              <w:tc>
                <w:tcPr>
                  <w:tcW w:w="252" w:type="pct"/>
                  <w:noWrap w:val="0"/>
                  <w:vAlign w:val="center"/>
                </w:tcPr>
                <w:p w14:paraId="3F6540B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7208983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w:t>
                  </w:r>
                </w:p>
              </w:tc>
              <w:tc>
                <w:tcPr>
                  <w:tcW w:w="232" w:type="pct"/>
                  <w:noWrap w:val="0"/>
                  <w:vAlign w:val="center"/>
                </w:tcPr>
                <w:p w14:paraId="019D10C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w:t>
                  </w:r>
                </w:p>
              </w:tc>
              <w:tc>
                <w:tcPr>
                  <w:tcW w:w="245" w:type="pct"/>
                  <w:noWrap w:val="0"/>
                  <w:vAlign w:val="center"/>
                </w:tcPr>
                <w:p w14:paraId="7D484B6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54</w:t>
                  </w:r>
                </w:p>
              </w:tc>
              <w:tc>
                <w:tcPr>
                  <w:tcW w:w="258" w:type="pct"/>
                  <w:noWrap w:val="0"/>
                  <w:vAlign w:val="center"/>
                </w:tcPr>
                <w:p w14:paraId="5582375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14</w:t>
                  </w:r>
                </w:p>
              </w:tc>
              <w:tc>
                <w:tcPr>
                  <w:tcW w:w="242" w:type="pct"/>
                  <w:noWrap w:val="0"/>
                  <w:vAlign w:val="center"/>
                </w:tcPr>
                <w:p w14:paraId="38A639F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62</w:t>
                  </w:r>
                </w:p>
              </w:tc>
              <w:tc>
                <w:tcPr>
                  <w:tcW w:w="255" w:type="pct"/>
                  <w:noWrap w:val="0"/>
                  <w:vAlign w:val="center"/>
                </w:tcPr>
                <w:p w14:paraId="0A04409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64</w:t>
                  </w:r>
                </w:p>
              </w:tc>
              <w:tc>
                <w:tcPr>
                  <w:tcW w:w="290" w:type="pct"/>
                  <w:noWrap w:val="0"/>
                  <w:vAlign w:val="center"/>
                </w:tcPr>
                <w:p w14:paraId="20C9C3A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53</w:t>
                  </w:r>
                </w:p>
              </w:tc>
              <w:tc>
                <w:tcPr>
                  <w:tcW w:w="265" w:type="pct"/>
                  <w:noWrap w:val="0"/>
                  <w:vAlign w:val="center"/>
                </w:tcPr>
                <w:p w14:paraId="61E79E0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59</w:t>
                  </w:r>
                </w:p>
              </w:tc>
            </w:tr>
            <w:tr w14:paraId="75B63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05" w:type="pct"/>
                  <w:noWrap w:val="0"/>
                  <w:vAlign w:val="center"/>
                </w:tcPr>
                <w:p w14:paraId="7B76163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39</w:t>
                  </w:r>
                </w:p>
              </w:tc>
              <w:tc>
                <w:tcPr>
                  <w:tcW w:w="290" w:type="pct"/>
                  <w:vMerge w:val="continue"/>
                  <w:noWrap w:val="0"/>
                  <w:vAlign w:val="center"/>
                </w:tcPr>
                <w:p w14:paraId="31E844E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22EAE55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龙门铣</w:t>
                  </w:r>
                </w:p>
              </w:tc>
              <w:tc>
                <w:tcPr>
                  <w:tcW w:w="430" w:type="pct"/>
                  <w:shd w:val="clear" w:color="auto" w:fill="auto"/>
                  <w:noWrap w:val="0"/>
                  <w:vAlign w:val="center"/>
                </w:tcPr>
                <w:p w14:paraId="41B04B45">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0089F92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50C75FF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29E3C01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51</w:t>
                  </w:r>
                </w:p>
              </w:tc>
              <w:tc>
                <w:tcPr>
                  <w:tcW w:w="251" w:type="pct"/>
                  <w:noWrap w:val="0"/>
                  <w:vAlign w:val="center"/>
                </w:tcPr>
                <w:p w14:paraId="38536C8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28</w:t>
                  </w:r>
                </w:p>
              </w:tc>
              <w:tc>
                <w:tcPr>
                  <w:tcW w:w="252" w:type="pct"/>
                  <w:noWrap w:val="0"/>
                  <w:vAlign w:val="center"/>
                </w:tcPr>
                <w:p w14:paraId="5BECFA4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17AC0F8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10</w:t>
                  </w:r>
                </w:p>
              </w:tc>
              <w:tc>
                <w:tcPr>
                  <w:tcW w:w="232" w:type="pct"/>
                  <w:noWrap w:val="0"/>
                  <w:vAlign w:val="center"/>
                </w:tcPr>
                <w:p w14:paraId="568C4EC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16</w:t>
                  </w:r>
                </w:p>
              </w:tc>
              <w:tc>
                <w:tcPr>
                  <w:tcW w:w="245" w:type="pct"/>
                  <w:noWrap w:val="0"/>
                  <w:vAlign w:val="center"/>
                </w:tcPr>
                <w:p w14:paraId="129A411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51</w:t>
                  </w:r>
                </w:p>
              </w:tc>
              <w:tc>
                <w:tcPr>
                  <w:tcW w:w="258" w:type="pct"/>
                  <w:noWrap w:val="0"/>
                  <w:vAlign w:val="center"/>
                </w:tcPr>
                <w:p w14:paraId="1B73EF5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w:t>
                  </w:r>
                </w:p>
              </w:tc>
              <w:tc>
                <w:tcPr>
                  <w:tcW w:w="242" w:type="pct"/>
                  <w:noWrap w:val="0"/>
                  <w:vAlign w:val="center"/>
                </w:tcPr>
                <w:p w14:paraId="53E4306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65</w:t>
                  </w:r>
                </w:p>
              </w:tc>
              <w:tc>
                <w:tcPr>
                  <w:tcW w:w="255" w:type="pct"/>
                  <w:noWrap w:val="0"/>
                  <w:vAlign w:val="center"/>
                </w:tcPr>
                <w:p w14:paraId="131A631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63</w:t>
                  </w:r>
                </w:p>
              </w:tc>
              <w:tc>
                <w:tcPr>
                  <w:tcW w:w="290" w:type="pct"/>
                  <w:noWrap w:val="0"/>
                  <w:vAlign w:val="center"/>
                </w:tcPr>
                <w:p w14:paraId="6622925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58</w:t>
                  </w:r>
                </w:p>
              </w:tc>
              <w:tc>
                <w:tcPr>
                  <w:tcW w:w="265" w:type="pct"/>
                  <w:noWrap w:val="0"/>
                  <w:vAlign w:val="center"/>
                </w:tcPr>
                <w:p w14:paraId="7E0CC88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72</w:t>
                  </w:r>
                </w:p>
              </w:tc>
            </w:tr>
            <w:tr w14:paraId="1DBD6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5" w:type="pct"/>
                  <w:noWrap w:val="0"/>
                  <w:vAlign w:val="center"/>
                </w:tcPr>
                <w:p w14:paraId="7BDD897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40</w:t>
                  </w:r>
                </w:p>
              </w:tc>
              <w:tc>
                <w:tcPr>
                  <w:tcW w:w="290" w:type="pct"/>
                  <w:vMerge w:val="continue"/>
                  <w:noWrap w:val="0"/>
                  <w:vAlign w:val="center"/>
                </w:tcPr>
                <w:p w14:paraId="6A80C6D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3A3619E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车床1</w:t>
                  </w:r>
                </w:p>
              </w:tc>
              <w:tc>
                <w:tcPr>
                  <w:tcW w:w="430" w:type="pct"/>
                  <w:noWrap w:val="0"/>
                  <w:vAlign w:val="center"/>
                </w:tcPr>
                <w:p w14:paraId="2F9DE7B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26BE3B6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5BC9EC2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775A811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56</w:t>
                  </w:r>
                </w:p>
              </w:tc>
              <w:tc>
                <w:tcPr>
                  <w:tcW w:w="251" w:type="pct"/>
                  <w:noWrap w:val="0"/>
                  <w:vAlign w:val="center"/>
                </w:tcPr>
                <w:p w14:paraId="621F6BA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22</w:t>
                  </w:r>
                </w:p>
              </w:tc>
              <w:tc>
                <w:tcPr>
                  <w:tcW w:w="252" w:type="pct"/>
                  <w:noWrap w:val="0"/>
                  <w:vAlign w:val="center"/>
                </w:tcPr>
                <w:p w14:paraId="0FE7A3B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6DB0083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w:t>
                  </w:r>
                </w:p>
              </w:tc>
              <w:tc>
                <w:tcPr>
                  <w:tcW w:w="232" w:type="pct"/>
                  <w:noWrap w:val="0"/>
                  <w:vAlign w:val="center"/>
                </w:tcPr>
                <w:p w14:paraId="78EAF38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w:t>
                  </w:r>
                </w:p>
              </w:tc>
              <w:tc>
                <w:tcPr>
                  <w:tcW w:w="245" w:type="pct"/>
                  <w:noWrap w:val="0"/>
                  <w:vAlign w:val="center"/>
                </w:tcPr>
                <w:p w14:paraId="0583BA0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56</w:t>
                  </w:r>
                </w:p>
              </w:tc>
              <w:tc>
                <w:tcPr>
                  <w:tcW w:w="258" w:type="pct"/>
                  <w:noWrap w:val="0"/>
                  <w:vAlign w:val="center"/>
                </w:tcPr>
                <w:p w14:paraId="1D02265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w:t>
                  </w:r>
                </w:p>
              </w:tc>
              <w:tc>
                <w:tcPr>
                  <w:tcW w:w="242" w:type="pct"/>
                  <w:noWrap w:val="0"/>
                  <w:vAlign w:val="center"/>
                </w:tcPr>
                <w:p w14:paraId="107ACE7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68</w:t>
                  </w:r>
                </w:p>
              </w:tc>
              <w:tc>
                <w:tcPr>
                  <w:tcW w:w="255" w:type="pct"/>
                  <w:noWrap w:val="0"/>
                  <w:vAlign w:val="center"/>
                </w:tcPr>
                <w:p w14:paraId="0EA7187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65</w:t>
                  </w:r>
                </w:p>
              </w:tc>
              <w:tc>
                <w:tcPr>
                  <w:tcW w:w="290" w:type="pct"/>
                  <w:noWrap w:val="0"/>
                  <w:vAlign w:val="center"/>
                </w:tcPr>
                <w:p w14:paraId="71774AC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58</w:t>
                  </w:r>
                </w:p>
              </w:tc>
              <w:tc>
                <w:tcPr>
                  <w:tcW w:w="265" w:type="pct"/>
                  <w:noWrap w:val="0"/>
                  <w:vAlign w:val="center"/>
                </w:tcPr>
                <w:p w14:paraId="3AAFA47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65</w:t>
                  </w:r>
                </w:p>
              </w:tc>
            </w:tr>
            <w:tr w14:paraId="2023C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5" w:type="pct"/>
                  <w:noWrap w:val="0"/>
                  <w:vAlign w:val="center"/>
                </w:tcPr>
                <w:p w14:paraId="0D2F5AA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41</w:t>
                  </w:r>
                </w:p>
              </w:tc>
              <w:tc>
                <w:tcPr>
                  <w:tcW w:w="290" w:type="pct"/>
                  <w:vMerge w:val="continue"/>
                  <w:noWrap w:val="0"/>
                  <w:vAlign w:val="center"/>
                </w:tcPr>
                <w:p w14:paraId="1E3E3B8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2CEF864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车床2</w:t>
                  </w:r>
                </w:p>
              </w:tc>
              <w:tc>
                <w:tcPr>
                  <w:tcW w:w="430" w:type="pct"/>
                  <w:noWrap w:val="0"/>
                  <w:vAlign w:val="center"/>
                </w:tcPr>
                <w:p w14:paraId="558375B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7A7045E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7F08BDE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41755F8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56</w:t>
                  </w:r>
                </w:p>
              </w:tc>
              <w:tc>
                <w:tcPr>
                  <w:tcW w:w="251" w:type="pct"/>
                  <w:noWrap w:val="0"/>
                  <w:vAlign w:val="center"/>
                </w:tcPr>
                <w:p w14:paraId="0C409F9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24</w:t>
                  </w:r>
                </w:p>
              </w:tc>
              <w:tc>
                <w:tcPr>
                  <w:tcW w:w="252" w:type="pct"/>
                  <w:noWrap w:val="0"/>
                  <w:vAlign w:val="center"/>
                </w:tcPr>
                <w:p w14:paraId="4DE6092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201554C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w:t>
                  </w:r>
                </w:p>
              </w:tc>
              <w:tc>
                <w:tcPr>
                  <w:tcW w:w="232" w:type="pct"/>
                  <w:noWrap w:val="0"/>
                  <w:vAlign w:val="center"/>
                </w:tcPr>
                <w:p w14:paraId="08E2E5B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11</w:t>
                  </w:r>
                </w:p>
              </w:tc>
              <w:tc>
                <w:tcPr>
                  <w:tcW w:w="245" w:type="pct"/>
                  <w:noWrap w:val="0"/>
                  <w:vAlign w:val="center"/>
                </w:tcPr>
                <w:p w14:paraId="63A3CCD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56</w:t>
                  </w:r>
                </w:p>
              </w:tc>
              <w:tc>
                <w:tcPr>
                  <w:tcW w:w="258" w:type="pct"/>
                  <w:noWrap w:val="0"/>
                  <w:vAlign w:val="center"/>
                </w:tcPr>
                <w:p w14:paraId="7B2FB28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w:t>
                  </w:r>
                </w:p>
              </w:tc>
              <w:tc>
                <w:tcPr>
                  <w:tcW w:w="242" w:type="pct"/>
                  <w:noWrap w:val="0"/>
                  <w:vAlign w:val="center"/>
                </w:tcPr>
                <w:p w14:paraId="71CCFE0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68</w:t>
                  </w:r>
                </w:p>
              </w:tc>
              <w:tc>
                <w:tcPr>
                  <w:tcW w:w="255" w:type="pct"/>
                  <w:noWrap w:val="0"/>
                  <w:vAlign w:val="center"/>
                </w:tcPr>
                <w:p w14:paraId="3D6F5B3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65</w:t>
                  </w:r>
                </w:p>
              </w:tc>
              <w:tc>
                <w:tcPr>
                  <w:tcW w:w="290" w:type="pct"/>
                  <w:noWrap w:val="0"/>
                  <w:vAlign w:val="center"/>
                </w:tcPr>
                <w:p w14:paraId="282086D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58</w:t>
                  </w:r>
                </w:p>
              </w:tc>
              <w:tc>
                <w:tcPr>
                  <w:tcW w:w="265" w:type="pct"/>
                  <w:noWrap w:val="0"/>
                  <w:vAlign w:val="center"/>
                </w:tcPr>
                <w:p w14:paraId="3EB360D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r>
            <w:tr w14:paraId="1130C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5" w:type="pct"/>
                  <w:shd w:val="clear" w:color="auto" w:fill="auto"/>
                  <w:noWrap w:val="0"/>
                  <w:vAlign w:val="center"/>
                </w:tcPr>
                <w:p w14:paraId="238A5A04">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42</w:t>
                  </w:r>
                </w:p>
              </w:tc>
              <w:tc>
                <w:tcPr>
                  <w:tcW w:w="290" w:type="pct"/>
                  <w:vMerge w:val="continue"/>
                  <w:noWrap w:val="0"/>
                  <w:vAlign w:val="center"/>
                </w:tcPr>
                <w:p w14:paraId="4CF848E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301B7F9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钻床1</w:t>
                  </w:r>
                </w:p>
              </w:tc>
              <w:tc>
                <w:tcPr>
                  <w:tcW w:w="430" w:type="pct"/>
                  <w:noWrap w:val="0"/>
                  <w:vAlign w:val="center"/>
                </w:tcPr>
                <w:p w14:paraId="6F79977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shd w:val="clear" w:color="auto" w:fill="auto"/>
                  <w:noWrap w:val="0"/>
                  <w:vAlign w:val="center"/>
                </w:tcPr>
                <w:p w14:paraId="7585D186">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0CBAD70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4655730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27</w:t>
                  </w:r>
                </w:p>
              </w:tc>
              <w:tc>
                <w:tcPr>
                  <w:tcW w:w="251" w:type="pct"/>
                  <w:noWrap w:val="0"/>
                  <w:vAlign w:val="center"/>
                </w:tcPr>
                <w:p w14:paraId="277DFA9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27</w:t>
                  </w:r>
                </w:p>
              </w:tc>
              <w:tc>
                <w:tcPr>
                  <w:tcW w:w="252" w:type="pct"/>
                  <w:shd w:val="clear" w:color="auto" w:fill="auto"/>
                  <w:noWrap w:val="0"/>
                  <w:vAlign w:val="center"/>
                </w:tcPr>
                <w:p w14:paraId="5384E603">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3B1ABAA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38</w:t>
                  </w:r>
                </w:p>
              </w:tc>
              <w:tc>
                <w:tcPr>
                  <w:tcW w:w="232" w:type="pct"/>
                  <w:noWrap w:val="0"/>
                  <w:vAlign w:val="center"/>
                </w:tcPr>
                <w:p w14:paraId="07E9E0A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13</w:t>
                  </w:r>
                </w:p>
              </w:tc>
              <w:tc>
                <w:tcPr>
                  <w:tcW w:w="245" w:type="pct"/>
                  <w:noWrap w:val="0"/>
                  <w:vAlign w:val="center"/>
                </w:tcPr>
                <w:p w14:paraId="2224098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23</w:t>
                  </w:r>
                </w:p>
              </w:tc>
              <w:tc>
                <w:tcPr>
                  <w:tcW w:w="258" w:type="pct"/>
                  <w:noWrap w:val="0"/>
                  <w:vAlign w:val="center"/>
                </w:tcPr>
                <w:p w14:paraId="592AC63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w:t>
                  </w:r>
                </w:p>
              </w:tc>
              <w:tc>
                <w:tcPr>
                  <w:tcW w:w="242" w:type="pct"/>
                  <w:noWrap w:val="0"/>
                  <w:vAlign w:val="center"/>
                </w:tcPr>
                <w:p w14:paraId="1F26F4C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64</w:t>
                  </w:r>
                </w:p>
              </w:tc>
              <w:tc>
                <w:tcPr>
                  <w:tcW w:w="255" w:type="pct"/>
                  <w:noWrap w:val="0"/>
                  <w:vAlign w:val="center"/>
                </w:tcPr>
                <w:p w14:paraId="6B5E086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69</w:t>
                  </w:r>
                </w:p>
              </w:tc>
              <w:tc>
                <w:tcPr>
                  <w:tcW w:w="290" w:type="pct"/>
                  <w:noWrap w:val="0"/>
                  <w:vAlign w:val="center"/>
                </w:tcPr>
                <w:p w14:paraId="056E896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66</w:t>
                  </w:r>
                </w:p>
              </w:tc>
              <w:tc>
                <w:tcPr>
                  <w:tcW w:w="265" w:type="pct"/>
                  <w:noWrap w:val="0"/>
                  <w:vAlign w:val="center"/>
                </w:tcPr>
                <w:p w14:paraId="1A8A3E7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73</w:t>
                  </w:r>
                </w:p>
              </w:tc>
            </w:tr>
            <w:tr w14:paraId="65FCB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5" w:type="pct"/>
                  <w:shd w:val="clear" w:color="auto" w:fill="auto"/>
                  <w:noWrap w:val="0"/>
                  <w:vAlign w:val="center"/>
                </w:tcPr>
                <w:p w14:paraId="7E26DC37">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43</w:t>
                  </w:r>
                </w:p>
              </w:tc>
              <w:tc>
                <w:tcPr>
                  <w:tcW w:w="290" w:type="pct"/>
                  <w:vMerge w:val="continue"/>
                  <w:noWrap w:val="0"/>
                  <w:vAlign w:val="center"/>
                </w:tcPr>
                <w:p w14:paraId="506D6AE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2222D1A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钻床2</w:t>
                  </w:r>
                </w:p>
              </w:tc>
              <w:tc>
                <w:tcPr>
                  <w:tcW w:w="430" w:type="pct"/>
                  <w:noWrap w:val="0"/>
                  <w:vAlign w:val="center"/>
                </w:tcPr>
                <w:p w14:paraId="20010CD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shd w:val="clear" w:color="auto" w:fill="auto"/>
                  <w:noWrap w:val="0"/>
                  <w:vAlign w:val="center"/>
                </w:tcPr>
                <w:p w14:paraId="4DBAE0DD">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210BA5A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3C47F71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29</w:t>
                  </w:r>
                </w:p>
              </w:tc>
              <w:tc>
                <w:tcPr>
                  <w:tcW w:w="251" w:type="pct"/>
                  <w:noWrap w:val="0"/>
                  <w:vAlign w:val="center"/>
                </w:tcPr>
                <w:p w14:paraId="79EF2B0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27</w:t>
                  </w:r>
                </w:p>
              </w:tc>
              <w:tc>
                <w:tcPr>
                  <w:tcW w:w="252" w:type="pct"/>
                  <w:shd w:val="clear" w:color="auto" w:fill="auto"/>
                  <w:noWrap w:val="0"/>
                  <w:vAlign w:val="center"/>
                </w:tcPr>
                <w:p w14:paraId="0AF13DAA">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2D5CFB0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36</w:t>
                  </w:r>
                </w:p>
              </w:tc>
              <w:tc>
                <w:tcPr>
                  <w:tcW w:w="232" w:type="pct"/>
                  <w:noWrap w:val="0"/>
                  <w:vAlign w:val="center"/>
                </w:tcPr>
                <w:p w14:paraId="7D12BAF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13</w:t>
                  </w:r>
                </w:p>
              </w:tc>
              <w:tc>
                <w:tcPr>
                  <w:tcW w:w="245" w:type="pct"/>
                  <w:noWrap w:val="0"/>
                  <w:vAlign w:val="center"/>
                </w:tcPr>
                <w:p w14:paraId="4D33C0A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25</w:t>
                  </w:r>
                </w:p>
              </w:tc>
              <w:tc>
                <w:tcPr>
                  <w:tcW w:w="258" w:type="pct"/>
                  <w:noWrap w:val="0"/>
                  <w:vAlign w:val="center"/>
                </w:tcPr>
                <w:p w14:paraId="52CE673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w:t>
                  </w:r>
                </w:p>
              </w:tc>
              <w:tc>
                <w:tcPr>
                  <w:tcW w:w="242" w:type="pct"/>
                  <w:noWrap w:val="0"/>
                  <w:vAlign w:val="center"/>
                </w:tcPr>
                <w:p w14:paraId="1B36E0B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64</w:t>
                  </w:r>
                </w:p>
              </w:tc>
              <w:tc>
                <w:tcPr>
                  <w:tcW w:w="255" w:type="pct"/>
                  <w:noWrap w:val="0"/>
                  <w:vAlign w:val="center"/>
                </w:tcPr>
                <w:p w14:paraId="2A6A540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69</w:t>
                  </w:r>
                </w:p>
              </w:tc>
              <w:tc>
                <w:tcPr>
                  <w:tcW w:w="290" w:type="pct"/>
                  <w:noWrap w:val="0"/>
                  <w:vAlign w:val="center"/>
                </w:tcPr>
                <w:p w14:paraId="7039604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66</w:t>
                  </w:r>
                </w:p>
              </w:tc>
              <w:tc>
                <w:tcPr>
                  <w:tcW w:w="265" w:type="pct"/>
                  <w:noWrap w:val="0"/>
                  <w:vAlign w:val="center"/>
                </w:tcPr>
                <w:p w14:paraId="6B6EB9B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73</w:t>
                  </w:r>
                </w:p>
              </w:tc>
            </w:tr>
            <w:tr w14:paraId="71822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5" w:type="pct"/>
                  <w:shd w:val="clear" w:color="auto" w:fill="auto"/>
                  <w:noWrap w:val="0"/>
                  <w:vAlign w:val="center"/>
                </w:tcPr>
                <w:p w14:paraId="5552620C">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44</w:t>
                  </w:r>
                </w:p>
              </w:tc>
              <w:tc>
                <w:tcPr>
                  <w:tcW w:w="290" w:type="pct"/>
                  <w:vMerge w:val="continue"/>
                  <w:noWrap w:val="0"/>
                  <w:vAlign w:val="center"/>
                </w:tcPr>
                <w:p w14:paraId="0D88BE6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03AAEA8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内外圆磨床1</w:t>
                  </w:r>
                </w:p>
              </w:tc>
              <w:tc>
                <w:tcPr>
                  <w:tcW w:w="430" w:type="pct"/>
                  <w:noWrap w:val="0"/>
                  <w:vAlign w:val="center"/>
                </w:tcPr>
                <w:p w14:paraId="48B7B77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67DB55B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347E446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3CD961B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28</w:t>
                  </w:r>
                </w:p>
              </w:tc>
              <w:tc>
                <w:tcPr>
                  <w:tcW w:w="251" w:type="pct"/>
                  <w:noWrap w:val="0"/>
                  <w:vAlign w:val="center"/>
                </w:tcPr>
                <w:p w14:paraId="5A7ED8A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25</w:t>
                  </w:r>
                </w:p>
              </w:tc>
              <w:tc>
                <w:tcPr>
                  <w:tcW w:w="252" w:type="pct"/>
                  <w:noWrap w:val="0"/>
                  <w:vAlign w:val="center"/>
                </w:tcPr>
                <w:p w14:paraId="0D4CE12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15FEA52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37</w:t>
                  </w:r>
                </w:p>
              </w:tc>
              <w:tc>
                <w:tcPr>
                  <w:tcW w:w="232" w:type="pct"/>
                  <w:noWrap w:val="0"/>
                  <w:vAlign w:val="center"/>
                </w:tcPr>
                <w:p w14:paraId="61BF073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12</w:t>
                  </w:r>
                </w:p>
              </w:tc>
              <w:tc>
                <w:tcPr>
                  <w:tcW w:w="245" w:type="pct"/>
                  <w:noWrap w:val="0"/>
                  <w:vAlign w:val="center"/>
                </w:tcPr>
                <w:p w14:paraId="209597D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24</w:t>
                  </w:r>
                </w:p>
              </w:tc>
              <w:tc>
                <w:tcPr>
                  <w:tcW w:w="258" w:type="pct"/>
                  <w:noWrap w:val="0"/>
                  <w:vAlign w:val="center"/>
                </w:tcPr>
                <w:p w14:paraId="7B8A9CA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w:t>
                  </w:r>
                </w:p>
              </w:tc>
              <w:tc>
                <w:tcPr>
                  <w:tcW w:w="242" w:type="pct"/>
                  <w:noWrap w:val="0"/>
                  <w:vAlign w:val="center"/>
                </w:tcPr>
                <w:p w14:paraId="377C1C8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64</w:t>
                  </w:r>
                </w:p>
              </w:tc>
              <w:tc>
                <w:tcPr>
                  <w:tcW w:w="255" w:type="pct"/>
                  <w:noWrap w:val="0"/>
                  <w:vAlign w:val="center"/>
                </w:tcPr>
                <w:p w14:paraId="5C0DF57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69</w:t>
                  </w:r>
                </w:p>
              </w:tc>
              <w:tc>
                <w:tcPr>
                  <w:tcW w:w="290" w:type="pct"/>
                  <w:noWrap w:val="0"/>
                  <w:vAlign w:val="center"/>
                </w:tcPr>
                <w:p w14:paraId="23E3D8A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66</w:t>
                  </w:r>
                </w:p>
              </w:tc>
              <w:tc>
                <w:tcPr>
                  <w:tcW w:w="265" w:type="pct"/>
                  <w:noWrap w:val="0"/>
                  <w:vAlign w:val="center"/>
                </w:tcPr>
                <w:p w14:paraId="760D7FD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72</w:t>
                  </w:r>
                </w:p>
              </w:tc>
            </w:tr>
            <w:tr w14:paraId="7E531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5" w:type="pct"/>
                  <w:shd w:val="clear" w:color="auto" w:fill="auto"/>
                  <w:noWrap w:val="0"/>
                  <w:vAlign w:val="center"/>
                </w:tcPr>
                <w:p w14:paraId="78D631F9">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45</w:t>
                  </w:r>
                </w:p>
              </w:tc>
              <w:tc>
                <w:tcPr>
                  <w:tcW w:w="290" w:type="pct"/>
                  <w:vMerge w:val="continue"/>
                  <w:noWrap w:val="0"/>
                  <w:vAlign w:val="center"/>
                </w:tcPr>
                <w:p w14:paraId="57A89AF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187A674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内外圆磨床2</w:t>
                  </w:r>
                </w:p>
              </w:tc>
              <w:tc>
                <w:tcPr>
                  <w:tcW w:w="430" w:type="pct"/>
                  <w:noWrap w:val="0"/>
                  <w:vAlign w:val="center"/>
                </w:tcPr>
                <w:p w14:paraId="2F65B9D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6B2FDCC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59C6372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07D0CAC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29</w:t>
                  </w:r>
                </w:p>
              </w:tc>
              <w:tc>
                <w:tcPr>
                  <w:tcW w:w="251" w:type="pct"/>
                  <w:noWrap w:val="0"/>
                  <w:vAlign w:val="center"/>
                </w:tcPr>
                <w:p w14:paraId="4A78C21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25</w:t>
                  </w:r>
                </w:p>
              </w:tc>
              <w:tc>
                <w:tcPr>
                  <w:tcW w:w="252" w:type="pct"/>
                  <w:noWrap w:val="0"/>
                  <w:vAlign w:val="center"/>
                </w:tcPr>
                <w:p w14:paraId="4D6ADA9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23D7F68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36</w:t>
                  </w:r>
                </w:p>
              </w:tc>
              <w:tc>
                <w:tcPr>
                  <w:tcW w:w="232" w:type="pct"/>
                  <w:noWrap w:val="0"/>
                  <w:vAlign w:val="center"/>
                </w:tcPr>
                <w:p w14:paraId="6B8E4DE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12</w:t>
                  </w:r>
                </w:p>
              </w:tc>
              <w:tc>
                <w:tcPr>
                  <w:tcW w:w="245" w:type="pct"/>
                  <w:noWrap w:val="0"/>
                  <w:vAlign w:val="center"/>
                </w:tcPr>
                <w:p w14:paraId="727A2EC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25</w:t>
                  </w:r>
                </w:p>
              </w:tc>
              <w:tc>
                <w:tcPr>
                  <w:tcW w:w="258" w:type="pct"/>
                  <w:noWrap w:val="0"/>
                  <w:vAlign w:val="center"/>
                </w:tcPr>
                <w:p w14:paraId="5841833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w:t>
                  </w:r>
                </w:p>
              </w:tc>
              <w:tc>
                <w:tcPr>
                  <w:tcW w:w="242" w:type="pct"/>
                  <w:noWrap w:val="0"/>
                  <w:vAlign w:val="center"/>
                </w:tcPr>
                <w:p w14:paraId="14C125D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64</w:t>
                  </w:r>
                </w:p>
              </w:tc>
              <w:tc>
                <w:tcPr>
                  <w:tcW w:w="255" w:type="pct"/>
                  <w:noWrap w:val="0"/>
                  <w:vAlign w:val="center"/>
                </w:tcPr>
                <w:p w14:paraId="6A51B17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69</w:t>
                  </w:r>
                </w:p>
              </w:tc>
              <w:tc>
                <w:tcPr>
                  <w:tcW w:w="290" w:type="pct"/>
                  <w:noWrap w:val="0"/>
                  <w:vAlign w:val="center"/>
                </w:tcPr>
                <w:p w14:paraId="2FB6439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66</w:t>
                  </w:r>
                </w:p>
              </w:tc>
              <w:tc>
                <w:tcPr>
                  <w:tcW w:w="265" w:type="pct"/>
                  <w:noWrap w:val="0"/>
                  <w:vAlign w:val="center"/>
                </w:tcPr>
                <w:p w14:paraId="3DB9E33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72</w:t>
                  </w:r>
                </w:p>
              </w:tc>
            </w:tr>
            <w:tr w14:paraId="4F2F5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5" w:type="pct"/>
                  <w:shd w:val="clear" w:color="auto" w:fill="auto"/>
                  <w:noWrap w:val="0"/>
                  <w:vAlign w:val="center"/>
                </w:tcPr>
                <w:p w14:paraId="51214BB9">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46</w:t>
                  </w:r>
                </w:p>
              </w:tc>
              <w:tc>
                <w:tcPr>
                  <w:tcW w:w="290" w:type="pct"/>
                  <w:vMerge w:val="continue"/>
                  <w:noWrap w:val="0"/>
                  <w:vAlign w:val="center"/>
                </w:tcPr>
                <w:p w14:paraId="1D8B25C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3DE9546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数控铣床1</w:t>
                  </w:r>
                </w:p>
              </w:tc>
              <w:tc>
                <w:tcPr>
                  <w:tcW w:w="430" w:type="pct"/>
                  <w:shd w:val="clear" w:color="auto" w:fill="auto"/>
                  <w:noWrap w:val="0"/>
                  <w:vAlign w:val="center"/>
                </w:tcPr>
                <w:p w14:paraId="230D30A1">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1AC79A7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04573E9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379D4D1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57</w:t>
                  </w:r>
                </w:p>
              </w:tc>
              <w:tc>
                <w:tcPr>
                  <w:tcW w:w="251" w:type="pct"/>
                  <w:noWrap w:val="0"/>
                  <w:vAlign w:val="center"/>
                </w:tcPr>
                <w:p w14:paraId="231F94D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19</w:t>
                  </w:r>
                </w:p>
              </w:tc>
              <w:tc>
                <w:tcPr>
                  <w:tcW w:w="252" w:type="pct"/>
                  <w:shd w:val="clear" w:color="auto" w:fill="auto"/>
                  <w:noWrap w:val="0"/>
                  <w:vAlign w:val="center"/>
                </w:tcPr>
                <w:p w14:paraId="2B19CDF5">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6E0796B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w:t>
                  </w:r>
                </w:p>
              </w:tc>
              <w:tc>
                <w:tcPr>
                  <w:tcW w:w="232" w:type="pct"/>
                  <w:noWrap w:val="0"/>
                  <w:vAlign w:val="center"/>
                </w:tcPr>
                <w:p w14:paraId="44C02BD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12</w:t>
                  </w:r>
                </w:p>
              </w:tc>
              <w:tc>
                <w:tcPr>
                  <w:tcW w:w="245" w:type="pct"/>
                  <w:noWrap w:val="0"/>
                  <w:vAlign w:val="center"/>
                </w:tcPr>
                <w:p w14:paraId="2136C25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57</w:t>
                  </w:r>
                </w:p>
              </w:tc>
              <w:tc>
                <w:tcPr>
                  <w:tcW w:w="258" w:type="pct"/>
                  <w:noWrap w:val="0"/>
                  <w:vAlign w:val="center"/>
                </w:tcPr>
                <w:p w14:paraId="08CA6BE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w:t>
                  </w:r>
                </w:p>
              </w:tc>
              <w:tc>
                <w:tcPr>
                  <w:tcW w:w="242" w:type="pct"/>
                  <w:noWrap w:val="0"/>
                  <w:vAlign w:val="center"/>
                </w:tcPr>
                <w:p w14:paraId="0D55BB1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69</w:t>
                  </w:r>
                </w:p>
              </w:tc>
              <w:tc>
                <w:tcPr>
                  <w:tcW w:w="255" w:type="pct"/>
                  <w:noWrap w:val="0"/>
                  <w:vAlign w:val="center"/>
                </w:tcPr>
                <w:p w14:paraId="6545D83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64</w:t>
                  </w:r>
                </w:p>
              </w:tc>
              <w:tc>
                <w:tcPr>
                  <w:tcW w:w="290" w:type="pct"/>
                  <w:noWrap w:val="0"/>
                  <w:vAlign w:val="center"/>
                </w:tcPr>
                <w:p w14:paraId="3108F44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57</w:t>
                  </w:r>
                </w:p>
              </w:tc>
              <w:tc>
                <w:tcPr>
                  <w:tcW w:w="265" w:type="pct"/>
                  <w:noWrap w:val="0"/>
                  <w:vAlign w:val="center"/>
                </w:tcPr>
                <w:p w14:paraId="0DF8DC5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67</w:t>
                  </w:r>
                </w:p>
              </w:tc>
            </w:tr>
            <w:tr w14:paraId="36A8F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5" w:type="pct"/>
                  <w:noWrap w:val="0"/>
                  <w:vAlign w:val="center"/>
                </w:tcPr>
                <w:p w14:paraId="722F866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47</w:t>
                  </w:r>
                </w:p>
              </w:tc>
              <w:tc>
                <w:tcPr>
                  <w:tcW w:w="290" w:type="pct"/>
                  <w:vMerge w:val="continue"/>
                  <w:noWrap w:val="0"/>
                  <w:vAlign w:val="center"/>
                </w:tcPr>
                <w:p w14:paraId="783067C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4EAA885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数控铣床2</w:t>
                  </w:r>
                </w:p>
              </w:tc>
              <w:tc>
                <w:tcPr>
                  <w:tcW w:w="430" w:type="pct"/>
                  <w:shd w:val="clear" w:color="auto" w:fill="auto"/>
                  <w:noWrap w:val="0"/>
                  <w:vAlign w:val="center"/>
                </w:tcPr>
                <w:p w14:paraId="63E65BC7">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5E68233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449413F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3CBD2FB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57</w:t>
                  </w:r>
                </w:p>
              </w:tc>
              <w:tc>
                <w:tcPr>
                  <w:tcW w:w="251" w:type="pct"/>
                  <w:noWrap w:val="0"/>
                  <w:vAlign w:val="center"/>
                </w:tcPr>
                <w:p w14:paraId="631F0A7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20</w:t>
                  </w:r>
                </w:p>
              </w:tc>
              <w:tc>
                <w:tcPr>
                  <w:tcW w:w="252" w:type="pct"/>
                  <w:shd w:val="clear" w:color="auto" w:fill="auto"/>
                  <w:noWrap w:val="0"/>
                  <w:vAlign w:val="center"/>
                </w:tcPr>
                <w:p w14:paraId="1FB5C77D">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17FE925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w:t>
                  </w:r>
                </w:p>
              </w:tc>
              <w:tc>
                <w:tcPr>
                  <w:tcW w:w="232" w:type="pct"/>
                  <w:noWrap w:val="0"/>
                  <w:vAlign w:val="center"/>
                </w:tcPr>
                <w:p w14:paraId="31B0DE7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13</w:t>
                  </w:r>
                </w:p>
              </w:tc>
              <w:tc>
                <w:tcPr>
                  <w:tcW w:w="245" w:type="pct"/>
                  <w:noWrap w:val="0"/>
                  <w:vAlign w:val="center"/>
                </w:tcPr>
                <w:p w14:paraId="140C1EA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57</w:t>
                  </w:r>
                </w:p>
              </w:tc>
              <w:tc>
                <w:tcPr>
                  <w:tcW w:w="258" w:type="pct"/>
                  <w:noWrap w:val="0"/>
                  <w:vAlign w:val="center"/>
                </w:tcPr>
                <w:p w14:paraId="0BEB0C8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w:t>
                  </w:r>
                </w:p>
              </w:tc>
              <w:tc>
                <w:tcPr>
                  <w:tcW w:w="242" w:type="pct"/>
                  <w:noWrap w:val="0"/>
                  <w:vAlign w:val="center"/>
                </w:tcPr>
                <w:p w14:paraId="3AFDC62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69</w:t>
                  </w:r>
                </w:p>
              </w:tc>
              <w:tc>
                <w:tcPr>
                  <w:tcW w:w="255" w:type="pct"/>
                  <w:noWrap w:val="0"/>
                  <w:vAlign w:val="center"/>
                </w:tcPr>
                <w:p w14:paraId="5909F23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64</w:t>
                  </w:r>
                </w:p>
              </w:tc>
              <w:tc>
                <w:tcPr>
                  <w:tcW w:w="290" w:type="pct"/>
                  <w:noWrap w:val="0"/>
                  <w:vAlign w:val="center"/>
                </w:tcPr>
                <w:p w14:paraId="544039B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57</w:t>
                  </w:r>
                </w:p>
              </w:tc>
              <w:tc>
                <w:tcPr>
                  <w:tcW w:w="265" w:type="pct"/>
                  <w:noWrap w:val="0"/>
                  <w:vAlign w:val="center"/>
                </w:tcPr>
                <w:p w14:paraId="4F2B7FA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68</w:t>
                  </w:r>
                </w:p>
              </w:tc>
            </w:tr>
            <w:tr w14:paraId="4C851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5" w:type="pct"/>
                  <w:noWrap w:val="0"/>
                  <w:vAlign w:val="center"/>
                </w:tcPr>
                <w:p w14:paraId="6A2F1CD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48</w:t>
                  </w:r>
                </w:p>
              </w:tc>
              <w:tc>
                <w:tcPr>
                  <w:tcW w:w="290" w:type="pct"/>
                  <w:vMerge w:val="continue"/>
                  <w:noWrap w:val="0"/>
                  <w:vAlign w:val="center"/>
                </w:tcPr>
                <w:p w14:paraId="5C727E7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12FD540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数控铣床3</w:t>
                  </w:r>
                </w:p>
              </w:tc>
              <w:tc>
                <w:tcPr>
                  <w:tcW w:w="430" w:type="pct"/>
                  <w:shd w:val="clear" w:color="auto" w:fill="auto"/>
                  <w:noWrap w:val="0"/>
                  <w:vAlign w:val="center"/>
                </w:tcPr>
                <w:p w14:paraId="2D67E455">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7BD906D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381" w:type="pct"/>
                  <w:vMerge w:val="continue"/>
                  <w:noWrap w:val="0"/>
                  <w:vAlign w:val="center"/>
                </w:tcPr>
                <w:p w14:paraId="23F65FF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022B707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57</w:t>
                  </w:r>
                </w:p>
              </w:tc>
              <w:tc>
                <w:tcPr>
                  <w:tcW w:w="251" w:type="pct"/>
                  <w:noWrap w:val="0"/>
                  <w:vAlign w:val="center"/>
                </w:tcPr>
                <w:p w14:paraId="1C4D305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21</w:t>
                  </w:r>
                </w:p>
              </w:tc>
              <w:tc>
                <w:tcPr>
                  <w:tcW w:w="252" w:type="pct"/>
                  <w:noWrap w:val="0"/>
                  <w:vAlign w:val="center"/>
                </w:tcPr>
                <w:p w14:paraId="51398228">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1294D50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w:t>
                  </w:r>
                </w:p>
              </w:tc>
              <w:tc>
                <w:tcPr>
                  <w:tcW w:w="232" w:type="pct"/>
                  <w:noWrap w:val="0"/>
                  <w:vAlign w:val="center"/>
                </w:tcPr>
                <w:p w14:paraId="32EEC8D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14</w:t>
                  </w:r>
                </w:p>
              </w:tc>
              <w:tc>
                <w:tcPr>
                  <w:tcW w:w="245" w:type="pct"/>
                  <w:noWrap w:val="0"/>
                  <w:vAlign w:val="center"/>
                </w:tcPr>
                <w:p w14:paraId="7763976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57</w:t>
                  </w:r>
                </w:p>
              </w:tc>
              <w:tc>
                <w:tcPr>
                  <w:tcW w:w="258" w:type="pct"/>
                  <w:noWrap w:val="0"/>
                  <w:vAlign w:val="center"/>
                </w:tcPr>
                <w:p w14:paraId="4F76D81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w:t>
                  </w:r>
                </w:p>
              </w:tc>
              <w:tc>
                <w:tcPr>
                  <w:tcW w:w="242" w:type="pct"/>
                  <w:noWrap w:val="0"/>
                  <w:vAlign w:val="center"/>
                </w:tcPr>
                <w:p w14:paraId="60F6C01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69</w:t>
                  </w:r>
                </w:p>
              </w:tc>
              <w:tc>
                <w:tcPr>
                  <w:tcW w:w="255" w:type="pct"/>
                  <w:noWrap w:val="0"/>
                  <w:vAlign w:val="center"/>
                </w:tcPr>
                <w:p w14:paraId="3A4E272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64</w:t>
                  </w:r>
                </w:p>
              </w:tc>
              <w:tc>
                <w:tcPr>
                  <w:tcW w:w="290" w:type="pct"/>
                  <w:noWrap w:val="0"/>
                  <w:vAlign w:val="center"/>
                </w:tcPr>
                <w:p w14:paraId="264F3BE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57</w:t>
                  </w:r>
                </w:p>
              </w:tc>
              <w:tc>
                <w:tcPr>
                  <w:tcW w:w="265" w:type="pct"/>
                  <w:noWrap w:val="0"/>
                  <w:vAlign w:val="center"/>
                </w:tcPr>
                <w:p w14:paraId="56A5397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69</w:t>
                  </w:r>
                </w:p>
              </w:tc>
            </w:tr>
            <w:tr w14:paraId="619D1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5" w:type="pct"/>
                  <w:noWrap w:val="0"/>
                  <w:vAlign w:val="center"/>
                </w:tcPr>
                <w:p w14:paraId="0FA331B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49</w:t>
                  </w:r>
                </w:p>
              </w:tc>
              <w:tc>
                <w:tcPr>
                  <w:tcW w:w="290" w:type="pct"/>
                  <w:vMerge w:val="restart"/>
                  <w:noWrap w:val="0"/>
                  <w:vAlign w:val="center"/>
                </w:tcPr>
                <w:p w14:paraId="6CBED05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生产车间</w:t>
                  </w:r>
                </w:p>
              </w:tc>
              <w:tc>
                <w:tcPr>
                  <w:tcW w:w="524" w:type="pct"/>
                  <w:noWrap w:val="0"/>
                  <w:vAlign w:val="center"/>
                </w:tcPr>
                <w:p w14:paraId="235E1A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吊钩抛丸机</w:t>
                  </w:r>
                </w:p>
              </w:tc>
              <w:tc>
                <w:tcPr>
                  <w:tcW w:w="430" w:type="pct"/>
                  <w:shd w:val="clear" w:color="auto" w:fill="auto"/>
                  <w:noWrap w:val="0"/>
                  <w:vAlign w:val="center"/>
                </w:tcPr>
                <w:p w14:paraId="75C3909B">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3DBBE22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restart"/>
                  <w:noWrap w:val="0"/>
                  <w:vAlign w:val="center"/>
                </w:tcPr>
                <w:p w14:paraId="04AD533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基础减振合理布局科学管理厂房隔声</w:t>
                  </w:r>
                </w:p>
              </w:tc>
              <w:tc>
                <w:tcPr>
                  <w:tcW w:w="238" w:type="pct"/>
                  <w:noWrap w:val="0"/>
                  <w:vAlign w:val="center"/>
                </w:tcPr>
                <w:p w14:paraId="34E69CA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w:t>
                  </w:r>
                </w:p>
              </w:tc>
              <w:tc>
                <w:tcPr>
                  <w:tcW w:w="251" w:type="pct"/>
                  <w:noWrap w:val="0"/>
                  <w:vAlign w:val="center"/>
                </w:tcPr>
                <w:p w14:paraId="03A83F4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w:t>
                  </w:r>
                </w:p>
              </w:tc>
              <w:tc>
                <w:tcPr>
                  <w:tcW w:w="252" w:type="pct"/>
                  <w:noWrap w:val="0"/>
                  <w:vAlign w:val="center"/>
                </w:tcPr>
                <w:p w14:paraId="65A391B6">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1427990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9</w:t>
                  </w:r>
                </w:p>
              </w:tc>
              <w:tc>
                <w:tcPr>
                  <w:tcW w:w="232" w:type="pct"/>
                  <w:noWrap w:val="0"/>
                  <w:vAlign w:val="center"/>
                </w:tcPr>
                <w:p w14:paraId="46268B20">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c>
                <w:tcPr>
                  <w:tcW w:w="245" w:type="pct"/>
                  <w:noWrap w:val="0"/>
                  <w:vAlign w:val="center"/>
                </w:tcPr>
                <w:p w14:paraId="41670C9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c>
                <w:tcPr>
                  <w:tcW w:w="258" w:type="pct"/>
                  <w:noWrap w:val="0"/>
                  <w:vAlign w:val="center"/>
                </w:tcPr>
                <w:p w14:paraId="162FD47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c>
                <w:tcPr>
                  <w:tcW w:w="242" w:type="pct"/>
                  <w:noWrap w:val="0"/>
                  <w:vAlign w:val="center"/>
                </w:tcPr>
                <w:p w14:paraId="405EA8D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70</w:t>
                  </w:r>
                </w:p>
              </w:tc>
              <w:tc>
                <w:tcPr>
                  <w:tcW w:w="255" w:type="pct"/>
                  <w:noWrap w:val="0"/>
                  <w:vAlign w:val="center"/>
                </w:tcPr>
                <w:p w14:paraId="55DC3A6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290" w:type="pct"/>
                  <w:noWrap w:val="0"/>
                  <w:vAlign w:val="center"/>
                </w:tcPr>
                <w:p w14:paraId="3BC50DB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265" w:type="pct"/>
                  <w:noWrap w:val="0"/>
                  <w:vAlign w:val="center"/>
                </w:tcPr>
                <w:p w14:paraId="5558EF3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r>
            <w:tr w14:paraId="66471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5" w:type="pct"/>
                  <w:noWrap w:val="0"/>
                  <w:vAlign w:val="center"/>
                </w:tcPr>
                <w:p w14:paraId="6B779AF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50</w:t>
                  </w:r>
                </w:p>
              </w:tc>
              <w:tc>
                <w:tcPr>
                  <w:tcW w:w="290" w:type="pct"/>
                  <w:vMerge w:val="continue"/>
                  <w:noWrap w:val="0"/>
                  <w:vAlign w:val="center"/>
                </w:tcPr>
                <w:p w14:paraId="16C27C2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524" w:type="pct"/>
                  <w:noWrap w:val="0"/>
                  <w:vAlign w:val="center"/>
                </w:tcPr>
                <w:p w14:paraId="26867A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履带式抛丸机</w:t>
                  </w:r>
                </w:p>
              </w:tc>
              <w:tc>
                <w:tcPr>
                  <w:tcW w:w="430" w:type="pct"/>
                  <w:noWrap w:val="0"/>
                  <w:vAlign w:val="center"/>
                </w:tcPr>
                <w:p w14:paraId="230DE72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w:t>
                  </w:r>
                </w:p>
              </w:tc>
              <w:tc>
                <w:tcPr>
                  <w:tcW w:w="370" w:type="pct"/>
                  <w:noWrap w:val="0"/>
                  <w:vAlign w:val="center"/>
                </w:tcPr>
                <w:p w14:paraId="75F68B7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80</w:t>
                  </w:r>
                </w:p>
              </w:tc>
              <w:tc>
                <w:tcPr>
                  <w:tcW w:w="381" w:type="pct"/>
                  <w:vMerge w:val="continue"/>
                  <w:noWrap w:val="0"/>
                  <w:vAlign w:val="center"/>
                </w:tcPr>
                <w:p w14:paraId="4991A80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p>
              </w:tc>
              <w:tc>
                <w:tcPr>
                  <w:tcW w:w="238" w:type="pct"/>
                  <w:noWrap w:val="0"/>
                  <w:vAlign w:val="center"/>
                </w:tcPr>
                <w:p w14:paraId="35D3DA7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11</w:t>
                  </w:r>
                </w:p>
              </w:tc>
              <w:tc>
                <w:tcPr>
                  <w:tcW w:w="251" w:type="pct"/>
                  <w:noWrap w:val="0"/>
                  <w:vAlign w:val="center"/>
                </w:tcPr>
                <w:p w14:paraId="6D6D2D8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6</w:t>
                  </w:r>
                </w:p>
              </w:tc>
              <w:tc>
                <w:tcPr>
                  <w:tcW w:w="252" w:type="pct"/>
                  <w:noWrap w:val="0"/>
                  <w:vAlign w:val="center"/>
                </w:tcPr>
                <w:p w14:paraId="0045380F">
                  <w:pPr>
                    <w:pStyle w:val="326"/>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1</w:t>
                  </w:r>
                </w:p>
              </w:tc>
              <w:tc>
                <w:tcPr>
                  <w:tcW w:w="269" w:type="pct"/>
                  <w:noWrap w:val="0"/>
                  <w:vAlign w:val="center"/>
                </w:tcPr>
                <w:p w14:paraId="30D919F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w:t>
                  </w:r>
                </w:p>
              </w:tc>
              <w:tc>
                <w:tcPr>
                  <w:tcW w:w="232" w:type="pct"/>
                  <w:noWrap w:val="0"/>
                  <w:vAlign w:val="center"/>
                </w:tcPr>
                <w:p w14:paraId="63F4365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c>
                <w:tcPr>
                  <w:tcW w:w="245" w:type="pct"/>
                  <w:noWrap w:val="0"/>
                  <w:vAlign w:val="center"/>
                </w:tcPr>
                <w:p w14:paraId="48AAE8F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5</w:t>
                  </w:r>
                </w:p>
              </w:tc>
              <w:tc>
                <w:tcPr>
                  <w:tcW w:w="258" w:type="pct"/>
                  <w:noWrap w:val="0"/>
                  <w:vAlign w:val="center"/>
                </w:tcPr>
                <w:p w14:paraId="36F6E1E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3</w:t>
                  </w:r>
                </w:p>
              </w:tc>
              <w:tc>
                <w:tcPr>
                  <w:tcW w:w="242" w:type="pct"/>
                  <w:noWrap w:val="0"/>
                  <w:vAlign w:val="center"/>
                </w:tcPr>
                <w:p w14:paraId="3EF34B3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72</w:t>
                  </w:r>
                </w:p>
              </w:tc>
              <w:tc>
                <w:tcPr>
                  <w:tcW w:w="255" w:type="pct"/>
                  <w:noWrap w:val="0"/>
                  <w:vAlign w:val="center"/>
                </w:tcPr>
                <w:p w14:paraId="02BF2C2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c>
                <w:tcPr>
                  <w:tcW w:w="290" w:type="pct"/>
                  <w:noWrap w:val="0"/>
                  <w:vAlign w:val="center"/>
                </w:tcPr>
                <w:p w14:paraId="06A3CE3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73</w:t>
                  </w:r>
                </w:p>
              </w:tc>
              <w:tc>
                <w:tcPr>
                  <w:tcW w:w="265" w:type="pct"/>
                  <w:noWrap w:val="0"/>
                  <w:vAlign w:val="center"/>
                </w:tcPr>
                <w:p w14:paraId="439E212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position w:val="0"/>
                      <w:sz w:val="21"/>
                      <w:szCs w:val="21"/>
                      <w:lang w:val="en-US" w:eastAsia="zh-CN"/>
                    </w:rPr>
                    <w:t>75</w:t>
                  </w:r>
                </w:p>
              </w:tc>
            </w:tr>
          </w:tbl>
          <w:p w14:paraId="5FEA28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both"/>
              <w:textAlignment w:val="auto"/>
              <w:rPr>
                <w:rFonts w:hint="default" w:ascii="Times New Roman" w:hAnsi="Times New Roman" w:eastAsia="宋体" w:cs="Times New Roman"/>
                <w:b/>
                <w:color w:val="auto"/>
                <w:spacing w:val="0"/>
                <w:w w:val="100"/>
                <w:kern w:val="0"/>
                <w:position w:val="0"/>
                <w:sz w:val="28"/>
                <w:szCs w:val="21"/>
                <w:lang w:val="en-US" w:eastAsia="zh-CN"/>
              </w:rPr>
            </w:pPr>
          </w:p>
        </w:tc>
      </w:tr>
    </w:tbl>
    <w:p w14:paraId="4E95531B">
      <w:pPr>
        <w:pStyle w:val="12"/>
        <w:rPr>
          <w:rFonts w:hint="default" w:ascii="Times New Roman" w:hAnsi="Times New Roman" w:cs="Times New Roman"/>
          <w:color w:val="auto"/>
          <w:spacing w:val="0"/>
          <w:lang w:val="en-US" w:eastAsia="zh-CN"/>
        </w:rPr>
        <w:sectPr>
          <w:pgSz w:w="16838" w:h="11906" w:orient="landscape"/>
          <w:pgMar w:top="1701" w:right="1134" w:bottom="1701" w:left="1134" w:header="851" w:footer="992" w:gutter="0"/>
          <w:pgBorders>
            <w:top w:val="none" w:sz="0" w:space="0"/>
            <w:left w:val="none" w:sz="0" w:space="0"/>
            <w:bottom w:val="none" w:sz="0" w:space="0"/>
            <w:right w:val="none" w:sz="0" w:space="0"/>
          </w:pgBorders>
          <w:pgNumType w:fmt="decimal"/>
          <w:cols w:space="720" w:num="1"/>
          <w:docGrid w:type="lines" w:linePitch="312" w:charSpace="0"/>
        </w:sectPr>
      </w:pPr>
    </w:p>
    <w:tbl>
      <w:tblPr>
        <w:tblStyle w:val="59"/>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25"/>
        <w:gridCol w:w="8313"/>
      </w:tblGrid>
      <w:tr w14:paraId="77A969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188" w:type="pct"/>
            <w:noWrap w:val="0"/>
            <w:tcMar>
              <w:left w:w="28" w:type="dxa"/>
              <w:right w:w="28" w:type="dxa"/>
            </w:tcMar>
            <w:vAlign w:val="center"/>
          </w:tcPr>
          <w:p w14:paraId="09B2994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运</w:t>
            </w:r>
          </w:p>
          <w:p w14:paraId="12446A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营</w:t>
            </w:r>
          </w:p>
          <w:p w14:paraId="45AE924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期</w:t>
            </w:r>
          </w:p>
          <w:p w14:paraId="7CCB6C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环</w:t>
            </w:r>
          </w:p>
          <w:p w14:paraId="6AADDC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境</w:t>
            </w:r>
          </w:p>
          <w:p w14:paraId="6433CA1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影</w:t>
            </w:r>
          </w:p>
          <w:p w14:paraId="372DF6C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响</w:t>
            </w:r>
          </w:p>
          <w:p w14:paraId="771C55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和</w:t>
            </w:r>
          </w:p>
          <w:p w14:paraId="75CC41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保</w:t>
            </w:r>
          </w:p>
          <w:p w14:paraId="0C7F65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护</w:t>
            </w:r>
          </w:p>
          <w:p w14:paraId="5F6C1C7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措</w:t>
            </w:r>
          </w:p>
          <w:p w14:paraId="14220B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等线" w:cs="Times New Roman"/>
                <w:bCs/>
                <w:color w:val="auto"/>
                <w:spacing w:val="0"/>
                <w:w w:val="100"/>
                <w:position w:val="0"/>
                <w:sz w:val="24"/>
                <w:szCs w:val="21"/>
              </w:rPr>
            </w:pPr>
            <w:r>
              <w:rPr>
                <w:rFonts w:hint="default" w:ascii="Times New Roman" w:hAnsi="Times New Roman" w:eastAsia="宋体" w:cs="Times New Roman"/>
                <w:color w:val="auto"/>
                <w:spacing w:val="0"/>
                <w:w w:val="100"/>
                <w:position w:val="0"/>
                <w:sz w:val="24"/>
                <w:szCs w:val="24"/>
                <w:lang w:val="en-US" w:eastAsia="zh-CN"/>
              </w:rPr>
              <w:t>施</w:t>
            </w:r>
          </w:p>
        </w:tc>
        <w:tc>
          <w:tcPr>
            <w:tcW w:w="4811" w:type="pct"/>
            <w:noWrap w:val="0"/>
            <w:vAlign w:val="center"/>
          </w:tcPr>
          <w:p w14:paraId="78345E22">
            <w:pPr>
              <w:pStyle w:val="2"/>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360" w:lineRule="auto"/>
              <w:ind w:left="0" w:right="0" w:firstLine="0" w:firstLineChars="0"/>
              <w:jc w:val="center"/>
              <w:textAlignment w:val="baseline"/>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表4-</w:t>
            </w:r>
            <w:r>
              <w:rPr>
                <w:rFonts w:hint="default" w:ascii="Times New Roman" w:hAnsi="Times New Roman" w:eastAsia="宋体" w:cs="Times New Roman"/>
                <w:b/>
                <w:color w:val="auto"/>
                <w:sz w:val="21"/>
                <w:szCs w:val="21"/>
                <w:highlight w:val="none"/>
                <w:lang w:val="en-US" w:eastAsia="zh-CN"/>
              </w:rPr>
              <w:t>13</w:t>
            </w:r>
            <w:r>
              <w:rPr>
                <w:rFonts w:hint="default" w:ascii="Times New Roman" w:hAnsi="Times New Roman" w:eastAsia="宋体" w:cs="Times New Roman"/>
                <w:b/>
                <w:color w:val="auto"/>
                <w:sz w:val="21"/>
                <w:szCs w:val="21"/>
                <w:highlight w:val="none"/>
              </w:rPr>
              <w:t xml:space="preserve">  项目噪声源强调查清单（室</w:t>
            </w:r>
            <w:r>
              <w:rPr>
                <w:rFonts w:hint="default" w:ascii="Times New Roman" w:hAnsi="Times New Roman" w:eastAsia="宋体" w:cs="Times New Roman"/>
                <w:b/>
                <w:color w:val="auto"/>
                <w:sz w:val="21"/>
                <w:szCs w:val="21"/>
                <w:highlight w:val="none"/>
                <w:lang w:val="en-US" w:eastAsia="zh-CN"/>
              </w:rPr>
              <w:t>外</w:t>
            </w:r>
            <w:r>
              <w:rPr>
                <w:rFonts w:hint="default" w:ascii="Times New Roman" w:hAnsi="Times New Roman" w:eastAsia="宋体" w:cs="Times New Roman"/>
                <w:b/>
                <w:color w:val="auto"/>
                <w:sz w:val="21"/>
                <w:szCs w:val="21"/>
                <w:highlight w:val="none"/>
              </w:rPr>
              <w:t>声源）</w:t>
            </w:r>
          </w:p>
          <w:tbl>
            <w:tblPr>
              <w:tblStyle w:val="60"/>
              <w:tblW w:w="498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4"/>
              <w:gridCol w:w="969"/>
              <w:gridCol w:w="690"/>
              <w:gridCol w:w="587"/>
              <w:gridCol w:w="587"/>
              <w:gridCol w:w="589"/>
              <w:gridCol w:w="1074"/>
              <w:gridCol w:w="1556"/>
              <w:gridCol w:w="1562"/>
            </w:tblGrid>
            <w:tr w14:paraId="59E21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5" w:type="pct"/>
                  <w:vMerge w:val="restart"/>
                  <w:noWrap w:val="0"/>
                  <w:vAlign w:val="center"/>
                </w:tcPr>
                <w:p w14:paraId="2874B51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序号</w:t>
                  </w:r>
                </w:p>
              </w:tc>
              <w:tc>
                <w:tcPr>
                  <w:tcW w:w="601" w:type="pct"/>
                  <w:vMerge w:val="restart"/>
                  <w:noWrap w:val="0"/>
                  <w:vAlign w:val="center"/>
                </w:tcPr>
                <w:p w14:paraId="642C21E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声源名称</w:t>
                  </w:r>
                </w:p>
              </w:tc>
              <w:tc>
                <w:tcPr>
                  <w:tcW w:w="428" w:type="pct"/>
                  <w:vMerge w:val="restart"/>
                  <w:noWrap w:val="0"/>
                  <w:vAlign w:val="center"/>
                </w:tcPr>
                <w:p w14:paraId="06CA66D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型号</w:t>
                  </w:r>
                </w:p>
              </w:tc>
              <w:tc>
                <w:tcPr>
                  <w:tcW w:w="1093" w:type="pct"/>
                  <w:gridSpan w:val="3"/>
                  <w:noWrap w:val="0"/>
                  <w:vAlign w:val="center"/>
                </w:tcPr>
                <w:p w14:paraId="2AAB68E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空间相对位置/m</w:t>
                  </w:r>
                </w:p>
              </w:tc>
              <w:tc>
                <w:tcPr>
                  <w:tcW w:w="666" w:type="pct"/>
                  <w:noWrap w:val="0"/>
                  <w:vAlign w:val="center"/>
                </w:tcPr>
                <w:p w14:paraId="3DE5357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声源源强</w:t>
                  </w:r>
                </w:p>
              </w:tc>
              <w:tc>
                <w:tcPr>
                  <w:tcW w:w="965" w:type="pct"/>
                  <w:vMerge w:val="restart"/>
                  <w:noWrap w:val="0"/>
                  <w:vAlign w:val="center"/>
                </w:tcPr>
                <w:p w14:paraId="6691EAA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声源控制措施</w:t>
                  </w:r>
                </w:p>
              </w:tc>
              <w:tc>
                <w:tcPr>
                  <w:tcW w:w="968" w:type="pct"/>
                  <w:vMerge w:val="restart"/>
                  <w:noWrap w:val="0"/>
                  <w:vAlign w:val="center"/>
                </w:tcPr>
                <w:p w14:paraId="7C0C793E">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运行时段</w:t>
                  </w:r>
                </w:p>
              </w:tc>
            </w:tr>
            <w:tr w14:paraId="73B2B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5" w:type="pct"/>
                  <w:vMerge w:val="continue"/>
                  <w:noWrap w:val="0"/>
                  <w:vAlign w:val="center"/>
                </w:tcPr>
                <w:p w14:paraId="6148076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highlight w:val="none"/>
                      <w:lang w:val="en-US" w:eastAsia="zh-CN"/>
                    </w:rPr>
                  </w:pPr>
                </w:p>
              </w:tc>
              <w:tc>
                <w:tcPr>
                  <w:tcW w:w="601" w:type="pct"/>
                  <w:vMerge w:val="continue"/>
                  <w:noWrap w:val="0"/>
                  <w:vAlign w:val="center"/>
                </w:tcPr>
                <w:p w14:paraId="0197259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highlight w:val="none"/>
                      <w:lang w:val="en-US" w:eastAsia="zh-CN"/>
                    </w:rPr>
                  </w:pPr>
                </w:p>
              </w:tc>
              <w:tc>
                <w:tcPr>
                  <w:tcW w:w="428" w:type="pct"/>
                  <w:vMerge w:val="continue"/>
                  <w:noWrap w:val="0"/>
                  <w:vAlign w:val="center"/>
                </w:tcPr>
                <w:p w14:paraId="0730403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highlight w:val="none"/>
                      <w:lang w:val="en-US" w:eastAsia="zh-CN"/>
                    </w:rPr>
                  </w:pPr>
                </w:p>
              </w:tc>
              <w:tc>
                <w:tcPr>
                  <w:tcW w:w="364" w:type="pct"/>
                  <w:noWrap w:val="0"/>
                  <w:vAlign w:val="center"/>
                </w:tcPr>
                <w:p w14:paraId="66971D8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X</w:t>
                  </w:r>
                </w:p>
              </w:tc>
              <w:tc>
                <w:tcPr>
                  <w:tcW w:w="364" w:type="pct"/>
                  <w:noWrap w:val="0"/>
                  <w:vAlign w:val="center"/>
                </w:tcPr>
                <w:p w14:paraId="7528D39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Y</w:t>
                  </w:r>
                </w:p>
              </w:tc>
              <w:tc>
                <w:tcPr>
                  <w:tcW w:w="364" w:type="pct"/>
                  <w:noWrap w:val="0"/>
                  <w:vAlign w:val="center"/>
                </w:tcPr>
                <w:p w14:paraId="104CB14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Z</w:t>
                  </w:r>
                </w:p>
              </w:tc>
              <w:tc>
                <w:tcPr>
                  <w:tcW w:w="666" w:type="pct"/>
                  <w:noWrap w:val="0"/>
                  <w:vAlign w:val="center"/>
                </w:tcPr>
                <w:p w14:paraId="2B9262E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声功率级dB（A）</w:t>
                  </w:r>
                </w:p>
              </w:tc>
              <w:tc>
                <w:tcPr>
                  <w:tcW w:w="965" w:type="pct"/>
                  <w:vMerge w:val="continue"/>
                  <w:noWrap w:val="0"/>
                  <w:vAlign w:val="center"/>
                </w:tcPr>
                <w:p w14:paraId="6FAAFE8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p>
              </w:tc>
              <w:tc>
                <w:tcPr>
                  <w:tcW w:w="968" w:type="pct"/>
                  <w:vMerge w:val="continue"/>
                  <w:noWrap w:val="0"/>
                  <w:vAlign w:val="center"/>
                </w:tcPr>
                <w:p w14:paraId="2BF1370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p>
              </w:tc>
            </w:tr>
            <w:tr w14:paraId="546D6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5" w:type="pct"/>
                  <w:noWrap w:val="0"/>
                  <w:vAlign w:val="center"/>
                </w:tcPr>
                <w:p w14:paraId="6F912CE2">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w:t>
                  </w:r>
                </w:p>
              </w:tc>
              <w:tc>
                <w:tcPr>
                  <w:tcW w:w="601" w:type="pct"/>
                  <w:noWrap w:val="0"/>
                  <w:vAlign w:val="center"/>
                </w:tcPr>
                <w:p w14:paraId="071BA67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风机1</w:t>
                  </w:r>
                </w:p>
              </w:tc>
              <w:tc>
                <w:tcPr>
                  <w:tcW w:w="428" w:type="pct"/>
                  <w:noWrap w:val="0"/>
                  <w:vAlign w:val="center"/>
                </w:tcPr>
                <w:p w14:paraId="4B07439C">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364" w:type="pct"/>
                  <w:noWrap w:val="0"/>
                  <w:vAlign w:val="center"/>
                </w:tcPr>
                <w:p w14:paraId="44C2AE5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11</w:t>
                  </w:r>
                </w:p>
              </w:tc>
              <w:tc>
                <w:tcPr>
                  <w:tcW w:w="364" w:type="pct"/>
                  <w:noWrap w:val="0"/>
                  <w:vAlign w:val="center"/>
                </w:tcPr>
                <w:p w14:paraId="075D59E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32</w:t>
                  </w:r>
                </w:p>
              </w:tc>
              <w:tc>
                <w:tcPr>
                  <w:tcW w:w="364" w:type="pct"/>
                  <w:noWrap w:val="0"/>
                  <w:vAlign w:val="center"/>
                </w:tcPr>
                <w:p w14:paraId="7E4C62F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w:t>
                  </w:r>
                </w:p>
              </w:tc>
              <w:tc>
                <w:tcPr>
                  <w:tcW w:w="666" w:type="pct"/>
                  <w:noWrap w:val="0"/>
                  <w:vAlign w:val="center"/>
                </w:tcPr>
                <w:p w14:paraId="2EE2623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85</w:t>
                  </w:r>
                </w:p>
              </w:tc>
              <w:tc>
                <w:tcPr>
                  <w:tcW w:w="965" w:type="pct"/>
                  <w:vMerge w:val="restart"/>
                  <w:noWrap w:val="0"/>
                  <w:vAlign w:val="center"/>
                </w:tcPr>
                <w:p w14:paraId="131F95B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基础减振、合理布局科学管理</w:t>
                  </w:r>
                </w:p>
              </w:tc>
              <w:tc>
                <w:tcPr>
                  <w:tcW w:w="968" w:type="pct"/>
                  <w:vMerge w:val="restart"/>
                  <w:noWrap w:val="0"/>
                  <w:vAlign w:val="center"/>
                </w:tcPr>
                <w:p w14:paraId="11063CB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昼间/夜间</w:t>
                  </w:r>
                </w:p>
                <w:p w14:paraId="5E20253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16h</w:t>
                  </w:r>
                </w:p>
              </w:tc>
            </w:tr>
            <w:tr w14:paraId="1B362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5" w:type="pct"/>
                  <w:noWrap w:val="0"/>
                  <w:vAlign w:val="center"/>
                </w:tcPr>
                <w:p w14:paraId="2502A21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2</w:t>
                  </w:r>
                </w:p>
              </w:tc>
              <w:tc>
                <w:tcPr>
                  <w:tcW w:w="601" w:type="pct"/>
                  <w:noWrap w:val="0"/>
                  <w:vAlign w:val="center"/>
                </w:tcPr>
                <w:p w14:paraId="5D47370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风机2</w:t>
                  </w:r>
                </w:p>
              </w:tc>
              <w:tc>
                <w:tcPr>
                  <w:tcW w:w="428" w:type="pct"/>
                  <w:noWrap w:val="0"/>
                  <w:vAlign w:val="center"/>
                </w:tcPr>
                <w:p w14:paraId="0F6511D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364" w:type="pct"/>
                  <w:noWrap w:val="0"/>
                  <w:vAlign w:val="center"/>
                </w:tcPr>
                <w:p w14:paraId="7293DC2A">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6</w:t>
                  </w:r>
                </w:p>
              </w:tc>
              <w:tc>
                <w:tcPr>
                  <w:tcW w:w="364" w:type="pct"/>
                  <w:noWrap w:val="0"/>
                  <w:vAlign w:val="center"/>
                </w:tcPr>
                <w:p w14:paraId="71532F73">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21</w:t>
                  </w:r>
                </w:p>
              </w:tc>
              <w:tc>
                <w:tcPr>
                  <w:tcW w:w="364" w:type="pct"/>
                  <w:noWrap w:val="0"/>
                  <w:vAlign w:val="center"/>
                </w:tcPr>
                <w:p w14:paraId="7750435B">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w:t>
                  </w:r>
                </w:p>
              </w:tc>
              <w:tc>
                <w:tcPr>
                  <w:tcW w:w="666" w:type="pct"/>
                  <w:noWrap w:val="0"/>
                  <w:vAlign w:val="center"/>
                </w:tcPr>
                <w:p w14:paraId="46DB199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90</w:t>
                  </w:r>
                </w:p>
              </w:tc>
              <w:tc>
                <w:tcPr>
                  <w:tcW w:w="965" w:type="pct"/>
                  <w:vMerge w:val="continue"/>
                  <w:noWrap w:val="0"/>
                  <w:vAlign w:val="center"/>
                </w:tcPr>
                <w:p w14:paraId="4BF302A0">
                  <w:pPr>
                    <w:pStyle w:val="3"/>
                    <w:keepNext w:val="0"/>
                    <w:keepLines w:val="0"/>
                    <w:suppressLineNumbers w:val="0"/>
                    <w:tabs>
                      <w:tab w:val="left" w:pos="-213"/>
                      <w:tab w:val="clear" w:pos="0"/>
                    </w:tabs>
                    <w:spacing w:before="0" w:beforeAutospacing="0" w:afterAutospacing="0" w:line="240" w:lineRule="auto"/>
                    <w:ind w:right="0" w:firstLine="0" w:firstLineChars="0"/>
                    <w:jc w:val="center"/>
                    <w:rPr>
                      <w:rFonts w:hint="default" w:ascii="Times New Roman" w:hAnsi="Times New Roman" w:cs="Times New Roman"/>
                      <w:color w:val="auto"/>
                      <w:sz w:val="21"/>
                      <w:szCs w:val="21"/>
                      <w:highlight w:val="none"/>
                    </w:rPr>
                  </w:pPr>
                </w:p>
              </w:tc>
              <w:tc>
                <w:tcPr>
                  <w:tcW w:w="968" w:type="pct"/>
                  <w:vMerge w:val="continue"/>
                  <w:noWrap w:val="0"/>
                  <w:vAlign w:val="center"/>
                </w:tcPr>
                <w:p w14:paraId="04617C48">
                  <w:pPr>
                    <w:pStyle w:val="2"/>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rightChars="0" w:firstLine="0" w:firstLineChars="0"/>
                    <w:jc w:val="center"/>
                    <w:textAlignment w:val="baseline"/>
                    <w:rPr>
                      <w:rFonts w:hint="default" w:ascii="Times New Roman" w:hAnsi="Times New Roman" w:cs="Times New Roman"/>
                      <w:b w:val="0"/>
                      <w:bCs/>
                      <w:color w:val="auto"/>
                      <w:sz w:val="21"/>
                      <w:szCs w:val="21"/>
                      <w:highlight w:val="none"/>
                      <w:vertAlign w:val="baseline"/>
                      <w:lang w:val="en-US" w:eastAsia="zh-CN"/>
                    </w:rPr>
                  </w:pPr>
                </w:p>
              </w:tc>
            </w:tr>
            <w:tr w14:paraId="1E7ED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5" w:type="pct"/>
                  <w:noWrap w:val="0"/>
                  <w:vAlign w:val="center"/>
                </w:tcPr>
                <w:p w14:paraId="0B7EFA6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3</w:t>
                  </w:r>
                </w:p>
              </w:tc>
              <w:tc>
                <w:tcPr>
                  <w:tcW w:w="601" w:type="pct"/>
                  <w:noWrap w:val="0"/>
                  <w:vAlign w:val="center"/>
                </w:tcPr>
                <w:p w14:paraId="5D2EC096">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风机3</w:t>
                  </w:r>
                </w:p>
              </w:tc>
              <w:tc>
                <w:tcPr>
                  <w:tcW w:w="428" w:type="pct"/>
                  <w:noWrap w:val="0"/>
                  <w:vAlign w:val="center"/>
                </w:tcPr>
                <w:p w14:paraId="03888108">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364" w:type="pct"/>
                  <w:noWrap w:val="0"/>
                  <w:vAlign w:val="center"/>
                </w:tcPr>
                <w:p w14:paraId="3D5C5BD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6</w:t>
                  </w:r>
                </w:p>
              </w:tc>
              <w:tc>
                <w:tcPr>
                  <w:tcW w:w="364" w:type="pct"/>
                  <w:noWrap w:val="0"/>
                  <w:vAlign w:val="center"/>
                </w:tcPr>
                <w:p w14:paraId="27D5E964">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19</w:t>
                  </w:r>
                </w:p>
              </w:tc>
              <w:tc>
                <w:tcPr>
                  <w:tcW w:w="364" w:type="pct"/>
                  <w:noWrap w:val="0"/>
                  <w:vAlign w:val="center"/>
                </w:tcPr>
                <w:p w14:paraId="2D1B2FE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w:t>
                  </w:r>
                </w:p>
              </w:tc>
              <w:tc>
                <w:tcPr>
                  <w:tcW w:w="666" w:type="pct"/>
                  <w:noWrap w:val="0"/>
                  <w:vAlign w:val="center"/>
                </w:tcPr>
                <w:p w14:paraId="2E7BD26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90</w:t>
                  </w:r>
                </w:p>
              </w:tc>
              <w:tc>
                <w:tcPr>
                  <w:tcW w:w="965" w:type="pct"/>
                  <w:vMerge w:val="continue"/>
                  <w:noWrap w:val="0"/>
                  <w:vAlign w:val="center"/>
                </w:tcPr>
                <w:p w14:paraId="7956770A">
                  <w:pPr>
                    <w:pStyle w:val="3"/>
                    <w:keepNext w:val="0"/>
                    <w:keepLines w:val="0"/>
                    <w:suppressLineNumbers w:val="0"/>
                    <w:tabs>
                      <w:tab w:val="left" w:pos="-213"/>
                      <w:tab w:val="clear" w:pos="0"/>
                    </w:tabs>
                    <w:spacing w:before="0" w:beforeAutospacing="0" w:afterAutospacing="0" w:line="240" w:lineRule="auto"/>
                    <w:ind w:right="0" w:firstLine="0" w:firstLineChars="0"/>
                    <w:jc w:val="center"/>
                    <w:rPr>
                      <w:rFonts w:hint="default" w:ascii="Times New Roman" w:hAnsi="Times New Roman" w:cs="Times New Roman"/>
                      <w:color w:val="auto"/>
                      <w:sz w:val="21"/>
                      <w:szCs w:val="21"/>
                      <w:highlight w:val="none"/>
                    </w:rPr>
                  </w:pPr>
                </w:p>
              </w:tc>
              <w:tc>
                <w:tcPr>
                  <w:tcW w:w="968" w:type="pct"/>
                  <w:vMerge w:val="continue"/>
                  <w:noWrap w:val="0"/>
                  <w:vAlign w:val="center"/>
                </w:tcPr>
                <w:p w14:paraId="7F29DB03">
                  <w:pPr>
                    <w:pStyle w:val="2"/>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rightChars="0" w:firstLine="0" w:firstLineChars="0"/>
                    <w:jc w:val="center"/>
                    <w:textAlignment w:val="baseline"/>
                    <w:rPr>
                      <w:rFonts w:hint="default" w:ascii="Times New Roman" w:hAnsi="Times New Roman" w:cs="Times New Roman"/>
                      <w:b w:val="0"/>
                      <w:bCs/>
                      <w:color w:val="auto"/>
                      <w:sz w:val="21"/>
                      <w:szCs w:val="21"/>
                      <w:highlight w:val="none"/>
                      <w:vertAlign w:val="baseline"/>
                      <w:lang w:val="en-US" w:eastAsia="zh-CN"/>
                    </w:rPr>
                  </w:pPr>
                </w:p>
              </w:tc>
            </w:tr>
            <w:tr w14:paraId="1FB83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5" w:type="pct"/>
                  <w:noWrap w:val="0"/>
                  <w:vAlign w:val="center"/>
                </w:tcPr>
                <w:p w14:paraId="5C8C3277">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4</w:t>
                  </w:r>
                </w:p>
              </w:tc>
              <w:tc>
                <w:tcPr>
                  <w:tcW w:w="601" w:type="pct"/>
                  <w:noWrap w:val="0"/>
                  <w:vAlign w:val="center"/>
                </w:tcPr>
                <w:p w14:paraId="09953ED1">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风机4</w:t>
                  </w:r>
                </w:p>
              </w:tc>
              <w:tc>
                <w:tcPr>
                  <w:tcW w:w="428" w:type="pct"/>
                  <w:noWrap w:val="0"/>
                  <w:vAlign w:val="center"/>
                </w:tcPr>
                <w:p w14:paraId="5B00519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w:t>
                  </w:r>
                </w:p>
              </w:tc>
              <w:tc>
                <w:tcPr>
                  <w:tcW w:w="364" w:type="pct"/>
                  <w:noWrap w:val="0"/>
                  <w:vAlign w:val="center"/>
                </w:tcPr>
                <w:p w14:paraId="75F4F68D">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4</w:t>
                  </w:r>
                </w:p>
              </w:tc>
              <w:tc>
                <w:tcPr>
                  <w:tcW w:w="364" w:type="pct"/>
                  <w:noWrap w:val="0"/>
                  <w:vAlign w:val="center"/>
                </w:tcPr>
                <w:p w14:paraId="5DEA0FE9">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5</w:t>
                  </w:r>
                </w:p>
              </w:tc>
              <w:tc>
                <w:tcPr>
                  <w:tcW w:w="364" w:type="pct"/>
                  <w:noWrap w:val="0"/>
                  <w:vAlign w:val="center"/>
                </w:tcPr>
                <w:p w14:paraId="783E639F">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1</w:t>
                  </w:r>
                </w:p>
              </w:tc>
              <w:tc>
                <w:tcPr>
                  <w:tcW w:w="666" w:type="pct"/>
                  <w:noWrap w:val="0"/>
                  <w:vAlign w:val="center"/>
                </w:tcPr>
                <w:p w14:paraId="6801B7C5">
                  <w:pPr>
                    <w:pStyle w:val="3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1"/>
                      <w:szCs w:val="21"/>
                      <w:highlight w:val="none"/>
                      <w:lang w:val="en-US" w:eastAsia="zh-CN"/>
                    </w:rPr>
                  </w:pPr>
                  <w:r>
                    <w:rPr>
                      <w:rFonts w:hint="default" w:ascii="Times New Roman" w:hAnsi="Times New Roman" w:eastAsia="宋体" w:cs="Times New Roman"/>
                      <w:color w:val="auto"/>
                      <w:spacing w:val="0"/>
                      <w:w w:val="100"/>
                      <w:position w:val="0"/>
                      <w:sz w:val="21"/>
                      <w:szCs w:val="21"/>
                      <w:highlight w:val="none"/>
                      <w:lang w:val="en-US" w:eastAsia="zh-CN"/>
                    </w:rPr>
                    <w:t>85</w:t>
                  </w:r>
                </w:p>
              </w:tc>
              <w:tc>
                <w:tcPr>
                  <w:tcW w:w="965" w:type="pct"/>
                  <w:vMerge w:val="continue"/>
                  <w:noWrap w:val="0"/>
                  <w:vAlign w:val="center"/>
                </w:tcPr>
                <w:p w14:paraId="62B9A393">
                  <w:pPr>
                    <w:pStyle w:val="3"/>
                    <w:keepNext w:val="0"/>
                    <w:keepLines w:val="0"/>
                    <w:suppressLineNumbers w:val="0"/>
                    <w:tabs>
                      <w:tab w:val="left" w:pos="-213"/>
                      <w:tab w:val="clear" w:pos="0"/>
                    </w:tabs>
                    <w:spacing w:before="0" w:beforeAutospacing="0" w:afterAutospacing="0" w:line="240" w:lineRule="auto"/>
                    <w:ind w:right="0" w:firstLine="0" w:firstLineChars="0"/>
                    <w:jc w:val="center"/>
                    <w:rPr>
                      <w:rFonts w:hint="default" w:ascii="Times New Roman" w:hAnsi="Times New Roman" w:cs="Times New Roman"/>
                      <w:color w:val="auto"/>
                      <w:sz w:val="21"/>
                      <w:szCs w:val="21"/>
                      <w:highlight w:val="none"/>
                    </w:rPr>
                  </w:pPr>
                </w:p>
              </w:tc>
              <w:tc>
                <w:tcPr>
                  <w:tcW w:w="968" w:type="pct"/>
                  <w:vMerge w:val="continue"/>
                  <w:noWrap w:val="0"/>
                  <w:vAlign w:val="center"/>
                </w:tcPr>
                <w:p w14:paraId="2A26E461">
                  <w:pPr>
                    <w:pStyle w:val="2"/>
                    <w:keepNext w:val="0"/>
                    <w:keepLines w:val="0"/>
                    <w:pageBreakBefore w:val="0"/>
                    <w:widowControl w:val="0"/>
                    <w:suppressLineNumbers w:val="0"/>
                    <w:kinsoku/>
                    <w:wordWrap/>
                    <w:overflowPunct w:val="0"/>
                    <w:topLinePunct w:val="0"/>
                    <w:autoSpaceDE w:val="0"/>
                    <w:autoSpaceDN w:val="0"/>
                    <w:bidi w:val="0"/>
                    <w:adjustRightInd w:val="0"/>
                    <w:snapToGrid/>
                    <w:spacing w:before="0" w:beforeAutospacing="0" w:after="0" w:afterAutospacing="0" w:line="240" w:lineRule="auto"/>
                    <w:ind w:left="0" w:right="0" w:rightChars="0" w:firstLine="0" w:firstLineChars="0"/>
                    <w:jc w:val="center"/>
                    <w:textAlignment w:val="baseline"/>
                    <w:rPr>
                      <w:rFonts w:hint="default" w:ascii="Times New Roman" w:hAnsi="Times New Roman" w:cs="Times New Roman"/>
                      <w:b w:val="0"/>
                      <w:bCs/>
                      <w:color w:val="auto"/>
                      <w:sz w:val="21"/>
                      <w:szCs w:val="21"/>
                      <w:highlight w:val="none"/>
                      <w:vertAlign w:val="baseline"/>
                      <w:lang w:val="en-US" w:eastAsia="zh-CN"/>
                    </w:rPr>
                  </w:pPr>
                </w:p>
              </w:tc>
            </w:tr>
          </w:tbl>
          <w:p w14:paraId="799403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根据《环境影响评价技术导则 声环境》（HJ2.4-2021）的技术要求，本次评价采取导则推荐模式。</w:t>
            </w:r>
          </w:p>
          <w:p w14:paraId="5348A9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1）声级计算</w:t>
            </w:r>
          </w:p>
          <w:p w14:paraId="71BE45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项目自身声源在预测点产生的噪声贡献值（Leqg）计算公式：</w:t>
            </w:r>
          </w:p>
          <w:p w14:paraId="25692C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object>
                <v:shape id="_x0000_i1025" o:spt="75" type="#_x0000_t75" style="height:36pt;width:132.75pt;" o:ole="t" filled="f" stroked="f" coordsize="21600,21600">
                  <v:path/>
                  <v:fill on="f" focussize="0,0"/>
                  <v:stroke on="f"/>
                  <v:imagedata r:id="rId23" o:title=""/>
                  <o:lock v:ext="edit" aspectratio="t"/>
                  <w10:wrap type="none"/>
                  <w10:anchorlock/>
                </v:shape>
                <o:OLEObject Type="Embed" ProgID="Equation.3" ShapeID="_x0000_i1025" DrawAspect="Content" ObjectID="_1468075725" r:id="rId22">
                  <o:LockedField>false</o:LockedField>
                </o:OLEObject>
              </w:object>
            </w:r>
          </w:p>
          <w:p w14:paraId="5621E2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式中：</w:t>
            </w:r>
          </w:p>
          <w:p w14:paraId="7D5B36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textAlignment w:val="auto"/>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Leqg——噪声贡献值，dB；</w:t>
            </w:r>
          </w:p>
          <w:p w14:paraId="2192AC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textAlignment w:val="auto"/>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LAi——i声源在预测点产生的等效连续A声级，dB；</w:t>
            </w:r>
          </w:p>
          <w:p w14:paraId="0BA9F6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textAlignment w:val="auto"/>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T——预测计算的时间段，s；</w:t>
            </w:r>
          </w:p>
          <w:p w14:paraId="32B14E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textAlignment w:val="auto"/>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ti——i声源在T时段内的运行时间，s。</w:t>
            </w:r>
          </w:p>
          <w:p w14:paraId="13EE9F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2）户外声传播衰减计算</w:t>
            </w:r>
          </w:p>
          <w:p w14:paraId="129D55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户外声传播衰减包括几何发散（Adiv）、大气吸收（Aatm）、地面效应（Agr）、障碍物屏蔽（Abar）、其他多方面效应（Amisc）引起的衰减。</w:t>
            </w:r>
          </w:p>
          <w:p w14:paraId="4422E5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根据声源声功率级或参考位置处的声压级、户外</w:t>
            </w:r>
            <w:r>
              <w:rPr>
                <w:rFonts w:hint="default" w:ascii="Times New Roman" w:hAnsi="Times New Roman" w:eastAsia="宋体" w:cs="Times New Roman"/>
                <w:b w:val="0"/>
                <w:bCs w:val="0"/>
                <w:color w:val="auto"/>
                <w:spacing w:val="0"/>
                <w:w w:val="100"/>
                <w:kern w:val="0"/>
                <w:position w:val="0"/>
                <w:sz w:val="24"/>
                <w:lang w:val="en-US" w:eastAsia="zh-CN"/>
              </w:rPr>
              <w:t>声</w:t>
            </w:r>
            <w:r>
              <w:rPr>
                <w:rFonts w:hint="default" w:ascii="Times New Roman" w:hAnsi="Times New Roman" w:eastAsia="宋体" w:cs="Times New Roman"/>
                <w:b w:val="0"/>
                <w:bCs w:val="0"/>
                <w:color w:val="auto"/>
                <w:spacing w:val="0"/>
                <w:w w:val="100"/>
                <w:kern w:val="0"/>
                <w:position w:val="0"/>
                <w:sz w:val="24"/>
              </w:rPr>
              <w:t>传播衰减，计算预测点的声级计算公式：</w:t>
            </w:r>
          </w:p>
          <w:p w14:paraId="2A5761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object>
                <v:shape id="_x0000_i1026" o:spt="75" type="#_x0000_t75" style="height:18.75pt;width:247.75pt;" o:ole="t" filled="f" o:preferrelative="t" stroked="f" coordsize="21600,21600">
                  <v:path/>
                  <v:fill on="f" focussize="0,0"/>
                  <v:stroke on="f"/>
                  <v:imagedata r:id="rId25" o:title=""/>
                  <o:lock v:ext="edit" aspectratio="t"/>
                  <w10:wrap type="none"/>
                  <w10:anchorlock/>
                </v:shape>
                <o:OLEObject Type="Embed" ProgID="Equation.3" ShapeID="_x0000_i1026" DrawAspect="Content" ObjectID="_1468075726" r:id="rId24">
                  <o:LockedField>false</o:LockedField>
                </o:OLEObject>
              </w:object>
            </w:r>
          </w:p>
          <w:p w14:paraId="6A1343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式中：</w:t>
            </w:r>
          </w:p>
          <w:p w14:paraId="19E0A7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textAlignment w:val="auto"/>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Lp（r）——预测点处声压级，dB；</w:t>
            </w:r>
          </w:p>
          <w:p w14:paraId="165255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textAlignment w:val="auto"/>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Lp（r0）——参考位置r0处的声压级，dB；</w:t>
            </w:r>
          </w:p>
          <w:p w14:paraId="6BA8E2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textAlignment w:val="auto"/>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Dc——指向性校正，它描述点声源的等效连续声压级与产生声功率级Lw的全向点声源在规定方向的声级的偏差程度，dB；</w:t>
            </w:r>
          </w:p>
          <w:p w14:paraId="0AA480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textAlignment w:val="auto"/>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Adiv——几何发散引起的衰减，dB；</w:t>
            </w:r>
          </w:p>
          <w:p w14:paraId="5F2B12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textAlignment w:val="auto"/>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Aatm——大气吸收引起的衰减，dB；</w:t>
            </w:r>
          </w:p>
          <w:p w14:paraId="231D31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textAlignment w:val="auto"/>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Abar——障碍物屏蔽引起的衰减，dB；</w:t>
            </w:r>
          </w:p>
          <w:p w14:paraId="4CB39D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textAlignment w:val="auto"/>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Amisc——其他多方面效应引起的衰减，dB。</w:t>
            </w:r>
          </w:p>
          <w:p w14:paraId="204DDA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在预测中考虑反射引起的修正、屏障引起的衰减、双绕射、室内声源等效室外声源等影响和计算方法。</w:t>
            </w:r>
          </w:p>
          <w:p w14:paraId="7C4E32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3）厂区距离衰减计算公式：</w:t>
            </w:r>
          </w:p>
          <w:p w14:paraId="184196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rPr>
                <w:rFonts w:hint="default" w:ascii="Times New Roman" w:hAnsi="Times New Roman" w:eastAsia="宋体" w:cs="Times New Roman"/>
                <w:b/>
                <w:bCs/>
                <w:color w:val="auto"/>
                <w:spacing w:val="0"/>
                <w:w w:val="100"/>
                <w:kern w:val="0"/>
                <w:position w:val="0"/>
                <w:sz w:val="24"/>
              </w:rPr>
            </w:pPr>
            <w:r>
              <w:rPr>
                <w:rFonts w:hint="default" w:ascii="Times New Roman" w:hAnsi="Times New Roman" w:eastAsia="宋体" w:cs="Times New Roman"/>
                <w:b/>
                <w:bCs/>
                <w:color w:val="auto"/>
                <w:spacing w:val="0"/>
                <w:w w:val="100"/>
                <w:kern w:val="0"/>
                <w:position w:val="0"/>
                <w:sz w:val="24"/>
              </w:rPr>
              <w:object>
                <v:shape id="_x0000_i1027" o:spt="75" type="#_x0000_t75" style="height:18.45pt;width:120.3pt;" o:ole="t" filled="f" o:preferrelative="t" stroked="f" coordsize="21600,21600">
                  <v:path/>
                  <v:fill on="f" focussize="0,0"/>
                  <v:stroke on="f"/>
                  <v:imagedata r:id="rId27" o:title=""/>
                  <o:lock v:ext="edit" aspectratio="t"/>
                  <w10:wrap type="none"/>
                  <w10:anchorlock/>
                </v:shape>
                <o:OLEObject Type="Embed" ProgID="Equation.KSEE3" ShapeID="_x0000_i1027" DrawAspect="Content" ObjectID="_1468075727" r:id="rId26">
                  <o:LockedField>false</o:LockedField>
                </o:OLEObject>
              </w:object>
            </w:r>
          </w:p>
          <w:p w14:paraId="052C0D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式中：</w:t>
            </w:r>
          </w:p>
          <w:p w14:paraId="669059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textAlignment w:val="auto"/>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Lp(r)——预测点处声压级，dB；</w:t>
            </w:r>
          </w:p>
          <w:p w14:paraId="7F0F9F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textAlignment w:val="auto"/>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Lp（ro）——参考位置ro处的声声级，dB；</w:t>
            </w:r>
          </w:p>
          <w:p w14:paraId="6E27B6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textAlignment w:val="auto"/>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r——预测点距声源的距离；</w:t>
            </w:r>
          </w:p>
          <w:p w14:paraId="7A0C06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textAlignment w:val="auto"/>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ro——参考位置距声源的。</w:t>
            </w:r>
          </w:p>
          <w:p w14:paraId="01212E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根据主要设备噪声源源强及其在</w:t>
            </w:r>
            <w:r>
              <w:rPr>
                <w:rFonts w:hint="default" w:ascii="Times New Roman" w:hAnsi="Times New Roman" w:eastAsia="宋体" w:cs="Times New Roman"/>
                <w:b w:val="0"/>
                <w:bCs w:val="0"/>
                <w:color w:val="auto"/>
                <w:spacing w:val="0"/>
                <w:w w:val="100"/>
                <w:kern w:val="0"/>
                <w:position w:val="0"/>
                <w:sz w:val="24"/>
                <w:lang w:val="en-US" w:eastAsia="zh-CN"/>
              </w:rPr>
              <w:t>院区</w:t>
            </w:r>
            <w:r>
              <w:rPr>
                <w:rFonts w:hint="default" w:ascii="Times New Roman" w:hAnsi="Times New Roman" w:eastAsia="宋体" w:cs="Times New Roman"/>
                <w:b w:val="0"/>
                <w:bCs w:val="0"/>
                <w:color w:val="auto"/>
                <w:spacing w:val="0"/>
                <w:w w:val="100"/>
                <w:kern w:val="0"/>
                <w:position w:val="0"/>
                <w:sz w:val="24"/>
              </w:rPr>
              <w:t>的具体位置，利用上述噪声预测模式，预测出项目运行后厂界噪声贡献值水平，预测结果见表4-</w:t>
            </w:r>
            <w:r>
              <w:rPr>
                <w:rFonts w:hint="default" w:ascii="Times New Roman" w:hAnsi="Times New Roman" w:eastAsia="宋体" w:cs="Times New Roman"/>
                <w:b w:val="0"/>
                <w:bCs w:val="0"/>
                <w:color w:val="auto"/>
                <w:spacing w:val="0"/>
                <w:w w:val="100"/>
                <w:kern w:val="0"/>
                <w:position w:val="0"/>
                <w:sz w:val="24"/>
                <w:lang w:val="en-US" w:eastAsia="zh-CN"/>
              </w:rPr>
              <w:t>14</w:t>
            </w:r>
            <w:r>
              <w:rPr>
                <w:rFonts w:hint="default" w:ascii="Times New Roman" w:hAnsi="Times New Roman" w:eastAsia="宋体" w:cs="Times New Roman"/>
                <w:b w:val="0"/>
                <w:bCs w:val="0"/>
                <w:color w:val="auto"/>
                <w:spacing w:val="0"/>
                <w:w w:val="100"/>
                <w:kern w:val="0"/>
                <w:position w:val="0"/>
                <w:sz w:val="24"/>
              </w:rPr>
              <w:t>。</w:t>
            </w:r>
          </w:p>
          <w:p w14:paraId="27378D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zh-CN"/>
              </w:rPr>
            </w:pPr>
            <w:r>
              <w:rPr>
                <w:rFonts w:hint="default" w:ascii="Times New Roman" w:hAnsi="Times New Roman" w:eastAsia="宋体" w:cs="Times New Roman"/>
                <w:b/>
                <w:bCs/>
                <w:color w:val="auto"/>
                <w:spacing w:val="0"/>
                <w:w w:val="100"/>
                <w:kern w:val="0"/>
                <w:position w:val="0"/>
                <w:sz w:val="21"/>
                <w:szCs w:val="21"/>
                <w:lang w:val="zh-CN"/>
              </w:rPr>
              <w:t>表</w:t>
            </w:r>
            <w:r>
              <w:rPr>
                <w:rFonts w:hint="default" w:ascii="Times New Roman" w:hAnsi="Times New Roman" w:eastAsia="宋体" w:cs="Times New Roman"/>
                <w:b/>
                <w:bCs/>
                <w:color w:val="auto"/>
                <w:spacing w:val="0"/>
                <w:w w:val="100"/>
                <w:kern w:val="0"/>
                <w:position w:val="0"/>
                <w:sz w:val="21"/>
                <w:szCs w:val="21"/>
              </w:rPr>
              <w:t>4-</w:t>
            </w:r>
            <w:r>
              <w:rPr>
                <w:rFonts w:hint="default" w:ascii="Times New Roman" w:hAnsi="Times New Roman" w:eastAsia="宋体" w:cs="Times New Roman"/>
                <w:b/>
                <w:bCs/>
                <w:color w:val="auto"/>
                <w:spacing w:val="0"/>
                <w:w w:val="100"/>
                <w:kern w:val="0"/>
                <w:position w:val="0"/>
                <w:sz w:val="21"/>
                <w:szCs w:val="21"/>
                <w:lang w:val="en-US" w:eastAsia="zh-CN"/>
              </w:rPr>
              <w:t>14</w:t>
            </w:r>
            <w:r>
              <w:rPr>
                <w:rFonts w:hint="default" w:ascii="Times New Roman" w:hAnsi="Times New Roman" w:eastAsia="宋体" w:cs="Times New Roman"/>
                <w:b/>
                <w:bCs/>
                <w:color w:val="auto"/>
                <w:spacing w:val="0"/>
                <w:w w:val="100"/>
                <w:kern w:val="0"/>
                <w:position w:val="0"/>
                <w:sz w:val="21"/>
                <w:szCs w:val="21"/>
                <w:lang w:val="zh-CN"/>
              </w:rPr>
              <w:t xml:space="preserve">  噪声预测结果表</w:t>
            </w:r>
          </w:p>
          <w:tbl>
            <w:tblPr>
              <w:tblStyle w:val="5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0"/>
              <w:gridCol w:w="1147"/>
              <w:gridCol w:w="1488"/>
              <w:gridCol w:w="1331"/>
              <w:gridCol w:w="1276"/>
              <w:gridCol w:w="1292"/>
            </w:tblGrid>
            <w:tr w14:paraId="1F34B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7" w:type="pct"/>
                  <w:gridSpan w:val="2"/>
                  <w:noWrap w:val="0"/>
                  <w:vAlign w:val="center"/>
                </w:tcPr>
                <w:p w14:paraId="5D0E76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序号</w:t>
                  </w:r>
                </w:p>
              </w:tc>
              <w:tc>
                <w:tcPr>
                  <w:tcW w:w="920" w:type="pct"/>
                  <w:noWrap w:val="0"/>
                  <w:vAlign w:val="center"/>
                </w:tcPr>
                <w:p w14:paraId="5385DB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1</w:t>
                  </w:r>
                </w:p>
              </w:tc>
              <w:tc>
                <w:tcPr>
                  <w:tcW w:w="823" w:type="pct"/>
                  <w:noWrap w:val="0"/>
                  <w:vAlign w:val="center"/>
                </w:tcPr>
                <w:p w14:paraId="7C7C58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2</w:t>
                  </w:r>
                </w:p>
              </w:tc>
              <w:tc>
                <w:tcPr>
                  <w:tcW w:w="789" w:type="pct"/>
                  <w:noWrap w:val="0"/>
                  <w:vAlign w:val="center"/>
                </w:tcPr>
                <w:p w14:paraId="14F676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3</w:t>
                  </w:r>
                </w:p>
              </w:tc>
              <w:tc>
                <w:tcPr>
                  <w:tcW w:w="798" w:type="pct"/>
                  <w:noWrap w:val="0"/>
                  <w:vAlign w:val="center"/>
                </w:tcPr>
                <w:p w14:paraId="128051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4</w:t>
                  </w:r>
                </w:p>
              </w:tc>
            </w:tr>
            <w:tr w14:paraId="3D2F2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7" w:type="pct"/>
                  <w:gridSpan w:val="2"/>
                  <w:noWrap w:val="0"/>
                  <w:vAlign w:val="center"/>
                </w:tcPr>
                <w:p w14:paraId="76EBA2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点位名称</w:t>
                  </w:r>
                </w:p>
              </w:tc>
              <w:tc>
                <w:tcPr>
                  <w:tcW w:w="920" w:type="pct"/>
                  <w:noWrap w:val="0"/>
                  <w:vAlign w:val="center"/>
                </w:tcPr>
                <w:p w14:paraId="1698044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东面厂界</w:t>
                  </w:r>
                </w:p>
              </w:tc>
              <w:tc>
                <w:tcPr>
                  <w:tcW w:w="823" w:type="pct"/>
                  <w:noWrap w:val="0"/>
                  <w:vAlign w:val="center"/>
                </w:tcPr>
                <w:p w14:paraId="4567BEE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南面厂界</w:t>
                  </w:r>
                </w:p>
              </w:tc>
              <w:tc>
                <w:tcPr>
                  <w:tcW w:w="789" w:type="pct"/>
                  <w:noWrap w:val="0"/>
                  <w:vAlign w:val="center"/>
                </w:tcPr>
                <w:p w14:paraId="55CBF6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西面厂界</w:t>
                  </w:r>
                </w:p>
              </w:tc>
              <w:tc>
                <w:tcPr>
                  <w:tcW w:w="798" w:type="pct"/>
                  <w:noWrap w:val="0"/>
                  <w:vAlign w:val="center"/>
                </w:tcPr>
                <w:p w14:paraId="557C1B2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北面厂界</w:t>
                  </w:r>
                </w:p>
              </w:tc>
            </w:tr>
            <w:tr w14:paraId="518D3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pct"/>
                  <w:vMerge w:val="restart"/>
                  <w:noWrap w:val="0"/>
                  <w:vAlign w:val="center"/>
                </w:tcPr>
                <w:p w14:paraId="740A70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zh-CN" w:eastAsia="zh-CN"/>
                    </w:rPr>
                  </w:pPr>
                  <w:r>
                    <w:rPr>
                      <w:rFonts w:hint="default" w:ascii="Times New Roman" w:hAnsi="Times New Roman" w:eastAsia="宋体" w:cs="Times New Roman"/>
                      <w:b/>
                      <w:bCs/>
                      <w:color w:val="auto"/>
                      <w:spacing w:val="0"/>
                      <w:w w:val="100"/>
                      <w:kern w:val="0"/>
                      <w:position w:val="0"/>
                      <w:sz w:val="21"/>
                      <w:szCs w:val="21"/>
                      <w:lang w:val="en-US" w:eastAsia="zh-CN"/>
                    </w:rPr>
                    <w:t>贡献值Leq[dB(A)]</w:t>
                  </w:r>
                </w:p>
              </w:tc>
              <w:tc>
                <w:tcPr>
                  <w:tcW w:w="709" w:type="pct"/>
                  <w:noWrap w:val="0"/>
                  <w:vAlign w:val="center"/>
                </w:tcPr>
                <w:p w14:paraId="27A85A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昼间</w:t>
                  </w:r>
                </w:p>
              </w:tc>
              <w:tc>
                <w:tcPr>
                  <w:tcW w:w="920" w:type="pct"/>
                  <w:noWrap w:val="0"/>
                  <w:vAlign w:val="center"/>
                </w:tcPr>
                <w:p w14:paraId="4A6FAE9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44</w:t>
                  </w:r>
                </w:p>
              </w:tc>
              <w:tc>
                <w:tcPr>
                  <w:tcW w:w="823" w:type="pct"/>
                  <w:noWrap w:val="0"/>
                  <w:vAlign w:val="center"/>
                </w:tcPr>
                <w:p w14:paraId="3C59BA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42</w:t>
                  </w:r>
                </w:p>
              </w:tc>
              <w:tc>
                <w:tcPr>
                  <w:tcW w:w="789" w:type="pct"/>
                  <w:noWrap w:val="0"/>
                  <w:vAlign w:val="center"/>
                </w:tcPr>
                <w:p w14:paraId="7415EA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43</w:t>
                  </w:r>
                </w:p>
              </w:tc>
              <w:tc>
                <w:tcPr>
                  <w:tcW w:w="798" w:type="pct"/>
                  <w:noWrap w:val="0"/>
                  <w:vAlign w:val="center"/>
                </w:tcPr>
                <w:p w14:paraId="643EF93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52</w:t>
                  </w:r>
                </w:p>
              </w:tc>
            </w:tr>
            <w:tr w14:paraId="60E6C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8" w:type="pct"/>
                  <w:vMerge w:val="continue"/>
                  <w:noWrap w:val="0"/>
                  <w:vAlign w:val="center"/>
                </w:tcPr>
                <w:p w14:paraId="23A426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p>
              </w:tc>
              <w:tc>
                <w:tcPr>
                  <w:tcW w:w="709" w:type="pct"/>
                  <w:noWrap w:val="0"/>
                  <w:vAlign w:val="center"/>
                </w:tcPr>
                <w:p w14:paraId="10E1C4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夜间</w:t>
                  </w:r>
                </w:p>
              </w:tc>
              <w:tc>
                <w:tcPr>
                  <w:tcW w:w="920" w:type="pct"/>
                  <w:shd w:val="clear" w:color="auto" w:fill="auto"/>
                  <w:noWrap w:val="0"/>
                  <w:vAlign w:val="center"/>
                </w:tcPr>
                <w:p w14:paraId="200BBF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44</w:t>
                  </w:r>
                </w:p>
              </w:tc>
              <w:tc>
                <w:tcPr>
                  <w:tcW w:w="823" w:type="pct"/>
                  <w:shd w:val="clear" w:color="auto" w:fill="auto"/>
                  <w:noWrap w:val="0"/>
                  <w:vAlign w:val="center"/>
                </w:tcPr>
                <w:p w14:paraId="401CEE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42</w:t>
                  </w:r>
                </w:p>
              </w:tc>
              <w:tc>
                <w:tcPr>
                  <w:tcW w:w="789" w:type="pct"/>
                  <w:shd w:val="clear" w:color="auto" w:fill="auto"/>
                  <w:noWrap w:val="0"/>
                  <w:vAlign w:val="center"/>
                </w:tcPr>
                <w:p w14:paraId="4DBF71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43</w:t>
                  </w:r>
                </w:p>
              </w:tc>
              <w:tc>
                <w:tcPr>
                  <w:tcW w:w="798" w:type="pct"/>
                  <w:shd w:val="clear" w:color="auto" w:fill="auto"/>
                  <w:noWrap w:val="0"/>
                  <w:vAlign w:val="center"/>
                </w:tcPr>
                <w:p w14:paraId="6A19DC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52</w:t>
                  </w:r>
                </w:p>
              </w:tc>
            </w:tr>
          </w:tbl>
          <w:p w14:paraId="5A6FA0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根据</w:t>
            </w:r>
            <w:r>
              <w:rPr>
                <w:rFonts w:hint="default" w:ascii="Times New Roman" w:hAnsi="Times New Roman" w:eastAsia="宋体" w:cs="Times New Roman"/>
                <w:b w:val="0"/>
                <w:bCs w:val="0"/>
                <w:color w:val="auto"/>
                <w:spacing w:val="0"/>
                <w:w w:val="100"/>
                <w:kern w:val="0"/>
                <w:position w:val="0"/>
                <w:sz w:val="24"/>
                <w:lang w:val="en-US" w:eastAsia="zh-CN"/>
              </w:rPr>
              <w:t>上</w:t>
            </w:r>
            <w:r>
              <w:rPr>
                <w:rFonts w:hint="default" w:ascii="Times New Roman" w:hAnsi="Times New Roman" w:eastAsia="宋体" w:cs="Times New Roman"/>
                <w:b w:val="0"/>
                <w:bCs w:val="0"/>
                <w:color w:val="auto"/>
                <w:spacing w:val="0"/>
                <w:w w:val="100"/>
                <w:kern w:val="0"/>
                <w:position w:val="0"/>
                <w:sz w:val="24"/>
              </w:rPr>
              <w:t>表预测结果可知，项目通过采取基础减振、合理布局、隔声等措施及经过距离衰减后，项目各厂界噪声贡献值能够符合《工业企业厂界环境噪声排放标准》（GB12348-2008）</w:t>
            </w:r>
            <w:r>
              <w:rPr>
                <w:rFonts w:hint="default" w:ascii="Times New Roman" w:hAnsi="Times New Roman" w:eastAsia="宋体" w:cs="Times New Roman"/>
                <w:b w:val="0"/>
                <w:bCs w:val="0"/>
                <w:color w:val="auto"/>
                <w:spacing w:val="0"/>
                <w:w w:val="100"/>
                <w:kern w:val="0"/>
                <w:position w:val="0"/>
                <w:sz w:val="24"/>
                <w:lang w:val="en-US" w:eastAsia="zh-CN"/>
              </w:rPr>
              <w:t>3</w:t>
            </w:r>
            <w:r>
              <w:rPr>
                <w:rFonts w:hint="default" w:ascii="Times New Roman" w:hAnsi="Times New Roman" w:eastAsia="宋体" w:cs="Times New Roman"/>
                <w:b w:val="0"/>
                <w:bCs w:val="0"/>
                <w:color w:val="auto"/>
                <w:spacing w:val="0"/>
                <w:w w:val="100"/>
                <w:kern w:val="0"/>
                <w:position w:val="0"/>
                <w:sz w:val="24"/>
              </w:rPr>
              <w:t>类[昼间：≤6</w:t>
            </w:r>
            <w:r>
              <w:rPr>
                <w:rFonts w:hint="default" w:ascii="Times New Roman" w:hAnsi="Times New Roman" w:eastAsia="宋体" w:cs="Times New Roman"/>
                <w:b w:val="0"/>
                <w:bCs w:val="0"/>
                <w:color w:val="auto"/>
                <w:spacing w:val="0"/>
                <w:w w:val="100"/>
                <w:kern w:val="0"/>
                <w:position w:val="0"/>
                <w:sz w:val="24"/>
                <w:lang w:val="en-US" w:eastAsia="zh-CN"/>
              </w:rPr>
              <w:t>5</w:t>
            </w:r>
            <w:r>
              <w:rPr>
                <w:rFonts w:hint="default" w:ascii="Times New Roman" w:hAnsi="Times New Roman" w:eastAsia="宋体" w:cs="Times New Roman"/>
                <w:b w:val="0"/>
                <w:bCs w:val="0"/>
                <w:color w:val="auto"/>
                <w:spacing w:val="0"/>
                <w:w w:val="100"/>
                <w:kern w:val="0"/>
                <w:position w:val="0"/>
                <w:sz w:val="24"/>
              </w:rPr>
              <w:t>dB（A）</w:t>
            </w:r>
            <w:r>
              <w:rPr>
                <w:rFonts w:hint="default" w:ascii="Times New Roman" w:hAnsi="Times New Roman" w:eastAsia="宋体" w:cs="Times New Roman"/>
                <w:b w:val="0"/>
                <w:bCs w:val="0"/>
                <w:color w:val="auto"/>
                <w:spacing w:val="0"/>
                <w:w w:val="100"/>
                <w:kern w:val="0"/>
                <w:position w:val="0"/>
                <w:sz w:val="24"/>
                <w:lang w:eastAsia="zh-CN"/>
              </w:rPr>
              <w:t>，</w:t>
            </w:r>
            <w:r>
              <w:rPr>
                <w:rFonts w:hint="default" w:ascii="Times New Roman" w:hAnsi="Times New Roman" w:eastAsia="宋体" w:cs="Times New Roman"/>
                <w:b w:val="0"/>
                <w:bCs w:val="0"/>
                <w:color w:val="auto"/>
                <w:spacing w:val="0"/>
                <w:w w:val="100"/>
                <w:kern w:val="0"/>
                <w:position w:val="0"/>
                <w:sz w:val="24"/>
                <w:lang w:val="en-US" w:eastAsia="zh-CN"/>
              </w:rPr>
              <w:t>夜</w:t>
            </w:r>
            <w:r>
              <w:rPr>
                <w:rFonts w:hint="default" w:ascii="Times New Roman" w:hAnsi="Times New Roman" w:eastAsia="宋体" w:cs="Times New Roman"/>
                <w:b w:val="0"/>
                <w:bCs w:val="0"/>
                <w:color w:val="auto"/>
                <w:spacing w:val="0"/>
                <w:w w:val="100"/>
                <w:kern w:val="0"/>
                <w:position w:val="0"/>
                <w:sz w:val="24"/>
              </w:rPr>
              <w:t>间：≤</w:t>
            </w:r>
            <w:r>
              <w:rPr>
                <w:rFonts w:hint="default" w:ascii="Times New Roman" w:hAnsi="Times New Roman" w:eastAsia="宋体" w:cs="Times New Roman"/>
                <w:b w:val="0"/>
                <w:bCs w:val="0"/>
                <w:color w:val="auto"/>
                <w:spacing w:val="0"/>
                <w:w w:val="100"/>
                <w:kern w:val="0"/>
                <w:position w:val="0"/>
                <w:sz w:val="24"/>
                <w:lang w:val="en-US" w:eastAsia="zh-CN"/>
              </w:rPr>
              <w:t>55</w:t>
            </w:r>
            <w:r>
              <w:rPr>
                <w:rFonts w:hint="default" w:ascii="Times New Roman" w:hAnsi="Times New Roman" w:eastAsia="宋体" w:cs="Times New Roman"/>
                <w:b w:val="0"/>
                <w:bCs w:val="0"/>
                <w:color w:val="auto"/>
                <w:spacing w:val="0"/>
                <w:w w:val="100"/>
                <w:kern w:val="0"/>
                <w:position w:val="0"/>
                <w:sz w:val="24"/>
              </w:rPr>
              <w:t>dB（A）]标准。因此，项目运营期噪声排放对周边环境影响不大。</w:t>
            </w:r>
          </w:p>
          <w:p w14:paraId="31ECA1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rPr>
                <w:rFonts w:hint="default" w:ascii="Times New Roman" w:hAnsi="Times New Roman" w:eastAsia="宋体" w:cs="Times New Roman"/>
                <w:b/>
                <w:bCs/>
                <w:color w:val="auto"/>
                <w:spacing w:val="0"/>
                <w:w w:val="100"/>
                <w:kern w:val="0"/>
                <w:position w:val="0"/>
                <w:sz w:val="24"/>
              </w:rPr>
            </w:pPr>
            <w:r>
              <w:rPr>
                <w:rFonts w:hint="default" w:ascii="Times New Roman" w:hAnsi="Times New Roman" w:eastAsia="宋体" w:cs="Times New Roman"/>
                <w:b/>
                <w:bCs/>
                <w:color w:val="auto"/>
                <w:spacing w:val="0"/>
                <w:w w:val="100"/>
                <w:kern w:val="0"/>
                <w:position w:val="0"/>
                <w:sz w:val="24"/>
              </w:rPr>
              <w:t>2）监测计划</w:t>
            </w:r>
          </w:p>
          <w:p w14:paraId="6C2718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b w:val="0"/>
                <w:bCs w:val="0"/>
                <w:color w:val="auto"/>
                <w:spacing w:val="0"/>
                <w:w w:val="100"/>
                <w:kern w:val="0"/>
                <w:position w:val="0"/>
                <w:sz w:val="24"/>
              </w:rPr>
            </w:pPr>
            <w:r>
              <w:rPr>
                <w:rFonts w:hint="default" w:ascii="Times New Roman" w:hAnsi="Times New Roman" w:eastAsia="宋体" w:cs="Times New Roman"/>
                <w:b w:val="0"/>
                <w:bCs w:val="0"/>
                <w:color w:val="auto"/>
                <w:spacing w:val="0"/>
                <w:w w:val="100"/>
                <w:kern w:val="0"/>
                <w:position w:val="0"/>
                <w:sz w:val="24"/>
              </w:rPr>
              <w:t>根据《排污单位自行监测技术指南 总则》（HJ819-2017）</w:t>
            </w:r>
            <w:r>
              <w:rPr>
                <w:rFonts w:hint="default" w:ascii="Times New Roman" w:hAnsi="Times New Roman" w:eastAsia="宋体" w:cs="Times New Roman"/>
                <w:b w:val="0"/>
                <w:bCs w:val="0"/>
                <w:color w:val="auto"/>
                <w:spacing w:val="0"/>
                <w:w w:val="100"/>
                <w:kern w:val="0"/>
                <w:position w:val="0"/>
                <w:sz w:val="24"/>
                <w:lang w:val="en-US" w:eastAsia="zh-CN"/>
              </w:rPr>
              <w:t>及《排污许可证申请与核发技术规范 工业噪声》（HJ1301-2023）</w:t>
            </w:r>
            <w:r>
              <w:rPr>
                <w:rFonts w:hint="default" w:ascii="Times New Roman" w:hAnsi="Times New Roman" w:eastAsia="宋体" w:cs="Times New Roman"/>
                <w:b w:val="0"/>
                <w:bCs w:val="0"/>
                <w:color w:val="auto"/>
                <w:spacing w:val="0"/>
                <w:w w:val="100"/>
                <w:kern w:val="0"/>
                <w:position w:val="0"/>
                <w:sz w:val="24"/>
              </w:rPr>
              <w:t>等相关要求，项目运营期噪声监测计划详见表5-1。</w:t>
            </w:r>
          </w:p>
          <w:p w14:paraId="1FDA2876">
            <w:pPr>
              <w:keepNext w:val="0"/>
              <w:keepLines w:val="0"/>
              <w:suppressLineNumbers w:val="0"/>
              <w:adjustRightInd/>
              <w:snapToGrid/>
              <w:spacing w:before="0" w:beforeAutospacing="0" w:after="0" w:afterAutospacing="0"/>
              <w:ind w:left="0" w:right="0" w:firstLine="482"/>
              <w:contextualSpacing/>
              <w:rPr>
                <w:rFonts w:hint="default" w:ascii="Times New Roman" w:hAnsi="Times New Roman" w:eastAsia="宋体" w:cs="Times New Roman"/>
                <w:b/>
                <w:bCs/>
                <w:color w:val="auto"/>
                <w:spacing w:val="0"/>
                <w:w w:val="100"/>
                <w:position w:val="0"/>
                <w:sz w:val="24"/>
                <w:szCs w:val="24"/>
              </w:rPr>
            </w:pPr>
            <w:r>
              <w:rPr>
                <w:rFonts w:hint="default" w:ascii="Times New Roman" w:hAnsi="Times New Roman" w:eastAsia="宋体" w:cs="Times New Roman"/>
                <w:b/>
                <w:bCs/>
                <w:color w:val="auto"/>
                <w:spacing w:val="0"/>
                <w:w w:val="100"/>
                <w:position w:val="0"/>
                <w:sz w:val="24"/>
                <w:szCs w:val="24"/>
              </w:rPr>
              <w:t>5、土壤、地下水</w:t>
            </w:r>
          </w:p>
          <w:p w14:paraId="6CCF9450">
            <w:pPr>
              <w:pStyle w:val="12"/>
              <w:keepNext w:val="0"/>
              <w:keepLines w:val="0"/>
              <w:suppressLineNumbers w:val="0"/>
              <w:adjustRightInd/>
              <w:snapToGrid/>
              <w:spacing w:before="0" w:beforeAutospacing="0" w:after="0" w:afterAutospacing="0" w:line="360" w:lineRule="auto"/>
              <w:ind w:left="0" w:right="0" w:firstLine="482"/>
              <w:contextualSpacing/>
              <w:rPr>
                <w:rFonts w:hint="default" w:ascii="Times New Roman" w:hAnsi="Times New Roman" w:eastAsia="宋体" w:cs="Times New Roman"/>
                <w:b/>
                <w:bCs/>
                <w:color w:val="auto"/>
                <w:spacing w:val="0"/>
                <w:w w:val="100"/>
                <w:position w:val="0"/>
                <w:sz w:val="24"/>
                <w:szCs w:val="24"/>
              </w:rPr>
            </w:pPr>
            <w:r>
              <w:rPr>
                <w:rFonts w:hint="default" w:ascii="Times New Roman" w:hAnsi="Times New Roman" w:eastAsia="宋体" w:cs="Times New Roman"/>
                <w:b/>
                <w:bCs/>
                <w:color w:val="auto"/>
                <w:spacing w:val="0"/>
                <w:w w:val="100"/>
                <w:position w:val="0"/>
                <w:sz w:val="24"/>
                <w:szCs w:val="24"/>
              </w:rPr>
              <w:fldChar w:fldCharType="begin"/>
            </w:r>
            <w:r>
              <w:rPr>
                <w:rFonts w:hint="default" w:ascii="Times New Roman" w:hAnsi="Times New Roman" w:eastAsia="宋体" w:cs="Times New Roman"/>
                <w:b/>
                <w:bCs/>
                <w:color w:val="auto"/>
                <w:spacing w:val="0"/>
                <w:w w:val="100"/>
                <w:position w:val="0"/>
                <w:sz w:val="24"/>
                <w:szCs w:val="24"/>
              </w:rPr>
              <w:instrText xml:space="preserve"> = 1 \* ROMAN \* MERGEFORMAT </w:instrText>
            </w:r>
            <w:r>
              <w:rPr>
                <w:rFonts w:hint="default" w:ascii="Times New Roman" w:hAnsi="Times New Roman" w:eastAsia="宋体" w:cs="Times New Roman"/>
                <w:b/>
                <w:bCs/>
                <w:color w:val="auto"/>
                <w:spacing w:val="0"/>
                <w:w w:val="100"/>
                <w:position w:val="0"/>
                <w:sz w:val="24"/>
                <w:szCs w:val="24"/>
              </w:rPr>
              <w:fldChar w:fldCharType="separate"/>
            </w:r>
            <w:r>
              <w:rPr>
                <w:rFonts w:hint="default" w:ascii="Times New Roman" w:hAnsi="Times New Roman" w:eastAsia="宋体" w:cs="Times New Roman"/>
                <w:b/>
                <w:bCs/>
                <w:color w:val="auto"/>
                <w:spacing w:val="0"/>
                <w:w w:val="100"/>
                <w:position w:val="0"/>
                <w:sz w:val="24"/>
                <w:szCs w:val="24"/>
              </w:rPr>
              <w:t>I</w:t>
            </w:r>
            <w:r>
              <w:rPr>
                <w:rFonts w:hint="default" w:ascii="Times New Roman" w:hAnsi="Times New Roman" w:eastAsia="宋体" w:cs="Times New Roman"/>
                <w:b/>
                <w:bCs/>
                <w:color w:val="auto"/>
                <w:spacing w:val="0"/>
                <w:w w:val="100"/>
                <w:position w:val="0"/>
                <w:sz w:val="24"/>
                <w:szCs w:val="24"/>
              </w:rPr>
              <w:fldChar w:fldCharType="end"/>
            </w:r>
            <w:r>
              <w:rPr>
                <w:rFonts w:hint="default" w:ascii="Times New Roman" w:hAnsi="Times New Roman" w:eastAsia="宋体" w:cs="Times New Roman"/>
                <w:b/>
                <w:bCs/>
                <w:color w:val="auto"/>
                <w:spacing w:val="0"/>
                <w:w w:val="100"/>
                <w:position w:val="0"/>
                <w:sz w:val="24"/>
                <w:szCs w:val="24"/>
              </w:rPr>
              <w:t>、污染源及污染途径分析</w:t>
            </w:r>
          </w:p>
          <w:p w14:paraId="3199E05D">
            <w:pPr>
              <w:pStyle w:val="12"/>
              <w:keepNext w:val="0"/>
              <w:keepLines w:val="0"/>
              <w:suppressLineNumbers w:val="0"/>
              <w:adjustRightInd/>
              <w:snapToGrid/>
              <w:spacing w:before="0" w:beforeAutospacing="0" w:after="0" w:afterAutospacing="0" w:line="360" w:lineRule="auto"/>
              <w:ind w:left="0" w:right="0" w:firstLine="482"/>
              <w:contextualSpacing/>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项目运营过程对地下水、土壤可能存在的污染途径分析详见表4-</w:t>
            </w:r>
            <w:r>
              <w:rPr>
                <w:rFonts w:hint="default" w:ascii="Times New Roman" w:hAnsi="Times New Roman" w:eastAsia="宋体" w:cs="Times New Roman"/>
                <w:b w:val="0"/>
                <w:bCs w:val="0"/>
                <w:color w:val="auto"/>
                <w:spacing w:val="0"/>
                <w:w w:val="100"/>
                <w:position w:val="0"/>
                <w:sz w:val="24"/>
                <w:szCs w:val="24"/>
                <w:lang w:val="en-US" w:eastAsia="zh-CN"/>
              </w:rPr>
              <w:t>15</w:t>
            </w:r>
            <w:r>
              <w:rPr>
                <w:rFonts w:hint="default" w:ascii="Times New Roman" w:hAnsi="Times New Roman" w:eastAsia="宋体" w:cs="Times New Roman"/>
                <w:b w:val="0"/>
                <w:bCs w:val="0"/>
                <w:color w:val="auto"/>
                <w:spacing w:val="0"/>
                <w:w w:val="100"/>
                <w:position w:val="0"/>
                <w:sz w:val="24"/>
                <w:szCs w:val="24"/>
              </w:rPr>
              <w:t>。</w:t>
            </w:r>
          </w:p>
          <w:p w14:paraId="194871D6">
            <w:pPr>
              <w:pStyle w:val="12"/>
              <w:keepNext w:val="0"/>
              <w:keepLines w:val="0"/>
              <w:suppressLineNumbers w:val="0"/>
              <w:adjustRightInd/>
              <w:snapToGrid/>
              <w:spacing w:before="0" w:beforeAutospacing="0" w:after="0" w:afterAutospacing="0" w:line="360" w:lineRule="auto"/>
              <w:ind w:left="0" w:right="0" w:firstLine="482"/>
              <w:contextualSpacing/>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表4-</w:t>
            </w:r>
            <w:r>
              <w:rPr>
                <w:rFonts w:hint="default" w:ascii="Times New Roman" w:hAnsi="Times New Roman" w:eastAsia="宋体" w:cs="Times New Roman"/>
                <w:b/>
                <w:bCs/>
                <w:color w:val="auto"/>
                <w:spacing w:val="0"/>
                <w:w w:val="100"/>
                <w:position w:val="0"/>
                <w:sz w:val="21"/>
                <w:szCs w:val="21"/>
                <w:lang w:val="en-US" w:eastAsia="zh-CN"/>
              </w:rPr>
              <w:t>15</w:t>
            </w:r>
            <w:r>
              <w:rPr>
                <w:rFonts w:hint="default" w:ascii="Times New Roman" w:hAnsi="Times New Roman" w:eastAsia="宋体" w:cs="Times New Roman"/>
                <w:b/>
                <w:bCs/>
                <w:color w:val="auto"/>
                <w:spacing w:val="0"/>
                <w:w w:val="100"/>
                <w:position w:val="0"/>
                <w:sz w:val="21"/>
                <w:szCs w:val="21"/>
              </w:rPr>
              <w:t xml:space="preserve">  项目对地下水、土壤可能存在的污染途径分析一览表</w:t>
            </w:r>
          </w:p>
          <w:tbl>
            <w:tblPr>
              <w:tblStyle w:val="5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1"/>
              <w:gridCol w:w="1997"/>
              <w:gridCol w:w="4767"/>
            </w:tblGrid>
            <w:tr w14:paraId="03A92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817" w:type="pct"/>
                  <w:noWrap w:val="0"/>
                  <w:vAlign w:val="center"/>
                </w:tcPr>
                <w:p w14:paraId="756E49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区域</w:t>
                  </w:r>
                </w:p>
              </w:tc>
              <w:tc>
                <w:tcPr>
                  <w:tcW w:w="1235" w:type="pct"/>
                  <w:noWrap w:val="0"/>
                  <w:vAlign w:val="center"/>
                </w:tcPr>
                <w:p w14:paraId="293933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污染源</w:t>
                  </w:r>
                </w:p>
              </w:tc>
              <w:tc>
                <w:tcPr>
                  <w:tcW w:w="2947" w:type="pct"/>
                  <w:noWrap w:val="0"/>
                  <w:vAlign w:val="center"/>
                </w:tcPr>
                <w:p w14:paraId="6F93A9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污染途径</w:t>
                  </w:r>
                </w:p>
              </w:tc>
            </w:tr>
            <w:tr w14:paraId="5618C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pct"/>
                  <w:noWrap w:val="0"/>
                  <w:vAlign w:val="center"/>
                </w:tcPr>
                <w:p w14:paraId="42BDE0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化粪池</w:t>
                  </w:r>
                </w:p>
              </w:tc>
              <w:tc>
                <w:tcPr>
                  <w:tcW w:w="1235" w:type="pct"/>
                  <w:noWrap w:val="0"/>
                  <w:vAlign w:val="center"/>
                </w:tcPr>
                <w:p w14:paraId="56B65B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废水</w:t>
                  </w:r>
                </w:p>
              </w:tc>
              <w:tc>
                <w:tcPr>
                  <w:tcW w:w="2947" w:type="pct"/>
                  <w:noWrap w:val="0"/>
                  <w:vAlign w:val="center"/>
                </w:tcPr>
                <w:p w14:paraId="6EB5FE0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因池体破裂造成废水泄漏，从而发生垂直下渗影响土壤、地下水</w:t>
                  </w:r>
                </w:p>
              </w:tc>
            </w:tr>
            <w:tr w14:paraId="43707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7" w:type="pct"/>
                  <w:noWrap w:val="0"/>
                  <w:vAlign w:val="center"/>
                </w:tcPr>
                <w:p w14:paraId="300901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危废暂存间</w:t>
                  </w:r>
                </w:p>
              </w:tc>
              <w:tc>
                <w:tcPr>
                  <w:tcW w:w="1235" w:type="pct"/>
                  <w:noWrap w:val="0"/>
                  <w:vAlign w:val="center"/>
                </w:tcPr>
                <w:p w14:paraId="180EDB4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废活性炭</w:t>
                  </w:r>
                </w:p>
              </w:tc>
              <w:tc>
                <w:tcPr>
                  <w:tcW w:w="2947" w:type="pct"/>
                  <w:noWrap w:val="0"/>
                  <w:vAlign w:val="center"/>
                </w:tcPr>
                <w:p w14:paraId="50FEDC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因暂存方式不当，废活性炭被雨水冲刷，所沾染的有害物质随雨水污染土壤及地下水</w:t>
                  </w:r>
                </w:p>
              </w:tc>
            </w:tr>
          </w:tbl>
          <w:p w14:paraId="6C6ECD4C">
            <w:pPr>
              <w:pStyle w:val="12"/>
              <w:keepNext w:val="0"/>
              <w:keepLines w:val="0"/>
              <w:suppressLineNumbers w:val="0"/>
              <w:adjustRightInd/>
              <w:snapToGrid/>
              <w:spacing w:before="0" w:beforeAutospacing="0" w:after="0" w:afterAutospacing="0" w:line="360" w:lineRule="auto"/>
              <w:ind w:left="0" w:right="0" w:firstLine="482"/>
              <w:contextualSpacing/>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bCs/>
                <w:color w:val="auto"/>
                <w:spacing w:val="0"/>
                <w:w w:val="100"/>
                <w:position w:val="0"/>
                <w:sz w:val="24"/>
                <w:szCs w:val="24"/>
              </w:rPr>
              <w:fldChar w:fldCharType="begin"/>
            </w:r>
            <w:r>
              <w:rPr>
                <w:rFonts w:hint="default" w:ascii="Times New Roman" w:hAnsi="Times New Roman" w:eastAsia="宋体" w:cs="Times New Roman"/>
                <w:b/>
                <w:bCs/>
                <w:color w:val="auto"/>
                <w:spacing w:val="0"/>
                <w:w w:val="100"/>
                <w:position w:val="0"/>
                <w:sz w:val="24"/>
                <w:szCs w:val="24"/>
              </w:rPr>
              <w:instrText xml:space="preserve"> = 2 \* ROMAN \* MERGEFORMAT </w:instrText>
            </w:r>
            <w:r>
              <w:rPr>
                <w:rFonts w:hint="default" w:ascii="Times New Roman" w:hAnsi="Times New Roman" w:eastAsia="宋体" w:cs="Times New Roman"/>
                <w:b/>
                <w:bCs/>
                <w:color w:val="auto"/>
                <w:spacing w:val="0"/>
                <w:w w:val="100"/>
                <w:position w:val="0"/>
                <w:sz w:val="24"/>
                <w:szCs w:val="24"/>
              </w:rPr>
              <w:fldChar w:fldCharType="separate"/>
            </w:r>
            <w:r>
              <w:rPr>
                <w:rFonts w:hint="default" w:ascii="Times New Roman" w:hAnsi="Times New Roman" w:eastAsia="宋体" w:cs="Times New Roman"/>
                <w:b/>
                <w:bCs/>
                <w:color w:val="auto"/>
                <w:spacing w:val="0"/>
                <w:w w:val="100"/>
                <w:position w:val="0"/>
                <w:sz w:val="24"/>
                <w:szCs w:val="24"/>
              </w:rPr>
              <w:t>II</w:t>
            </w:r>
            <w:r>
              <w:rPr>
                <w:rFonts w:hint="default" w:ascii="Times New Roman" w:hAnsi="Times New Roman" w:eastAsia="宋体" w:cs="Times New Roman"/>
                <w:b/>
                <w:bCs/>
                <w:color w:val="auto"/>
                <w:spacing w:val="0"/>
                <w:w w:val="100"/>
                <w:position w:val="0"/>
                <w:sz w:val="24"/>
                <w:szCs w:val="24"/>
              </w:rPr>
              <w:fldChar w:fldCharType="end"/>
            </w:r>
            <w:r>
              <w:rPr>
                <w:rFonts w:hint="default" w:ascii="Times New Roman" w:hAnsi="Times New Roman" w:eastAsia="宋体" w:cs="Times New Roman"/>
                <w:b/>
                <w:bCs/>
                <w:color w:val="auto"/>
                <w:spacing w:val="0"/>
                <w:w w:val="100"/>
                <w:position w:val="0"/>
                <w:sz w:val="24"/>
                <w:szCs w:val="24"/>
              </w:rPr>
              <w:t>、防控措施</w:t>
            </w:r>
          </w:p>
          <w:p w14:paraId="1A91EC8A">
            <w:pPr>
              <w:pStyle w:val="12"/>
              <w:keepNext w:val="0"/>
              <w:keepLines w:val="0"/>
              <w:suppressLineNumbers w:val="0"/>
              <w:adjustRightInd/>
              <w:snapToGrid/>
              <w:spacing w:before="0" w:beforeAutospacing="0" w:after="0" w:afterAutospacing="0" w:line="360" w:lineRule="auto"/>
              <w:ind w:left="0" w:right="0" w:firstLine="482"/>
              <w:contextualSpacing/>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根据《环境影响评价技术导则 地下水环境》（HJ610-2016）“11.2.2分区防控措施”及“表7 地下水污染防渗分区参照表”，项目防渗区域及防渗要求见表4-</w:t>
            </w:r>
            <w:r>
              <w:rPr>
                <w:rFonts w:hint="default" w:ascii="Times New Roman" w:hAnsi="Times New Roman" w:eastAsia="宋体" w:cs="Times New Roman"/>
                <w:b w:val="0"/>
                <w:bCs w:val="0"/>
                <w:color w:val="auto"/>
                <w:spacing w:val="0"/>
                <w:w w:val="100"/>
                <w:position w:val="0"/>
                <w:sz w:val="24"/>
                <w:szCs w:val="24"/>
                <w:lang w:val="en-US" w:eastAsia="zh-CN"/>
              </w:rPr>
              <w:t>16</w:t>
            </w:r>
            <w:r>
              <w:rPr>
                <w:rFonts w:hint="default" w:ascii="Times New Roman" w:hAnsi="Times New Roman" w:eastAsia="宋体" w:cs="Times New Roman"/>
                <w:b w:val="0"/>
                <w:bCs w:val="0"/>
                <w:color w:val="auto"/>
                <w:spacing w:val="0"/>
                <w:w w:val="100"/>
                <w:position w:val="0"/>
                <w:sz w:val="24"/>
                <w:szCs w:val="24"/>
              </w:rPr>
              <w:t>。</w:t>
            </w:r>
          </w:p>
          <w:p w14:paraId="1C4FE11E">
            <w:pPr>
              <w:pStyle w:val="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contextualSpacing/>
              <w:jc w:val="center"/>
              <w:textAlignment w:val="baseline"/>
              <w:rPr>
                <w:rFonts w:hint="default" w:ascii="Times New Roman" w:hAnsi="Times New Roman" w:eastAsia="宋体" w:cs="Times New Roman"/>
                <w:b/>
                <w:bCs/>
                <w:color w:val="auto"/>
                <w:spacing w:val="0"/>
                <w:w w:val="100"/>
                <w:position w:val="0"/>
                <w:sz w:val="21"/>
                <w:szCs w:val="21"/>
              </w:rPr>
            </w:pPr>
            <w:r>
              <w:rPr>
                <w:rFonts w:hint="default" w:ascii="Times New Roman" w:hAnsi="Times New Roman" w:eastAsia="宋体" w:cs="Times New Roman"/>
                <w:b/>
                <w:bCs/>
                <w:color w:val="auto"/>
                <w:spacing w:val="0"/>
                <w:w w:val="100"/>
                <w:position w:val="0"/>
                <w:sz w:val="21"/>
                <w:szCs w:val="21"/>
              </w:rPr>
              <w:t>表4-</w:t>
            </w:r>
            <w:r>
              <w:rPr>
                <w:rFonts w:hint="default" w:ascii="Times New Roman" w:hAnsi="Times New Roman" w:eastAsia="宋体" w:cs="Times New Roman"/>
                <w:b/>
                <w:bCs/>
                <w:color w:val="auto"/>
                <w:spacing w:val="0"/>
                <w:w w:val="100"/>
                <w:position w:val="0"/>
                <w:sz w:val="21"/>
                <w:szCs w:val="21"/>
                <w:lang w:val="en-US" w:eastAsia="zh-CN"/>
              </w:rPr>
              <w:t>16</w:t>
            </w:r>
            <w:r>
              <w:rPr>
                <w:rFonts w:hint="default" w:ascii="Times New Roman" w:hAnsi="Times New Roman" w:eastAsia="宋体" w:cs="Times New Roman"/>
                <w:b/>
                <w:bCs/>
                <w:color w:val="auto"/>
                <w:spacing w:val="0"/>
                <w:w w:val="100"/>
                <w:position w:val="0"/>
                <w:sz w:val="21"/>
                <w:szCs w:val="21"/>
              </w:rPr>
              <w:t xml:space="preserve">  项目防渗区域及防渗要求一览表</w:t>
            </w:r>
          </w:p>
          <w:tbl>
            <w:tblPr>
              <w:tblStyle w:val="5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0"/>
              <w:gridCol w:w="2890"/>
              <w:gridCol w:w="3894"/>
            </w:tblGrid>
            <w:tr w14:paraId="77D21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4" w:type="pct"/>
                  <w:noWrap w:val="0"/>
                  <w:vAlign w:val="center"/>
                </w:tcPr>
                <w:p w14:paraId="321A44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防渗分区</w:t>
                  </w:r>
                </w:p>
              </w:tc>
              <w:tc>
                <w:tcPr>
                  <w:tcW w:w="1787" w:type="pct"/>
                  <w:noWrap w:val="0"/>
                  <w:vAlign w:val="center"/>
                </w:tcPr>
                <w:p w14:paraId="18B3EF5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项目区域</w:t>
                  </w:r>
                </w:p>
              </w:tc>
              <w:tc>
                <w:tcPr>
                  <w:tcW w:w="2407" w:type="pct"/>
                  <w:noWrap w:val="0"/>
                  <w:vAlign w:val="center"/>
                </w:tcPr>
                <w:p w14:paraId="4EFCE2D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防渗技术要求</w:t>
                  </w:r>
                </w:p>
              </w:tc>
            </w:tr>
            <w:tr w14:paraId="77AD9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4" w:type="pct"/>
                  <w:noWrap w:val="0"/>
                  <w:vAlign w:val="center"/>
                </w:tcPr>
                <w:p w14:paraId="7F2E7A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重点防渗区</w:t>
                  </w:r>
                </w:p>
              </w:tc>
              <w:tc>
                <w:tcPr>
                  <w:tcW w:w="1787" w:type="pct"/>
                  <w:noWrap w:val="0"/>
                  <w:vAlign w:val="center"/>
                </w:tcPr>
                <w:p w14:paraId="4941014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危废暂存间</w:t>
                  </w:r>
                </w:p>
              </w:tc>
              <w:tc>
                <w:tcPr>
                  <w:tcW w:w="2407" w:type="pct"/>
                  <w:noWrap w:val="0"/>
                  <w:vAlign w:val="center"/>
                </w:tcPr>
                <w:p w14:paraId="1BE7C0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等效黏土防渗层Mb≥6.0m，K≤1×10</w:t>
                  </w:r>
                  <w:r>
                    <w:rPr>
                      <w:rFonts w:hint="default" w:ascii="Times New Roman" w:hAnsi="Times New Roman" w:eastAsia="宋体" w:cs="Times New Roman"/>
                      <w:b w:val="0"/>
                      <w:bCs w:val="0"/>
                      <w:color w:val="auto"/>
                      <w:spacing w:val="0"/>
                      <w:w w:val="100"/>
                      <w:kern w:val="0"/>
                      <w:position w:val="0"/>
                      <w:sz w:val="21"/>
                      <w:szCs w:val="21"/>
                      <w:vertAlign w:val="superscript"/>
                      <w:lang w:val="en-US" w:eastAsia="zh-CN"/>
                    </w:rPr>
                    <w:t>-10</w:t>
                  </w:r>
                  <w:r>
                    <w:rPr>
                      <w:rFonts w:hint="default" w:ascii="Times New Roman" w:hAnsi="Times New Roman" w:eastAsia="宋体" w:cs="Times New Roman"/>
                      <w:b w:val="0"/>
                      <w:bCs w:val="0"/>
                      <w:color w:val="auto"/>
                      <w:spacing w:val="0"/>
                      <w:w w:val="100"/>
                      <w:kern w:val="0"/>
                      <w:position w:val="0"/>
                      <w:sz w:val="21"/>
                      <w:szCs w:val="21"/>
                      <w:lang w:val="en-US" w:eastAsia="zh-CN"/>
                    </w:rPr>
                    <w:t>cm/s；或参照GB18598执行</w:t>
                  </w:r>
                </w:p>
              </w:tc>
            </w:tr>
            <w:tr w14:paraId="00413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4" w:type="pct"/>
                  <w:noWrap w:val="0"/>
                  <w:vAlign w:val="center"/>
                </w:tcPr>
                <w:p w14:paraId="2E09CBE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一般防渗区</w:t>
                  </w:r>
                </w:p>
              </w:tc>
              <w:tc>
                <w:tcPr>
                  <w:tcW w:w="1787" w:type="pct"/>
                  <w:noWrap w:val="0"/>
                  <w:vAlign w:val="center"/>
                </w:tcPr>
                <w:p w14:paraId="04246DD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化粪池</w:t>
                  </w:r>
                </w:p>
              </w:tc>
              <w:tc>
                <w:tcPr>
                  <w:tcW w:w="2407" w:type="pct"/>
                  <w:noWrap w:val="0"/>
                  <w:vAlign w:val="center"/>
                </w:tcPr>
                <w:p w14:paraId="76BB0D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等效黏土防渗层Mb≥1.5m，K≤1×10</w:t>
                  </w:r>
                  <w:r>
                    <w:rPr>
                      <w:rFonts w:hint="default" w:ascii="Times New Roman" w:hAnsi="Times New Roman" w:eastAsia="宋体" w:cs="Times New Roman"/>
                      <w:b w:val="0"/>
                      <w:bCs w:val="0"/>
                      <w:color w:val="auto"/>
                      <w:spacing w:val="0"/>
                      <w:w w:val="100"/>
                      <w:kern w:val="0"/>
                      <w:position w:val="0"/>
                      <w:sz w:val="21"/>
                      <w:szCs w:val="21"/>
                      <w:vertAlign w:val="superscript"/>
                      <w:lang w:val="en-US" w:eastAsia="zh-CN"/>
                    </w:rPr>
                    <w:t>-7</w:t>
                  </w:r>
                  <w:r>
                    <w:rPr>
                      <w:rFonts w:hint="default" w:ascii="Times New Roman" w:hAnsi="Times New Roman" w:eastAsia="宋体" w:cs="Times New Roman"/>
                      <w:b w:val="0"/>
                      <w:bCs w:val="0"/>
                      <w:color w:val="auto"/>
                      <w:spacing w:val="0"/>
                      <w:w w:val="100"/>
                      <w:kern w:val="0"/>
                      <w:position w:val="0"/>
                      <w:sz w:val="21"/>
                      <w:szCs w:val="21"/>
                      <w:lang w:val="en-US" w:eastAsia="zh-CN"/>
                    </w:rPr>
                    <w:t>cm/s；或参照GB16889执行</w:t>
                  </w:r>
                </w:p>
              </w:tc>
            </w:tr>
            <w:tr w14:paraId="40BBE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4" w:type="pct"/>
                  <w:noWrap w:val="0"/>
                  <w:vAlign w:val="center"/>
                </w:tcPr>
                <w:p w14:paraId="374221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简单防渗区</w:t>
                  </w:r>
                </w:p>
              </w:tc>
              <w:tc>
                <w:tcPr>
                  <w:tcW w:w="1787" w:type="pct"/>
                  <w:noWrap w:val="0"/>
                  <w:vAlign w:val="center"/>
                </w:tcPr>
                <w:p w14:paraId="509070E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除重点、一般防渗区以外的区域</w:t>
                  </w:r>
                </w:p>
              </w:tc>
              <w:tc>
                <w:tcPr>
                  <w:tcW w:w="2407" w:type="pct"/>
                  <w:noWrap w:val="0"/>
                  <w:vAlign w:val="center"/>
                </w:tcPr>
                <w:p w14:paraId="563EBD3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地面采用混凝土硬化</w:t>
                  </w:r>
                </w:p>
              </w:tc>
            </w:tr>
          </w:tbl>
          <w:p w14:paraId="428FC5DB">
            <w:pPr>
              <w:pStyle w:val="12"/>
              <w:keepNext w:val="0"/>
              <w:keepLines w:val="0"/>
              <w:suppressLineNumbers w:val="0"/>
              <w:adjustRightInd/>
              <w:snapToGrid/>
              <w:spacing w:before="0" w:beforeAutospacing="0" w:after="0" w:afterAutospacing="0" w:line="360" w:lineRule="auto"/>
              <w:ind w:left="0" w:right="0" w:firstLine="482"/>
              <w:contextualSpacing/>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项目划分为重点防渗区</w:t>
            </w:r>
            <w:r>
              <w:rPr>
                <w:rFonts w:hint="default" w:ascii="Times New Roman" w:hAnsi="Times New Roman" w:eastAsia="宋体" w:cs="Times New Roman"/>
                <w:b w:val="0"/>
                <w:bCs w:val="0"/>
                <w:color w:val="auto"/>
                <w:spacing w:val="0"/>
                <w:w w:val="100"/>
                <w:position w:val="0"/>
                <w:sz w:val="24"/>
                <w:szCs w:val="24"/>
                <w:lang w:eastAsia="zh-CN"/>
              </w:rPr>
              <w:t>、</w:t>
            </w:r>
            <w:r>
              <w:rPr>
                <w:rFonts w:hint="default" w:ascii="Times New Roman" w:hAnsi="Times New Roman" w:eastAsia="宋体" w:cs="Times New Roman"/>
                <w:b w:val="0"/>
                <w:bCs w:val="0"/>
                <w:color w:val="auto"/>
                <w:spacing w:val="0"/>
                <w:w w:val="100"/>
                <w:position w:val="0"/>
                <w:sz w:val="24"/>
                <w:szCs w:val="24"/>
                <w:lang w:val="en-US" w:eastAsia="zh-CN"/>
              </w:rPr>
              <w:t>一般防渗区</w:t>
            </w:r>
            <w:r>
              <w:rPr>
                <w:rFonts w:hint="default" w:ascii="Times New Roman" w:hAnsi="Times New Roman" w:eastAsia="宋体" w:cs="Times New Roman"/>
                <w:b w:val="0"/>
                <w:bCs w:val="0"/>
                <w:color w:val="auto"/>
                <w:spacing w:val="0"/>
                <w:w w:val="100"/>
                <w:position w:val="0"/>
                <w:sz w:val="24"/>
                <w:szCs w:val="24"/>
              </w:rPr>
              <w:t>和简单防渗区：</w:t>
            </w:r>
          </w:p>
          <w:p w14:paraId="44B72996">
            <w:pPr>
              <w:pStyle w:val="12"/>
              <w:keepNext w:val="0"/>
              <w:keepLines w:val="0"/>
              <w:suppressLineNumbers w:val="0"/>
              <w:adjustRightInd/>
              <w:snapToGrid/>
              <w:spacing w:before="0" w:beforeAutospacing="0" w:after="0" w:afterAutospacing="0" w:line="360" w:lineRule="auto"/>
              <w:ind w:left="0" w:right="0" w:firstLine="482"/>
              <w:contextualSpacing/>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①重点防渗区：</w:t>
            </w:r>
          </w:p>
          <w:p w14:paraId="7C9C00E1">
            <w:pPr>
              <w:pStyle w:val="12"/>
              <w:keepNext w:val="0"/>
              <w:keepLines w:val="0"/>
              <w:suppressLineNumbers w:val="0"/>
              <w:adjustRightInd/>
              <w:snapToGrid/>
              <w:spacing w:before="0" w:beforeAutospacing="0" w:after="0" w:afterAutospacing="0" w:line="360" w:lineRule="auto"/>
              <w:ind w:left="0" w:right="0" w:firstLine="482"/>
              <w:contextualSpacing/>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项目可能产生的土壤、地下水污染的污染源主要为危废暂存间。危废暂存间按照</w:t>
            </w:r>
            <w:r>
              <w:rPr>
                <w:rFonts w:hint="default" w:ascii="Times New Roman" w:hAnsi="Times New Roman" w:eastAsia="宋体" w:cs="Times New Roman"/>
                <w:b w:val="0"/>
                <w:bCs w:val="0"/>
                <w:color w:val="auto"/>
                <w:spacing w:val="0"/>
                <w:w w:val="100"/>
                <w:position w:val="0"/>
                <w:sz w:val="24"/>
                <w:szCs w:val="24"/>
              </w:rPr>
              <w:t>《环境影响评价技术导则-地下水环境》（HJ610-2016）中重点防渗区的防渗要求，根据不同区域采取相应的防腐防渗措施，地面防渗可采用25cm厚的C25混凝土硬化防渗+2mm 厚的高密度聚乙烯或其他人工材料，耐酸性、耐碱性强。防渗效果达到防渗层渗透系数≤10</w:t>
            </w:r>
            <w:r>
              <w:rPr>
                <w:rFonts w:hint="default" w:ascii="Times New Roman" w:hAnsi="Times New Roman" w:eastAsia="宋体" w:cs="Times New Roman"/>
                <w:b w:val="0"/>
                <w:bCs w:val="0"/>
                <w:color w:val="auto"/>
                <w:spacing w:val="0"/>
                <w:w w:val="100"/>
                <w:position w:val="0"/>
                <w:sz w:val="24"/>
                <w:szCs w:val="24"/>
                <w:vertAlign w:val="superscript"/>
              </w:rPr>
              <w:t>-10</w:t>
            </w:r>
            <w:r>
              <w:rPr>
                <w:rFonts w:hint="default" w:ascii="Times New Roman" w:hAnsi="Times New Roman" w:eastAsia="宋体" w:cs="Times New Roman"/>
                <w:b w:val="0"/>
                <w:bCs w:val="0"/>
                <w:color w:val="auto"/>
                <w:spacing w:val="0"/>
                <w:w w:val="100"/>
                <w:position w:val="0"/>
                <w:sz w:val="24"/>
                <w:szCs w:val="24"/>
              </w:rPr>
              <w:t>cm/s。</w:t>
            </w:r>
          </w:p>
          <w:p w14:paraId="2E75D425">
            <w:pPr>
              <w:pStyle w:val="12"/>
              <w:keepNext w:val="0"/>
              <w:keepLines w:val="0"/>
              <w:suppressLineNumbers w:val="0"/>
              <w:adjustRightInd/>
              <w:snapToGrid/>
              <w:spacing w:before="0" w:beforeAutospacing="0" w:after="0" w:afterAutospacing="0" w:line="360" w:lineRule="auto"/>
              <w:ind w:left="0" w:right="0" w:firstLine="482"/>
              <w:contextualSpacing/>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lang w:val="en-US" w:eastAsia="zh-CN"/>
              </w:rPr>
              <w:t>②</w:t>
            </w:r>
            <w:r>
              <w:rPr>
                <w:rFonts w:hint="default" w:ascii="Times New Roman" w:hAnsi="Times New Roman" w:eastAsia="宋体" w:cs="Times New Roman"/>
                <w:b w:val="0"/>
                <w:bCs w:val="0"/>
                <w:color w:val="auto"/>
                <w:spacing w:val="0"/>
                <w:w w:val="100"/>
                <w:position w:val="0"/>
                <w:sz w:val="24"/>
                <w:szCs w:val="24"/>
              </w:rPr>
              <w:t>一般防渗区：</w:t>
            </w:r>
          </w:p>
          <w:p w14:paraId="762A0A79">
            <w:pPr>
              <w:pStyle w:val="12"/>
              <w:keepNext w:val="0"/>
              <w:keepLines w:val="0"/>
              <w:suppressLineNumbers w:val="0"/>
              <w:adjustRightInd/>
              <w:snapToGrid/>
              <w:spacing w:before="0" w:beforeAutospacing="0" w:after="0" w:afterAutospacing="0" w:line="360" w:lineRule="auto"/>
              <w:ind w:left="0" w:right="0" w:firstLine="482"/>
              <w:contextualSpacing/>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rPr>
              <w:t>一般防渗区主要为</w:t>
            </w:r>
            <w:r>
              <w:rPr>
                <w:rFonts w:hint="default" w:ascii="Times New Roman" w:hAnsi="Times New Roman" w:eastAsia="宋体" w:cs="Times New Roman"/>
                <w:b w:val="0"/>
                <w:bCs w:val="0"/>
                <w:color w:val="auto"/>
                <w:spacing w:val="0"/>
                <w:w w:val="100"/>
                <w:position w:val="0"/>
                <w:sz w:val="24"/>
                <w:szCs w:val="24"/>
                <w:lang w:val="en-US" w:eastAsia="zh-CN"/>
              </w:rPr>
              <w:t>化粪池</w:t>
            </w:r>
            <w:r>
              <w:rPr>
                <w:rFonts w:hint="default" w:ascii="Times New Roman" w:hAnsi="Times New Roman" w:eastAsia="宋体" w:cs="Times New Roman"/>
                <w:b w:val="0"/>
                <w:bCs w:val="0"/>
                <w:color w:val="auto"/>
                <w:spacing w:val="0"/>
                <w:w w:val="100"/>
                <w:position w:val="0"/>
                <w:sz w:val="24"/>
                <w:szCs w:val="24"/>
              </w:rPr>
              <w:t>。按照《环境影响评价技术导则-地下水环境》HJ610-2016）中一般防渗区的防渗要求进行防渗设计。</w:t>
            </w:r>
            <w:r>
              <w:rPr>
                <w:rFonts w:hint="default" w:ascii="Times New Roman" w:hAnsi="Times New Roman" w:eastAsia="宋体" w:cs="Times New Roman"/>
                <w:b w:val="0"/>
                <w:bCs w:val="0"/>
                <w:color w:val="auto"/>
                <w:spacing w:val="0"/>
                <w:w w:val="100"/>
                <w:position w:val="0"/>
                <w:sz w:val="24"/>
                <w:szCs w:val="24"/>
                <w:lang w:val="en-US" w:eastAsia="zh-CN"/>
              </w:rPr>
              <w:t>化粪池</w:t>
            </w:r>
            <w:r>
              <w:rPr>
                <w:rFonts w:hint="default" w:ascii="Times New Roman" w:hAnsi="Times New Roman" w:eastAsia="宋体" w:cs="Times New Roman"/>
                <w:b w:val="0"/>
                <w:bCs w:val="0"/>
                <w:color w:val="auto"/>
                <w:spacing w:val="0"/>
                <w:w w:val="100"/>
                <w:position w:val="0"/>
                <w:sz w:val="24"/>
                <w:szCs w:val="24"/>
              </w:rPr>
              <w:t>硬化防渗层渗透系数≤10</w:t>
            </w:r>
            <w:r>
              <w:rPr>
                <w:rFonts w:hint="default" w:ascii="Times New Roman" w:hAnsi="Times New Roman" w:eastAsia="宋体" w:cs="Times New Roman"/>
                <w:b w:val="0"/>
                <w:bCs w:val="0"/>
                <w:color w:val="auto"/>
                <w:spacing w:val="0"/>
                <w:w w:val="100"/>
                <w:position w:val="0"/>
                <w:sz w:val="24"/>
                <w:szCs w:val="24"/>
                <w:vertAlign w:val="superscript"/>
              </w:rPr>
              <w:t>-7</w:t>
            </w:r>
            <w:r>
              <w:rPr>
                <w:rFonts w:hint="default" w:ascii="Times New Roman" w:hAnsi="Times New Roman" w:eastAsia="宋体" w:cs="Times New Roman"/>
                <w:b w:val="0"/>
                <w:bCs w:val="0"/>
                <w:color w:val="auto"/>
                <w:spacing w:val="0"/>
                <w:w w:val="100"/>
                <w:position w:val="0"/>
                <w:sz w:val="24"/>
                <w:szCs w:val="24"/>
              </w:rPr>
              <w:t>cm/s，地面防渗可采用25cm厚的C25混凝土硬化防渗，管道可采用强度高、腐蚀裕度大的管道材料（如无缝钢管）和高等级防腐材料，尽量使用焊接连接，不得使用承插管，以达到防渗漏目的，防渗层渗透系数≤10</w:t>
            </w:r>
            <w:r>
              <w:rPr>
                <w:rFonts w:hint="default" w:ascii="Times New Roman" w:hAnsi="Times New Roman" w:eastAsia="宋体" w:cs="Times New Roman"/>
                <w:b w:val="0"/>
                <w:bCs w:val="0"/>
                <w:color w:val="auto"/>
                <w:spacing w:val="0"/>
                <w:w w:val="100"/>
                <w:position w:val="0"/>
                <w:sz w:val="24"/>
                <w:szCs w:val="24"/>
                <w:vertAlign w:val="superscript"/>
              </w:rPr>
              <w:t>-7</w:t>
            </w:r>
            <w:r>
              <w:rPr>
                <w:rFonts w:hint="default" w:ascii="Times New Roman" w:hAnsi="Times New Roman" w:eastAsia="宋体" w:cs="Times New Roman"/>
                <w:b w:val="0"/>
                <w:bCs w:val="0"/>
                <w:color w:val="auto"/>
                <w:spacing w:val="0"/>
                <w:w w:val="100"/>
                <w:position w:val="0"/>
                <w:sz w:val="24"/>
                <w:szCs w:val="24"/>
              </w:rPr>
              <w:t>cm/s。</w:t>
            </w:r>
          </w:p>
          <w:p w14:paraId="1EF4F0AB">
            <w:pPr>
              <w:pStyle w:val="12"/>
              <w:keepNext w:val="0"/>
              <w:keepLines w:val="0"/>
              <w:suppressLineNumbers w:val="0"/>
              <w:adjustRightInd/>
              <w:snapToGrid/>
              <w:spacing w:before="0" w:beforeAutospacing="0" w:after="0" w:afterAutospacing="0" w:line="360" w:lineRule="auto"/>
              <w:ind w:left="0" w:right="0" w:firstLine="482"/>
              <w:contextualSpacing/>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③简单防渗区：</w:t>
            </w:r>
          </w:p>
          <w:p w14:paraId="723A1A15">
            <w:pPr>
              <w:pStyle w:val="12"/>
              <w:keepNext w:val="0"/>
              <w:keepLines w:val="0"/>
              <w:suppressLineNumbers w:val="0"/>
              <w:adjustRightInd/>
              <w:snapToGrid/>
              <w:spacing w:before="0" w:beforeAutospacing="0" w:after="0" w:afterAutospacing="0" w:line="360" w:lineRule="auto"/>
              <w:ind w:left="0" w:right="0" w:firstLine="482"/>
              <w:contextualSpacing/>
              <w:rPr>
                <w:rFonts w:hint="default" w:ascii="Times New Roman" w:hAnsi="Times New Roman" w:eastAsia="宋体" w:cs="Times New Roman"/>
                <w:b w:val="0"/>
                <w:bCs w:val="0"/>
                <w:color w:val="auto"/>
                <w:spacing w:val="0"/>
                <w:w w:val="100"/>
                <w:position w:val="0"/>
                <w:sz w:val="24"/>
                <w:szCs w:val="24"/>
              </w:rPr>
            </w:pPr>
            <w:r>
              <w:rPr>
                <w:rFonts w:hint="default" w:ascii="Times New Roman" w:hAnsi="Times New Roman" w:eastAsia="宋体" w:cs="Times New Roman"/>
                <w:b w:val="0"/>
                <w:bCs w:val="0"/>
                <w:color w:val="auto"/>
                <w:spacing w:val="0"/>
                <w:w w:val="100"/>
                <w:position w:val="0"/>
                <w:sz w:val="24"/>
                <w:szCs w:val="24"/>
              </w:rPr>
              <w:t>除了重点污染防治区以外的区域，地面采用混凝土硬化地面。</w:t>
            </w:r>
          </w:p>
          <w:p w14:paraId="399E747E">
            <w:pPr>
              <w:pStyle w:val="12"/>
              <w:keepNext w:val="0"/>
              <w:keepLines w:val="0"/>
              <w:suppressLineNumbers w:val="0"/>
              <w:adjustRightInd/>
              <w:snapToGrid/>
              <w:spacing w:before="0" w:beforeAutospacing="0" w:after="0" w:afterAutospacing="0" w:line="360" w:lineRule="auto"/>
              <w:ind w:left="0" w:right="0" w:firstLine="482"/>
              <w:contextualSpacing/>
              <w:rPr>
                <w:rFonts w:hint="default" w:ascii="Times New Roman" w:hAnsi="Times New Roman" w:eastAsia="宋体" w:cs="Times New Roman"/>
                <w:b/>
                <w:bCs/>
                <w:color w:val="auto"/>
                <w:spacing w:val="0"/>
                <w:w w:val="100"/>
                <w:position w:val="0"/>
                <w:sz w:val="24"/>
                <w:szCs w:val="24"/>
                <w:lang w:eastAsia="zh-CN"/>
              </w:rPr>
            </w:pPr>
            <w:r>
              <w:rPr>
                <w:rFonts w:hint="default" w:ascii="Times New Roman" w:hAnsi="Times New Roman" w:eastAsia="宋体" w:cs="Times New Roman"/>
                <w:b w:val="0"/>
                <w:bCs w:val="0"/>
                <w:color w:val="auto"/>
                <w:spacing w:val="0"/>
                <w:w w:val="100"/>
                <w:position w:val="0"/>
                <w:sz w:val="24"/>
                <w:szCs w:val="24"/>
              </w:rPr>
              <w:t>综上所述，项目通过采取分区防控措施，对土壤、地下水有影响的各个环节均能达到良好控制，故项目对土壤、地下水的影响不大</w:t>
            </w:r>
            <w:r>
              <w:rPr>
                <w:rFonts w:hint="default" w:ascii="Times New Roman" w:hAnsi="Times New Roman" w:eastAsia="宋体" w:cs="Times New Roman"/>
                <w:b w:val="0"/>
                <w:bCs w:val="0"/>
                <w:color w:val="auto"/>
                <w:spacing w:val="0"/>
                <w:w w:val="100"/>
                <w:position w:val="0"/>
                <w:sz w:val="24"/>
                <w:szCs w:val="24"/>
                <w:lang w:eastAsia="zh-CN"/>
              </w:rPr>
              <w:t>。</w:t>
            </w:r>
          </w:p>
          <w:p w14:paraId="067ADD41">
            <w:pPr>
              <w:pStyle w:val="39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82" w:firstLineChars="200"/>
              <w:textAlignment w:val="auto"/>
              <w:rPr>
                <w:rFonts w:hint="default" w:ascii="Times New Roman" w:hAnsi="Times New Roman" w:eastAsia="宋体" w:cs="Times New Roman"/>
                <w:b/>
                <w:bCs/>
                <w:color w:val="auto"/>
                <w:spacing w:val="0"/>
                <w:w w:val="100"/>
                <w:position w:val="0"/>
                <w:lang w:val="en-US" w:eastAsia="zh-CN"/>
              </w:rPr>
            </w:pPr>
            <w:r>
              <w:rPr>
                <w:rFonts w:hint="default" w:ascii="Times New Roman" w:hAnsi="Times New Roman" w:eastAsia="宋体" w:cs="Times New Roman"/>
                <w:b/>
                <w:bCs/>
                <w:color w:val="auto"/>
                <w:spacing w:val="0"/>
                <w:w w:val="100"/>
                <w:position w:val="0"/>
                <w:sz w:val="24"/>
                <w:szCs w:val="24"/>
                <w:lang w:val="en-US" w:eastAsia="zh-CN"/>
              </w:rPr>
              <w:t>6、</w:t>
            </w:r>
            <w:r>
              <w:rPr>
                <w:rFonts w:hint="default" w:ascii="Times New Roman" w:hAnsi="Times New Roman" w:eastAsia="宋体" w:cs="Times New Roman"/>
                <w:b/>
                <w:bCs/>
                <w:color w:val="auto"/>
                <w:spacing w:val="0"/>
                <w:w w:val="100"/>
                <w:position w:val="0"/>
                <w:lang w:val="en-US" w:eastAsia="zh-CN"/>
              </w:rPr>
              <w:t>环境风险分析</w:t>
            </w:r>
          </w:p>
          <w:p w14:paraId="2CD56B92">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1）项目危险物质和风险源分布情况</w:t>
            </w:r>
          </w:p>
          <w:p w14:paraId="0CDBD37E">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根据项目的实际情况，对照《建设项目环境风险评价技术导则》（HJ169-2018）及《危险化学品重大危险源辨识》（GB18218-2018），对项目主要原辅材料、燃料、中间产品、副产品、最终产品、污染物等进行风险识别调查，项目不涉及标准中的风险物质。</w:t>
            </w:r>
          </w:p>
          <w:p w14:paraId="3C6F49AB">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根据《建设项目环境风险评价技术导则》（HJ169-2018）危险单元的划分要求：“由一个或多个风险源构成的具有相对独立功能的单元，事故状态下应可实现与其他功能单元的分割”。根据项目情况，项目生产过程潜在的环境风险主要为电力设施发生短路等情况引发的火灾事故；项目废水处理设施若发生泄漏也会造成环境污染。具体结果见表4-17。</w:t>
            </w:r>
          </w:p>
          <w:p w14:paraId="21A6AB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表4-17  项目危险单元划分一览表</w:t>
            </w:r>
          </w:p>
          <w:tbl>
            <w:tblPr>
              <w:tblStyle w:val="5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9"/>
              <w:gridCol w:w="2340"/>
              <w:gridCol w:w="3935"/>
            </w:tblGrid>
            <w:tr w14:paraId="238FF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9" w:type="pct"/>
                  <w:noWrap w:val="0"/>
                  <w:vAlign w:val="center"/>
                </w:tcPr>
                <w:p w14:paraId="78442F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危险单元名称</w:t>
                  </w:r>
                </w:p>
              </w:tc>
              <w:tc>
                <w:tcPr>
                  <w:tcW w:w="1447" w:type="pct"/>
                  <w:noWrap w:val="0"/>
                  <w:vAlign w:val="center"/>
                </w:tcPr>
                <w:p w14:paraId="1684E9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易产生危险事故的物料</w:t>
                  </w:r>
                </w:p>
              </w:tc>
              <w:tc>
                <w:tcPr>
                  <w:tcW w:w="2433" w:type="pct"/>
                  <w:noWrap w:val="0"/>
                  <w:vAlign w:val="center"/>
                </w:tcPr>
                <w:p w14:paraId="62040AB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危险因素</w:t>
                  </w:r>
                </w:p>
              </w:tc>
            </w:tr>
            <w:tr w14:paraId="4BDFF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9" w:type="pct"/>
                  <w:noWrap w:val="0"/>
                  <w:vAlign w:val="center"/>
                </w:tcPr>
                <w:p w14:paraId="5CDF6AE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危废暂存间</w:t>
                  </w:r>
                </w:p>
              </w:tc>
              <w:tc>
                <w:tcPr>
                  <w:tcW w:w="1447" w:type="pct"/>
                  <w:noWrap w:val="0"/>
                  <w:vAlign w:val="center"/>
                </w:tcPr>
                <w:p w14:paraId="35AED8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废活性炭</w:t>
                  </w:r>
                </w:p>
              </w:tc>
              <w:tc>
                <w:tcPr>
                  <w:tcW w:w="2433" w:type="pct"/>
                  <w:noWrap w:val="0"/>
                  <w:vAlign w:val="center"/>
                </w:tcPr>
                <w:p w14:paraId="32CED9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因暂存方式不当，废活性炭被雨水冲刷，所沾染的有害物质随雨水污染土壤及地下水</w:t>
                  </w:r>
                </w:p>
              </w:tc>
            </w:tr>
            <w:tr w14:paraId="770CB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9" w:type="pct"/>
                  <w:noWrap w:val="0"/>
                  <w:vAlign w:val="center"/>
                </w:tcPr>
                <w:p w14:paraId="325900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化粪池</w:t>
                  </w:r>
                </w:p>
              </w:tc>
              <w:tc>
                <w:tcPr>
                  <w:tcW w:w="1447" w:type="pct"/>
                  <w:noWrap w:val="0"/>
                  <w:vAlign w:val="center"/>
                </w:tcPr>
                <w:p w14:paraId="1B4A71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废水</w:t>
                  </w:r>
                </w:p>
              </w:tc>
              <w:tc>
                <w:tcPr>
                  <w:tcW w:w="2433" w:type="pct"/>
                  <w:noWrap w:val="0"/>
                  <w:vAlign w:val="center"/>
                </w:tcPr>
                <w:p w14:paraId="1891D33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因池体破裂造成废水泄漏，从而发生垂直下渗或通过地面漫流影响土壤、地下水</w:t>
                  </w:r>
                </w:p>
              </w:tc>
            </w:tr>
          </w:tbl>
          <w:p w14:paraId="48A108BF">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若电力设施发生短路等情况，也有可能引发火灾事故。</w:t>
            </w:r>
          </w:p>
          <w:p w14:paraId="081CFB69">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2）环境风险分析</w:t>
            </w:r>
          </w:p>
          <w:p w14:paraId="2E3EA46F">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fldChar w:fldCharType="begin"/>
            </w:r>
            <w:r>
              <w:rPr>
                <w:rFonts w:hint="default" w:ascii="Times New Roman" w:hAnsi="Times New Roman" w:eastAsia="宋体" w:cs="Times New Roman"/>
                <w:b w:val="0"/>
                <w:bCs w:val="0"/>
                <w:color w:val="auto"/>
                <w:spacing w:val="0"/>
                <w:w w:val="100"/>
                <w:kern w:val="0"/>
                <w:position w:val="0"/>
                <w:sz w:val="24"/>
                <w:szCs w:val="24"/>
                <w:lang w:val="en-US" w:eastAsia="zh-CN"/>
              </w:rPr>
              <w:instrText xml:space="preserve"> = 1 \* ROMAN \* MERGEFORMAT </w:instrTex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separate"/>
            </w:r>
            <w:r>
              <w:rPr>
                <w:rFonts w:hint="default" w:ascii="Times New Roman" w:hAnsi="Times New Roman" w:eastAsia="宋体" w:cs="Times New Roman"/>
                <w:b w:val="0"/>
                <w:bCs w:val="0"/>
                <w:color w:val="auto"/>
                <w:spacing w:val="0"/>
                <w:w w:val="100"/>
                <w:kern w:val="0"/>
                <w:position w:val="0"/>
                <w:sz w:val="24"/>
                <w:szCs w:val="24"/>
                <w:lang w:val="en-US" w:eastAsia="zh-CN"/>
              </w:rPr>
              <w:t>I</w: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end"/>
            </w:r>
            <w:r>
              <w:rPr>
                <w:rFonts w:hint="default" w:ascii="Times New Roman" w:hAnsi="Times New Roman" w:eastAsia="宋体" w:cs="Times New Roman"/>
                <w:b w:val="0"/>
                <w:bCs w:val="0"/>
                <w:color w:val="auto"/>
                <w:spacing w:val="0"/>
                <w:w w:val="100"/>
                <w:kern w:val="0"/>
                <w:position w:val="0"/>
                <w:sz w:val="24"/>
                <w:szCs w:val="24"/>
                <w:lang w:val="en-US" w:eastAsia="zh-CN"/>
              </w:rPr>
              <w:t>、环境风险类型识别</w:t>
            </w:r>
          </w:p>
          <w:p w14:paraId="72DDB0CA">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①储存风险</w:t>
            </w:r>
          </w:p>
          <w:p w14:paraId="7FC94CAF">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废活性炭等储存期间，由于暂存方式不当，废活性炭被雨水冲刷，所沾染的有害物质随雨水污染土壤及地下水。</w:t>
            </w:r>
          </w:p>
          <w:p w14:paraId="18379B29">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②废水泄漏风险事故</w:t>
            </w:r>
          </w:p>
          <w:p w14:paraId="2A07E008">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项目化粪池可能发生的事故主要是由于池体破裂、管道堵塞、管道破裂和管道接头处的破损、造成废水外溢，污染土壤、地下水。</w:t>
            </w:r>
          </w:p>
          <w:p w14:paraId="0706E80C">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③火灾事故风险分析</w:t>
            </w:r>
          </w:p>
          <w:p w14:paraId="0F444073">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项目电力设施发生短路等情况引发的火灾。发生火灾对环境的污染影响主要来自可燃物燃烧释放的大量有害气体，由于燃烧产生的有害气体释放量难以定量，本次评价主要定性分析火灾发生时产生的有害气体对周围环境的影响。在正常情况下，空气的组成主要有氮气、氧气、二氧化碳等，而火灾所产生烟雾成分主要为二氧化碳和水蒸</w:t>
            </w:r>
            <w:r>
              <w:rPr>
                <w:rFonts w:hint="eastAsia" w:ascii="Times New Roman" w:hAnsi="Times New Roman" w:eastAsia="宋体" w:cs="Times New Roman"/>
                <w:b w:val="0"/>
                <w:bCs w:val="0"/>
                <w:color w:val="auto"/>
                <w:spacing w:val="0"/>
                <w:w w:val="100"/>
                <w:kern w:val="0"/>
                <w:position w:val="0"/>
                <w:sz w:val="24"/>
                <w:szCs w:val="24"/>
                <w:lang w:val="en-US" w:eastAsia="zh-CN"/>
              </w:rPr>
              <w:t>气</w:t>
            </w:r>
            <w:r>
              <w:rPr>
                <w:rFonts w:hint="default" w:ascii="Times New Roman" w:hAnsi="Times New Roman" w:eastAsia="宋体" w:cs="Times New Roman"/>
                <w:b w:val="0"/>
                <w:bCs w:val="0"/>
                <w:color w:val="auto"/>
                <w:spacing w:val="0"/>
                <w:w w:val="100"/>
                <w:kern w:val="0"/>
                <w:position w:val="0"/>
                <w:sz w:val="24"/>
                <w:szCs w:val="24"/>
                <w:lang w:val="en-US" w:eastAsia="zh-CN"/>
              </w:rPr>
              <w:t>，这两种物质约占所有烟雾的90%~95%；另外还有一氧化碳、碳氢化合物及微粒物质等，约占5%~10%，对环境和人体健康产生较大危害的是CO、烟尘等。</w:t>
            </w:r>
          </w:p>
          <w:p w14:paraId="5D6E1C91">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综上，项目主要环境风险事故主要来源于废活性炭等储存期间，由于暂存方式不当，废活性炭被雨水冲刷，所沾染的有害物质随雨水污染土壤及地下水；化粪池池体破裂、管道堵塞、管道破裂和管道接头处的破损、造成废水外溢，污染土壤、地下水；电力设施发生短路等情况引发的火灾。</w:t>
            </w:r>
          </w:p>
          <w:p w14:paraId="455591CE">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fldChar w:fldCharType="begin"/>
            </w:r>
            <w:r>
              <w:rPr>
                <w:rFonts w:hint="default" w:ascii="Times New Roman" w:hAnsi="Times New Roman" w:eastAsia="宋体" w:cs="Times New Roman"/>
                <w:b w:val="0"/>
                <w:bCs w:val="0"/>
                <w:color w:val="auto"/>
                <w:spacing w:val="0"/>
                <w:w w:val="100"/>
                <w:kern w:val="0"/>
                <w:position w:val="0"/>
                <w:sz w:val="24"/>
                <w:szCs w:val="24"/>
                <w:lang w:val="en-US" w:eastAsia="zh-CN"/>
              </w:rPr>
              <w:instrText xml:space="preserve"> = 2 \* ROMAN \* MERGEFORMAT </w:instrTex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separate"/>
            </w:r>
            <w:r>
              <w:rPr>
                <w:rFonts w:hint="default" w:ascii="Times New Roman" w:hAnsi="Times New Roman" w:eastAsia="宋体" w:cs="Times New Roman"/>
                <w:b w:val="0"/>
                <w:bCs w:val="0"/>
                <w:color w:val="auto"/>
                <w:spacing w:val="0"/>
                <w:w w:val="100"/>
                <w:kern w:val="0"/>
                <w:position w:val="0"/>
                <w:sz w:val="24"/>
                <w:szCs w:val="24"/>
                <w:lang w:val="en-US" w:eastAsia="zh-CN"/>
              </w:rPr>
              <w:t>II</w: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end"/>
            </w:r>
            <w:r>
              <w:rPr>
                <w:rFonts w:hint="default" w:ascii="Times New Roman" w:hAnsi="Times New Roman" w:eastAsia="宋体" w:cs="Times New Roman"/>
                <w:b w:val="0"/>
                <w:bCs w:val="0"/>
                <w:color w:val="auto"/>
                <w:spacing w:val="0"/>
                <w:w w:val="100"/>
                <w:kern w:val="0"/>
                <w:position w:val="0"/>
                <w:sz w:val="24"/>
                <w:szCs w:val="24"/>
                <w:lang w:val="en-US" w:eastAsia="zh-CN"/>
              </w:rPr>
              <w:t>、环境风险事故影响分析</w:t>
            </w:r>
          </w:p>
          <w:p w14:paraId="31235019">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①废水的风险事故分析</w:t>
            </w:r>
          </w:p>
          <w:p w14:paraId="649DD8D9">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项目化粪池池体或收集管道出现阻塞、破裂、接头破裂等情况时，废水会泄漏外溢，将对环境卫生带来不利影响，采取措施避免废水泄漏事故发生。</w:t>
            </w:r>
          </w:p>
          <w:p w14:paraId="7AA505BF">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②危险废物的风险事故分析</w:t>
            </w:r>
          </w:p>
          <w:p w14:paraId="49395D9E">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项目产生的废活性炭暂存在危废暂存间内，废活性炭采用专用容器贮存，发生破裂时废活性炭可截留在室内，对外环境影响不大。</w:t>
            </w:r>
          </w:p>
          <w:p w14:paraId="27322F2D">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③电力设施发生短路等情况发生火灾或爆炸，火灾或爆炸产生的污染物将对周边环境产生影响。</w:t>
            </w:r>
          </w:p>
          <w:p w14:paraId="003DADC5">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综合所述，项目环境风险不大，重点是要做好环境风险的防范及应急措施。</w:t>
            </w:r>
          </w:p>
          <w:p w14:paraId="16F6294F">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3）环境风险防范措施</w:t>
            </w:r>
          </w:p>
          <w:p w14:paraId="1A103BBD">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①废水的风险防范措施</w:t>
            </w:r>
          </w:p>
          <w:p w14:paraId="5F8CC91E">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A、企业废水收集与输送管道应采取防腐管、耐酸碱材料，并充分考虑管道的抗击、抗震等要求，废水输送管道内部防腐材料应适用于输送不同理化性质的废水。</w:t>
            </w:r>
          </w:p>
          <w:p w14:paraId="112D3282">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B、污水管道施工应选择有丰富经验的施工队伍，施工过程加强监理，确保污水管道施工的质量。</w:t>
            </w:r>
          </w:p>
          <w:p w14:paraId="120355E6">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C、对污水收集管道、污水池等定期进行检查、维护，避免出现池体破裂、管道阻塞、破损或清洗槽破裂等情况发生。</w:t>
            </w:r>
          </w:p>
          <w:p w14:paraId="510FBE95">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②危险废物风险防范措施</w:t>
            </w:r>
          </w:p>
          <w:p w14:paraId="09426794">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项目应针对危险废物的特性、数量，按照《危险废物贮存污染控制标准》（GB18597-2023），做好贮存风险事故防范工作。</w:t>
            </w:r>
          </w:p>
          <w:p w14:paraId="413A58D3">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危险废物贮存场所必须设置专用标志；建有堵截泄漏的裙角，地面与裙角要用兼顾防渗的材料建造，防止液体废物意外泄漏造成溢流渗入地下。</w:t>
            </w:r>
          </w:p>
          <w:p w14:paraId="7A0FC202">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成品区、原料区严格按照《建筑设计防火规范》（GB50016-2014）进行设计，在总图的布置上应留有足够的防火距离，成品区、原料区与生产车间和交通线路的距离、成品区、原料区与其他建筑物之间的距离符合规范要求。</w:t>
            </w:r>
          </w:p>
          <w:p w14:paraId="26C5096E">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成品区、原料区阴凉、干燥、通风，避免阳光直射、曝晒，远离热源、电源、火源。 按不同类别、性质、危险程度、灭火方法等分区分类贮存，并附上明显标识， 性质相抵的禁止同库贮存。</w:t>
            </w:r>
          </w:p>
          <w:p w14:paraId="5B7CD6B8">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③火灾事故防范措施</w:t>
            </w:r>
          </w:p>
          <w:p w14:paraId="35DBDE82">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A、加强设备选型，严格按规范要求执行。生产工艺进行充分考虑防火分隔、通风、防泄漏、防爆泄压、消防设施等因素。同时对设备、电气的防爆要求和电器线路的防爆处理要严格把关，从而消除先天性火灾隐患。</w:t>
            </w:r>
          </w:p>
          <w:p w14:paraId="18E9FADF">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B、加强企业风险管理。企业的安全生产管理极为重要，建立各项安全管理制度并完善安全操作规程，定期进行安全检查和停车检修，及时消除火灾隐患，同时加强对人员的管理，严防违章操作和违反消防安全管理的行为。</w:t>
            </w:r>
          </w:p>
          <w:p w14:paraId="40966A30">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C、按要求做好关键环节防静电处理工作。生产的设备均应做好静电接地，接地点应牢固，丝扣连接的部位当电阻值过大时应充分利用跨接，使整个生产过程中的设备和管线的接地电阻值不大于规范要求。</w:t>
            </w:r>
          </w:p>
          <w:p w14:paraId="2C6F0551">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D、加强员工安全培训。对从业人员经常进行消防安全教育，使之熟练掌握本行业安全操作规程。同时，经常进行有针对性的灭火演练，使他们熟悉本行业火灾扑救和逃生的基本方法。</w:t>
            </w:r>
          </w:p>
          <w:p w14:paraId="78C03AE5">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E、完善消防设施。完善的消防设备可以在火灾初起时有效地完成预警以及灭火任务，可以在一定程度上避免火灾的发生或减少火灾造成的损失。对消防设施加以完善，同时定期进行适用性检修，保持完好状态。</w:t>
            </w:r>
          </w:p>
          <w:p w14:paraId="46F58D9C">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F、加强用火管理制度。应制定严格的动火审批制度，严格用火管理，避免因用火不当引起火灾的发生。</w:t>
            </w:r>
          </w:p>
          <w:p w14:paraId="15A1E6C8">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④制定应急预案</w:t>
            </w:r>
          </w:p>
          <w:p w14:paraId="26D7FD25">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项目在生产过程将产生潜在的危害，如果安全措施水平高，则事故的概率必然会降低，但不会为零。为使环境风险减小到最低程度，必须加强劳动安全管理，制定完善、有效地安全措施，尽可能降低事故发生概率。一旦发生事故，需要采取应急措施，控制和减少事故危害。因此，建设单位需要制定相应的应急预案。</w:t>
            </w:r>
          </w:p>
          <w:p w14:paraId="6D437F0E">
            <w:pPr>
              <w:keepNext w:val="0"/>
              <w:keepLines w:val="0"/>
              <w:suppressLineNumbers w:val="0"/>
              <w:bidi w:val="0"/>
              <w:spacing w:before="0" w:beforeAutospacing="0" w:after="0" w:afterAutospacing="0"/>
              <w:ind w:left="0" w:right="0"/>
              <w:rPr>
                <w:rFonts w:hint="default" w:ascii="Times New Roman" w:hAnsi="Times New Roman" w:cs="Times New Roman"/>
                <w:color w:val="auto"/>
                <w:sz w:val="20"/>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根据《建设项目环境风险评价技术导则》（HJ169-2018）要求，应急预案涉及的主要内容见表4-18。</w:t>
            </w:r>
          </w:p>
          <w:p w14:paraId="103433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表4-18  应急预案内容</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2226"/>
              <w:gridCol w:w="5209"/>
            </w:tblGrid>
            <w:tr w14:paraId="3AF09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noWrap w:val="0"/>
                  <w:vAlign w:val="center"/>
                </w:tcPr>
                <w:p w14:paraId="78AF7D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序号</w:t>
                  </w:r>
                </w:p>
              </w:tc>
              <w:tc>
                <w:tcPr>
                  <w:tcW w:w="1376" w:type="pct"/>
                  <w:noWrap w:val="0"/>
                  <w:vAlign w:val="center"/>
                </w:tcPr>
                <w:p w14:paraId="1F79D1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项目</w:t>
                  </w:r>
                </w:p>
              </w:tc>
              <w:tc>
                <w:tcPr>
                  <w:tcW w:w="3219" w:type="pct"/>
                  <w:noWrap w:val="0"/>
                  <w:vAlign w:val="center"/>
                </w:tcPr>
                <w:p w14:paraId="031559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应急措施</w:t>
                  </w:r>
                </w:p>
              </w:tc>
            </w:tr>
            <w:tr w14:paraId="04500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noWrap w:val="0"/>
                  <w:vAlign w:val="center"/>
                </w:tcPr>
                <w:p w14:paraId="20C012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1</w:t>
                  </w:r>
                </w:p>
              </w:tc>
              <w:tc>
                <w:tcPr>
                  <w:tcW w:w="1376" w:type="pct"/>
                  <w:noWrap w:val="0"/>
                  <w:vAlign w:val="center"/>
                </w:tcPr>
                <w:p w14:paraId="12D1BE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应急计划区</w:t>
                  </w:r>
                </w:p>
              </w:tc>
              <w:tc>
                <w:tcPr>
                  <w:tcW w:w="3219" w:type="pct"/>
                  <w:noWrap w:val="0"/>
                  <w:vAlign w:val="center"/>
                </w:tcPr>
                <w:p w14:paraId="0F76F51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危险目标：成品区、原料区、生产车间、危废暂存间等</w:t>
                  </w:r>
                </w:p>
              </w:tc>
            </w:tr>
            <w:tr w14:paraId="74220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noWrap w:val="0"/>
                  <w:vAlign w:val="center"/>
                </w:tcPr>
                <w:p w14:paraId="36535D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2</w:t>
                  </w:r>
                </w:p>
              </w:tc>
              <w:tc>
                <w:tcPr>
                  <w:tcW w:w="1376" w:type="pct"/>
                  <w:noWrap w:val="0"/>
                  <w:vAlign w:val="center"/>
                </w:tcPr>
                <w:p w14:paraId="624A04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应急组织机构、人员</w:t>
                  </w:r>
                </w:p>
              </w:tc>
              <w:tc>
                <w:tcPr>
                  <w:tcW w:w="3219" w:type="pct"/>
                  <w:noWrap w:val="0"/>
                  <w:vAlign w:val="center"/>
                </w:tcPr>
                <w:p w14:paraId="2B3C48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项目厂区、地区应急组织机构、人员</w:t>
                  </w:r>
                </w:p>
              </w:tc>
            </w:tr>
            <w:tr w14:paraId="0FDEF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noWrap w:val="0"/>
                  <w:vAlign w:val="center"/>
                </w:tcPr>
                <w:p w14:paraId="20DB7C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3</w:t>
                  </w:r>
                </w:p>
              </w:tc>
              <w:tc>
                <w:tcPr>
                  <w:tcW w:w="1376" w:type="pct"/>
                  <w:noWrap w:val="0"/>
                  <w:vAlign w:val="center"/>
                </w:tcPr>
                <w:p w14:paraId="5FA48D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预案分级响应条件</w:t>
                  </w:r>
                </w:p>
              </w:tc>
              <w:tc>
                <w:tcPr>
                  <w:tcW w:w="3219" w:type="pct"/>
                  <w:noWrap w:val="0"/>
                  <w:vAlign w:val="center"/>
                </w:tcPr>
                <w:p w14:paraId="72C3A6C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规定预案的级别及分级响应程序</w:t>
                  </w:r>
                </w:p>
              </w:tc>
            </w:tr>
            <w:tr w14:paraId="7FB6B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noWrap w:val="0"/>
                  <w:vAlign w:val="center"/>
                </w:tcPr>
                <w:p w14:paraId="0B5FDD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4</w:t>
                  </w:r>
                </w:p>
              </w:tc>
              <w:tc>
                <w:tcPr>
                  <w:tcW w:w="1376" w:type="pct"/>
                  <w:noWrap w:val="0"/>
                  <w:vAlign w:val="center"/>
                </w:tcPr>
                <w:p w14:paraId="3182B12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应急救援保障</w:t>
                  </w:r>
                </w:p>
              </w:tc>
              <w:tc>
                <w:tcPr>
                  <w:tcW w:w="3219" w:type="pct"/>
                  <w:noWrap w:val="0"/>
                  <w:vAlign w:val="center"/>
                </w:tcPr>
                <w:p w14:paraId="7E82DD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应急设施、设备与器材等</w:t>
                  </w:r>
                </w:p>
              </w:tc>
            </w:tr>
            <w:tr w14:paraId="2BED6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noWrap w:val="0"/>
                  <w:vAlign w:val="center"/>
                </w:tcPr>
                <w:p w14:paraId="49114D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5</w:t>
                  </w:r>
                </w:p>
              </w:tc>
              <w:tc>
                <w:tcPr>
                  <w:tcW w:w="1376" w:type="pct"/>
                  <w:noWrap w:val="0"/>
                  <w:vAlign w:val="center"/>
                </w:tcPr>
                <w:p w14:paraId="23C3E3A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报警、通讯联络方式</w:t>
                  </w:r>
                </w:p>
              </w:tc>
              <w:tc>
                <w:tcPr>
                  <w:tcW w:w="3219" w:type="pct"/>
                  <w:noWrap w:val="0"/>
                  <w:vAlign w:val="center"/>
                </w:tcPr>
                <w:p w14:paraId="10D225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规定应急状态下的报警通讯方式、通知方式和交通保障、管制</w:t>
                  </w:r>
                </w:p>
              </w:tc>
            </w:tr>
            <w:tr w14:paraId="04F82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noWrap w:val="0"/>
                  <w:vAlign w:val="center"/>
                </w:tcPr>
                <w:p w14:paraId="7F7B38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6</w:t>
                  </w:r>
                </w:p>
              </w:tc>
              <w:tc>
                <w:tcPr>
                  <w:tcW w:w="1376" w:type="pct"/>
                  <w:noWrap w:val="0"/>
                  <w:vAlign w:val="center"/>
                </w:tcPr>
                <w:p w14:paraId="2BBE5A0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应急环境监测、抢险、救援及控制措施</w:t>
                  </w:r>
                </w:p>
              </w:tc>
              <w:tc>
                <w:tcPr>
                  <w:tcW w:w="3219" w:type="pct"/>
                  <w:noWrap w:val="0"/>
                  <w:vAlign w:val="center"/>
                </w:tcPr>
                <w:p w14:paraId="291E11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由专业队伍负责对事故现场进行侦查监测，对事故性质、参数与后果进行评估，为指挥部门提供决策依据</w:t>
                  </w:r>
                </w:p>
              </w:tc>
            </w:tr>
            <w:tr w14:paraId="7A032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noWrap w:val="0"/>
                  <w:vAlign w:val="center"/>
                </w:tcPr>
                <w:p w14:paraId="769A77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7</w:t>
                  </w:r>
                </w:p>
              </w:tc>
              <w:tc>
                <w:tcPr>
                  <w:tcW w:w="1376" w:type="pct"/>
                  <w:noWrap w:val="0"/>
                  <w:vAlign w:val="center"/>
                </w:tcPr>
                <w:p w14:paraId="4F3DDE7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应急检测、防护措施、消除泄漏措施和器材</w:t>
                  </w:r>
                </w:p>
              </w:tc>
              <w:tc>
                <w:tcPr>
                  <w:tcW w:w="3219" w:type="pct"/>
                  <w:noWrap w:val="0"/>
                  <w:vAlign w:val="center"/>
                </w:tcPr>
                <w:p w14:paraId="1A8C4E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事故现场、邻近区域，控制和清除污染措施及相应设备</w:t>
                  </w:r>
                </w:p>
              </w:tc>
            </w:tr>
            <w:tr w14:paraId="65F18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noWrap w:val="0"/>
                  <w:vAlign w:val="center"/>
                </w:tcPr>
                <w:p w14:paraId="43B2226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8</w:t>
                  </w:r>
                </w:p>
              </w:tc>
              <w:tc>
                <w:tcPr>
                  <w:tcW w:w="1376" w:type="pct"/>
                  <w:noWrap w:val="0"/>
                  <w:vAlign w:val="center"/>
                </w:tcPr>
                <w:p w14:paraId="373E69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应急措施</w:t>
                  </w:r>
                </w:p>
              </w:tc>
              <w:tc>
                <w:tcPr>
                  <w:tcW w:w="3219" w:type="pct"/>
                  <w:noWrap w:val="0"/>
                  <w:vAlign w:val="center"/>
                </w:tcPr>
                <w:p w14:paraId="29E7EE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事故发生后及时通知报告相关部门，采取应急减缓措施，设置控制区</w:t>
                  </w:r>
                </w:p>
              </w:tc>
            </w:tr>
            <w:tr w14:paraId="39B31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noWrap w:val="0"/>
                  <w:vAlign w:val="center"/>
                </w:tcPr>
                <w:p w14:paraId="548A2BC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9</w:t>
                  </w:r>
                </w:p>
              </w:tc>
              <w:tc>
                <w:tcPr>
                  <w:tcW w:w="1376" w:type="pct"/>
                  <w:noWrap w:val="0"/>
                  <w:vAlign w:val="center"/>
                </w:tcPr>
                <w:p w14:paraId="0E03012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事故应急救援关闭程序与恢复措施</w:t>
                  </w:r>
                </w:p>
              </w:tc>
              <w:tc>
                <w:tcPr>
                  <w:tcW w:w="3219" w:type="pct"/>
                  <w:noWrap w:val="0"/>
                  <w:vAlign w:val="center"/>
                </w:tcPr>
                <w:p w14:paraId="2427C0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规定应急状态终止程序</w:t>
                  </w:r>
                </w:p>
                <w:p w14:paraId="60D893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事故现场善后处理，恢复措施</w:t>
                  </w:r>
                </w:p>
                <w:p w14:paraId="1042AB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邻近区域解除事故警戒及善后恢复措施</w:t>
                  </w:r>
                </w:p>
              </w:tc>
            </w:tr>
            <w:tr w14:paraId="0F1A3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noWrap w:val="0"/>
                  <w:vAlign w:val="center"/>
                </w:tcPr>
                <w:p w14:paraId="67F48D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10</w:t>
                  </w:r>
                </w:p>
              </w:tc>
              <w:tc>
                <w:tcPr>
                  <w:tcW w:w="1376" w:type="pct"/>
                  <w:noWrap w:val="0"/>
                  <w:vAlign w:val="center"/>
                </w:tcPr>
                <w:p w14:paraId="480C41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应急培训计划</w:t>
                  </w:r>
                </w:p>
              </w:tc>
              <w:tc>
                <w:tcPr>
                  <w:tcW w:w="3219" w:type="pct"/>
                  <w:noWrap w:val="0"/>
                  <w:vAlign w:val="center"/>
                </w:tcPr>
                <w:p w14:paraId="13AFCD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应急计划制定后，平时安排人员培训与演练</w:t>
                  </w:r>
                </w:p>
              </w:tc>
            </w:tr>
            <w:tr w14:paraId="1565F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noWrap w:val="0"/>
                  <w:vAlign w:val="center"/>
                </w:tcPr>
                <w:p w14:paraId="4F7F26A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11</w:t>
                  </w:r>
                </w:p>
              </w:tc>
              <w:tc>
                <w:tcPr>
                  <w:tcW w:w="1376" w:type="pct"/>
                  <w:noWrap w:val="0"/>
                  <w:vAlign w:val="center"/>
                </w:tcPr>
                <w:p w14:paraId="348107A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公众教育和信息</w:t>
                  </w:r>
                </w:p>
              </w:tc>
              <w:tc>
                <w:tcPr>
                  <w:tcW w:w="3219" w:type="pct"/>
                  <w:noWrap w:val="0"/>
                  <w:vAlign w:val="center"/>
                </w:tcPr>
                <w:p w14:paraId="4454F8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对厂区邻近地区开展公众教育、培训和发布有关信息</w:t>
                  </w:r>
                </w:p>
              </w:tc>
            </w:tr>
          </w:tbl>
          <w:p w14:paraId="6D40A69D">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根据项目实际情况，可参照以下几个方面相应制定具体的应急预案：</w:t>
            </w:r>
          </w:p>
          <w:p w14:paraId="715F61A7">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fldChar w:fldCharType="begin"/>
            </w:r>
            <w:r>
              <w:rPr>
                <w:rFonts w:hint="default" w:ascii="Times New Roman" w:hAnsi="Times New Roman" w:eastAsia="宋体" w:cs="Times New Roman"/>
                <w:b w:val="0"/>
                <w:bCs w:val="0"/>
                <w:color w:val="auto"/>
                <w:spacing w:val="0"/>
                <w:w w:val="100"/>
                <w:kern w:val="0"/>
                <w:position w:val="0"/>
                <w:sz w:val="24"/>
                <w:szCs w:val="24"/>
                <w:lang w:val="en-US" w:eastAsia="zh-CN"/>
              </w:rPr>
              <w:instrText xml:space="preserve"> = 1 \* roman \* MERGEFORMAT </w:instrTex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separate"/>
            </w:r>
            <w:r>
              <w:rPr>
                <w:rFonts w:hint="default" w:ascii="Times New Roman" w:hAnsi="Times New Roman" w:eastAsia="宋体" w:cs="Times New Roman"/>
                <w:b w:val="0"/>
                <w:bCs w:val="0"/>
                <w:color w:val="auto"/>
                <w:spacing w:val="0"/>
                <w:w w:val="100"/>
                <w:kern w:val="0"/>
                <w:position w:val="0"/>
                <w:sz w:val="24"/>
                <w:szCs w:val="24"/>
                <w:lang w:val="en-US" w:eastAsia="zh-CN"/>
              </w:rPr>
              <w:t>i</w: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end"/>
            </w:r>
            <w:r>
              <w:rPr>
                <w:rFonts w:hint="default" w:ascii="Times New Roman" w:hAnsi="Times New Roman" w:eastAsia="宋体" w:cs="Times New Roman"/>
                <w:b w:val="0"/>
                <w:bCs w:val="0"/>
                <w:color w:val="auto"/>
                <w:spacing w:val="0"/>
                <w:w w:val="100"/>
                <w:kern w:val="0"/>
                <w:position w:val="0"/>
                <w:sz w:val="24"/>
                <w:szCs w:val="24"/>
                <w:lang w:val="en-US" w:eastAsia="zh-CN"/>
              </w:rPr>
              <w:t>、应急计划区危险目标的设定</w:t>
            </w:r>
          </w:p>
          <w:p w14:paraId="289212B9">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根据有关法律法规的规定，项目危险源的分布情况为危废暂存间等，上述区域设定为危险目标。对于危险有害场所确保有明显的安全警示标志。生产装置要符合有关规定；设置防护栏并悬挂醒目的标志。</w:t>
            </w:r>
          </w:p>
          <w:p w14:paraId="64CF68E8">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fldChar w:fldCharType="begin"/>
            </w:r>
            <w:r>
              <w:rPr>
                <w:rFonts w:hint="default" w:ascii="Times New Roman" w:hAnsi="Times New Roman" w:eastAsia="宋体" w:cs="Times New Roman"/>
                <w:b w:val="0"/>
                <w:bCs w:val="0"/>
                <w:color w:val="auto"/>
                <w:spacing w:val="0"/>
                <w:w w:val="100"/>
                <w:kern w:val="0"/>
                <w:position w:val="0"/>
                <w:sz w:val="24"/>
                <w:szCs w:val="24"/>
                <w:lang w:val="en-US" w:eastAsia="zh-CN"/>
              </w:rPr>
              <w:instrText xml:space="preserve"> = 2 \* roman \* MERGEFORMAT </w:instrTex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separate"/>
            </w:r>
            <w:r>
              <w:rPr>
                <w:rFonts w:hint="default" w:ascii="Times New Roman" w:hAnsi="Times New Roman" w:eastAsia="宋体" w:cs="Times New Roman"/>
                <w:b w:val="0"/>
                <w:bCs w:val="0"/>
                <w:color w:val="auto"/>
                <w:spacing w:val="0"/>
                <w:w w:val="100"/>
                <w:kern w:val="0"/>
                <w:position w:val="0"/>
                <w:sz w:val="24"/>
                <w:szCs w:val="24"/>
                <w:lang w:val="en-US" w:eastAsia="zh-CN"/>
              </w:rPr>
              <w:t>ii</w: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end"/>
            </w:r>
            <w:r>
              <w:rPr>
                <w:rFonts w:hint="default" w:ascii="Times New Roman" w:hAnsi="Times New Roman" w:eastAsia="宋体" w:cs="Times New Roman"/>
                <w:b w:val="0"/>
                <w:bCs w:val="0"/>
                <w:color w:val="auto"/>
                <w:spacing w:val="0"/>
                <w:w w:val="100"/>
                <w:kern w:val="0"/>
                <w:position w:val="0"/>
                <w:sz w:val="24"/>
                <w:szCs w:val="24"/>
                <w:lang w:val="en-US" w:eastAsia="zh-CN"/>
              </w:rPr>
              <w:t>、设置应急组织机构、人员和通讯方式</w:t>
            </w:r>
          </w:p>
          <w:p w14:paraId="480BF3E1">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设置应急救援组织机构指挥部，负责现场的全面指挥、协调具体救援工作；成立义务抢险队，在社会救援队到来之前，做好事故报警、情报通报及事故处置工作，负责向上级部门报告，负责联系厂区各部门进行事故应急抢险。安排人员接警车，负责联系环保部门控制环境污染。各组织机构及人员落到实处。</w:t>
            </w:r>
          </w:p>
          <w:p w14:paraId="7BF52E73">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fldChar w:fldCharType="begin"/>
            </w:r>
            <w:r>
              <w:rPr>
                <w:rFonts w:hint="default" w:ascii="Times New Roman" w:hAnsi="Times New Roman" w:eastAsia="宋体" w:cs="Times New Roman"/>
                <w:b w:val="0"/>
                <w:bCs w:val="0"/>
                <w:color w:val="auto"/>
                <w:spacing w:val="0"/>
                <w:w w:val="100"/>
                <w:kern w:val="0"/>
                <w:position w:val="0"/>
                <w:sz w:val="24"/>
                <w:szCs w:val="24"/>
                <w:lang w:val="en-US" w:eastAsia="zh-CN"/>
              </w:rPr>
              <w:instrText xml:space="preserve"> = 3 \* roman \* MERGEFORMAT </w:instrTex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separate"/>
            </w:r>
            <w:r>
              <w:rPr>
                <w:rFonts w:hint="default" w:ascii="Times New Roman" w:hAnsi="Times New Roman" w:eastAsia="宋体" w:cs="Times New Roman"/>
                <w:b w:val="0"/>
                <w:bCs w:val="0"/>
                <w:color w:val="auto"/>
                <w:spacing w:val="0"/>
                <w:w w:val="100"/>
                <w:kern w:val="0"/>
                <w:position w:val="0"/>
                <w:sz w:val="24"/>
                <w:szCs w:val="24"/>
                <w:lang w:val="en-US" w:eastAsia="zh-CN"/>
              </w:rPr>
              <w:t>iii</w: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end"/>
            </w:r>
            <w:r>
              <w:rPr>
                <w:rFonts w:hint="default" w:ascii="Times New Roman" w:hAnsi="Times New Roman" w:eastAsia="宋体" w:cs="Times New Roman"/>
                <w:b w:val="0"/>
                <w:bCs w:val="0"/>
                <w:color w:val="auto"/>
                <w:spacing w:val="0"/>
                <w:w w:val="100"/>
                <w:kern w:val="0"/>
                <w:position w:val="0"/>
                <w:sz w:val="24"/>
                <w:szCs w:val="24"/>
                <w:lang w:val="en-US" w:eastAsia="zh-CN"/>
              </w:rPr>
              <w:t>、设置事故应急响应工作系统</w:t>
            </w:r>
          </w:p>
          <w:p w14:paraId="3FCEA1E6">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建立事故应急响应工作系统，配置各类设施、装备和材料，防止未处理的废气等泄漏至外环境中。规定应急状态下的报警通讯方式、通知方式，如与附近环保部门保持密切联系，联系方式公开，确保事故发生时必须的交通保障措施。事故应急响应工作系统包括配套抢险技术装备通讯设备及通讯网络。</w:t>
            </w:r>
          </w:p>
          <w:p w14:paraId="459648C0">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fldChar w:fldCharType="begin"/>
            </w:r>
            <w:r>
              <w:rPr>
                <w:rFonts w:hint="default" w:ascii="Times New Roman" w:hAnsi="Times New Roman" w:eastAsia="宋体" w:cs="Times New Roman"/>
                <w:b w:val="0"/>
                <w:bCs w:val="0"/>
                <w:color w:val="auto"/>
                <w:spacing w:val="0"/>
                <w:w w:val="100"/>
                <w:kern w:val="0"/>
                <w:position w:val="0"/>
                <w:sz w:val="24"/>
                <w:szCs w:val="24"/>
                <w:lang w:val="en-US" w:eastAsia="zh-CN"/>
              </w:rPr>
              <w:instrText xml:space="preserve"> = 4 \* roman \* MERGEFORMAT </w:instrTex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separate"/>
            </w:r>
            <w:r>
              <w:rPr>
                <w:rFonts w:hint="default" w:ascii="Times New Roman" w:hAnsi="Times New Roman" w:eastAsia="宋体" w:cs="Times New Roman"/>
                <w:b w:val="0"/>
                <w:bCs w:val="0"/>
                <w:color w:val="auto"/>
                <w:spacing w:val="0"/>
                <w:w w:val="100"/>
                <w:kern w:val="0"/>
                <w:position w:val="0"/>
                <w:sz w:val="24"/>
                <w:szCs w:val="24"/>
                <w:lang w:val="en-US" w:eastAsia="zh-CN"/>
              </w:rPr>
              <w:t>iv</w: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end"/>
            </w:r>
            <w:r>
              <w:rPr>
                <w:rFonts w:hint="default" w:ascii="Times New Roman" w:hAnsi="Times New Roman" w:eastAsia="宋体" w:cs="Times New Roman"/>
                <w:b w:val="0"/>
                <w:bCs w:val="0"/>
                <w:color w:val="auto"/>
                <w:spacing w:val="0"/>
                <w:w w:val="100"/>
                <w:kern w:val="0"/>
                <w:position w:val="0"/>
                <w:sz w:val="24"/>
                <w:szCs w:val="24"/>
                <w:lang w:val="en-US" w:eastAsia="zh-CN"/>
              </w:rPr>
              <w:t>、事故现场控制</w:t>
            </w:r>
          </w:p>
          <w:p w14:paraId="7EB401AF">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在事故现场，事故处理人员应控制污染，防止扩大、蔓延及连锁反应；事故现场采用红色警戒布条、拉线封闭。</w:t>
            </w:r>
          </w:p>
          <w:p w14:paraId="6CD7BF35">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fldChar w:fldCharType="begin"/>
            </w:r>
            <w:r>
              <w:rPr>
                <w:rFonts w:hint="default" w:ascii="Times New Roman" w:hAnsi="Times New Roman" w:eastAsia="宋体" w:cs="Times New Roman"/>
                <w:b w:val="0"/>
                <w:bCs w:val="0"/>
                <w:color w:val="auto"/>
                <w:spacing w:val="0"/>
                <w:w w:val="100"/>
                <w:kern w:val="0"/>
                <w:position w:val="0"/>
                <w:sz w:val="24"/>
                <w:szCs w:val="24"/>
                <w:lang w:val="en-US" w:eastAsia="zh-CN"/>
              </w:rPr>
              <w:instrText xml:space="preserve"> = 5 \* roman \* MERGEFORMAT </w:instrTex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separate"/>
            </w:r>
            <w:r>
              <w:rPr>
                <w:rFonts w:hint="default" w:ascii="Times New Roman" w:hAnsi="Times New Roman" w:eastAsia="宋体" w:cs="Times New Roman"/>
                <w:b w:val="0"/>
                <w:bCs w:val="0"/>
                <w:color w:val="auto"/>
                <w:spacing w:val="0"/>
                <w:w w:val="100"/>
                <w:kern w:val="0"/>
                <w:position w:val="0"/>
                <w:sz w:val="24"/>
                <w:szCs w:val="24"/>
                <w:lang w:val="en-US" w:eastAsia="zh-CN"/>
              </w:rPr>
              <w:t>v</w: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end"/>
            </w:r>
            <w:r>
              <w:rPr>
                <w:rFonts w:hint="default" w:ascii="Times New Roman" w:hAnsi="Times New Roman" w:eastAsia="宋体" w:cs="Times New Roman"/>
                <w:b w:val="0"/>
                <w:bCs w:val="0"/>
                <w:color w:val="auto"/>
                <w:spacing w:val="0"/>
                <w:w w:val="100"/>
                <w:kern w:val="0"/>
                <w:position w:val="0"/>
                <w:sz w:val="24"/>
                <w:szCs w:val="24"/>
                <w:lang w:val="en-US" w:eastAsia="zh-CN"/>
              </w:rPr>
              <w:t>、专业评估</w:t>
            </w:r>
          </w:p>
          <w:p w14:paraId="42FBEFF5">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由专业队伍负责对事故现场进行侦查监测，对事故性质、参数与后果进行评估，为指挥部门提供决策依据。</w:t>
            </w:r>
          </w:p>
          <w:p w14:paraId="645DBEE2">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fldChar w:fldCharType="begin"/>
            </w:r>
            <w:r>
              <w:rPr>
                <w:rFonts w:hint="default" w:ascii="Times New Roman" w:hAnsi="Times New Roman" w:eastAsia="宋体" w:cs="Times New Roman"/>
                <w:b w:val="0"/>
                <w:bCs w:val="0"/>
                <w:color w:val="auto"/>
                <w:spacing w:val="0"/>
                <w:w w:val="100"/>
                <w:kern w:val="0"/>
                <w:position w:val="0"/>
                <w:sz w:val="24"/>
                <w:szCs w:val="24"/>
                <w:lang w:val="en-US" w:eastAsia="zh-CN"/>
              </w:rPr>
              <w:instrText xml:space="preserve"> = 6 \* roman \* MERGEFORMAT </w:instrTex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separate"/>
            </w:r>
            <w:r>
              <w:rPr>
                <w:rFonts w:hint="default" w:ascii="Times New Roman" w:hAnsi="Times New Roman" w:eastAsia="宋体" w:cs="Times New Roman"/>
                <w:b w:val="0"/>
                <w:bCs w:val="0"/>
                <w:color w:val="auto"/>
                <w:spacing w:val="0"/>
                <w:w w:val="100"/>
                <w:kern w:val="0"/>
                <w:position w:val="0"/>
                <w:sz w:val="24"/>
                <w:szCs w:val="24"/>
                <w:lang w:val="en-US" w:eastAsia="zh-CN"/>
              </w:rPr>
              <w:t>vi</w: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end"/>
            </w:r>
            <w:r>
              <w:rPr>
                <w:rFonts w:hint="default" w:ascii="Times New Roman" w:hAnsi="Times New Roman" w:eastAsia="宋体" w:cs="Times New Roman"/>
                <w:b w:val="0"/>
                <w:bCs w:val="0"/>
                <w:color w:val="auto"/>
                <w:spacing w:val="0"/>
                <w:w w:val="100"/>
                <w:kern w:val="0"/>
                <w:position w:val="0"/>
                <w:sz w:val="24"/>
                <w:szCs w:val="24"/>
                <w:lang w:val="en-US" w:eastAsia="zh-CN"/>
              </w:rPr>
              <w:t>、培训和演练</w:t>
            </w:r>
          </w:p>
          <w:p w14:paraId="3505B06D">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平时应安排人员进行培训和演练，对工厂邻近地区开展公众教育、培训和公开发布有关信息，使居民掌握必要的知识和技能以识别危险、辨别事故危险性、了解自身的作用和责任、采取正确措施（包括使用必须的防护措施和紧急疏散）以降低人群健康、财产的损失。</w:t>
            </w:r>
          </w:p>
          <w:p w14:paraId="33016957">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fldChar w:fldCharType="begin"/>
            </w:r>
            <w:r>
              <w:rPr>
                <w:rFonts w:hint="default" w:ascii="Times New Roman" w:hAnsi="Times New Roman" w:eastAsia="宋体" w:cs="Times New Roman"/>
                <w:b w:val="0"/>
                <w:bCs w:val="0"/>
                <w:color w:val="auto"/>
                <w:spacing w:val="0"/>
                <w:w w:val="100"/>
                <w:kern w:val="0"/>
                <w:position w:val="0"/>
                <w:sz w:val="24"/>
                <w:szCs w:val="24"/>
                <w:lang w:val="en-US" w:eastAsia="zh-CN"/>
              </w:rPr>
              <w:instrText xml:space="preserve"> = 7 \* roman \* MERGEFORMAT </w:instrTex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separate"/>
            </w:r>
            <w:r>
              <w:rPr>
                <w:rFonts w:hint="default" w:ascii="Times New Roman" w:hAnsi="Times New Roman" w:eastAsia="宋体" w:cs="Times New Roman"/>
                <w:b w:val="0"/>
                <w:bCs w:val="0"/>
                <w:color w:val="auto"/>
                <w:spacing w:val="0"/>
                <w:w w:val="100"/>
                <w:kern w:val="0"/>
                <w:position w:val="0"/>
                <w:sz w:val="24"/>
                <w:szCs w:val="24"/>
                <w:lang w:val="en-US" w:eastAsia="zh-CN"/>
              </w:rPr>
              <w:t>vii</w: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end"/>
            </w:r>
            <w:r>
              <w:rPr>
                <w:rFonts w:hint="default" w:ascii="Times New Roman" w:hAnsi="Times New Roman" w:eastAsia="宋体" w:cs="Times New Roman"/>
                <w:b w:val="0"/>
                <w:bCs w:val="0"/>
                <w:color w:val="auto"/>
                <w:spacing w:val="0"/>
                <w:w w:val="100"/>
                <w:kern w:val="0"/>
                <w:position w:val="0"/>
                <w:sz w:val="24"/>
                <w:szCs w:val="24"/>
                <w:lang w:val="en-US" w:eastAsia="zh-CN"/>
              </w:rPr>
              <w:t>、记录与档案管理</w:t>
            </w:r>
          </w:p>
          <w:p w14:paraId="64C5CAD8">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设置应急事故专门记录，建立档案和专门报告制度，设立专门部门负责管理。</w:t>
            </w:r>
          </w:p>
          <w:p w14:paraId="598557A6">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fldChar w:fldCharType="begin"/>
            </w:r>
            <w:r>
              <w:rPr>
                <w:rFonts w:hint="default" w:ascii="Times New Roman" w:hAnsi="Times New Roman" w:eastAsia="宋体" w:cs="Times New Roman"/>
                <w:b w:val="0"/>
                <w:bCs w:val="0"/>
                <w:color w:val="auto"/>
                <w:spacing w:val="0"/>
                <w:w w:val="100"/>
                <w:kern w:val="0"/>
                <w:position w:val="0"/>
                <w:sz w:val="24"/>
                <w:szCs w:val="24"/>
                <w:lang w:val="en-US" w:eastAsia="zh-CN"/>
              </w:rPr>
              <w:instrText xml:space="preserve"> = 8 \* roman \* MERGEFORMAT </w:instrTex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separate"/>
            </w:r>
            <w:r>
              <w:rPr>
                <w:rFonts w:hint="default" w:ascii="Times New Roman" w:hAnsi="Times New Roman" w:eastAsia="宋体" w:cs="Times New Roman"/>
                <w:b w:val="0"/>
                <w:bCs w:val="0"/>
                <w:color w:val="auto"/>
                <w:spacing w:val="0"/>
                <w:w w:val="100"/>
                <w:kern w:val="0"/>
                <w:position w:val="0"/>
                <w:sz w:val="24"/>
                <w:szCs w:val="24"/>
                <w:lang w:val="en-US" w:eastAsia="zh-CN"/>
              </w:rPr>
              <w:t>viii</w:t>
            </w:r>
            <w:r>
              <w:rPr>
                <w:rFonts w:hint="default" w:ascii="Times New Roman" w:hAnsi="Times New Roman" w:eastAsia="宋体" w:cs="Times New Roman"/>
                <w:b w:val="0"/>
                <w:bCs w:val="0"/>
                <w:color w:val="auto"/>
                <w:spacing w:val="0"/>
                <w:w w:val="100"/>
                <w:kern w:val="0"/>
                <w:position w:val="0"/>
                <w:sz w:val="24"/>
                <w:szCs w:val="24"/>
                <w:lang w:val="en-US" w:eastAsia="zh-CN"/>
              </w:rPr>
              <w:fldChar w:fldCharType="end"/>
            </w:r>
            <w:r>
              <w:rPr>
                <w:rFonts w:hint="default" w:ascii="Times New Roman" w:hAnsi="Times New Roman" w:eastAsia="宋体" w:cs="Times New Roman"/>
                <w:b w:val="0"/>
                <w:bCs w:val="0"/>
                <w:color w:val="auto"/>
                <w:spacing w:val="0"/>
                <w:w w:val="100"/>
                <w:kern w:val="0"/>
                <w:position w:val="0"/>
                <w:sz w:val="24"/>
                <w:szCs w:val="24"/>
                <w:lang w:val="en-US" w:eastAsia="zh-CN"/>
              </w:rPr>
              <w:t>、应急预案可进行评审</w:t>
            </w:r>
          </w:p>
          <w:p w14:paraId="43DAA141">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发生事故后应及时对应急预案设施的有效性进行评审，并及时修改完善。</w:t>
            </w:r>
          </w:p>
          <w:p w14:paraId="5DE3402C">
            <w:pPr>
              <w:pStyle w:val="12"/>
              <w:keepNext w:val="0"/>
              <w:keepLines w:val="0"/>
              <w:suppressLineNumbers w:val="0"/>
              <w:adjustRightInd/>
              <w:snapToGrid/>
              <w:spacing w:before="0" w:beforeAutospacing="0" w:after="0" w:afterAutospacing="0" w:line="360" w:lineRule="auto"/>
              <w:ind w:left="0" w:right="0" w:firstLine="480"/>
              <w:contextualSpacing/>
              <w:rPr>
                <w:rFonts w:hint="default" w:ascii="Times New Roman" w:hAnsi="Times New Roman" w:eastAsia="宋体" w:cs="Times New Roman"/>
                <w:b/>
                <w:bCs/>
                <w:color w:val="auto"/>
                <w:spacing w:val="0"/>
                <w:w w:val="100"/>
                <w:position w:val="0"/>
                <w:sz w:val="24"/>
                <w:szCs w:val="24"/>
                <w:lang w:val="en-US" w:eastAsia="zh-CN"/>
              </w:rPr>
            </w:pPr>
            <w:r>
              <w:rPr>
                <w:rFonts w:hint="default" w:ascii="Times New Roman" w:hAnsi="Times New Roman" w:eastAsia="宋体" w:cs="Times New Roman"/>
                <w:b/>
                <w:bCs/>
                <w:color w:val="auto"/>
                <w:spacing w:val="0"/>
                <w:w w:val="100"/>
                <w:position w:val="0"/>
                <w:sz w:val="24"/>
                <w:szCs w:val="24"/>
                <w:lang w:val="en-US" w:eastAsia="zh-CN"/>
              </w:rPr>
              <w:t>7、环保投资及“三同时”</w:t>
            </w:r>
          </w:p>
          <w:p w14:paraId="46A55120">
            <w:pPr>
              <w:pStyle w:val="12"/>
              <w:keepNext w:val="0"/>
              <w:keepLines w:val="0"/>
              <w:suppressLineNumbers w:val="0"/>
              <w:adjustRightInd/>
              <w:snapToGrid/>
              <w:spacing w:before="0" w:beforeAutospacing="0" w:after="0" w:afterAutospacing="0" w:line="360" w:lineRule="auto"/>
              <w:ind w:left="0" w:right="0" w:firstLine="480"/>
              <w:contextualSpacing/>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建设单位应按照国家及本市有关法律法规、建设项目竣工环境保护验收技术规范、建设项目环境影响报告书（表）和审批决定等要求，自主开展相关验收工作。建设项目配套建设的环境保护设施经验收合格，方可投入生产或者使用；未经验收或者验收不合格的，不得投入生产或者使用。</w:t>
            </w:r>
          </w:p>
          <w:p w14:paraId="1DF114C6">
            <w:pPr>
              <w:pStyle w:val="12"/>
              <w:keepNext w:val="0"/>
              <w:keepLines w:val="0"/>
              <w:suppressLineNumbers w:val="0"/>
              <w:adjustRightInd/>
              <w:snapToGrid/>
              <w:spacing w:before="0" w:beforeAutospacing="0" w:after="0" w:afterAutospacing="0" w:line="360" w:lineRule="auto"/>
              <w:ind w:left="0" w:right="0" w:firstLine="480"/>
              <w:contextualSpacing/>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根据环境保护部2017年11月20日发布的《建设项目竣工环境保护验收管理办法》（国环规环评〔2017〕4号）的要求，建设单位是建设项目竣工环境保护验收的责任主体，应当按照本办法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w:t>
            </w:r>
          </w:p>
          <w:p w14:paraId="32DC0931">
            <w:pPr>
              <w:pStyle w:val="12"/>
              <w:keepNext w:val="0"/>
              <w:keepLines w:val="0"/>
              <w:suppressLineNumbers w:val="0"/>
              <w:adjustRightInd/>
              <w:snapToGrid/>
              <w:spacing w:before="0" w:beforeAutospacing="0" w:after="0" w:afterAutospacing="0" w:line="360" w:lineRule="auto"/>
              <w:ind w:left="0" w:right="0" w:firstLine="480"/>
              <w:contextualSpacing/>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需要对建设项目配套建设的环境保护设施进行调试的，建设单位应当确保调试期间污染物排放符合国家和地方有关污染物排放标准和排污许可等相关管理规定。环境保护设施未与主体工程同时建成的，或者应当取得排污许可证但未取得的，建设单位不得对该建设项目环境保护设施进行调试。调试期间，建设单位应当对环境保护设施运行情况和建设项目对环境的影响进行监测。验收监测应当在确保主体工程调试工况稳定、环境保护设施运行正常的情况下进行，并如实记录监测时的实际工况。建设单位开展验收监测活动，可根据自身条件和能力，利用自有人员、场所和设备自行监测；也可以委托其他有能力的监测机构开展监测。</w:t>
            </w:r>
          </w:p>
          <w:p w14:paraId="265CC924">
            <w:pPr>
              <w:pStyle w:val="12"/>
              <w:keepNext w:val="0"/>
              <w:keepLines w:val="0"/>
              <w:suppressLineNumbers w:val="0"/>
              <w:adjustRightInd/>
              <w:snapToGrid/>
              <w:spacing w:before="0" w:beforeAutospacing="0" w:after="0" w:afterAutospacing="0" w:line="360" w:lineRule="auto"/>
              <w:ind w:left="0" w:right="0" w:firstLine="480"/>
              <w:contextualSpacing/>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建设项目竣工后，建设单位应当如实查验、监测、记载建设项目环境保护设施的建设和调试情况，编制验收监测（调查）报告；验收监测（调查）报告编制完成后，建设单位应当根据验收监测（调查）报告结论，逐一检查是否存在本办法第八条所列验收不合格的情形，提出验收意见。存在问题的，建设单位应当进行整改，整改完成后方可提出验收意见。</w:t>
            </w:r>
          </w:p>
          <w:p w14:paraId="27B17C03">
            <w:pPr>
              <w:pStyle w:val="12"/>
              <w:keepNext w:val="0"/>
              <w:keepLines w:val="0"/>
              <w:suppressLineNumbers w:val="0"/>
              <w:adjustRightInd/>
              <w:snapToGrid/>
              <w:spacing w:before="0" w:beforeAutospacing="0" w:after="0" w:afterAutospacing="0" w:line="360" w:lineRule="auto"/>
              <w:ind w:left="0" w:right="0" w:firstLine="480"/>
              <w:contextualSpacing/>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验收意见包括工程建设基本情况、工程变动情况、环境保护设施落实情况、环境保护设施调试效果、工程建设对环境的影响、验收结论和后续要求等内容，验收结论应当明确该建设项目环境保护设施是否验收合格。建设项目配套建设的环境保护设施经验收合格后，其主体工程方可投入生产或者使用；未经验收或者验收不合格的，不得投入生产或者使用。项目环保投资及“三同时”验收建议清单见表4-19。</w:t>
            </w:r>
          </w:p>
          <w:p w14:paraId="7B323FF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firstLine="480" w:firstLineChars="200"/>
              <w:textAlignment w:val="auto"/>
              <w:rPr>
                <w:rFonts w:hint="default" w:ascii="Times New Roman" w:hAnsi="Times New Roman" w:eastAsia="宋体" w:cs="Times New Roman"/>
                <w:color w:val="auto"/>
                <w:spacing w:val="0"/>
                <w:w w:val="100"/>
                <w:position w:val="0"/>
                <w:sz w:val="24"/>
                <w:lang w:val="en-US" w:eastAsia="zh-CN"/>
              </w:rPr>
            </w:pPr>
            <w:r>
              <w:rPr>
                <w:rFonts w:hint="default" w:ascii="Times New Roman" w:hAnsi="Times New Roman" w:eastAsia="宋体" w:cs="Times New Roman"/>
                <w:color w:val="auto"/>
                <w:spacing w:val="0"/>
                <w:w w:val="100"/>
                <w:position w:val="0"/>
                <w:sz w:val="24"/>
                <w:lang w:eastAsia="zh-CN"/>
              </w:rPr>
              <w:t>。</w:t>
            </w:r>
          </w:p>
          <w:p w14:paraId="175CA4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562" w:firstLineChars="200"/>
              <w:jc w:val="both"/>
              <w:textAlignment w:val="auto"/>
              <w:rPr>
                <w:rFonts w:hint="default" w:ascii="Times New Roman" w:hAnsi="Times New Roman" w:eastAsia="宋体" w:cs="Times New Roman"/>
                <w:b/>
                <w:color w:val="auto"/>
                <w:spacing w:val="0"/>
                <w:w w:val="100"/>
                <w:kern w:val="0"/>
                <w:position w:val="0"/>
                <w:sz w:val="28"/>
                <w:szCs w:val="21"/>
                <w:lang w:val="en-US" w:eastAsia="zh-CN"/>
              </w:rPr>
            </w:pPr>
          </w:p>
        </w:tc>
      </w:tr>
    </w:tbl>
    <w:p w14:paraId="2F6A892B">
      <w:pPr>
        <w:rPr>
          <w:rFonts w:hint="default" w:ascii="Times New Roman" w:hAnsi="Times New Roman" w:cs="Times New Roman"/>
          <w:color w:val="auto"/>
          <w:spacing w:val="0"/>
          <w:lang w:val="en-US" w:eastAsia="zh-CN"/>
        </w:rPr>
        <w:sectPr>
          <w:pgSz w:w="11906" w:h="16838"/>
          <w:pgMar w:top="1134" w:right="1701" w:bottom="1134" w:left="1701"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5F19106">
      <w:pPr>
        <w:pStyle w:val="2"/>
        <w:jc w:val="center"/>
        <w:rPr>
          <w:rFonts w:hint="default" w:ascii="Times New Roman" w:hAnsi="Times New Roman" w:eastAsia="宋体" w:cs="Times New Roman"/>
          <w:b/>
          <w:bCs/>
          <w:color w:val="auto"/>
          <w:spacing w:val="0"/>
          <w:w w:val="100"/>
          <w:kern w:val="0"/>
          <w:position w:val="0"/>
          <w:sz w:val="24"/>
          <w:szCs w:val="24"/>
          <w:lang w:val="en-US" w:eastAsia="zh-CN"/>
        </w:rPr>
      </w:pPr>
      <w:r>
        <w:rPr>
          <w:rFonts w:hint="default" w:ascii="Times New Roman" w:hAnsi="Times New Roman" w:eastAsia="宋体" w:cs="Times New Roman"/>
          <w:b/>
          <w:bCs/>
          <w:color w:val="auto"/>
          <w:spacing w:val="0"/>
          <w:w w:val="100"/>
          <w:kern w:val="0"/>
          <w:position w:val="0"/>
          <w:sz w:val="24"/>
          <w:szCs w:val="24"/>
          <w:lang w:val="en-US" w:eastAsia="zh-CN"/>
        </w:rPr>
        <w:t>表4-19  项目环保投资及“三同时”验收建议清单一览表</w:t>
      </w:r>
    </w:p>
    <w:tbl>
      <w:tblPr>
        <w:tblStyle w:val="59"/>
        <w:tblW w:w="501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3" w:type="dxa"/>
          <w:bottom w:w="0" w:type="dxa"/>
          <w:right w:w="23" w:type="dxa"/>
        </w:tblCellMar>
      </w:tblPr>
      <w:tblGrid>
        <w:gridCol w:w="507"/>
        <w:gridCol w:w="601"/>
        <w:gridCol w:w="1586"/>
        <w:gridCol w:w="1430"/>
        <w:gridCol w:w="4302"/>
        <w:gridCol w:w="4467"/>
        <w:gridCol w:w="1758"/>
      </w:tblGrid>
      <w:tr w14:paraId="1B17D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433" w:hRule="atLeast"/>
          <w:tblHeader/>
        </w:trPr>
        <w:tc>
          <w:tcPr>
            <w:tcW w:w="173" w:type="pct"/>
            <w:noWrap w:val="0"/>
            <w:vAlign w:val="center"/>
          </w:tcPr>
          <w:p w14:paraId="6DD37F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类别</w:t>
            </w:r>
          </w:p>
        </w:tc>
        <w:tc>
          <w:tcPr>
            <w:tcW w:w="746" w:type="pct"/>
            <w:gridSpan w:val="2"/>
            <w:noWrap w:val="0"/>
            <w:vAlign w:val="center"/>
          </w:tcPr>
          <w:p w14:paraId="4A6455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污染源</w:t>
            </w:r>
          </w:p>
        </w:tc>
        <w:tc>
          <w:tcPr>
            <w:tcW w:w="487" w:type="pct"/>
            <w:noWrap w:val="0"/>
            <w:vAlign w:val="center"/>
          </w:tcPr>
          <w:p w14:paraId="24B0C0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污染物</w:t>
            </w:r>
          </w:p>
        </w:tc>
        <w:tc>
          <w:tcPr>
            <w:tcW w:w="1468" w:type="pct"/>
            <w:noWrap w:val="0"/>
            <w:vAlign w:val="center"/>
          </w:tcPr>
          <w:p w14:paraId="6108B48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治理措施（设施数量、规模、处理能力等）</w:t>
            </w:r>
          </w:p>
        </w:tc>
        <w:tc>
          <w:tcPr>
            <w:tcW w:w="1524" w:type="pct"/>
            <w:noWrap w:val="0"/>
            <w:vAlign w:val="center"/>
          </w:tcPr>
          <w:p w14:paraId="5013C7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处理效果、执行标准或拟达要求</w:t>
            </w:r>
          </w:p>
        </w:tc>
        <w:tc>
          <w:tcPr>
            <w:tcW w:w="600" w:type="pct"/>
            <w:noWrap w:val="0"/>
            <w:vAlign w:val="center"/>
          </w:tcPr>
          <w:p w14:paraId="0DCBA6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环保投资（万元）</w:t>
            </w:r>
          </w:p>
        </w:tc>
      </w:tr>
      <w:tr w14:paraId="604EC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1030" w:hRule="atLeast"/>
        </w:trPr>
        <w:tc>
          <w:tcPr>
            <w:tcW w:w="173" w:type="pct"/>
            <w:vMerge w:val="restart"/>
            <w:noWrap w:val="0"/>
            <w:vAlign w:val="center"/>
          </w:tcPr>
          <w:p w14:paraId="43767B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废气</w:t>
            </w:r>
          </w:p>
        </w:tc>
        <w:tc>
          <w:tcPr>
            <w:tcW w:w="205" w:type="pct"/>
            <w:vMerge w:val="restart"/>
            <w:noWrap w:val="0"/>
            <w:vAlign w:val="center"/>
          </w:tcPr>
          <w:p w14:paraId="1F1C896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有组织废气</w:t>
            </w:r>
          </w:p>
        </w:tc>
        <w:tc>
          <w:tcPr>
            <w:tcW w:w="541" w:type="pct"/>
            <w:shd w:val="clear" w:color="auto" w:fill="auto"/>
            <w:noWrap w:val="0"/>
            <w:vAlign w:val="center"/>
          </w:tcPr>
          <w:p w14:paraId="559CC297">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电炉熔化废气</w:t>
            </w:r>
          </w:p>
          <w:p w14:paraId="4FC534F9">
            <w:pPr>
              <w:keepNext w:val="0"/>
              <w:keepLines w:val="0"/>
              <w:widowControl/>
              <w:suppressLineNumbers w:val="0"/>
              <w:spacing w:before="0" w:beforeAutospacing="0" w:after="0" w:afterAutospacing="0" w:line="240" w:lineRule="auto"/>
              <w:ind w:left="0" w:leftChars="0" w:right="0" w:rightChars="0" w:firstLine="0" w:firstLineChars="0"/>
              <w:jc w:val="both"/>
              <w:textAlignment w:val="center"/>
              <w:rPr>
                <w:rFonts w:hint="default" w:ascii="Times New Roman" w:hAnsi="Times New Roman" w:eastAsia="宋体" w:cs="Times New Roman"/>
                <w:color w:val="auto"/>
                <w:spacing w:val="0"/>
                <w:w w:val="100"/>
                <w:position w:val="0"/>
                <w:sz w:val="21"/>
                <w:szCs w:val="21"/>
                <w:lang w:val="en-US" w:eastAsia="zh-CN"/>
              </w:rPr>
            </w:pPr>
          </w:p>
        </w:tc>
        <w:tc>
          <w:tcPr>
            <w:tcW w:w="487" w:type="pct"/>
            <w:noWrap w:val="0"/>
            <w:vAlign w:val="center"/>
          </w:tcPr>
          <w:p w14:paraId="33A1EE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颗粒物</w:t>
            </w:r>
          </w:p>
        </w:tc>
        <w:tc>
          <w:tcPr>
            <w:tcW w:w="1468" w:type="pct"/>
            <w:vMerge w:val="restart"/>
            <w:noWrap w:val="0"/>
            <w:vAlign w:val="center"/>
          </w:tcPr>
          <w:p w14:paraId="1653867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项目产生的制模废气</w:t>
            </w:r>
            <w:r>
              <w:rPr>
                <w:rFonts w:hint="eastAsia" w:ascii="Times New Roman" w:hAnsi="Times New Roman" w:eastAsia="宋体" w:cs="Times New Roman"/>
                <w:b w:val="0"/>
                <w:bCs w:val="0"/>
                <w:color w:val="auto"/>
                <w:spacing w:val="0"/>
                <w:w w:val="100"/>
                <w:kern w:val="0"/>
                <w:position w:val="0"/>
                <w:sz w:val="21"/>
                <w:szCs w:val="21"/>
                <w:lang w:val="en-US" w:eastAsia="zh-CN"/>
              </w:rPr>
              <w:t>、</w:t>
            </w:r>
            <w:r>
              <w:rPr>
                <w:rFonts w:hint="default" w:ascii="Times New Roman" w:hAnsi="Times New Roman" w:eastAsia="宋体" w:cs="Times New Roman"/>
                <w:b w:val="0"/>
                <w:bCs w:val="0"/>
                <w:color w:val="auto"/>
                <w:spacing w:val="0"/>
                <w:w w:val="100"/>
                <w:kern w:val="0"/>
                <w:position w:val="0"/>
                <w:sz w:val="21"/>
                <w:szCs w:val="21"/>
                <w:lang w:val="en-US" w:eastAsia="zh-CN"/>
              </w:rPr>
              <w:t>熔化废气、造型/浇注废气、落砂废气和清理废气（抛丸废气、机加工废气）分别经集气罩收集后统一经1套布袋除尘器+1套二级活性炭吸附处理达标后经一根15m 排气筒（DA001）排放，共用风机风量 20000 m³/h，尘效率按90%计。</w:t>
            </w:r>
          </w:p>
        </w:tc>
        <w:tc>
          <w:tcPr>
            <w:tcW w:w="1524" w:type="pct"/>
            <w:noWrap w:val="0"/>
            <w:vAlign w:val="center"/>
          </w:tcPr>
          <w:p w14:paraId="36F21D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《铸造工业大气污染物排放标准》（GB 39726-2020）表 1 大气污染物排放限值</w:t>
            </w:r>
          </w:p>
        </w:tc>
        <w:tc>
          <w:tcPr>
            <w:tcW w:w="600" w:type="pct"/>
            <w:noWrap w:val="0"/>
            <w:vAlign w:val="center"/>
          </w:tcPr>
          <w:p w14:paraId="4C54D9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4</w:t>
            </w:r>
          </w:p>
        </w:tc>
      </w:tr>
      <w:tr w14:paraId="5E867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722" w:hRule="atLeast"/>
        </w:trPr>
        <w:tc>
          <w:tcPr>
            <w:tcW w:w="173" w:type="pct"/>
            <w:vMerge w:val="continue"/>
            <w:noWrap w:val="0"/>
            <w:vAlign w:val="center"/>
          </w:tcPr>
          <w:p w14:paraId="018AB85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205" w:type="pct"/>
            <w:vMerge w:val="continue"/>
            <w:noWrap w:val="0"/>
            <w:vAlign w:val="center"/>
          </w:tcPr>
          <w:p w14:paraId="59F5E5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541" w:type="pct"/>
            <w:shd w:val="clear" w:color="auto" w:fill="auto"/>
            <w:noWrap w:val="0"/>
            <w:vAlign w:val="center"/>
          </w:tcPr>
          <w:p w14:paraId="06D8F421">
            <w:pPr>
              <w:pStyle w:val="111"/>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w w:val="100"/>
                <w:kern w:val="2"/>
                <w:position w:val="0"/>
                <w:sz w:val="21"/>
                <w:szCs w:val="21"/>
                <w:lang w:val="en-US" w:eastAsia="zh-CN" w:bidi="ar-SA"/>
              </w:rPr>
            </w:pPr>
            <w:r>
              <w:rPr>
                <w:rFonts w:hint="default" w:ascii="Times New Roman" w:hAnsi="Times New Roman" w:cs="Times New Roman"/>
                <w:color w:val="auto"/>
                <w:spacing w:val="0"/>
                <w:w w:val="100"/>
                <w:position w:val="0"/>
                <w:sz w:val="21"/>
                <w:szCs w:val="21"/>
                <w:lang w:val="en-US" w:eastAsia="zh-CN"/>
              </w:rPr>
              <w:t>造型/浇注废气</w:t>
            </w:r>
          </w:p>
          <w:p w14:paraId="0B7D4A70">
            <w:pPr>
              <w:pStyle w:val="111"/>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pacing w:val="0"/>
                <w:w w:val="100"/>
                <w:kern w:val="2"/>
                <w:position w:val="0"/>
                <w:sz w:val="21"/>
                <w:szCs w:val="21"/>
                <w:lang w:val="en-US" w:eastAsia="zh-CN" w:bidi="ar-SA"/>
              </w:rPr>
            </w:pPr>
          </w:p>
        </w:tc>
        <w:tc>
          <w:tcPr>
            <w:tcW w:w="487" w:type="pct"/>
            <w:noWrap w:val="0"/>
            <w:vAlign w:val="center"/>
          </w:tcPr>
          <w:p w14:paraId="0E1680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颗粒物</w:t>
            </w:r>
          </w:p>
          <w:p w14:paraId="1635CA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非甲烷总烃</w:t>
            </w:r>
          </w:p>
        </w:tc>
        <w:tc>
          <w:tcPr>
            <w:tcW w:w="1468" w:type="pct"/>
            <w:vMerge w:val="continue"/>
            <w:noWrap w:val="0"/>
            <w:vAlign w:val="center"/>
          </w:tcPr>
          <w:p w14:paraId="309013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1524" w:type="pct"/>
            <w:noWrap w:val="0"/>
            <w:vAlign w:val="center"/>
          </w:tcPr>
          <w:p w14:paraId="5B51224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颗粒物执行《铸造工业大气污染物排放标准》（GB 39726-2020）表 1 大气污染物排放限值；非甲烷总烃执行《大气污染物综合排放标准》（GB16297-1996）表2中最高允许排放浓度及二级最高允许排放速率限值</w:t>
            </w:r>
          </w:p>
        </w:tc>
        <w:tc>
          <w:tcPr>
            <w:tcW w:w="600" w:type="pct"/>
            <w:noWrap w:val="0"/>
            <w:vAlign w:val="center"/>
          </w:tcPr>
          <w:p w14:paraId="3BCA8B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10</w:t>
            </w:r>
          </w:p>
        </w:tc>
      </w:tr>
      <w:tr w14:paraId="23886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722" w:hRule="atLeast"/>
        </w:trPr>
        <w:tc>
          <w:tcPr>
            <w:tcW w:w="173" w:type="pct"/>
            <w:vMerge w:val="continue"/>
            <w:noWrap w:val="0"/>
            <w:vAlign w:val="center"/>
          </w:tcPr>
          <w:p w14:paraId="457E79B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205" w:type="pct"/>
            <w:vMerge w:val="continue"/>
            <w:noWrap w:val="0"/>
            <w:vAlign w:val="center"/>
          </w:tcPr>
          <w:p w14:paraId="5EDF08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541" w:type="pct"/>
            <w:shd w:val="clear" w:color="auto" w:fill="auto"/>
            <w:noWrap w:val="0"/>
            <w:vAlign w:val="center"/>
          </w:tcPr>
          <w:p w14:paraId="2060CDF1">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等线"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落砂废气</w:t>
            </w:r>
          </w:p>
        </w:tc>
        <w:tc>
          <w:tcPr>
            <w:tcW w:w="487" w:type="pct"/>
            <w:noWrap w:val="0"/>
            <w:vAlign w:val="center"/>
          </w:tcPr>
          <w:p w14:paraId="2FDF26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both"/>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颗粒物</w:t>
            </w:r>
          </w:p>
        </w:tc>
        <w:tc>
          <w:tcPr>
            <w:tcW w:w="1468" w:type="pct"/>
            <w:vMerge w:val="continue"/>
            <w:noWrap w:val="0"/>
            <w:vAlign w:val="center"/>
          </w:tcPr>
          <w:p w14:paraId="704EEE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1524" w:type="pct"/>
            <w:vMerge w:val="restart"/>
            <w:noWrap w:val="0"/>
            <w:vAlign w:val="center"/>
          </w:tcPr>
          <w:p w14:paraId="4294D3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《铸造工业大气污染物排放标准》（GB 39726-2020）表 1 大气污染物排放限值</w:t>
            </w:r>
          </w:p>
        </w:tc>
        <w:tc>
          <w:tcPr>
            <w:tcW w:w="600" w:type="pct"/>
            <w:noWrap w:val="0"/>
            <w:vAlign w:val="center"/>
          </w:tcPr>
          <w:p w14:paraId="0EAEE2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4</w:t>
            </w:r>
          </w:p>
        </w:tc>
      </w:tr>
      <w:tr w14:paraId="3BE67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722" w:hRule="atLeast"/>
        </w:trPr>
        <w:tc>
          <w:tcPr>
            <w:tcW w:w="173" w:type="pct"/>
            <w:vMerge w:val="continue"/>
            <w:noWrap w:val="0"/>
            <w:vAlign w:val="center"/>
          </w:tcPr>
          <w:p w14:paraId="3F5FDD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205" w:type="pct"/>
            <w:vMerge w:val="continue"/>
            <w:noWrap w:val="0"/>
            <w:vAlign w:val="center"/>
          </w:tcPr>
          <w:p w14:paraId="735FB3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541" w:type="pct"/>
            <w:shd w:val="clear" w:color="auto" w:fill="auto"/>
            <w:noWrap w:val="0"/>
            <w:vAlign w:val="center"/>
          </w:tcPr>
          <w:p w14:paraId="77B477A5">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olor w:val="auto"/>
                <w:spacing w:val="0"/>
                <w:w w:val="100"/>
                <w:position w:val="0"/>
                <w:sz w:val="21"/>
                <w:szCs w:val="21"/>
                <w:lang w:val="en-US" w:eastAsia="zh-CN"/>
              </w:rPr>
            </w:pPr>
            <w:r>
              <w:rPr>
                <w:rFonts w:hint="default" w:ascii="Times New Roman" w:hAnsi="Times New Roman" w:eastAsia="宋体" w:cs="Times New Roman"/>
                <w:color w:val="auto"/>
                <w:spacing w:val="0"/>
                <w:w w:val="100"/>
                <w:position w:val="0"/>
                <w:sz w:val="21"/>
                <w:szCs w:val="21"/>
                <w:lang w:val="en-US" w:eastAsia="zh-CN"/>
              </w:rPr>
              <w:t>清理废气</w:t>
            </w:r>
          </w:p>
        </w:tc>
        <w:tc>
          <w:tcPr>
            <w:tcW w:w="487" w:type="pct"/>
            <w:noWrap w:val="0"/>
            <w:vAlign w:val="center"/>
          </w:tcPr>
          <w:p w14:paraId="1D8988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both"/>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颗粒物</w:t>
            </w:r>
          </w:p>
        </w:tc>
        <w:tc>
          <w:tcPr>
            <w:tcW w:w="1468" w:type="pct"/>
            <w:vMerge w:val="continue"/>
            <w:noWrap w:val="0"/>
            <w:vAlign w:val="center"/>
          </w:tcPr>
          <w:p w14:paraId="297F23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1524" w:type="pct"/>
            <w:vMerge w:val="continue"/>
            <w:noWrap w:val="0"/>
            <w:vAlign w:val="center"/>
          </w:tcPr>
          <w:p w14:paraId="6A67C3F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600" w:type="pct"/>
            <w:noWrap w:val="0"/>
            <w:vAlign w:val="center"/>
          </w:tcPr>
          <w:p w14:paraId="45688F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4</w:t>
            </w:r>
          </w:p>
        </w:tc>
      </w:tr>
      <w:tr w14:paraId="6A047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687" w:hRule="atLeast"/>
        </w:trPr>
        <w:tc>
          <w:tcPr>
            <w:tcW w:w="173" w:type="pct"/>
            <w:vMerge w:val="continue"/>
            <w:noWrap w:val="0"/>
            <w:vAlign w:val="center"/>
          </w:tcPr>
          <w:p w14:paraId="3F530A1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205" w:type="pct"/>
            <w:vMerge w:val="restart"/>
            <w:noWrap w:val="0"/>
            <w:vAlign w:val="center"/>
          </w:tcPr>
          <w:p w14:paraId="56E81B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无组织废气</w:t>
            </w:r>
          </w:p>
        </w:tc>
        <w:tc>
          <w:tcPr>
            <w:tcW w:w="541" w:type="pct"/>
            <w:noWrap w:val="0"/>
            <w:vAlign w:val="center"/>
          </w:tcPr>
          <w:p w14:paraId="4E85CC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厂界</w:t>
            </w:r>
          </w:p>
        </w:tc>
        <w:tc>
          <w:tcPr>
            <w:tcW w:w="487" w:type="pct"/>
            <w:noWrap w:val="0"/>
            <w:vAlign w:val="center"/>
          </w:tcPr>
          <w:p w14:paraId="26D2EF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颗粒物</w:t>
            </w:r>
          </w:p>
          <w:p w14:paraId="0DEA3B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非甲烷总烃</w:t>
            </w:r>
          </w:p>
        </w:tc>
        <w:tc>
          <w:tcPr>
            <w:tcW w:w="1468" w:type="pct"/>
            <w:vMerge w:val="restart"/>
            <w:noWrap w:val="0"/>
            <w:vAlign w:val="center"/>
          </w:tcPr>
          <w:p w14:paraId="655CE1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加强密闭收集措施。</w:t>
            </w:r>
          </w:p>
        </w:tc>
        <w:tc>
          <w:tcPr>
            <w:tcW w:w="1524" w:type="pct"/>
            <w:noWrap w:val="0"/>
            <w:vAlign w:val="center"/>
          </w:tcPr>
          <w:p w14:paraId="0E45B7A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《大气污染物综合排放标准》（GB16297-1996）表2中无组织排放监控浓度限值</w:t>
            </w:r>
          </w:p>
        </w:tc>
        <w:tc>
          <w:tcPr>
            <w:tcW w:w="600" w:type="pct"/>
            <w:vMerge w:val="restart"/>
            <w:noWrap w:val="0"/>
            <w:vAlign w:val="center"/>
          </w:tcPr>
          <w:p w14:paraId="7BE410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0</w:t>
            </w:r>
          </w:p>
        </w:tc>
      </w:tr>
      <w:tr w14:paraId="0A54D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97" w:hRule="atLeast"/>
        </w:trPr>
        <w:tc>
          <w:tcPr>
            <w:tcW w:w="173" w:type="pct"/>
            <w:vMerge w:val="continue"/>
            <w:noWrap w:val="0"/>
            <w:vAlign w:val="center"/>
          </w:tcPr>
          <w:p w14:paraId="616279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205" w:type="pct"/>
            <w:vMerge w:val="continue"/>
            <w:noWrap w:val="0"/>
            <w:vAlign w:val="center"/>
          </w:tcPr>
          <w:p w14:paraId="16FAD8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541" w:type="pct"/>
            <w:noWrap w:val="0"/>
            <w:vAlign w:val="center"/>
          </w:tcPr>
          <w:p w14:paraId="18C431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厂区内</w:t>
            </w:r>
          </w:p>
        </w:tc>
        <w:tc>
          <w:tcPr>
            <w:tcW w:w="487" w:type="pct"/>
            <w:noWrap w:val="0"/>
            <w:vAlign w:val="center"/>
          </w:tcPr>
          <w:p w14:paraId="40C378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颗粒物</w:t>
            </w:r>
          </w:p>
          <w:p w14:paraId="0F8D33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非甲烷总烃</w:t>
            </w:r>
          </w:p>
        </w:tc>
        <w:tc>
          <w:tcPr>
            <w:tcW w:w="1468" w:type="pct"/>
            <w:vMerge w:val="continue"/>
            <w:noWrap w:val="0"/>
            <w:vAlign w:val="center"/>
          </w:tcPr>
          <w:p w14:paraId="2F55532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1524" w:type="pct"/>
            <w:noWrap w:val="0"/>
            <w:vAlign w:val="center"/>
          </w:tcPr>
          <w:p w14:paraId="16EC91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《铸造工业大气污染物排放标准》（GB 39726-2020）表A.1规定的限值</w:t>
            </w:r>
          </w:p>
        </w:tc>
        <w:tc>
          <w:tcPr>
            <w:tcW w:w="600" w:type="pct"/>
            <w:vMerge w:val="continue"/>
            <w:noWrap w:val="0"/>
            <w:vAlign w:val="center"/>
          </w:tcPr>
          <w:p w14:paraId="7E6E7E1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r>
      <w:tr w14:paraId="49661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697" w:hRule="atLeast"/>
        </w:trPr>
        <w:tc>
          <w:tcPr>
            <w:tcW w:w="173" w:type="pct"/>
            <w:noWrap w:val="0"/>
            <w:vAlign w:val="center"/>
          </w:tcPr>
          <w:p w14:paraId="5F1F0F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废水</w:t>
            </w:r>
          </w:p>
        </w:tc>
        <w:tc>
          <w:tcPr>
            <w:tcW w:w="746" w:type="pct"/>
            <w:gridSpan w:val="2"/>
            <w:noWrap w:val="0"/>
            <w:vAlign w:val="center"/>
          </w:tcPr>
          <w:p w14:paraId="223415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生活污水</w:t>
            </w:r>
          </w:p>
        </w:tc>
        <w:tc>
          <w:tcPr>
            <w:tcW w:w="487" w:type="pct"/>
            <w:noWrap w:val="0"/>
            <w:vAlign w:val="center"/>
          </w:tcPr>
          <w:p w14:paraId="231AAF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w:t>
            </w:r>
          </w:p>
        </w:tc>
        <w:tc>
          <w:tcPr>
            <w:tcW w:w="1468" w:type="pct"/>
            <w:noWrap w:val="0"/>
            <w:vAlign w:val="center"/>
          </w:tcPr>
          <w:p w14:paraId="3A5574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生活污水经化粪池处理达《污水综合排放标准》（GB8978-1996）表4中三级标准限值后前期用吸粪车定期清运至污水厂，后期待管网接通后排入污水管网通过市政污水管网输送至鹿寨县城第二污水处理厂处理后排入洛清江。</w:t>
            </w:r>
          </w:p>
        </w:tc>
        <w:tc>
          <w:tcPr>
            <w:tcW w:w="1524" w:type="pct"/>
            <w:noWrap w:val="0"/>
            <w:vAlign w:val="center"/>
          </w:tcPr>
          <w:p w14:paraId="1C1D74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《污水综合排放标准》（GB8978-1996）表4中三级标准限值</w:t>
            </w:r>
          </w:p>
        </w:tc>
        <w:tc>
          <w:tcPr>
            <w:tcW w:w="600" w:type="pct"/>
            <w:noWrap w:val="0"/>
            <w:vAlign w:val="center"/>
          </w:tcPr>
          <w:p w14:paraId="71F858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4</w:t>
            </w:r>
          </w:p>
        </w:tc>
      </w:tr>
      <w:tr w14:paraId="2C163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trPr>
        <w:tc>
          <w:tcPr>
            <w:tcW w:w="173" w:type="pct"/>
            <w:noWrap w:val="0"/>
            <w:vAlign w:val="center"/>
          </w:tcPr>
          <w:p w14:paraId="6A3ADA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噪声</w:t>
            </w:r>
          </w:p>
        </w:tc>
        <w:tc>
          <w:tcPr>
            <w:tcW w:w="205" w:type="pct"/>
            <w:noWrap w:val="0"/>
            <w:vAlign w:val="center"/>
          </w:tcPr>
          <w:p w14:paraId="49B3A2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生产设备</w:t>
            </w:r>
          </w:p>
        </w:tc>
        <w:tc>
          <w:tcPr>
            <w:tcW w:w="1028" w:type="pct"/>
            <w:gridSpan w:val="2"/>
            <w:noWrap w:val="0"/>
            <w:vAlign w:val="center"/>
          </w:tcPr>
          <w:p w14:paraId="522ACD2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噪声</w:t>
            </w:r>
          </w:p>
        </w:tc>
        <w:tc>
          <w:tcPr>
            <w:tcW w:w="1468" w:type="pct"/>
            <w:noWrap w:val="0"/>
            <w:vAlign w:val="center"/>
          </w:tcPr>
          <w:p w14:paraId="4AC1E6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采取基础减振、合理布局、科学管理、隔声等措施</w:t>
            </w:r>
          </w:p>
        </w:tc>
        <w:tc>
          <w:tcPr>
            <w:tcW w:w="1524" w:type="pct"/>
            <w:noWrap w:val="0"/>
            <w:vAlign w:val="center"/>
          </w:tcPr>
          <w:p w14:paraId="51EF6D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《工业企业厂界环境噪声排放标准》（GB12348-2008）3类标准</w:t>
            </w:r>
          </w:p>
        </w:tc>
        <w:tc>
          <w:tcPr>
            <w:tcW w:w="600" w:type="pct"/>
            <w:noWrap w:val="0"/>
            <w:vAlign w:val="center"/>
          </w:tcPr>
          <w:p w14:paraId="571D56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0.5</w:t>
            </w:r>
          </w:p>
        </w:tc>
      </w:tr>
      <w:tr w14:paraId="28703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90" w:hRule="atLeast"/>
        </w:trPr>
        <w:tc>
          <w:tcPr>
            <w:tcW w:w="173" w:type="pct"/>
            <w:vMerge w:val="restart"/>
            <w:noWrap w:val="0"/>
            <w:vAlign w:val="center"/>
          </w:tcPr>
          <w:p w14:paraId="5AE6553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固体废物</w:t>
            </w:r>
          </w:p>
        </w:tc>
        <w:tc>
          <w:tcPr>
            <w:tcW w:w="205" w:type="pct"/>
            <w:vMerge w:val="restart"/>
            <w:noWrap w:val="0"/>
            <w:vAlign w:val="center"/>
          </w:tcPr>
          <w:p w14:paraId="6ED8D9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运营过程</w:t>
            </w:r>
          </w:p>
        </w:tc>
        <w:tc>
          <w:tcPr>
            <w:tcW w:w="1028" w:type="pct"/>
            <w:gridSpan w:val="2"/>
            <w:noWrap w:val="0"/>
            <w:vAlign w:val="center"/>
          </w:tcPr>
          <w:p w14:paraId="1CDFB5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一般固体废物</w:t>
            </w:r>
          </w:p>
        </w:tc>
        <w:tc>
          <w:tcPr>
            <w:tcW w:w="1468" w:type="pct"/>
            <w:noWrap w:val="0"/>
            <w:vAlign w:val="center"/>
          </w:tcPr>
          <w:p w14:paraId="13EE23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一般固废暂存区</w:t>
            </w:r>
          </w:p>
        </w:tc>
        <w:tc>
          <w:tcPr>
            <w:tcW w:w="1524" w:type="pct"/>
            <w:noWrap w:val="0"/>
            <w:vAlign w:val="center"/>
          </w:tcPr>
          <w:p w14:paraId="471416C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《一般工业固体废物贮存和填埋污染控制标准》（GB18599-2020）</w:t>
            </w:r>
          </w:p>
        </w:tc>
        <w:tc>
          <w:tcPr>
            <w:tcW w:w="600" w:type="pct"/>
            <w:vMerge w:val="restart"/>
            <w:noWrap w:val="0"/>
            <w:vAlign w:val="center"/>
          </w:tcPr>
          <w:p w14:paraId="292267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0</w:t>
            </w:r>
          </w:p>
        </w:tc>
      </w:tr>
      <w:tr w14:paraId="3F8F6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35" w:hRule="atLeast"/>
        </w:trPr>
        <w:tc>
          <w:tcPr>
            <w:tcW w:w="173" w:type="pct"/>
            <w:vMerge w:val="continue"/>
            <w:noWrap w:val="0"/>
            <w:vAlign w:val="center"/>
          </w:tcPr>
          <w:p w14:paraId="388E08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205" w:type="pct"/>
            <w:vMerge w:val="continue"/>
            <w:noWrap w:val="0"/>
            <w:vAlign w:val="center"/>
          </w:tcPr>
          <w:p w14:paraId="63838E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1028" w:type="pct"/>
            <w:gridSpan w:val="2"/>
            <w:noWrap w:val="0"/>
            <w:vAlign w:val="center"/>
          </w:tcPr>
          <w:p w14:paraId="23EE5B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危险废物</w:t>
            </w:r>
          </w:p>
        </w:tc>
        <w:tc>
          <w:tcPr>
            <w:tcW w:w="1468" w:type="pct"/>
            <w:noWrap w:val="0"/>
            <w:vAlign w:val="center"/>
          </w:tcPr>
          <w:p w14:paraId="51570E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危险暂存间、特定容器</w:t>
            </w:r>
          </w:p>
        </w:tc>
        <w:tc>
          <w:tcPr>
            <w:tcW w:w="1524" w:type="pct"/>
            <w:noWrap w:val="0"/>
            <w:vAlign w:val="center"/>
          </w:tcPr>
          <w:p w14:paraId="211ACD3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《危险废物贮存污染控制标准》（GB18597-2023）</w:t>
            </w:r>
          </w:p>
        </w:tc>
        <w:tc>
          <w:tcPr>
            <w:tcW w:w="600" w:type="pct"/>
            <w:vMerge w:val="continue"/>
            <w:noWrap w:val="0"/>
            <w:vAlign w:val="center"/>
          </w:tcPr>
          <w:p w14:paraId="3C2CAD4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r>
      <w:tr w14:paraId="029F5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482" w:hRule="atLeast"/>
        </w:trPr>
        <w:tc>
          <w:tcPr>
            <w:tcW w:w="1407" w:type="pct"/>
            <w:gridSpan w:val="4"/>
            <w:noWrap w:val="0"/>
            <w:vAlign w:val="center"/>
          </w:tcPr>
          <w:p w14:paraId="1C2B13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规范设置</w:t>
            </w:r>
          </w:p>
        </w:tc>
        <w:tc>
          <w:tcPr>
            <w:tcW w:w="1468" w:type="pct"/>
            <w:noWrap w:val="0"/>
            <w:vAlign w:val="center"/>
          </w:tcPr>
          <w:p w14:paraId="465C5E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排污标志牌、说明</w:t>
            </w:r>
          </w:p>
        </w:tc>
        <w:tc>
          <w:tcPr>
            <w:tcW w:w="1524" w:type="pct"/>
            <w:noWrap w:val="0"/>
            <w:vAlign w:val="center"/>
          </w:tcPr>
          <w:p w14:paraId="473CFE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规范化设置、满足环境管理要求</w:t>
            </w:r>
          </w:p>
        </w:tc>
        <w:tc>
          <w:tcPr>
            <w:tcW w:w="600" w:type="pct"/>
            <w:noWrap w:val="0"/>
            <w:vAlign w:val="center"/>
          </w:tcPr>
          <w:p w14:paraId="6F6DF7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0.5</w:t>
            </w:r>
          </w:p>
        </w:tc>
      </w:tr>
      <w:tr w14:paraId="10D43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160" w:hRule="atLeast"/>
        </w:trPr>
        <w:tc>
          <w:tcPr>
            <w:tcW w:w="1407" w:type="pct"/>
            <w:gridSpan w:val="4"/>
            <w:noWrap w:val="0"/>
            <w:vAlign w:val="center"/>
          </w:tcPr>
          <w:p w14:paraId="6204A3D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风险防范措施</w:t>
            </w:r>
          </w:p>
        </w:tc>
        <w:tc>
          <w:tcPr>
            <w:tcW w:w="1468" w:type="pct"/>
            <w:noWrap w:val="0"/>
            <w:vAlign w:val="center"/>
          </w:tcPr>
          <w:p w14:paraId="0E27ECC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建立环境风险事故防范措施和应急制度；编制突发环境事件应急预案，配备应急物资，人员培训等</w:t>
            </w:r>
          </w:p>
        </w:tc>
        <w:tc>
          <w:tcPr>
            <w:tcW w:w="1524" w:type="pct"/>
            <w:noWrap w:val="0"/>
            <w:vAlign w:val="center"/>
          </w:tcPr>
          <w:p w14:paraId="4F6754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满足应急要求</w:t>
            </w:r>
          </w:p>
        </w:tc>
        <w:tc>
          <w:tcPr>
            <w:tcW w:w="600" w:type="pct"/>
            <w:noWrap w:val="0"/>
            <w:vAlign w:val="center"/>
          </w:tcPr>
          <w:p w14:paraId="3DC6D0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5.0</w:t>
            </w:r>
          </w:p>
        </w:tc>
      </w:tr>
      <w:tr w14:paraId="2B43A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482" w:hRule="atLeast"/>
        </w:trPr>
        <w:tc>
          <w:tcPr>
            <w:tcW w:w="4399" w:type="pct"/>
            <w:gridSpan w:val="6"/>
            <w:noWrap w:val="0"/>
            <w:vAlign w:val="center"/>
          </w:tcPr>
          <w:p w14:paraId="3D7FDC8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合计</w:t>
            </w:r>
          </w:p>
        </w:tc>
        <w:tc>
          <w:tcPr>
            <w:tcW w:w="600" w:type="pct"/>
            <w:noWrap w:val="0"/>
            <w:vAlign w:val="center"/>
          </w:tcPr>
          <w:p w14:paraId="1929D9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32</w:t>
            </w:r>
          </w:p>
        </w:tc>
      </w:tr>
    </w:tbl>
    <w:p w14:paraId="71CB0B75">
      <w:pPr>
        <w:pStyle w:val="2"/>
        <w:rPr>
          <w:rFonts w:hint="default" w:ascii="Times New Roman" w:hAnsi="Times New Roman" w:cs="Times New Roman"/>
          <w:color w:val="auto"/>
          <w:lang w:val="en-US" w:eastAsia="zh-CN"/>
        </w:rPr>
        <w:sectPr>
          <w:pgSz w:w="16838" w:h="11906" w:orient="landscape"/>
          <w:pgMar w:top="1701" w:right="1134" w:bottom="1701" w:left="1134"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05DB89AE">
      <w:pPr>
        <w:keepNext w:val="0"/>
        <w:keepLines w:val="0"/>
        <w:pageBreakBefore w:val="0"/>
        <w:widowControl w:val="0"/>
        <w:numPr>
          <w:ilvl w:val="0"/>
          <w:numId w:val="8"/>
        </w:numPr>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黑体" w:cs="Times New Roman"/>
          <w:b/>
          <w:bCs w:val="0"/>
          <w:color w:val="auto"/>
          <w:spacing w:val="0"/>
          <w:w w:val="100"/>
          <w:position w:val="0"/>
          <w:sz w:val="30"/>
          <w:szCs w:val="30"/>
        </w:rPr>
      </w:pPr>
      <w:bookmarkStart w:id="114" w:name="_Toc13440"/>
      <w:r>
        <w:rPr>
          <w:rFonts w:hint="default" w:ascii="Times New Roman" w:hAnsi="Times New Roman" w:eastAsia="黑体" w:cs="Times New Roman"/>
          <w:b/>
          <w:bCs w:val="0"/>
          <w:color w:val="auto"/>
          <w:spacing w:val="0"/>
          <w:w w:val="100"/>
          <w:position w:val="0"/>
          <w:sz w:val="30"/>
          <w:szCs w:val="30"/>
        </w:rPr>
        <w:t>环境保护措施监督检查清单</w:t>
      </w:r>
      <w:bookmarkEnd w:id="113"/>
      <w:bookmarkEnd w:id="114"/>
    </w:p>
    <w:tbl>
      <w:tblPr>
        <w:tblStyle w:val="59"/>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457"/>
        <w:gridCol w:w="1312"/>
        <w:gridCol w:w="2643"/>
        <w:gridCol w:w="2594"/>
      </w:tblGrid>
      <w:tr w14:paraId="1EE354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tcBorders>
              <w:tl2br w:val="single" w:color="auto" w:sz="4" w:space="0"/>
            </w:tcBorders>
            <w:noWrap w:val="0"/>
            <w:vAlign w:val="center"/>
          </w:tcPr>
          <w:p w14:paraId="4580462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r>
              <w:rPr>
                <w:rFonts w:hint="default" w:ascii="Times New Roman" w:hAnsi="Times New Roman" w:eastAsia="宋体" w:cs="Times New Roman"/>
                <w:smallCaps w:val="0"/>
                <w:color w:val="auto"/>
                <w:spacing w:val="0"/>
                <w:position w:val="0"/>
                <w:sz w:val="24"/>
                <w:szCs w:val="24"/>
              </w:rPr>
              <w:t>内容要素</w:t>
            </w:r>
          </w:p>
        </w:tc>
        <w:tc>
          <w:tcPr>
            <w:tcW w:w="835" w:type="pct"/>
            <w:noWrap w:val="0"/>
            <w:vAlign w:val="center"/>
          </w:tcPr>
          <w:p w14:paraId="019A9A1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r>
              <w:rPr>
                <w:rFonts w:hint="default" w:ascii="Times New Roman" w:hAnsi="Times New Roman" w:eastAsia="宋体" w:cs="Times New Roman"/>
                <w:smallCaps w:val="0"/>
                <w:color w:val="auto"/>
                <w:spacing w:val="0"/>
                <w:position w:val="0"/>
                <w:sz w:val="24"/>
                <w:szCs w:val="24"/>
              </w:rPr>
              <w:t>排放口</w:t>
            </w:r>
            <w:r>
              <w:rPr>
                <w:rFonts w:hint="default" w:ascii="Times New Roman" w:hAnsi="Times New Roman" w:eastAsia="宋体" w:cs="Times New Roman"/>
                <w:smallCaps w:val="0"/>
                <w:color w:val="auto"/>
                <w:spacing w:val="0"/>
                <w:position w:val="0"/>
                <w:sz w:val="24"/>
                <w:szCs w:val="24"/>
                <w:lang w:eastAsia="zh-CN"/>
              </w:rPr>
              <w:t>（</w:t>
            </w:r>
            <w:r>
              <w:rPr>
                <w:rFonts w:hint="default" w:ascii="Times New Roman" w:hAnsi="Times New Roman" w:eastAsia="宋体" w:cs="Times New Roman"/>
                <w:smallCaps w:val="0"/>
                <w:color w:val="auto"/>
                <w:spacing w:val="0"/>
                <w:position w:val="0"/>
                <w:sz w:val="24"/>
                <w:szCs w:val="24"/>
              </w:rPr>
              <w:t>编号、名称</w:t>
            </w:r>
            <w:r>
              <w:rPr>
                <w:rFonts w:hint="default" w:ascii="Times New Roman" w:hAnsi="Times New Roman" w:eastAsia="宋体" w:cs="Times New Roman"/>
                <w:smallCaps w:val="0"/>
                <w:color w:val="auto"/>
                <w:spacing w:val="0"/>
                <w:position w:val="0"/>
                <w:sz w:val="24"/>
                <w:szCs w:val="24"/>
                <w:lang w:eastAsia="zh-CN"/>
              </w:rPr>
              <w:t>）</w:t>
            </w:r>
            <w:r>
              <w:rPr>
                <w:rFonts w:hint="default" w:ascii="Times New Roman" w:hAnsi="Times New Roman" w:eastAsia="宋体" w:cs="Times New Roman"/>
                <w:smallCaps w:val="0"/>
                <w:color w:val="auto"/>
                <w:spacing w:val="0"/>
                <w:position w:val="0"/>
                <w:sz w:val="24"/>
                <w:szCs w:val="24"/>
              </w:rPr>
              <w:t>/污染源</w:t>
            </w:r>
          </w:p>
        </w:tc>
        <w:tc>
          <w:tcPr>
            <w:tcW w:w="753" w:type="pct"/>
            <w:noWrap w:val="0"/>
            <w:vAlign w:val="center"/>
          </w:tcPr>
          <w:p w14:paraId="3CABD20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r>
              <w:rPr>
                <w:rFonts w:hint="default" w:ascii="Times New Roman" w:hAnsi="Times New Roman" w:eastAsia="宋体" w:cs="Times New Roman"/>
                <w:smallCaps w:val="0"/>
                <w:color w:val="auto"/>
                <w:spacing w:val="0"/>
                <w:position w:val="0"/>
                <w:sz w:val="24"/>
                <w:szCs w:val="24"/>
              </w:rPr>
              <w:t>污染物项目</w:t>
            </w:r>
          </w:p>
        </w:tc>
        <w:tc>
          <w:tcPr>
            <w:tcW w:w="1516" w:type="pct"/>
            <w:noWrap w:val="0"/>
            <w:vAlign w:val="center"/>
          </w:tcPr>
          <w:p w14:paraId="01008FB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r>
              <w:rPr>
                <w:rFonts w:hint="default" w:ascii="Times New Roman" w:hAnsi="Times New Roman" w:eastAsia="宋体" w:cs="Times New Roman"/>
                <w:smallCaps w:val="0"/>
                <w:color w:val="auto"/>
                <w:spacing w:val="0"/>
                <w:position w:val="0"/>
                <w:sz w:val="24"/>
                <w:szCs w:val="24"/>
              </w:rPr>
              <w:t>环境保护措施</w:t>
            </w:r>
          </w:p>
        </w:tc>
        <w:tc>
          <w:tcPr>
            <w:tcW w:w="1487" w:type="pct"/>
            <w:noWrap w:val="0"/>
            <w:vAlign w:val="center"/>
          </w:tcPr>
          <w:p w14:paraId="5DD2E24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r>
              <w:rPr>
                <w:rFonts w:hint="default" w:ascii="Times New Roman" w:hAnsi="Times New Roman" w:eastAsia="宋体" w:cs="Times New Roman"/>
                <w:smallCaps w:val="0"/>
                <w:color w:val="auto"/>
                <w:spacing w:val="0"/>
                <w:position w:val="0"/>
                <w:sz w:val="24"/>
                <w:szCs w:val="24"/>
              </w:rPr>
              <w:t>执行标准</w:t>
            </w:r>
          </w:p>
        </w:tc>
      </w:tr>
      <w:tr w14:paraId="46F1E3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7" w:type="pct"/>
            <w:vMerge w:val="restart"/>
            <w:noWrap w:val="0"/>
            <w:vAlign w:val="center"/>
          </w:tcPr>
          <w:p w14:paraId="2DB0817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r>
              <w:rPr>
                <w:rFonts w:hint="default" w:ascii="Times New Roman" w:hAnsi="Times New Roman" w:eastAsia="宋体" w:cs="Times New Roman"/>
                <w:smallCaps w:val="0"/>
                <w:color w:val="auto"/>
                <w:spacing w:val="0"/>
                <w:position w:val="0"/>
                <w:sz w:val="24"/>
                <w:szCs w:val="24"/>
              </w:rPr>
              <w:t>大气环境</w:t>
            </w:r>
          </w:p>
        </w:tc>
        <w:tc>
          <w:tcPr>
            <w:tcW w:w="835" w:type="pct"/>
            <w:vMerge w:val="restart"/>
            <w:shd w:val="clear" w:color="auto" w:fill="auto"/>
            <w:noWrap w:val="0"/>
            <w:vAlign w:val="center"/>
          </w:tcPr>
          <w:p w14:paraId="0CBCA9AB">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color w:val="auto"/>
                <w:spacing w:val="0"/>
                <w:w w:val="100"/>
                <w:position w:val="0"/>
                <w:sz w:val="24"/>
                <w:szCs w:val="24"/>
              </w:rPr>
              <w:t>DA001</w:t>
            </w:r>
          </w:p>
          <w:p w14:paraId="2A7279C9">
            <w:pPr>
              <w:pStyle w:val="111"/>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熔化废气、造型/浇注废气、落砂废气和清理废气（抛丸废气、机加工废气）</w:t>
            </w:r>
          </w:p>
        </w:tc>
        <w:tc>
          <w:tcPr>
            <w:tcW w:w="753" w:type="pct"/>
            <w:shd w:val="clear" w:color="auto" w:fill="auto"/>
            <w:noWrap w:val="0"/>
            <w:vAlign w:val="center"/>
          </w:tcPr>
          <w:p w14:paraId="7D95986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颗粒物</w:t>
            </w:r>
          </w:p>
        </w:tc>
        <w:tc>
          <w:tcPr>
            <w:tcW w:w="1516" w:type="pct"/>
            <w:vMerge w:val="restart"/>
            <w:shd w:val="clear" w:color="auto" w:fill="auto"/>
            <w:noWrap w:val="0"/>
            <w:vAlign w:val="center"/>
          </w:tcPr>
          <w:p w14:paraId="6AEAB96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项目产生的熔化废气、造型/浇注废气、落砂废气和清理废气（抛丸废气、机加工废气）分别经集气罩收集后统一经1套布袋除尘器+1套二级活性炭吸附处理达标后经一根15m 排气筒（DA001）排放，共用风机风量 20000 m³/h，尘效率按90%计。</w:t>
            </w:r>
          </w:p>
        </w:tc>
        <w:tc>
          <w:tcPr>
            <w:tcW w:w="1487" w:type="pct"/>
            <w:vMerge w:val="restart"/>
            <w:noWrap w:val="0"/>
            <w:vAlign w:val="center"/>
          </w:tcPr>
          <w:p w14:paraId="70953A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颗粒物执行《铸造工业大气污染物排放标准》（GB 39726-2020）表 1 大气污染物排放限值；非甲烷总烃执行《大气污染物综合排放标准》（GB16297-1996）表2中最高允许排放浓度及二级最高允许排放速率限值。</w:t>
            </w:r>
          </w:p>
        </w:tc>
      </w:tr>
      <w:tr w14:paraId="67BCEB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407" w:type="pct"/>
            <w:vMerge w:val="continue"/>
            <w:noWrap w:val="0"/>
            <w:vAlign w:val="center"/>
          </w:tcPr>
          <w:p w14:paraId="0CBD153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p>
        </w:tc>
        <w:tc>
          <w:tcPr>
            <w:tcW w:w="835" w:type="pct"/>
            <w:vMerge w:val="continue"/>
            <w:shd w:val="clear" w:color="auto" w:fill="auto"/>
            <w:noWrap w:val="0"/>
            <w:vAlign w:val="center"/>
          </w:tcPr>
          <w:p w14:paraId="24E67D4E">
            <w:pPr>
              <w:pStyle w:val="111"/>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color w:val="auto"/>
                <w:spacing w:val="0"/>
                <w:w w:val="100"/>
                <w:position w:val="0"/>
                <w:sz w:val="24"/>
                <w:szCs w:val="24"/>
                <w:lang w:val="en-US" w:eastAsia="zh-CN"/>
              </w:rPr>
            </w:pPr>
          </w:p>
        </w:tc>
        <w:tc>
          <w:tcPr>
            <w:tcW w:w="753" w:type="pct"/>
            <w:shd w:val="clear" w:color="auto" w:fill="auto"/>
            <w:noWrap w:val="0"/>
            <w:vAlign w:val="center"/>
          </w:tcPr>
          <w:p w14:paraId="5926ED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颗粒物</w:t>
            </w:r>
          </w:p>
          <w:p w14:paraId="33C0C3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非甲烷总烃</w:t>
            </w:r>
          </w:p>
        </w:tc>
        <w:tc>
          <w:tcPr>
            <w:tcW w:w="1516" w:type="pct"/>
            <w:vMerge w:val="continue"/>
            <w:shd w:val="clear" w:color="auto" w:fill="auto"/>
            <w:noWrap w:val="0"/>
            <w:vAlign w:val="center"/>
          </w:tcPr>
          <w:p w14:paraId="1C5486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p>
        </w:tc>
        <w:tc>
          <w:tcPr>
            <w:tcW w:w="1487" w:type="pct"/>
            <w:vMerge w:val="continue"/>
            <w:noWrap w:val="0"/>
            <w:vAlign w:val="center"/>
          </w:tcPr>
          <w:p w14:paraId="659E06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4"/>
                <w:szCs w:val="24"/>
                <w:lang w:val="en-US" w:eastAsia="zh-CN"/>
              </w:rPr>
            </w:pPr>
          </w:p>
        </w:tc>
      </w:tr>
      <w:tr w14:paraId="72F608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407" w:type="pct"/>
            <w:vMerge w:val="continue"/>
            <w:noWrap w:val="0"/>
            <w:vAlign w:val="center"/>
          </w:tcPr>
          <w:p w14:paraId="1F48F66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p>
        </w:tc>
        <w:tc>
          <w:tcPr>
            <w:tcW w:w="835" w:type="pct"/>
            <w:shd w:val="clear" w:color="auto" w:fill="auto"/>
            <w:noWrap w:val="0"/>
            <w:vAlign w:val="center"/>
          </w:tcPr>
          <w:p w14:paraId="4C0CCBF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cs="Times New Roman" w:eastAsiaTheme="minorEastAsia"/>
                <w:color w:val="auto"/>
                <w:spacing w:val="0"/>
                <w:position w:val="0"/>
                <w:sz w:val="24"/>
                <w:szCs w:val="24"/>
                <w:lang w:val="en-US" w:eastAsia="zh-CN"/>
              </w:rPr>
              <w:t>厂界</w:t>
            </w:r>
            <w:r>
              <w:rPr>
                <w:rFonts w:hint="default" w:ascii="Times New Roman" w:hAnsi="Times New Roman" w:eastAsia="宋体" w:cs="Times New Roman"/>
                <w:b w:val="0"/>
                <w:bCs w:val="0"/>
                <w:color w:val="auto"/>
                <w:spacing w:val="0"/>
                <w:w w:val="100"/>
                <w:position w:val="0"/>
                <w:sz w:val="24"/>
                <w:szCs w:val="24"/>
                <w:lang w:val="en-US" w:eastAsia="zh-CN"/>
              </w:rPr>
              <w:t>无组织废气</w:t>
            </w:r>
          </w:p>
        </w:tc>
        <w:tc>
          <w:tcPr>
            <w:tcW w:w="753" w:type="pct"/>
            <w:shd w:val="clear" w:color="auto" w:fill="auto"/>
            <w:noWrap w:val="0"/>
            <w:vAlign w:val="center"/>
          </w:tcPr>
          <w:p w14:paraId="4B2351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颗粒物、非甲烷总烃</w:t>
            </w:r>
          </w:p>
        </w:tc>
        <w:tc>
          <w:tcPr>
            <w:tcW w:w="1516" w:type="pct"/>
            <w:shd w:val="clear" w:color="auto" w:fill="auto"/>
            <w:noWrap w:val="0"/>
            <w:vAlign w:val="center"/>
          </w:tcPr>
          <w:p w14:paraId="2C7DB77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eastAsia="宋体" w:cs="Times New Roman"/>
                <w:b w:val="0"/>
                <w:bCs w:val="0"/>
                <w:color w:val="auto"/>
                <w:spacing w:val="0"/>
                <w:w w:val="100"/>
                <w:position w:val="0"/>
                <w:sz w:val="24"/>
                <w:szCs w:val="24"/>
                <w:highlight w:val="none"/>
                <w:lang w:val="en-US" w:eastAsia="zh-CN"/>
              </w:rPr>
              <w:t>提高集气装置收集效率，加强生产车间密闭</w:t>
            </w:r>
          </w:p>
        </w:tc>
        <w:tc>
          <w:tcPr>
            <w:tcW w:w="1487" w:type="pct"/>
            <w:shd w:val="clear" w:color="auto" w:fill="auto"/>
            <w:noWrap w:val="0"/>
            <w:vAlign w:val="center"/>
          </w:tcPr>
          <w:p w14:paraId="6D5CAB08">
            <w:pPr>
              <w:keepNext w:val="0"/>
              <w:keepLines w:val="0"/>
              <w:suppressLineNumbers w:val="0"/>
              <w:autoSpaceDE w:val="0"/>
              <w:autoSpaceDN w:val="0"/>
              <w:spacing w:before="0" w:beforeAutospacing="0" w:after="0" w:afterAutospacing="0" w:line="240" w:lineRule="auto"/>
              <w:ind w:left="0" w:right="0" w:firstLine="0" w:firstLineChars="0"/>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《大气污染物综合排放标准》（GB16297-1996）表2无组织排放监控浓度限值</w:t>
            </w:r>
          </w:p>
        </w:tc>
      </w:tr>
      <w:tr w14:paraId="662142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407" w:type="pct"/>
            <w:vMerge w:val="continue"/>
            <w:noWrap w:val="0"/>
            <w:vAlign w:val="center"/>
          </w:tcPr>
          <w:p w14:paraId="7F0E1EB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p>
        </w:tc>
        <w:tc>
          <w:tcPr>
            <w:tcW w:w="835" w:type="pct"/>
            <w:shd w:val="clear" w:color="auto" w:fill="auto"/>
            <w:noWrap w:val="0"/>
            <w:vAlign w:val="center"/>
          </w:tcPr>
          <w:p w14:paraId="78EB36D8">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cs="Times New Roman" w:eastAsiaTheme="minorEastAsia"/>
                <w:color w:val="auto"/>
                <w:spacing w:val="0"/>
                <w:position w:val="0"/>
                <w:sz w:val="24"/>
                <w:szCs w:val="24"/>
                <w:lang w:val="en-US" w:eastAsia="zh-CN"/>
              </w:rPr>
              <w:t>厂区内无组织废气</w:t>
            </w:r>
          </w:p>
        </w:tc>
        <w:tc>
          <w:tcPr>
            <w:tcW w:w="753" w:type="pct"/>
            <w:shd w:val="clear" w:color="auto" w:fill="auto"/>
            <w:noWrap w:val="0"/>
            <w:vAlign w:val="center"/>
          </w:tcPr>
          <w:p w14:paraId="558D5221">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颗粒物、非甲烷总烃</w:t>
            </w:r>
          </w:p>
        </w:tc>
        <w:tc>
          <w:tcPr>
            <w:tcW w:w="1516" w:type="pct"/>
            <w:shd w:val="clear" w:color="auto" w:fill="auto"/>
            <w:noWrap w:val="0"/>
            <w:vAlign w:val="center"/>
          </w:tcPr>
          <w:p w14:paraId="0321DC2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eastAsia="宋体" w:cs="Times New Roman"/>
                <w:b w:val="0"/>
                <w:bCs w:val="0"/>
                <w:color w:val="auto"/>
                <w:spacing w:val="0"/>
                <w:w w:val="100"/>
                <w:position w:val="0"/>
                <w:sz w:val="24"/>
                <w:szCs w:val="24"/>
                <w:highlight w:val="none"/>
                <w:lang w:val="en-US" w:eastAsia="zh-CN"/>
              </w:rPr>
              <w:t>提高集气装置收集效率，加强生产车间密闭</w:t>
            </w:r>
          </w:p>
        </w:tc>
        <w:tc>
          <w:tcPr>
            <w:tcW w:w="1487" w:type="pct"/>
            <w:shd w:val="clear" w:color="auto" w:fill="auto"/>
            <w:noWrap w:val="0"/>
            <w:vAlign w:val="center"/>
          </w:tcPr>
          <w:p w14:paraId="01096B36">
            <w:pPr>
              <w:pStyle w:val="326"/>
              <w:keepNext w:val="0"/>
              <w:keepLines w:val="0"/>
              <w:suppressLineNumbers w:val="0"/>
              <w:spacing w:before="0" w:beforeAutospacing="0" w:after="0" w:afterAutospacing="0" w:line="240" w:lineRule="auto"/>
              <w:ind w:left="0" w:right="0" w:firstLine="0" w:firstLineChars="0"/>
              <w:jc w:val="both"/>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《铸造工业大气污染物排放标准》（GB 39726-2020）表A.1规定的限值</w:t>
            </w:r>
          </w:p>
        </w:tc>
      </w:tr>
      <w:tr w14:paraId="67DAAC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noWrap w:val="0"/>
            <w:vAlign w:val="center"/>
          </w:tcPr>
          <w:p w14:paraId="76E6BA2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lang w:val="en-US" w:eastAsia="zh-CN"/>
              </w:rPr>
            </w:pPr>
            <w:r>
              <w:rPr>
                <w:rFonts w:hint="default" w:ascii="Times New Roman" w:hAnsi="Times New Roman" w:eastAsia="宋体" w:cs="Times New Roman"/>
                <w:smallCaps w:val="0"/>
                <w:color w:val="auto"/>
                <w:spacing w:val="0"/>
                <w:position w:val="0"/>
                <w:sz w:val="24"/>
                <w:szCs w:val="24"/>
                <w:lang w:val="en-US" w:eastAsia="zh-CN"/>
              </w:rPr>
              <w:t>地表水环境</w:t>
            </w:r>
          </w:p>
        </w:tc>
        <w:tc>
          <w:tcPr>
            <w:tcW w:w="835" w:type="pct"/>
            <w:noWrap w:val="0"/>
            <w:vAlign w:val="center"/>
          </w:tcPr>
          <w:p w14:paraId="00BEA3C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lang w:val="en-US" w:eastAsia="zh-CN"/>
              </w:rPr>
            </w:pPr>
            <w:r>
              <w:rPr>
                <w:rFonts w:hint="default" w:ascii="Times New Roman" w:hAnsi="Times New Roman" w:eastAsia="宋体" w:cs="Times New Roman"/>
                <w:smallCaps w:val="0"/>
                <w:color w:val="auto"/>
                <w:spacing w:val="0"/>
                <w:position w:val="0"/>
                <w:sz w:val="24"/>
                <w:szCs w:val="24"/>
                <w:lang w:val="en-US" w:eastAsia="zh-CN"/>
              </w:rPr>
              <w:t>生活污水</w:t>
            </w:r>
          </w:p>
        </w:tc>
        <w:tc>
          <w:tcPr>
            <w:tcW w:w="753" w:type="pct"/>
            <w:noWrap w:val="0"/>
            <w:vAlign w:val="center"/>
          </w:tcPr>
          <w:p w14:paraId="21ACB6AD">
            <w:pPr>
              <w:pStyle w:val="12"/>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r>
              <w:rPr>
                <w:rFonts w:hint="default" w:ascii="Times New Roman" w:hAnsi="Times New Roman" w:eastAsia="宋体" w:cs="Times New Roman"/>
                <w:color w:val="auto"/>
                <w:spacing w:val="0"/>
                <w:w w:val="100"/>
                <w:position w:val="0"/>
                <w:sz w:val="24"/>
                <w:szCs w:val="24"/>
              </w:rPr>
              <w:t>pH、SS、COD、BOD</w:t>
            </w:r>
            <w:r>
              <w:rPr>
                <w:rFonts w:hint="default" w:ascii="Times New Roman" w:hAnsi="Times New Roman" w:eastAsia="宋体" w:cs="Times New Roman"/>
                <w:color w:val="auto"/>
                <w:spacing w:val="0"/>
                <w:w w:val="100"/>
                <w:position w:val="0"/>
                <w:sz w:val="24"/>
                <w:szCs w:val="24"/>
                <w:vertAlign w:val="subscript"/>
              </w:rPr>
              <w:t>5</w:t>
            </w:r>
            <w:r>
              <w:rPr>
                <w:rFonts w:hint="default" w:ascii="Times New Roman" w:hAnsi="Times New Roman" w:eastAsia="宋体" w:cs="Times New Roman"/>
                <w:color w:val="auto"/>
                <w:spacing w:val="0"/>
                <w:w w:val="100"/>
                <w:position w:val="0"/>
                <w:sz w:val="24"/>
                <w:szCs w:val="24"/>
              </w:rPr>
              <w:t>、</w:t>
            </w:r>
            <w:r>
              <w:rPr>
                <w:rFonts w:hint="default" w:ascii="Times New Roman" w:hAnsi="Times New Roman" w:eastAsia="宋体" w:cs="Times New Roman"/>
                <w:color w:val="auto"/>
                <w:spacing w:val="0"/>
                <w:w w:val="100"/>
                <w:position w:val="0"/>
                <w:sz w:val="24"/>
                <w:szCs w:val="24"/>
                <w:lang w:val="pt-BR"/>
              </w:rPr>
              <w:t>NH</w:t>
            </w:r>
            <w:r>
              <w:rPr>
                <w:rFonts w:hint="default" w:ascii="Times New Roman" w:hAnsi="Times New Roman" w:eastAsia="宋体" w:cs="Times New Roman"/>
                <w:color w:val="auto"/>
                <w:spacing w:val="0"/>
                <w:w w:val="100"/>
                <w:position w:val="0"/>
                <w:sz w:val="24"/>
                <w:szCs w:val="24"/>
                <w:vertAlign w:val="subscript"/>
                <w:lang w:val="pt-BR"/>
              </w:rPr>
              <w:t>3</w:t>
            </w:r>
            <w:r>
              <w:rPr>
                <w:rFonts w:hint="default" w:ascii="Times New Roman" w:hAnsi="Times New Roman" w:eastAsia="宋体" w:cs="Times New Roman"/>
                <w:color w:val="auto"/>
                <w:spacing w:val="0"/>
                <w:w w:val="100"/>
                <w:position w:val="0"/>
                <w:sz w:val="24"/>
                <w:szCs w:val="24"/>
                <w:lang w:val="pt-BR"/>
              </w:rPr>
              <w:t>-N</w:t>
            </w:r>
          </w:p>
        </w:tc>
        <w:tc>
          <w:tcPr>
            <w:tcW w:w="1516" w:type="pct"/>
            <w:noWrap w:val="0"/>
            <w:vAlign w:val="center"/>
          </w:tcPr>
          <w:p w14:paraId="22A7F1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eastAsia="宋体" w:cs="Times New Roman"/>
                <w:b w:val="0"/>
                <w:bCs w:val="0"/>
                <w:color w:val="auto"/>
                <w:spacing w:val="0"/>
                <w:w w:val="100"/>
                <w:position w:val="0"/>
                <w:sz w:val="24"/>
                <w:szCs w:val="24"/>
                <w:highlight w:val="none"/>
                <w:lang w:val="en-US" w:eastAsia="zh-CN"/>
              </w:rPr>
              <w:t>生活污水经化粪池处理达《污水综合排放标准》（GB8978-1996）表4中三级标准限值后前期用吸粪车定期清运至污水厂，后期待管网接通后排入污水管网通过市政污水管网输送至鹿寨县城第二污水处理厂处理后排入洛清江。</w:t>
            </w:r>
          </w:p>
        </w:tc>
        <w:tc>
          <w:tcPr>
            <w:tcW w:w="1487" w:type="pct"/>
            <w:noWrap w:val="0"/>
            <w:vAlign w:val="center"/>
          </w:tcPr>
          <w:p w14:paraId="7EEBA9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eastAsia="宋体" w:cs="Times New Roman"/>
                <w:b w:val="0"/>
                <w:bCs w:val="0"/>
                <w:color w:val="auto"/>
                <w:spacing w:val="0"/>
                <w:w w:val="100"/>
                <w:position w:val="0"/>
                <w:sz w:val="24"/>
                <w:szCs w:val="24"/>
                <w:highlight w:val="none"/>
                <w:lang w:val="en-US" w:eastAsia="zh-CN"/>
              </w:rPr>
              <w:t>《污水综合排放标准》（GB8978-1996）三级标准</w:t>
            </w:r>
          </w:p>
        </w:tc>
      </w:tr>
      <w:tr w14:paraId="10E8E2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9" w:hRule="atLeast"/>
          <w:jc w:val="center"/>
        </w:trPr>
        <w:tc>
          <w:tcPr>
            <w:tcW w:w="407" w:type="pct"/>
            <w:noWrap w:val="0"/>
            <w:vAlign w:val="center"/>
          </w:tcPr>
          <w:p w14:paraId="186478B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r>
              <w:rPr>
                <w:rFonts w:hint="default" w:ascii="Times New Roman" w:hAnsi="Times New Roman" w:eastAsia="宋体" w:cs="Times New Roman"/>
                <w:smallCaps w:val="0"/>
                <w:color w:val="auto"/>
                <w:spacing w:val="0"/>
                <w:position w:val="0"/>
                <w:sz w:val="24"/>
                <w:szCs w:val="24"/>
              </w:rPr>
              <w:t>声环境</w:t>
            </w:r>
          </w:p>
        </w:tc>
        <w:tc>
          <w:tcPr>
            <w:tcW w:w="835" w:type="pct"/>
            <w:noWrap w:val="0"/>
            <w:vAlign w:val="center"/>
          </w:tcPr>
          <w:p w14:paraId="415BD70D">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position w:val="0"/>
                <w:sz w:val="24"/>
                <w:szCs w:val="24"/>
                <w:lang w:val="en-US" w:eastAsia="zh-CN"/>
              </w:rPr>
            </w:pPr>
            <w:r>
              <w:rPr>
                <w:rFonts w:hint="default" w:ascii="Times New Roman" w:hAnsi="Times New Roman" w:cs="Times New Roman" w:eastAsiaTheme="minorEastAsia"/>
                <w:color w:val="auto"/>
                <w:spacing w:val="0"/>
                <w:position w:val="0"/>
                <w:sz w:val="24"/>
                <w:szCs w:val="24"/>
                <w:lang w:val="en-US" w:eastAsia="zh-CN"/>
              </w:rPr>
              <w:t>生产设备</w:t>
            </w:r>
          </w:p>
        </w:tc>
        <w:tc>
          <w:tcPr>
            <w:tcW w:w="753" w:type="pct"/>
            <w:noWrap w:val="0"/>
            <w:vAlign w:val="center"/>
          </w:tcPr>
          <w:p w14:paraId="71446DF5">
            <w:pPr>
              <w:pStyle w:val="12"/>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lang w:val="en-US" w:eastAsia="zh-CN"/>
              </w:rPr>
              <w:t>噪声</w:t>
            </w:r>
          </w:p>
        </w:tc>
        <w:tc>
          <w:tcPr>
            <w:tcW w:w="1516" w:type="pct"/>
            <w:noWrap w:val="0"/>
            <w:vAlign w:val="center"/>
          </w:tcPr>
          <w:p w14:paraId="083735A0">
            <w:pPr>
              <w:pStyle w:val="12"/>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position w:val="0"/>
                <w:sz w:val="24"/>
                <w:szCs w:val="24"/>
                <w:lang w:val="en-US" w:eastAsia="zh-CN"/>
              </w:rPr>
            </w:pPr>
            <w:r>
              <w:rPr>
                <w:rFonts w:hint="default" w:ascii="Times New Roman" w:hAnsi="Times New Roman" w:eastAsia="宋体" w:cs="Times New Roman"/>
                <w:color w:val="auto"/>
                <w:spacing w:val="0"/>
                <w:w w:val="100"/>
                <w:position w:val="0"/>
                <w:sz w:val="24"/>
                <w:szCs w:val="24"/>
              </w:rPr>
              <w:t>采取基础减振、合理布局、科学管理、隔声等措施</w:t>
            </w:r>
          </w:p>
        </w:tc>
        <w:tc>
          <w:tcPr>
            <w:tcW w:w="1487" w:type="pct"/>
            <w:noWrap w:val="0"/>
            <w:vAlign w:val="center"/>
          </w:tcPr>
          <w:p w14:paraId="1C1A52F6">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smallCaps w:val="0"/>
                <w:color w:val="auto"/>
                <w:spacing w:val="0"/>
                <w:position w:val="0"/>
                <w:sz w:val="24"/>
                <w:szCs w:val="24"/>
                <w:lang w:val="en-US" w:eastAsia="zh-CN"/>
              </w:rPr>
            </w:pPr>
            <w:r>
              <w:rPr>
                <w:rFonts w:hint="default" w:ascii="Times New Roman" w:hAnsi="Times New Roman" w:cs="Times New Roman" w:eastAsiaTheme="minorEastAsia"/>
                <w:color w:val="auto"/>
                <w:spacing w:val="0"/>
                <w:position w:val="0"/>
                <w:sz w:val="24"/>
                <w:szCs w:val="24"/>
                <w:lang w:val="en-US" w:eastAsia="zh-CN"/>
              </w:rPr>
              <w:t>《工业企业厂界环境噪声排放标准》（GB12348-2008）3类标准</w:t>
            </w:r>
          </w:p>
        </w:tc>
      </w:tr>
      <w:tr w14:paraId="0CC5AB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noWrap w:val="0"/>
            <w:vAlign w:val="center"/>
          </w:tcPr>
          <w:p w14:paraId="08312A1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lang w:val="en-US" w:eastAsia="zh-CN"/>
              </w:rPr>
            </w:pPr>
            <w:r>
              <w:rPr>
                <w:rFonts w:hint="default" w:ascii="Times New Roman" w:hAnsi="Times New Roman" w:eastAsia="宋体" w:cs="Times New Roman"/>
                <w:smallCaps w:val="0"/>
                <w:color w:val="auto"/>
                <w:spacing w:val="0"/>
                <w:position w:val="0"/>
                <w:sz w:val="24"/>
                <w:szCs w:val="24"/>
                <w:lang w:val="en-US" w:eastAsia="zh-CN"/>
              </w:rPr>
              <w:t>电磁辐射</w:t>
            </w:r>
          </w:p>
        </w:tc>
        <w:tc>
          <w:tcPr>
            <w:tcW w:w="4592" w:type="pct"/>
            <w:gridSpan w:val="4"/>
            <w:noWrap w:val="0"/>
            <w:vAlign w:val="center"/>
          </w:tcPr>
          <w:p w14:paraId="0562E7A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lang w:val="en-US" w:eastAsia="zh-CN"/>
              </w:rPr>
            </w:pPr>
            <w:r>
              <w:rPr>
                <w:rFonts w:hint="default" w:ascii="Times New Roman" w:hAnsi="Times New Roman" w:eastAsia="宋体" w:cs="Times New Roman"/>
                <w:smallCaps w:val="0"/>
                <w:color w:val="auto"/>
                <w:spacing w:val="0"/>
                <w:position w:val="0"/>
                <w:sz w:val="24"/>
                <w:szCs w:val="24"/>
                <w:lang w:val="en-US" w:eastAsia="zh-CN"/>
              </w:rPr>
              <w:t>无</w:t>
            </w:r>
          </w:p>
        </w:tc>
      </w:tr>
      <w:tr w14:paraId="162E91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restart"/>
            <w:noWrap w:val="0"/>
            <w:vAlign w:val="center"/>
          </w:tcPr>
          <w:p w14:paraId="7CB0127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r>
              <w:rPr>
                <w:rFonts w:hint="default" w:ascii="Times New Roman" w:hAnsi="Times New Roman" w:eastAsia="宋体" w:cs="Times New Roman"/>
                <w:smallCaps w:val="0"/>
                <w:color w:val="auto"/>
                <w:spacing w:val="0"/>
                <w:position w:val="0"/>
                <w:sz w:val="24"/>
                <w:szCs w:val="24"/>
              </w:rPr>
              <w:t>固体废物</w:t>
            </w:r>
          </w:p>
        </w:tc>
        <w:tc>
          <w:tcPr>
            <w:tcW w:w="835" w:type="pct"/>
            <w:noWrap w:val="0"/>
            <w:vAlign w:val="center"/>
          </w:tcPr>
          <w:p w14:paraId="67304EC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废铁屑</w:t>
            </w:r>
          </w:p>
        </w:tc>
        <w:tc>
          <w:tcPr>
            <w:tcW w:w="2269" w:type="pct"/>
            <w:gridSpan w:val="2"/>
            <w:vMerge w:val="restart"/>
            <w:shd w:val="clear" w:color="auto" w:fill="auto"/>
            <w:noWrap w:val="0"/>
            <w:vAlign w:val="center"/>
          </w:tcPr>
          <w:p w14:paraId="2078CC7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经分类收集后外售</w:t>
            </w:r>
          </w:p>
        </w:tc>
        <w:tc>
          <w:tcPr>
            <w:tcW w:w="1487" w:type="pct"/>
            <w:vMerge w:val="restart"/>
            <w:noWrap w:val="0"/>
            <w:vAlign w:val="center"/>
          </w:tcPr>
          <w:p w14:paraId="02633C5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kern w:val="0"/>
                <w:position w:val="0"/>
                <w:sz w:val="24"/>
                <w:szCs w:val="24"/>
                <w:lang w:val="en-US" w:eastAsia="zh-CN"/>
              </w:rPr>
            </w:pPr>
            <w:r>
              <w:rPr>
                <w:rFonts w:hint="default" w:ascii="Times New Roman" w:hAnsi="Times New Roman" w:eastAsia="宋体" w:cs="Times New Roman"/>
                <w:color w:val="auto"/>
                <w:spacing w:val="0"/>
                <w:w w:val="100"/>
                <w:kern w:val="0"/>
                <w:position w:val="0"/>
                <w:sz w:val="24"/>
                <w:szCs w:val="24"/>
                <w:lang w:val="en-US" w:eastAsia="zh-CN"/>
              </w:rPr>
              <w:t>《一般工业固体废物贮存和填埋污染控制标准》（GB18599-2020）</w:t>
            </w:r>
          </w:p>
        </w:tc>
      </w:tr>
      <w:tr w14:paraId="4B7EA1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768A86C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p>
        </w:tc>
        <w:tc>
          <w:tcPr>
            <w:tcW w:w="835" w:type="pct"/>
            <w:noWrap w:val="0"/>
            <w:vAlign w:val="center"/>
          </w:tcPr>
          <w:p w14:paraId="347CF10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废砂</w:t>
            </w:r>
          </w:p>
        </w:tc>
        <w:tc>
          <w:tcPr>
            <w:tcW w:w="2269" w:type="pct"/>
            <w:gridSpan w:val="2"/>
            <w:vMerge w:val="continue"/>
            <w:shd w:val="clear" w:color="auto" w:fill="auto"/>
            <w:noWrap w:val="0"/>
            <w:vAlign w:val="center"/>
          </w:tcPr>
          <w:p w14:paraId="2C814E7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kern w:val="0"/>
                <w:position w:val="0"/>
                <w:sz w:val="24"/>
                <w:szCs w:val="24"/>
                <w:lang w:val="en-US" w:eastAsia="zh-CN"/>
              </w:rPr>
            </w:pPr>
          </w:p>
        </w:tc>
        <w:tc>
          <w:tcPr>
            <w:tcW w:w="1487" w:type="pct"/>
            <w:vMerge w:val="continue"/>
            <w:noWrap w:val="0"/>
            <w:vAlign w:val="center"/>
          </w:tcPr>
          <w:p w14:paraId="5364EDB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kern w:val="0"/>
                <w:position w:val="0"/>
                <w:sz w:val="24"/>
                <w:szCs w:val="24"/>
                <w:lang w:val="en-US" w:eastAsia="zh-CN"/>
              </w:rPr>
            </w:pPr>
          </w:p>
        </w:tc>
      </w:tr>
      <w:tr w14:paraId="0CD4E4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1DE871A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p>
        </w:tc>
        <w:tc>
          <w:tcPr>
            <w:tcW w:w="835" w:type="pct"/>
            <w:noWrap w:val="0"/>
            <w:vAlign w:val="center"/>
          </w:tcPr>
          <w:p w14:paraId="7E22788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炉渣</w:t>
            </w:r>
          </w:p>
        </w:tc>
        <w:tc>
          <w:tcPr>
            <w:tcW w:w="2269" w:type="pct"/>
            <w:gridSpan w:val="2"/>
            <w:vMerge w:val="continue"/>
            <w:shd w:val="clear" w:color="auto" w:fill="auto"/>
            <w:noWrap w:val="0"/>
            <w:vAlign w:val="center"/>
          </w:tcPr>
          <w:p w14:paraId="5973E22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kern w:val="0"/>
                <w:position w:val="0"/>
                <w:sz w:val="24"/>
                <w:szCs w:val="24"/>
                <w:lang w:val="en-US" w:eastAsia="zh-CN"/>
              </w:rPr>
            </w:pPr>
          </w:p>
        </w:tc>
        <w:tc>
          <w:tcPr>
            <w:tcW w:w="1487" w:type="pct"/>
            <w:vMerge w:val="continue"/>
            <w:noWrap w:val="0"/>
            <w:vAlign w:val="center"/>
          </w:tcPr>
          <w:p w14:paraId="0D6CDE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spacing w:val="0"/>
                <w:kern w:val="0"/>
                <w:position w:val="0"/>
                <w:sz w:val="24"/>
                <w:szCs w:val="24"/>
              </w:rPr>
            </w:pPr>
          </w:p>
        </w:tc>
      </w:tr>
      <w:tr w14:paraId="227908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7216CA5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p>
        </w:tc>
        <w:tc>
          <w:tcPr>
            <w:tcW w:w="835" w:type="pct"/>
            <w:noWrap w:val="0"/>
            <w:vAlign w:val="center"/>
          </w:tcPr>
          <w:p w14:paraId="6C59134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position w:val="0"/>
                <w:sz w:val="24"/>
                <w:szCs w:val="24"/>
                <w:lang w:val="en-US" w:eastAsia="zh-CN"/>
              </w:rPr>
            </w:pPr>
            <w:r>
              <w:rPr>
                <w:rFonts w:hint="default" w:ascii="Times New Roman" w:hAnsi="Times New Roman" w:eastAsia="宋体" w:cs="Times New Roman"/>
                <w:b w:val="0"/>
                <w:bCs w:val="0"/>
                <w:color w:val="auto"/>
                <w:spacing w:val="0"/>
                <w:w w:val="100"/>
                <w:position w:val="0"/>
                <w:sz w:val="24"/>
                <w:szCs w:val="24"/>
                <w:lang w:val="en-US" w:eastAsia="zh-CN"/>
              </w:rPr>
              <w:t>布袋除尘灰</w:t>
            </w:r>
          </w:p>
        </w:tc>
        <w:tc>
          <w:tcPr>
            <w:tcW w:w="2269" w:type="pct"/>
            <w:gridSpan w:val="2"/>
            <w:vMerge w:val="continue"/>
            <w:shd w:val="clear" w:color="auto" w:fill="auto"/>
            <w:noWrap w:val="0"/>
            <w:vAlign w:val="center"/>
          </w:tcPr>
          <w:p w14:paraId="1DFC082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kern w:val="0"/>
                <w:position w:val="0"/>
                <w:sz w:val="24"/>
                <w:szCs w:val="24"/>
                <w:lang w:val="en-US" w:eastAsia="zh-CN"/>
              </w:rPr>
            </w:pPr>
          </w:p>
        </w:tc>
        <w:tc>
          <w:tcPr>
            <w:tcW w:w="1487" w:type="pct"/>
            <w:vMerge w:val="continue"/>
            <w:noWrap w:val="0"/>
            <w:vAlign w:val="center"/>
          </w:tcPr>
          <w:p w14:paraId="73A6EE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spacing w:val="0"/>
                <w:kern w:val="0"/>
                <w:position w:val="0"/>
                <w:sz w:val="24"/>
                <w:szCs w:val="24"/>
              </w:rPr>
            </w:pPr>
          </w:p>
        </w:tc>
      </w:tr>
      <w:tr w14:paraId="4E99CE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02B7F77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p>
        </w:tc>
        <w:tc>
          <w:tcPr>
            <w:tcW w:w="835" w:type="pct"/>
            <w:noWrap w:val="0"/>
            <w:vAlign w:val="center"/>
          </w:tcPr>
          <w:p w14:paraId="1FE1F40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废活性炭</w:t>
            </w:r>
          </w:p>
        </w:tc>
        <w:tc>
          <w:tcPr>
            <w:tcW w:w="2269" w:type="pct"/>
            <w:gridSpan w:val="2"/>
            <w:vMerge w:val="restart"/>
            <w:shd w:val="clear" w:color="auto" w:fill="auto"/>
            <w:noWrap w:val="0"/>
            <w:vAlign w:val="center"/>
          </w:tcPr>
          <w:p w14:paraId="785CCC7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r>
              <w:rPr>
                <w:rFonts w:hint="default" w:ascii="Times New Roman" w:hAnsi="Times New Roman" w:eastAsia="宋体" w:cs="Times New Roman"/>
                <w:color w:val="auto"/>
                <w:spacing w:val="0"/>
                <w:w w:val="100"/>
                <w:kern w:val="0"/>
                <w:position w:val="0"/>
                <w:sz w:val="24"/>
                <w:szCs w:val="24"/>
                <w:lang w:val="en-US" w:eastAsia="zh-CN"/>
              </w:rPr>
              <w:t>暂存危废间，定期交有资质单位处置</w:t>
            </w:r>
          </w:p>
        </w:tc>
        <w:tc>
          <w:tcPr>
            <w:tcW w:w="1487" w:type="pct"/>
            <w:vMerge w:val="restart"/>
            <w:noWrap w:val="0"/>
            <w:vAlign w:val="center"/>
          </w:tcPr>
          <w:p w14:paraId="7B572D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smallCaps w:val="0"/>
                <w:color w:val="auto"/>
                <w:spacing w:val="0"/>
                <w:position w:val="0"/>
                <w:sz w:val="24"/>
                <w:szCs w:val="24"/>
              </w:rPr>
            </w:pPr>
            <w:r>
              <w:rPr>
                <w:rFonts w:hint="default" w:ascii="Times New Roman" w:hAnsi="Times New Roman" w:eastAsia="宋体" w:cs="Times New Roman"/>
                <w:color w:val="auto"/>
                <w:spacing w:val="0"/>
                <w:kern w:val="0"/>
                <w:position w:val="0"/>
                <w:sz w:val="24"/>
                <w:szCs w:val="24"/>
              </w:rPr>
              <w:t>《危险废物贮存污染控制标准》（</w:t>
            </w:r>
            <w:r>
              <w:rPr>
                <w:rFonts w:hint="default" w:ascii="Times New Roman" w:hAnsi="Times New Roman" w:eastAsia="宋体" w:cs="Times New Roman"/>
                <w:color w:val="auto"/>
                <w:spacing w:val="0"/>
                <w:kern w:val="0"/>
                <w:position w:val="0"/>
                <w:sz w:val="24"/>
                <w:szCs w:val="24"/>
                <w:lang w:eastAsia="zh-CN"/>
              </w:rPr>
              <w:t>GB18597-2023</w:t>
            </w:r>
            <w:r>
              <w:rPr>
                <w:rFonts w:hint="default" w:ascii="Times New Roman" w:hAnsi="Times New Roman" w:eastAsia="宋体" w:cs="Times New Roman"/>
                <w:color w:val="auto"/>
                <w:spacing w:val="0"/>
                <w:kern w:val="0"/>
                <w:position w:val="0"/>
                <w:sz w:val="24"/>
                <w:szCs w:val="24"/>
              </w:rPr>
              <w:t>）要求</w:t>
            </w:r>
          </w:p>
        </w:tc>
      </w:tr>
      <w:tr w14:paraId="7C1C44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4805583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p>
        </w:tc>
        <w:tc>
          <w:tcPr>
            <w:tcW w:w="835" w:type="pct"/>
            <w:noWrap w:val="0"/>
            <w:vAlign w:val="center"/>
          </w:tcPr>
          <w:p w14:paraId="2C65B83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废机油</w:t>
            </w:r>
          </w:p>
        </w:tc>
        <w:tc>
          <w:tcPr>
            <w:tcW w:w="2269" w:type="pct"/>
            <w:gridSpan w:val="2"/>
            <w:vMerge w:val="continue"/>
            <w:shd w:val="clear" w:color="auto" w:fill="auto"/>
            <w:noWrap w:val="0"/>
            <w:vAlign w:val="center"/>
          </w:tcPr>
          <w:p w14:paraId="61BE5D9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0"/>
                <w:w w:val="100"/>
                <w:kern w:val="0"/>
                <w:position w:val="0"/>
                <w:sz w:val="24"/>
                <w:szCs w:val="24"/>
                <w:lang w:val="en-US" w:eastAsia="zh-CN"/>
              </w:rPr>
            </w:pPr>
          </w:p>
        </w:tc>
        <w:tc>
          <w:tcPr>
            <w:tcW w:w="1487" w:type="pct"/>
            <w:vMerge w:val="continue"/>
            <w:noWrap w:val="0"/>
            <w:vAlign w:val="center"/>
          </w:tcPr>
          <w:p w14:paraId="001ACE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spacing w:val="0"/>
                <w:kern w:val="0"/>
                <w:position w:val="0"/>
                <w:sz w:val="24"/>
                <w:szCs w:val="24"/>
              </w:rPr>
            </w:pPr>
          </w:p>
        </w:tc>
      </w:tr>
      <w:tr w14:paraId="4126DE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noWrap w:val="0"/>
            <w:vAlign w:val="center"/>
          </w:tcPr>
          <w:p w14:paraId="3B37830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p>
        </w:tc>
        <w:tc>
          <w:tcPr>
            <w:tcW w:w="835" w:type="pct"/>
            <w:shd w:val="clear" w:color="auto" w:fill="auto"/>
            <w:noWrap w:val="0"/>
            <w:vAlign w:val="center"/>
          </w:tcPr>
          <w:p w14:paraId="714A86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生活垃圾</w:t>
            </w:r>
          </w:p>
        </w:tc>
        <w:tc>
          <w:tcPr>
            <w:tcW w:w="2269" w:type="pct"/>
            <w:gridSpan w:val="2"/>
            <w:shd w:val="clear" w:color="auto" w:fill="auto"/>
            <w:noWrap w:val="0"/>
            <w:vAlign w:val="center"/>
          </w:tcPr>
          <w:p w14:paraId="34088C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经采用垃圾桶分类收集后，由环卫部门转运处置</w:t>
            </w:r>
          </w:p>
        </w:tc>
        <w:tc>
          <w:tcPr>
            <w:tcW w:w="1487" w:type="pct"/>
            <w:noWrap w:val="0"/>
            <w:vAlign w:val="center"/>
          </w:tcPr>
          <w:p w14:paraId="6CEFB9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《中华人民共和国固体废物污染环境防治法》（2020年4月29日修订，2020年9月1日实施）“第四章 生活垃圾”的有关规定</w:t>
            </w:r>
          </w:p>
        </w:tc>
      </w:tr>
      <w:tr w14:paraId="60656B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65" w:hRule="atLeast"/>
          <w:jc w:val="center"/>
        </w:trPr>
        <w:tc>
          <w:tcPr>
            <w:tcW w:w="407" w:type="pct"/>
            <w:noWrap w:val="0"/>
            <w:vAlign w:val="center"/>
          </w:tcPr>
          <w:p w14:paraId="7649D00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r>
              <w:rPr>
                <w:rFonts w:hint="default" w:ascii="Times New Roman" w:hAnsi="Times New Roman" w:eastAsia="宋体" w:cs="Times New Roman"/>
                <w:smallCaps w:val="0"/>
                <w:color w:val="auto"/>
                <w:spacing w:val="0"/>
                <w:position w:val="0"/>
                <w:sz w:val="24"/>
                <w:szCs w:val="24"/>
              </w:rPr>
              <w:t>地下水及土壤污染防治措施</w:t>
            </w:r>
          </w:p>
        </w:tc>
        <w:tc>
          <w:tcPr>
            <w:tcW w:w="4592" w:type="pct"/>
            <w:gridSpan w:val="4"/>
            <w:shd w:val="clear" w:color="auto" w:fill="auto"/>
            <w:noWrap w:val="0"/>
            <w:vAlign w:val="center"/>
          </w:tcPr>
          <w:p w14:paraId="25674619">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项目划分为重点防渗区、一般防渗区和简单防渗区：</w:t>
            </w:r>
          </w:p>
          <w:p w14:paraId="21CCAD76">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①重点防渗区：</w:t>
            </w:r>
          </w:p>
          <w:p w14:paraId="2A958A4E">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项目可能产生的土壤、地下水污染的污染源主要为危废暂存间。危废暂存间按照《环境影响评价技术导则-地下水环境》（HJ610-2016）中重点防渗区的防渗要求，根据不同区域采取相应的防腐防渗措施，地面防渗可采用25cm厚的C25混凝土硬化防渗+2mm厚的高密度聚乙烯或其他人工材料，耐酸性、耐碱性强。防渗效果达到防渗层渗透系数≤10</w:t>
            </w:r>
            <w:r>
              <w:rPr>
                <w:rFonts w:hint="default" w:ascii="Times New Roman" w:hAnsi="Times New Roman" w:eastAsia="宋体" w:cs="Times New Roman"/>
                <w:b w:val="0"/>
                <w:bCs w:val="0"/>
                <w:color w:val="auto"/>
                <w:spacing w:val="0"/>
                <w:w w:val="100"/>
                <w:kern w:val="0"/>
                <w:position w:val="0"/>
                <w:sz w:val="24"/>
                <w:szCs w:val="24"/>
                <w:vertAlign w:val="superscript"/>
                <w:lang w:val="en-US" w:eastAsia="zh-CN"/>
              </w:rPr>
              <w:t>-10</w:t>
            </w:r>
            <w:r>
              <w:rPr>
                <w:rFonts w:hint="default" w:ascii="Times New Roman" w:hAnsi="Times New Roman" w:eastAsia="宋体" w:cs="Times New Roman"/>
                <w:b w:val="0"/>
                <w:bCs w:val="0"/>
                <w:color w:val="auto"/>
                <w:spacing w:val="0"/>
                <w:w w:val="100"/>
                <w:kern w:val="0"/>
                <w:position w:val="0"/>
                <w:sz w:val="24"/>
                <w:szCs w:val="24"/>
                <w:lang w:val="en-US" w:eastAsia="zh-CN"/>
              </w:rPr>
              <w:t>cm/s。</w:t>
            </w:r>
          </w:p>
          <w:p w14:paraId="6B24DEA9">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②一般防渗区：</w:t>
            </w:r>
          </w:p>
          <w:p w14:paraId="116E055D">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一般防渗区主要为化粪池。按照《环境影响评价技术导则-地下水环境》HJ610-2016）中一般防渗区的防渗要求进行防渗设计。清洗槽、废水处理设施及化粪池硬化防渗层渗透系数≤10</w:t>
            </w:r>
            <w:r>
              <w:rPr>
                <w:rFonts w:hint="default" w:ascii="Times New Roman" w:hAnsi="Times New Roman" w:eastAsia="宋体" w:cs="Times New Roman"/>
                <w:b w:val="0"/>
                <w:bCs w:val="0"/>
                <w:color w:val="auto"/>
                <w:spacing w:val="0"/>
                <w:w w:val="100"/>
                <w:kern w:val="0"/>
                <w:position w:val="0"/>
                <w:sz w:val="24"/>
                <w:szCs w:val="24"/>
                <w:vertAlign w:val="superscript"/>
                <w:lang w:val="en-US" w:eastAsia="zh-CN"/>
              </w:rPr>
              <w:t>-7</w:t>
            </w:r>
            <w:r>
              <w:rPr>
                <w:rFonts w:hint="default" w:ascii="Times New Roman" w:hAnsi="Times New Roman" w:eastAsia="宋体" w:cs="Times New Roman"/>
                <w:b w:val="0"/>
                <w:bCs w:val="0"/>
                <w:color w:val="auto"/>
                <w:spacing w:val="0"/>
                <w:w w:val="100"/>
                <w:kern w:val="0"/>
                <w:position w:val="0"/>
                <w:sz w:val="24"/>
                <w:szCs w:val="24"/>
                <w:lang w:val="en-US" w:eastAsia="zh-CN"/>
              </w:rPr>
              <w:t>cm/s，地面防渗可采用25cm厚的C25混凝土硬化防渗，管道可采用强度高、腐蚀裕度大的管道材料（如无缝钢管）和高等级防腐材料，尽量使用焊接连接，不得使用承插管，以达到防渗漏目的，防渗层渗透系数≤10</w:t>
            </w:r>
            <w:r>
              <w:rPr>
                <w:rFonts w:hint="default" w:ascii="Times New Roman" w:hAnsi="Times New Roman" w:eastAsia="宋体" w:cs="Times New Roman"/>
                <w:b w:val="0"/>
                <w:bCs w:val="0"/>
                <w:color w:val="auto"/>
                <w:spacing w:val="0"/>
                <w:w w:val="100"/>
                <w:kern w:val="0"/>
                <w:position w:val="0"/>
                <w:sz w:val="24"/>
                <w:szCs w:val="24"/>
                <w:vertAlign w:val="superscript"/>
                <w:lang w:val="en-US" w:eastAsia="zh-CN"/>
              </w:rPr>
              <w:t>-7</w:t>
            </w:r>
            <w:r>
              <w:rPr>
                <w:rFonts w:hint="default" w:ascii="Times New Roman" w:hAnsi="Times New Roman" w:eastAsia="宋体" w:cs="Times New Roman"/>
                <w:b w:val="0"/>
                <w:bCs w:val="0"/>
                <w:color w:val="auto"/>
                <w:spacing w:val="0"/>
                <w:w w:val="100"/>
                <w:kern w:val="0"/>
                <w:position w:val="0"/>
                <w:sz w:val="24"/>
                <w:szCs w:val="24"/>
                <w:lang w:val="en-US" w:eastAsia="zh-CN"/>
              </w:rPr>
              <w:t>cm/s。</w:t>
            </w:r>
          </w:p>
          <w:p w14:paraId="05751D4D">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③简单防渗区：</w:t>
            </w:r>
          </w:p>
          <w:p w14:paraId="5FE67F9F">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除了重点污染防治区以外的区域，地面采用混凝土硬化地面。</w:t>
            </w:r>
          </w:p>
          <w:p w14:paraId="0E1F1792">
            <w:pPr>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pacing w:val="0"/>
                <w:w w:val="100"/>
                <w:position w:val="0"/>
                <w:sz w:val="24"/>
                <w:szCs w:val="24"/>
              </w:rPr>
            </w:pPr>
            <w:r>
              <w:rPr>
                <w:rFonts w:hint="default" w:ascii="Times New Roman" w:hAnsi="Times New Roman" w:eastAsia="宋体" w:cs="Times New Roman"/>
                <w:b w:val="0"/>
                <w:bCs w:val="0"/>
                <w:color w:val="auto"/>
                <w:spacing w:val="0"/>
                <w:w w:val="100"/>
                <w:kern w:val="0"/>
                <w:position w:val="0"/>
                <w:sz w:val="24"/>
                <w:szCs w:val="24"/>
                <w:lang w:val="en-US" w:eastAsia="zh-CN"/>
              </w:rPr>
              <w:t>综上所述，项目通过采取分区防控措施，对土壤、地下水有影响的各个环节均能达到良好控制，故项目对土壤、地下水的影响不大。</w:t>
            </w:r>
          </w:p>
        </w:tc>
      </w:tr>
      <w:tr w14:paraId="16C03A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noWrap w:val="0"/>
            <w:vAlign w:val="center"/>
          </w:tcPr>
          <w:p w14:paraId="7C81F96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r>
              <w:rPr>
                <w:rFonts w:hint="default" w:ascii="Times New Roman" w:hAnsi="Times New Roman" w:eastAsia="宋体" w:cs="Times New Roman"/>
                <w:smallCaps w:val="0"/>
                <w:color w:val="auto"/>
                <w:spacing w:val="0"/>
                <w:position w:val="0"/>
                <w:sz w:val="24"/>
                <w:szCs w:val="24"/>
              </w:rPr>
              <w:t>生态保护措施</w:t>
            </w:r>
          </w:p>
        </w:tc>
        <w:tc>
          <w:tcPr>
            <w:tcW w:w="4592" w:type="pct"/>
            <w:gridSpan w:val="4"/>
            <w:noWrap w:val="0"/>
            <w:vAlign w:val="center"/>
          </w:tcPr>
          <w:p w14:paraId="42F60EC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r>
              <w:rPr>
                <w:rFonts w:hint="default" w:ascii="Times New Roman" w:hAnsi="Times New Roman" w:cs="Times New Roman"/>
                <w:color w:val="auto"/>
                <w:sz w:val="24"/>
                <w:szCs w:val="24"/>
                <w:highlight w:val="none"/>
              </w:rPr>
              <w:t>——</w:t>
            </w:r>
          </w:p>
        </w:tc>
      </w:tr>
      <w:tr w14:paraId="3DB151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noWrap w:val="0"/>
            <w:vAlign w:val="center"/>
          </w:tcPr>
          <w:p w14:paraId="0ABAE4C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r>
              <w:rPr>
                <w:rFonts w:hint="default" w:ascii="Times New Roman" w:hAnsi="Times New Roman" w:eastAsia="宋体" w:cs="Times New Roman"/>
                <w:smallCaps w:val="0"/>
                <w:color w:val="auto"/>
                <w:spacing w:val="0"/>
                <w:position w:val="0"/>
                <w:sz w:val="24"/>
                <w:szCs w:val="24"/>
              </w:rPr>
              <w:t>环境风险防范措施</w:t>
            </w:r>
          </w:p>
        </w:tc>
        <w:tc>
          <w:tcPr>
            <w:tcW w:w="4592" w:type="pct"/>
            <w:gridSpan w:val="4"/>
            <w:shd w:val="clear" w:color="auto" w:fill="auto"/>
            <w:noWrap w:val="0"/>
            <w:vAlign w:val="center"/>
          </w:tcPr>
          <w:p w14:paraId="1BF13868">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①废水的风险防范措施</w:t>
            </w:r>
          </w:p>
          <w:p w14:paraId="5456295F">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A、企业废水收集与输送管道应采取防腐管、耐酸碱材料，并充分考虑管道的抗击、抗震等要求，废水输送管道内部防腐材料应适用于输送不同理化性质的废水。</w:t>
            </w:r>
          </w:p>
          <w:p w14:paraId="03A1292F">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B、污水管道施工应选择有丰富经验的施工队伍，施工过程加强监理，确保污水管道施工的质量。</w:t>
            </w:r>
          </w:p>
          <w:p w14:paraId="67F4FE91">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C、对污水收集管道、污水池等定期进行检查、维护，避免出现池体破裂、管道阻塞、破损或清洗槽破裂等情况发生。</w:t>
            </w:r>
          </w:p>
          <w:p w14:paraId="1B3CAA28">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②危险废物风险防范措施</w:t>
            </w:r>
          </w:p>
          <w:p w14:paraId="62853D2C">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项目应针对危险废物的特性、数量，按照《危险废物贮存污染控制标准》（GB18597-2023），做好贮存风险事故防范工作。</w:t>
            </w:r>
          </w:p>
          <w:p w14:paraId="25D4CFE1">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危险废物贮存场所必须设置专用标志；建有堵截泄漏的裙角，地面与裙角要用兼顾防渗的材料建造，防止液体废物意外泄漏造成溢流渗入地下。</w:t>
            </w:r>
          </w:p>
          <w:p w14:paraId="4966A761">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成品区、原料区严格按照《建筑设计防火规范》（GB50016-2014）进行设计，在总图的布置上应留有足够的防火距离，成品区、原料区与生产车间和交通线路的距离、成品区、原料区与其他建筑物之间的距离符合规范要求。</w:t>
            </w:r>
          </w:p>
          <w:p w14:paraId="5AA0C6A2">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成品区、原料区阴凉、干燥、通风，避免阳光直射、曝晒，远离热源、电源、火源。 按不同类别、性质、危险程度、灭火方法等分区分类贮存，并附上明显标识， 性质相抵的禁止同库贮存。</w:t>
            </w:r>
          </w:p>
          <w:p w14:paraId="3286498A">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③火灾事故防范措施</w:t>
            </w:r>
          </w:p>
          <w:p w14:paraId="45B4F510">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A、加强设备选型，严格按规范要求执行。生产工艺进行充分考虑防火分隔、通风、防泄漏、防爆泄压、消防设施等因素。同时对设备、电气的防爆要求和电器线路的防爆处理要严格把关，从而消除先天性火灾隐患。</w:t>
            </w:r>
          </w:p>
          <w:p w14:paraId="19985866">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B、加强企业风险管理。企业的安全生产管理极为重要，建立各项安全管理制度并完善安全操作规程，定期进行安全检查和停车检修，及时消除火灾隐患，同时加强对人员的管理，严防违章操作和违反消防安全管理的行为。</w:t>
            </w:r>
          </w:p>
          <w:p w14:paraId="37669915">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C、按要求做好关键环节防静电处理工作。生产的设备均应做好静电接地，接地点应牢固，丝扣连接的部位当电阻值过大时应充分利用跨接，使整个生产过程中的设备和管线的接地电阻值不大于规范要求。</w:t>
            </w:r>
          </w:p>
          <w:p w14:paraId="2F7EA944">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D、加强员工安全培训。对从业人员经常进行消防安全教育，使之熟练掌握本行业安全操作规程。同时，经常进行有针对性的灭火演练，使他们熟悉本行业火灾扑救和逃生的基本方法。</w:t>
            </w:r>
          </w:p>
          <w:p w14:paraId="22AC6128">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E、完善消防设施。完善的消防设备可以在火灾初起时有效地完成预警以及灭火任务，可以在一定程度上避免火灾的发生或减少火灾造成的损失。对消防设施加以完善，同时定期进行适用性检修，保持完好状态。</w:t>
            </w:r>
          </w:p>
          <w:p w14:paraId="5A552CA1">
            <w:pPr>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pacing w:val="0"/>
                <w:w w:val="100"/>
                <w:kern w:val="0"/>
                <w:position w:val="0"/>
                <w:sz w:val="24"/>
                <w:szCs w:val="24"/>
                <w:lang w:val="en-US" w:eastAsia="zh-CN"/>
              </w:rPr>
            </w:pPr>
            <w:r>
              <w:rPr>
                <w:rFonts w:hint="default" w:ascii="Times New Roman" w:hAnsi="Times New Roman" w:eastAsia="宋体" w:cs="Times New Roman"/>
                <w:b w:val="0"/>
                <w:bCs w:val="0"/>
                <w:color w:val="auto"/>
                <w:spacing w:val="0"/>
                <w:w w:val="100"/>
                <w:kern w:val="0"/>
                <w:position w:val="0"/>
                <w:sz w:val="24"/>
                <w:szCs w:val="24"/>
                <w:lang w:val="en-US" w:eastAsia="zh-CN"/>
              </w:rPr>
              <w:t>F、加强用火管理制度。应制定严格的动火审批制度，严格用火管理，避免因用火不当引起火灾的发生。</w:t>
            </w:r>
          </w:p>
          <w:p w14:paraId="6F2EE9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④制定应急预案</w:t>
            </w:r>
          </w:p>
          <w:p w14:paraId="32072B1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z w:val="24"/>
                <w:szCs w:val="24"/>
                <w:lang w:val="en-US" w:eastAsia="zh-CN"/>
              </w:rPr>
              <w:t>项目在生产过程将产生潜在的危害，如果安全措施水平高，则事故的概率必然会降低，但不会为零。为使环境风险减小到最低程度，必须加强劳动安全管理，制定完善、有效地安全措施，尽可能降低事故发生概率。一旦发生事故，需要采取应急措施，控制和减少事故危害。因此，建设单位需要制定相应的应急预案。</w:t>
            </w:r>
          </w:p>
        </w:tc>
      </w:tr>
      <w:tr w14:paraId="2C6947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64" w:hRule="atLeast"/>
          <w:jc w:val="center"/>
        </w:trPr>
        <w:tc>
          <w:tcPr>
            <w:tcW w:w="407" w:type="pct"/>
            <w:noWrap w:val="0"/>
            <w:vAlign w:val="center"/>
          </w:tcPr>
          <w:p w14:paraId="61EE94A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mallCaps w:val="0"/>
                <w:color w:val="auto"/>
                <w:spacing w:val="0"/>
                <w:position w:val="0"/>
                <w:sz w:val="24"/>
                <w:szCs w:val="24"/>
              </w:rPr>
            </w:pPr>
            <w:r>
              <w:rPr>
                <w:rFonts w:hint="default" w:ascii="Times New Roman" w:hAnsi="Times New Roman" w:eastAsia="宋体" w:cs="Times New Roman"/>
                <w:smallCaps w:val="0"/>
                <w:color w:val="auto"/>
                <w:spacing w:val="0"/>
                <w:position w:val="0"/>
                <w:sz w:val="24"/>
                <w:szCs w:val="24"/>
              </w:rPr>
              <w:t>其他环境管理要求</w:t>
            </w:r>
          </w:p>
        </w:tc>
        <w:tc>
          <w:tcPr>
            <w:tcW w:w="4592" w:type="pct"/>
            <w:gridSpan w:val="4"/>
            <w:noWrap w:val="0"/>
            <w:vAlign w:val="top"/>
          </w:tcPr>
          <w:p w14:paraId="2825A7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fldChar w:fldCharType="begin"/>
            </w:r>
            <w:r>
              <w:rPr>
                <w:rFonts w:hint="default" w:ascii="Times New Roman" w:hAnsi="Times New Roman" w:eastAsia="宋体" w:cs="Times New Roman"/>
                <w:color w:val="auto"/>
                <w:sz w:val="24"/>
                <w:szCs w:val="24"/>
                <w:lang w:val="en-US" w:eastAsia="zh-CN"/>
              </w:rPr>
              <w:instrText xml:space="preserve"> = 1 \* roman \* MERGEFORMAT </w:instrText>
            </w:r>
            <w:r>
              <w:rPr>
                <w:rFonts w:hint="default" w:ascii="Times New Roman" w:hAnsi="Times New Roman" w:eastAsia="宋体" w:cs="Times New Roman"/>
                <w:color w:val="auto"/>
                <w:sz w:val="24"/>
                <w:szCs w:val="24"/>
                <w:lang w:val="en-US" w:eastAsia="zh-CN"/>
              </w:rPr>
              <w:fldChar w:fldCharType="separate"/>
            </w:r>
            <w:r>
              <w:rPr>
                <w:rFonts w:hint="default" w:ascii="Times New Roman" w:hAnsi="Times New Roman" w:eastAsia="宋体" w:cs="Times New Roman"/>
                <w:color w:val="auto"/>
                <w:sz w:val="24"/>
                <w:szCs w:val="24"/>
                <w:lang w:val="en-US" w:eastAsia="zh-CN"/>
              </w:rPr>
              <w:t>i</w:t>
            </w:r>
            <w:r>
              <w:rPr>
                <w:rFonts w:hint="default" w:ascii="Times New Roman" w:hAnsi="Times New Roman" w:eastAsia="宋体" w:cs="Times New Roman"/>
                <w:color w:val="auto"/>
                <w:sz w:val="24"/>
                <w:szCs w:val="24"/>
                <w:lang w:val="en-US" w:eastAsia="zh-CN"/>
              </w:rPr>
              <w:fldChar w:fldCharType="end"/>
            </w:r>
            <w:r>
              <w:rPr>
                <w:rFonts w:hint="default" w:ascii="Times New Roman" w:hAnsi="Times New Roman" w:eastAsia="宋体" w:cs="Times New Roman"/>
                <w:color w:val="auto"/>
                <w:sz w:val="24"/>
                <w:szCs w:val="24"/>
                <w:lang w:val="en-US" w:eastAsia="zh-CN"/>
              </w:rPr>
              <w:t>、管理机构</w:t>
            </w:r>
          </w:p>
          <w:p w14:paraId="67C124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运营管理主要由建设单位管理机构负责，建议由有资质环境监测单位负责日常运营监测。</w:t>
            </w:r>
          </w:p>
          <w:p w14:paraId="5D4FE8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要求建设单位具体负责其附属环保设施的运转和维护，配合环境监测单位进行日常环境监测，记录并及时上报污染源排放与环保设备运行状态。</w:t>
            </w:r>
          </w:p>
          <w:p w14:paraId="6FCC0F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建设单位负责管理环保工作的业务指导和监督，掌握环保工作动态，协助计划部门审核、安排环保设施改扩建投资计划，落实厂内环保设施更新改造计划，汇总、分析各站、段环保工作信息，协调与地方环保部门间的关系，协助建设单位处理可能发生的突发污染事件等。</w:t>
            </w:r>
          </w:p>
          <w:p w14:paraId="6712B5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fldChar w:fldCharType="begin"/>
            </w:r>
            <w:r>
              <w:rPr>
                <w:rFonts w:hint="default" w:ascii="Times New Roman" w:hAnsi="Times New Roman" w:eastAsia="宋体" w:cs="Times New Roman"/>
                <w:color w:val="auto"/>
                <w:sz w:val="24"/>
                <w:szCs w:val="24"/>
                <w:lang w:val="en-US" w:eastAsia="zh-CN"/>
              </w:rPr>
              <w:instrText xml:space="preserve"> = 2 \* roman \* MERGEFORMAT </w:instrText>
            </w:r>
            <w:r>
              <w:rPr>
                <w:rFonts w:hint="default" w:ascii="Times New Roman" w:hAnsi="Times New Roman" w:eastAsia="宋体" w:cs="Times New Roman"/>
                <w:color w:val="auto"/>
                <w:sz w:val="24"/>
                <w:szCs w:val="24"/>
                <w:lang w:val="en-US" w:eastAsia="zh-CN"/>
              </w:rPr>
              <w:fldChar w:fldCharType="separate"/>
            </w:r>
            <w:r>
              <w:rPr>
                <w:rFonts w:hint="default" w:ascii="Times New Roman" w:hAnsi="Times New Roman" w:eastAsia="宋体" w:cs="Times New Roman"/>
                <w:color w:val="auto"/>
                <w:sz w:val="24"/>
                <w:szCs w:val="24"/>
                <w:lang w:val="en-US" w:eastAsia="zh-CN"/>
              </w:rPr>
              <w:t>ii</w:t>
            </w:r>
            <w:r>
              <w:rPr>
                <w:rFonts w:hint="default" w:ascii="Times New Roman" w:hAnsi="Times New Roman" w:eastAsia="宋体" w:cs="Times New Roman"/>
                <w:color w:val="auto"/>
                <w:sz w:val="24"/>
                <w:szCs w:val="24"/>
                <w:lang w:val="en-US" w:eastAsia="zh-CN"/>
              </w:rPr>
              <w:fldChar w:fldCharType="end"/>
            </w:r>
            <w:r>
              <w:rPr>
                <w:rFonts w:hint="default" w:ascii="Times New Roman" w:hAnsi="Times New Roman" w:eastAsia="宋体" w:cs="Times New Roman"/>
                <w:color w:val="auto"/>
                <w:sz w:val="24"/>
                <w:szCs w:val="24"/>
                <w:lang w:val="en-US" w:eastAsia="zh-CN"/>
              </w:rPr>
              <w:t>、人员培训</w:t>
            </w:r>
          </w:p>
          <w:p w14:paraId="6F163A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为保障环保设施的正常运行，环境管理操作员工的业务能力是至关重要的。所有环保人员应切实做到精通业务，熟悉各项设备的操作、维护要领，确保所有设施正常运转。此外，建设单位还应建立健全岗位责任制，使环保人员责、权、利相统一。</w:t>
            </w:r>
          </w:p>
          <w:p w14:paraId="28BF66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fldChar w:fldCharType="begin"/>
            </w:r>
            <w:r>
              <w:rPr>
                <w:rFonts w:hint="default" w:ascii="Times New Roman" w:hAnsi="Times New Roman" w:eastAsia="宋体" w:cs="Times New Roman"/>
                <w:color w:val="auto"/>
                <w:sz w:val="24"/>
                <w:szCs w:val="24"/>
                <w:lang w:val="en-US" w:eastAsia="zh-CN"/>
              </w:rPr>
              <w:instrText xml:space="preserve"> = 3 \* roman \* MERGEFORMAT </w:instrText>
            </w:r>
            <w:r>
              <w:rPr>
                <w:rFonts w:hint="default" w:ascii="Times New Roman" w:hAnsi="Times New Roman" w:eastAsia="宋体" w:cs="Times New Roman"/>
                <w:color w:val="auto"/>
                <w:sz w:val="24"/>
                <w:szCs w:val="24"/>
                <w:lang w:val="en-US" w:eastAsia="zh-CN"/>
              </w:rPr>
              <w:fldChar w:fldCharType="separate"/>
            </w:r>
            <w:r>
              <w:rPr>
                <w:rFonts w:hint="default" w:ascii="Times New Roman" w:hAnsi="Times New Roman" w:eastAsia="宋体" w:cs="Times New Roman"/>
                <w:color w:val="auto"/>
                <w:sz w:val="24"/>
                <w:szCs w:val="24"/>
                <w:lang w:val="en-US" w:eastAsia="zh-CN"/>
              </w:rPr>
              <w:t>iii</w:t>
            </w:r>
            <w:r>
              <w:rPr>
                <w:rFonts w:hint="default" w:ascii="Times New Roman" w:hAnsi="Times New Roman" w:eastAsia="宋体" w:cs="Times New Roman"/>
                <w:color w:val="auto"/>
                <w:sz w:val="24"/>
                <w:szCs w:val="24"/>
                <w:lang w:val="en-US" w:eastAsia="zh-CN"/>
              </w:rPr>
              <w:fldChar w:fldCharType="end"/>
            </w:r>
            <w:r>
              <w:rPr>
                <w:rFonts w:hint="default" w:ascii="Times New Roman" w:hAnsi="Times New Roman" w:eastAsia="宋体" w:cs="Times New Roman"/>
                <w:color w:val="auto"/>
                <w:sz w:val="24"/>
                <w:szCs w:val="24"/>
                <w:lang w:val="en-US" w:eastAsia="zh-CN"/>
              </w:rPr>
              <w:t>、排污许可管理</w:t>
            </w:r>
          </w:p>
          <w:p w14:paraId="0DFE0E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根据《排污许可申请与核发技术规范 总则》（HJ942-2018）、《排污许可管理办法（试行）》（环境保护部令 第48号）、《环境保护部办公厅&lt;关于做好环境影响评价制度与排污许可制衔接相关工作的通知&gt;》（环办环评〔2017〕84号），①纳入固定污染源排污许可分类管理名录的企业事业单位和其他生产经营者（以下简称排污单位）应当按照规定的时限申请并取得排污许可证。②排污单位应当依法持有排污许可证，并按照排污许可证的规定排放污染物。③依据相关法律规定，环境保护主管部门对排污单位排放水污染物、大气污染物等各类污染物的排放行为实行综合许可管理。2015年1月1日及以后取得建设项目环境影响评价审批意见的排污单位，环境影响评价文件及审批意见中与污染物排放相关的主要内容纳入排污许可证。</w:t>
            </w:r>
          </w:p>
          <w:p w14:paraId="5547F24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对照《固定污染源排污许可分类管理名录》（2019年版），本项目属于“二十八、金属制品业33—82、铸造及其他金属制品制造339—除重点管理以外的黑色金属铸造3391、有色金属铸造3392”类别，排污许可行业类别为“简化管理”。根据《排污许可证申请与核发技术规范 金属铸造工业》(HJ1115-2020)相关要求，申报排污许可证。</w:t>
            </w:r>
          </w:p>
          <w:p w14:paraId="42C0FC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fldChar w:fldCharType="begin"/>
            </w:r>
            <w:r>
              <w:rPr>
                <w:rFonts w:hint="default" w:ascii="Times New Roman" w:hAnsi="Times New Roman" w:eastAsia="宋体" w:cs="Times New Roman"/>
                <w:color w:val="auto"/>
                <w:sz w:val="24"/>
                <w:szCs w:val="24"/>
                <w:lang w:val="en-US" w:eastAsia="zh-CN"/>
              </w:rPr>
              <w:instrText xml:space="preserve"> = 4 \* roman \* MERGEFORMAT </w:instrText>
            </w:r>
            <w:r>
              <w:rPr>
                <w:rFonts w:hint="default" w:ascii="Times New Roman" w:hAnsi="Times New Roman" w:eastAsia="宋体" w:cs="Times New Roman"/>
                <w:color w:val="auto"/>
                <w:sz w:val="24"/>
                <w:szCs w:val="24"/>
                <w:lang w:val="en-US" w:eastAsia="zh-CN"/>
              </w:rPr>
              <w:fldChar w:fldCharType="separate"/>
            </w:r>
            <w:r>
              <w:rPr>
                <w:rFonts w:hint="default" w:ascii="Times New Roman" w:hAnsi="Times New Roman" w:eastAsia="宋体" w:cs="Times New Roman"/>
                <w:color w:val="auto"/>
                <w:sz w:val="24"/>
                <w:szCs w:val="24"/>
                <w:lang w:val="en-US" w:eastAsia="zh-CN"/>
              </w:rPr>
              <w:t>iv</w:t>
            </w:r>
            <w:r>
              <w:rPr>
                <w:rFonts w:hint="default" w:ascii="Times New Roman" w:hAnsi="Times New Roman" w:eastAsia="宋体" w:cs="Times New Roman"/>
                <w:color w:val="auto"/>
                <w:sz w:val="24"/>
                <w:szCs w:val="24"/>
                <w:lang w:val="en-US" w:eastAsia="zh-CN"/>
              </w:rPr>
              <w:fldChar w:fldCharType="end"/>
            </w:r>
            <w:r>
              <w:rPr>
                <w:rFonts w:hint="default" w:ascii="Times New Roman" w:hAnsi="Times New Roman" w:eastAsia="宋体" w:cs="Times New Roman"/>
                <w:color w:val="auto"/>
                <w:sz w:val="24"/>
                <w:szCs w:val="24"/>
                <w:lang w:val="en-US" w:eastAsia="zh-CN"/>
              </w:rPr>
              <w:t>、环境监测计划</w:t>
            </w:r>
          </w:p>
          <w:p w14:paraId="0D869F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为了确保环境治理措施的有效运行，加强污染治理的监控，同时，依照有关环境监测法规，请有资质的环境监测单位进行常规污染源监测。</w:t>
            </w:r>
          </w:p>
          <w:p w14:paraId="67E324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根据《排污单位自行监测技术指南 总则》（HJ819-2017）、《排污许可证申请与核发技术规范金属铸造工业》(HJ1115-2020)、《排污单位自行监测技术指南金属铸造工业》（HJ1251-2022）等相关要求，项目环境监测计划详见表5-1。</w:t>
            </w:r>
          </w:p>
          <w:p w14:paraId="16E4A1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eastAsia="宋体" w:cs="Times New Roman"/>
                <w:b/>
                <w:bCs/>
                <w:color w:val="auto"/>
                <w:spacing w:val="0"/>
                <w:w w:val="100"/>
                <w:kern w:val="0"/>
                <w:position w:val="0"/>
                <w:sz w:val="24"/>
                <w:szCs w:val="24"/>
                <w:lang w:val="en-US" w:eastAsia="zh-CN"/>
              </w:rPr>
              <w:t>表5-1   环境监测计划一览表</w:t>
            </w:r>
          </w:p>
          <w:tbl>
            <w:tblPr>
              <w:tblStyle w:val="59"/>
              <w:tblW w:w="495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6"/>
              <w:gridCol w:w="1349"/>
              <w:gridCol w:w="934"/>
              <w:gridCol w:w="861"/>
              <w:gridCol w:w="741"/>
              <w:gridCol w:w="3395"/>
            </w:tblGrid>
            <w:tr w14:paraId="4A2FC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82" w:type="pct"/>
                  <w:noWrap w:val="0"/>
                  <w:vAlign w:val="center"/>
                </w:tcPr>
                <w:p w14:paraId="483E70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类别</w:t>
                  </w:r>
                </w:p>
              </w:tc>
              <w:tc>
                <w:tcPr>
                  <w:tcW w:w="874" w:type="pct"/>
                  <w:noWrap w:val="0"/>
                  <w:vAlign w:val="center"/>
                </w:tcPr>
                <w:p w14:paraId="389CC0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监测点位</w:t>
                  </w:r>
                </w:p>
              </w:tc>
              <w:tc>
                <w:tcPr>
                  <w:tcW w:w="605" w:type="pct"/>
                  <w:noWrap w:val="0"/>
                  <w:vAlign w:val="center"/>
                </w:tcPr>
                <w:p w14:paraId="7A2CB87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监测</w:t>
                  </w:r>
                </w:p>
                <w:p w14:paraId="217DDB5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指标</w:t>
                  </w:r>
                </w:p>
              </w:tc>
              <w:tc>
                <w:tcPr>
                  <w:tcW w:w="557" w:type="pct"/>
                  <w:noWrap w:val="0"/>
                  <w:vAlign w:val="center"/>
                </w:tcPr>
                <w:p w14:paraId="09E7CCD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排放口类型</w:t>
                  </w:r>
                </w:p>
              </w:tc>
              <w:tc>
                <w:tcPr>
                  <w:tcW w:w="480" w:type="pct"/>
                  <w:noWrap w:val="0"/>
                  <w:vAlign w:val="center"/>
                </w:tcPr>
                <w:p w14:paraId="7EA82F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监测频率</w:t>
                  </w:r>
                </w:p>
              </w:tc>
              <w:tc>
                <w:tcPr>
                  <w:tcW w:w="2200" w:type="pct"/>
                  <w:noWrap w:val="0"/>
                  <w:vAlign w:val="center"/>
                </w:tcPr>
                <w:p w14:paraId="08486D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pacing w:val="0"/>
                      <w:w w:val="100"/>
                      <w:kern w:val="0"/>
                      <w:position w:val="0"/>
                      <w:sz w:val="21"/>
                      <w:szCs w:val="21"/>
                      <w:lang w:val="en-US" w:eastAsia="zh-CN"/>
                    </w:rPr>
                  </w:pPr>
                  <w:r>
                    <w:rPr>
                      <w:rFonts w:hint="default" w:ascii="Times New Roman" w:hAnsi="Times New Roman" w:eastAsia="宋体" w:cs="Times New Roman"/>
                      <w:b/>
                      <w:bCs/>
                      <w:color w:val="auto"/>
                      <w:spacing w:val="0"/>
                      <w:w w:val="100"/>
                      <w:kern w:val="0"/>
                      <w:position w:val="0"/>
                      <w:sz w:val="21"/>
                      <w:szCs w:val="21"/>
                      <w:lang w:val="en-US" w:eastAsia="zh-CN"/>
                    </w:rPr>
                    <w:t>执行标准</w:t>
                  </w:r>
                </w:p>
              </w:tc>
            </w:tr>
            <w:tr w14:paraId="17EAA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5" w:hRule="atLeast"/>
                <w:jc w:val="center"/>
              </w:trPr>
              <w:tc>
                <w:tcPr>
                  <w:tcW w:w="282" w:type="pct"/>
                  <w:vMerge w:val="restart"/>
                  <w:noWrap w:val="0"/>
                  <w:vAlign w:val="center"/>
                </w:tcPr>
                <w:p w14:paraId="67DF1B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废气</w:t>
                  </w:r>
                </w:p>
              </w:tc>
              <w:tc>
                <w:tcPr>
                  <w:tcW w:w="874" w:type="pct"/>
                  <w:vMerge w:val="restart"/>
                  <w:noWrap w:val="0"/>
                  <w:vAlign w:val="center"/>
                </w:tcPr>
                <w:p w14:paraId="5FCA9F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DA001</w:t>
                  </w:r>
                </w:p>
                <w:p w14:paraId="32816E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eastAsia" w:ascii="Times New Roman" w:hAnsi="Times New Roman" w:eastAsia="宋体" w:cs="Times New Roman"/>
                      <w:b w:val="0"/>
                      <w:bCs w:val="0"/>
                      <w:color w:val="auto"/>
                      <w:spacing w:val="0"/>
                      <w:w w:val="100"/>
                      <w:kern w:val="0"/>
                      <w:position w:val="0"/>
                      <w:sz w:val="21"/>
                      <w:szCs w:val="21"/>
                      <w:lang w:val="en-US" w:eastAsia="zh-CN"/>
                    </w:rPr>
                    <w:t>制模废气、</w:t>
                  </w:r>
                  <w:r>
                    <w:rPr>
                      <w:rFonts w:hint="default" w:ascii="Times New Roman" w:hAnsi="Times New Roman" w:eastAsia="宋体" w:cs="Times New Roman"/>
                      <w:b w:val="0"/>
                      <w:bCs w:val="0"/>
                      <w:color w:val="auto"/>
                      <w:spacing w:val="0"/>
                      <w:w w:val="100"/>
                      <w:kern w:val="0"/>
                      <w:position w:val="0"/>
                      <w:sz w:val="21"/>
                      <w:szCs w:val="21"/>
                      <w:lang w:val="en-US" w:eastAsia="zh-CN"/>
                    </w:rPr>
                    <w:t>熔化废气、造型/浇注废气、落砂废气和清理废气（抛丸废气、机加工废气）</w:t>
                  </w:r>
                </w:p>
              </w:tc>
              <w:tc>
                <w:tcPr>
                  <w:tcW w:w="605" w:type="pct"/>
                  <w:noWrap w:val="0"/>
                  <w:vAlign w:val="center"/>
                </w:tcPr>
                <w:p w14:paraId="43A598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颗粒物、非甲烷总烃</w:t>
                  </w:r>
                </w:p>
              </w:tc>
              <w:tc>
                <w:tcPr>
                  <w:tcW w:w="557" w:type="pct"/>
                  <w:noWrap w:val="0"/>
                  <w:vAlign w:val="center"/>
                </w:tcPr>
                <w:p w14:paraId="3CBF14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一般排放口</w:t>
                  </w:r>
                </w:p>
              </w:tc>
              <w:tc>
                <w:tcPr>
                  <w:tcW w:w="480" w:type="pct"/>
                  <w:noWrap w:val="0"/>
                  <w:vAlign w:val="center"/>
                </w:tcPr>
                <w:p w14:paraId="26D9C47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1次/年</w:t>
                  </w:r>
                </w:p>
              </w:tc>
              <w:tc>
                <w:tcPr>
                  <w:tcW w:w="2200" w:type="pct"/>
                  <w:vMerge w:val="restart"/>
                  <w:noWrap w:val="0"/>
                  <w:vAlign w:val="center"/>
                </w:tcPr>
                <w:p w14:paraId="56025BD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颗粒物执行《铸造工业大气污染物排放标准》（GB39726-2020）表1 大气污染物排放限值，非甲烷总烃执行《大气污染物综合排放标准》（GB16297-1996）表2中最高允许排放浓度及二级最高允许排放速率限值要求</w:t>
                  </w:r>
                </w:p>
              </w:tc>
            </w:tr>
            <w:tr w14:paraId="252B3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82" w:type="pct"/>
                  <w:vMerge w:val="continue"/>
                  <w:noWrap w:val="0"/>
                  <w:vAlign w:val="center"/>
                </w:tcPr>
                <w:p w14:paraId="050473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874" w:type="pct"/>
                  <w:vMerge w:val="restart"/>
                  <w:noWrap w:val="0"/>
                  <w:vAlign w:val="center"/>
                </w:tcPr>
                <w:p w14:paraId="21FDED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厂区内</w:t>
                  </w:r>
                </w:p>
              </w:tc>
              <w:tc>
                <w:tcPr>
                  <w:tcW w:w="605" w:type="pct"/>
                  <w:shd w:val="clear" w:color="auto" w:fill="auto"/>
                  <w:noWrap w:val="0"/>
                  <w:vAlign w:val="center"/>
                </w:tcPr>
                <w:p w14:paraId="3B1A46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颗粒物</w:t>
                  </w:r>
                </w:p>
              </w:tc>
              <w:tc>
                <w:tcPr>
                  <w:tcW w:w="557" w:type="pct"/>
                  <w:shd w:val="clear" w:color="auto" w:fill="auto"/>
                  <w:noWrap w:val="0"/>
                  <w:vAlign w:val="center"/>
                </w:tcPr>
                <w:p w14:paraId="5F6395C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w:t>
                  </w:r>
                </w:p>
              </w:tc>
              <w:tc>
                <w:tcPr>
                  <w:tcW w:w="480" w:type="pct"/>
                  <w:noWrap w:val="0"/>
                  <w:vAlign w:val="center"/>
                </w:tcPr>
                <w:p w14:paraId="77DE2B8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1次/年</w:t>
                  </w:r>
                </w:p>
              </w:tc>
              <w:tc>
                <w:tcPr>
                  <w:tcW w:w="2200" w:type="pct"/>
                  <w:vMerge w:val="restart"/>
                  <w:noWrap w:val="0"/>
                  <w:vAlign w:val="center"/>
                </w:tcPr>
                <w:p w14:paraId="5F62C6F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《铸造工业大气污染物排放标准》（GB39726-2020）附录A中表A.1厂区内无组织排放限值</w:t>
                  </w:r>
                </w:p>
              </w:tc>
            </w:tr>
            <w:tr w14:paraId="01375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82" w:type="pct"/>
                  <w:vMerge w:val="continue"/>
                  <w:noWrap w:val="0"/>
                  <w:vAlign w:val="center"/>
                </w:tcPr>
                <w:p w14:paraId="5308E76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874" w:type="pct"/>
                  <w:vMerge w:val="continue"/>
                  <w:noWrap w:val="0"/>
                  <w:vAlign w:val="center"/>
                </w:tcPr>
                <w:p w14:paraId="50DEAA9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605" w:type="pct"/>
                  <w:shd w:val="clear" w:color="auto" w:fill="auto"/>
                  <w:noWrap w:val="0"/>
                  <w:vAlign w:val="center"/>
                </w:tcPr>
                <w:p w14:paraId="0777A5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非甲烷总烃</w:t>
                  </w:r>
                </w:p>
              </w:tc>
              <w:tc>
                <w:tcPr>
                  <w:tcW w:w="557" w:type="pct"/>
                  <w:shd w:val="clear" w:color="auto" w:fill="auto"/>
                  <w:noWrap w:val="0"/>
                  <w:vAlign w:val="center"/>
                </w:tcPr>
                <w:p w14:paraId="2C1606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w:t>
                  </w:r>
                </w:p>
              </w:tc>
              <w:tc>
                <w:tcPr>
                  <w:tcW w:w="480" w:type="pct"/>
                  <w:noWrap w:val="0"/>
                  <w:vAlign w:val="center"/>
                </w:tcPr>
                <w:p w14:paraId="41E879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1次/年</w:t>
                  </w:r>
                </w:p>
              </w:tc>
              <w:tc>
                <w:tcPr>
                  <w:tcW w:w="2200" w:type="pct"/>
                  <w:vMerge w:val="continue"/>
                  <w:noWrap w:val="0"/>
                  <w:vAlign w:val="center"/>
                </w:tcPr>
                <w:p w14:paraId="6C9E5E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r>
            <w:tr w14:paraId="1E07E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82" w:type="pct"/>
                  <w:vMerge w:val="continue"/>
                  <w:noWrap w:val="0"/>
                  <w:vAlign w:val="center"/>
                </w:tcPr>
                <w:p w14:paraId="1939BC2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874" w:type="pct"/>
                  <w:vMerge w:val="restart"/>
                  <w:noWrap w:val="0"/>
                  <w:vAlign w:val="center"/>
                </w:tcPr>
                <w:p w14:paraId="723956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厂界</w:t>
                  </w:r>
                </w:p>
              </w:tc>
              <w:tc>
                <w:tcPr>
                  <w:tcW w:w="605" w:type="pct"/>
                  <w:noWrap w:val="0"/>
                  <w:vAlign w:val="center"/>
                </w:tcPr>
                <w:p w14:paraId="79F6AC6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颗粒物</w:t>
                  </w:r>
                </w:p>
              </w:tc>
              <w:tc>
                <w:tcPr>
                  <w:tcW w:w="557" w:type="pct"/>
                  <w:noWrap w:val="0"/>
                  <w:vAlign w:val="center"/>
                </w:tcPr>
                <w:p w14:paraId="7E27EA2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w:t>
                  </w:r>
                </w:p>
              </w:tc>
              <w:tc>
                <w:tcPr>
                  <w:tcW w:w="480" w:type="pct"/>
                  <w:vMerge w:val="restart"/>
                  <w:noWrap w:val="0"/>
                  <w:vAlign w:val="center"/>
                </w:tcPr>
                <w:p w14:paraId="24AA4C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1次/年</w:t>
                  </w:r>
                </w:p>
              </w:tc>
              <w:tc>
                <w:tcPr>
                  <w:tcW w:w="2200" w:type="pct"/>
                  <w:vMerge w:val="restart"/>
                  <w:noWrap w:val="0"/>
                  <w:vAlign w:val="center"/>
                </w:tcPr>
                <w:p w14:paraId="1746FF3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《大气污染物综合排放标准》（GB16297-1996）表2无组织排放监控浓度限值</w:t>
                  </w:r>
                </w:p>
              </w:tc>
            </w:tr>
            <w:tr w14:paraId="52EE5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82" w:type="pct"/>
                  <w:vMerge w:val="continue"/>
                  <w:noWrap w:val="0"/>
                  <w:vAlign w:val="center"/>
                </w:tcPr>
                <w:p w14:paraId="3F3DD46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874" w:type="pct"/>
                  <w:vMerge w:val="continue"/>
                  <w:noWrap w:val="0"/>
                  <w:vAlign w:val="center"/>
                </w:tcPr>
                <w:p w14:paraId="5D04B1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605" w:type="pct"/>
                  <w:noWrap w:val="0"/>
                  <w:vAlign w:val="center"/>
                </w:tcPr>
                <w:p w14:paraId="2BF544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非甲烷总烃</w:t>
                  </w:r>
                </w:p>
              </w:tc>
              <w:tc>
                <w:tcPr>
                  <w:tcW w:w="557" w:type="pct"/>
                  <w:noWrap w:val="0"/>
                  <w:vAlign w:val="center"/>
                </w:tcPr>
                <w:p w14:paraId="60D015E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w:t>
                  </w:r>
                </w:p>
              </w:tc>
              <w:tc>
                <w:tcPr>
                  <w:tcW w:w="480" w:type="pct"/>
                  <w:vMerge w:val="continue"/>
                  <w:noWrap w:val="0"/>
                  <w:vAlign w:val="center"/>
                </w:tcPr>
                <w:p w14:paraId="696848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c>
                <w:tcPr>
                  <w:tcW w:w="2200" w:type="pct"/>
                  <w:vMerge w:val="continue"/>
                  <w:noWrap w:val="0"/>
                  <w:vAlign w:val="center"/>
                </w:tcPr>
                <w:p w14:paraId="26E9FC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p>
              </w:tc>
            </w:tr>
            <w:tr w14:paraId="435BA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82" w:type="pct"/>
                  <w:noWrap w:val="0"/>
                  <w:vAlign w:val="center"/>
                </w:tcPr>
                <w:p w14:paraId="30D904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噪声</w:t>
                  </w:r>
                </w:p>
              </w:tc>
              <w:tc>
                <w:tcPr>
                  <w:tcW w:w="874" w:type="pct"/>
                  <w:noWrap w:val="0"/>
                  <w:vAlign w:val="center"/>
                </w:tcPr>
                <w:p w14:paraId="305ACD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厂界四周</w:t>
                  </w:r>
                </w:p>
              </w:tc>
              <w:tc>
                <w:tcPr>
                  <w:tcW w:w="605" w:type="pct"/>
                  <w:noWrap w:val="0"/>
                  <w:vAlign w:val="center"/>
                </w:tcPr>
                <w:p w14:paraId="2E01D5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LAeq（dB）</w:t>
                  </w:r>
                </w:p>
              </w:tc>
              <w:tc>
                <w:tcPr>
                  <w:tcW w:w="557" w:type="pct"/>
                  <w:noWrap w:val="0"/>
                  <w:vAlign w:val="center"/>
                </w:tcPr>
                <w:p w14:paraId="275663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w:t>
                  </w:r>
                </w:p>
              </w:tc>
              <w:tc>
                <w:tcPr>
                  <w:tcW w:w="480" w:type="pct"/>
                  <w:noWrap w:val="0"/>
                  <w:vAlign w:val="center"/>
                </w:tcPr>
                <w:p w14:paraId="2CA3F3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1次/季度</w:t>
                  </w:r>
                </w:p>
              </w:tc>
              <w:tc>
                <w:tcPr>
                  <w:tcW w:w="2200" w:type="pct"/>
                  <w:noWrap w:val="0"/>
                  <w:vAlign w:val="center"/>
                </w:tcPr>
                <w:p w14:paraId="3AF13C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《工业企业厂界环境噪声排放标准》（GB12348-2008）表1中3类噪声排放标准限值</w:t>
                  </w:r>
                </w:p>
              </w:tc>
            </w:tr>
          </w:tbl>
          <w:p w14:paraId="5E7AFFDA">
            <w:pPr>
              <w:pStyle w:val="39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cs="Times New Roman"/>
                <w:smallCaps w:val="0"/>
                <w:color w:val="auto"/>
                <w:spacing w:val="0"/>
                <w:position w:val="0"/>
                <w:sz w:val="24"/>
                <w:szCs w:val="24"/>
              </w:rPr>
            </w:pPr>
          </w:p>
        </w:tc>
      </w:tr>
    </w:tbl>
    <w:p w14:paraId="487F895D">
      <w:pPr>
        <w:rPr>
          <w:rFonts w:hint="default" w:ascii="Times New Roman" w:hAnsi="Times New Roman" w:cs="Times New Roman"/>
          <w:color w:val="auto"/>
          <w:spacing w:val="0"/>
          <w:position w:val="0"/>
          <w:lang w:val="en-US" w:eastAsia="zh-CN"/>
        </w:rPr>
        <w:sectPr>
          <w:pgSz w:w="11906" w:h="16838"/>
          <w:pgMar w:top="1134" w:right="1701" w:bottom="1134" w:left="1701" w:header="567" w:footer="567" w:gutter="0"/>
          <w:pgBorders>
            <w:top w:val="none" w:sz="0" w:space="0"/>
            <w:left w:val="none" w:sz="0" w:space="0"/>
            <w:bottom w:val="none" w:sz="0" w:space="0"/>
            <w:right w:val="none" w:sz="0" w:space="0"/>
          </w:pgBorders>
          <w:pgNumType w:fmt="decimal"/>
          <w:cols w:space="720" w:num="1"/>
          <w:docGrid w:type="lines" w:linePitch="312" w:charSpace="0"/>
        </w:sectPr>
      </w:pPr>
    </w:p>
    <w:p w14:paraId="09E97EF9">
      <w:pPr>
        <w:pStyle w:val="33"/>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0"/>
        <w:rPr>
          <w:rFonts w:hint="default" w:ascii="Times New Roman" w:hAnsi="Times New Roman" w:eastAsia="宋体" w:cs="Times New Roman"/>
          <w:b/>
          <w:bCs/>
          <w:color w:val="auto"/>
          <w:spacing w:val="0"/>
          <w:w w:val="100"/>
          <w:position w:val="0"/>
          <w:sz w:val="30"/>
          <w:szCs w:val="30"/>
          <w:lang w:val="en-US" w:eastAsia="zh-CN"/>
        </w:rPr>
      </w:pPr>
      <w:bookmarkStart w:id="115" w:name="_Toc25968"/>
      <w:r>
        <w:rPr>
          <w:rFonts w:hint="default" w:ascii="Times New Roman" w:hAnsi="Times New Roman" w:eastAsia="黑体" w:cs="Times New Roman"/>
          <w:b/>
          <w:bCs/>
          <w:color w:val="auto"/>
          <w:spacing w:val="0"/>
          <w:w w:val="100"/>
          <w:position w:val="0"/>
          <w:sz w:val="30"/>
          <w:szCs w:val="30"/>
          <w:lang w:val="en-US" w:eastAsia="zh-CN"/>
        </w:rPr>
        <w:t>六、结论</w:t>
      </w:r>
      <w:bookmarkEnd w:id="115"/>
    </w:p>
    <w:tbl>
      <w:tblPr>
        <w:tblStyle w:val="5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7F18F0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Borders>
              <w:top w:val="single" w:color="auto" w:sz="8" w:space="0"/>
              <w:left w:val="single" w:color="auto" w:sz="8" w:space="0"/>
              <w:bottom w:val="single" w:color="auto" w:sz="8" w:space="0"/>
              <w:right w:val="single" w:color="auto" w:sz="8" w:space="0"/>
              <w:tl2br w:val="nil"/>
              <w:tr2bl w:val="nil"/>
            </w:tcBorders>
            <w:noWrap w:val="0"/>
            <w:vAlign w:val="top"/>
          </w:tcPr>
          <w:p w14:paraId="7AF0287D">
            <w:pPr>
              <w:pStyle w:val="31"/>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等线" w:cs="Times New Roman"/>
                <w:color w:val="auto"/>
                <w:spacing w:val="0"/>
                <w:w w:val="100"/>
                <w:position w:val="0"/>
                <w:sz w:val="24"/>
                <w:lang w:val="en-US" w:eastAsia="zh-CN"/>
              </w:rPr>
            </w:pPr>
            <w:r>
              <w:rPr>
                <w:rFonts w:hint="default" w:ascii="Times New Roman" w:hAnsi="Times New Roman" w:eastAsia="宋体" w:cs="Times New Roman"/>
                <w:color w:val="auto"/>
                <w:spacing w:val="0"/>
                <w:w w:val="100"/>
                <w:position w:val="0"/>
                <w:sz w:val="24"/>
                <w:szCs w:val="24"/>
              </w:rPr>
              <w:t>综上所述，项目所采取的环保措施可行，废气、噪声能达标排放，所产生的固体废物均能得到合理处置。项目建设内容符合国家有关产业政策，项目在生产期间保证各项环保措施有效运行，项目生产运行对区域空气环境，水环境，声环境均不会产生明显不利影响，对区域环境质量影响较小。因此，在建设单位认真落实各项环保措施的基础上，做到环保设施达标运行，从环保的角度分析，项目建设可行。</w:t>
            </w:r>
          </w:p>
        </w:tc>
      </w:tr>
    </w:tbl>
    <w:p w14:paraId="476FF7B4">
      <w:pPr>
        <w:pStyle w:val="10"/>
        <w:rPr>
          <w:rFonts w:hint="default" w:ascii="Times New Roman" w:hAnsi="Times New Roman" w:cs="Times New Roman"/>
          <w:color w:val="auto"/>
          <w:spacing w:val="0"/>
          <w:w w:val="100"/>
          <w:position w:val="0"/>
        </w:rPr>
        <w:sectPr>
          <w:pgSz w:w="11906" w:h="16838"/>
          <w:pgMar w:top="1134" w:right="1701" w:bottom="1134" w:left="1134" w:header="567" w:footer="567" w:gutter="0"/>
          <w:pgBorders>
            <w:top w:val="none" w:sz="0" w:space="0"/>
            <w:left w:val="none" w:sz="0" w:space="0"/>
            <w:bottom w:val="none" w:sz="0" w:space="0"/>
            <w:right w:val="none" w:sz="0" w:space="0"/>
          </w:pgBorders>
          <w:pgNumType w:fmt="decimal"/>
          <w:cols w:space="720" w:num="1"/>
          <w:docGrid w:type="lines" w:linePitch="312" w:charSpace="0"/>
        </w:sectPr>
      </w:pPr>
    </w:p>
    <w:p w14:paraId="64EF7671">
      <w:pPr>
        <w:pStyle w:val="57"/>
        <w:keepNext w:val="0"/>
        <w:keepLines w:val="0"/>
        <w:pageBreakBefore w:val="0"/>
        <w:widowControl/>
        <w:kinsoku/>
        <w:wordWrap/>
        <w:overflowPunct/>
        <w:topLinePunct w:val="0"/>
        <w:autoSpaceDE/>
        <w:autoSpaceDN/>
        <w:bidi w:val="0"/>
        <w:adjustRightInd/>
        <w:snapToGrid/>
        <w:spacing w:before="0" w:beforeLines="0" w:beforeAutospacing="0" w:after="0" w:afterLines="0" w:afterAutospacing="0"/>
        <w:ind w:firstLine="0" w:firstLineChars="0"/>
        <w:textAlignment w:val="auto"/>
        <w:outlineLvl w:val="0"/>
        <w:rPr>
          <w:rFonts w:hint="default" w:ascii="Times New Roman" w:hAnsi="Times New Roman" w:eastAsia="黑体" w:cs="Times New Roman"/>
          <w:snapToGrid w:val="0"/>
          <w:color w:val="auto"/>
          <w:spacing w:val="0"/>
          <w:w w:val="100"/>
          <w:position w:val="0"/>
          <w:sz w:val="32"/>
        </w:rPr>
      </w:pPr>
      <w:bookmarkStart w:id="116" w:name="_Toc2234"/>
      <w:r>
        <w:rPr>
          <w:rFonts w:hint="default" w:ascii="Times New Roman" w:hAnsi="Times New Roman" w:eastAsia="黑体" w:cs="Times New Roman"/>
          <w:b/>
          <w:bCs/>
          <w:snapToGrid w:val="0"/>
          <w:color w:val="auto"/>
          <w:spacing w:val="0"/>
          <w:w w:val="100"/>
          <w:position w:val="0"/>
          <w:sz w:val="32"/>
        </w:rPr>
        <w:t>附表</w:t>
      </w:r>
      <w:bookmarkEnd w:id="116"/>
    </w:p>
    <w:p w14:paraId="3321E96F">
      <w:pPr>
        <w:pStyle w:val="57"/>
        <w:keepNext w:val="0"/>
        <w:keepLines w:val="0"/>
        <w:pageBreakBefore w:val="0"/>
        <w:widowControl/>
        <w:kinsoku/>
        <w:wordWrap/>
        <w:overflowPunct/>
        <w:topLinePunct w:val="0"/>
        <w:autoSpaceDE/>
        <w:autoSpaceDN/>
        <w:bidi w:val="0"/>
        <w:adjustRightInd/>
        <w:snapToGrid/>
        <w:spacing w:before="0" w:beforeLines="0" w:beforeAutospacing="0" w:after="0" w:afterLines="0" w:afterAutospacing="0" w:line="360" w:lineRule="auto"/>
        <w:ind w:firstLine="0" w:firstLineChars="0"/>
        <w:jc w:val="center"/>
        <w:textAlignment w:val="auto"/>
        <w:outlineLvl w:val="9"/>
        <w:rPr>
          <w:rFonts w:hint="default" w:ascii="Times New Roman" w:hAnsi="Times New Roman" w:eastAsia="黑体" w:cs="Times New Roman"/>
          <w:b/>
          <w:bCs/>
          <w:color w:val="auto"/>
          <w:spacing w:val="0"/>
          <w:w w:val="100"/>
          <w:kern w:val="0"/>
          <w:position w:val="0"/>
          <w:sz w:val="30"/>
          <w:szCs w:val="30"/>
          <w:lang w:val="en-US" w:eastAsia="zh-CN"/>
        </w:rPr>
      </w:pPr>
      <w:r>
        <w:rPr>
          <w:rFonts w:hint="default" w:ascii="Times New Roman" w:hAnsi="Times New Roman" w:eastAsia="黑体" w:cs="Times New Roman"/>
          <w:b/>
          <w:bCs/>
          <w:color w:val="auto"/>
          <w:spacing w:val="0"/>
          <w:w w:val="100"/>
          <w:kern w:val="0"/>
          <w:position w:val="0"/>
          <w:sz w:val="30"/>
          <w:szCs w:val="30"/>
          <w:lang w:val="en-US" w:eastAsia="zh-CN"/>
        </w:rPr>
        <w:t>建设项目污染物排放量汇总表</w:t>
      </w:r>
    </w:p>
    <w:tbl>
      <w:tblPr>
        <w:tblStyle w:val="59"/>
        <w:tblW w:w="5046" w:type="pct"/>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CellMar>
          <w:top w:w="0" w:type="dxa"/>
          <w:left w:w="0" w:type="dxa"/>
          <w:bottom w:w="0" w:type="dxa"/>
          <w:right w:w="0" w:type="dxa"/>
        </w:tblCellMar>
      </w:tblPr>
      <w:tblGrid>
        <w:gridCol w:w="1072"/>
        <w:gridCol w:w="2338"/>
        <w:gridCol w:w="1698"/>
        <w:gridCol w:w="1704"/>
        <w:gridCol w:w="1704"/>
        <w:gridCol w:w="1698"/>
        <w:gridCol w:w="1704"/>
        <w:gridCol w:w="1701"/>
        <w:gridCol w:w="1105"/>
      </w:tblGrid>
      <w:tr w14:paraId="573B09D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4" w:type="pct"/>
            <w:tcBorders>
              <w:tl2br w:val="nil"/>
              <w:tr2bl w:val="nil"/>
            </w:tcBorders>
            <w:vAlign w:val="center"/>
          </w:tcPr>
          <w:p w14:paraId="54DD7044">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项目分类</w:t>
            </w:r>
          </w:p>
        </w:tc>
        <w:tc>
          <w:tcPr>
            <w:tcW w:w="793" w:type="pct"/>
            <w:tcBorders>
              <w:tl2br w:val="nil"/>
              <w:tr2bl w:val="nil"/>
            </w:tcBorders>
            <w:vAlign w:val="center"/>
          </w:tcPr>
          <w:p w14:paraId="3D3AFDE9">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污染物名称</w:t>
            </w:r>
          </w:p>
        </w:tc>
        <w:tc>
          <w:tcPr>
            <w:tcW w:w="576" w:type="pct"/>
            <w:tcBorders>
              <w:tl2br w:val="nil"/>
              <w:tr2bl w:val="nil"/>
            </w:tcBorders>
            <w:vAlign w:val="center"/>
          </w:tcPr>
          <w:p w14:paraId="2F5174F5">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现有工程排放量（固体废物产生量）①</w:t>
            </w:r>
          </w:p>
        </w:tc>
        <w:tc>
          <w:tcPr>
            <w:tcW w:w="578" w:type="pct"/>
            <w:tcBorders>
              <w:tl2br w:val="nil"/>
              <w:tr2bl w:val="nil"/>
            </w:tcBorders>
            <w:vAlign w:val="center"/>
          </w:tcPr>
          <w:p w14:paraId="587E1C9A">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现有工程许可排放量</w:t>
            </w:r>
            <w:r>
              <w:rPr>
                <w:rFonts w:hint="default" w:ascii="Times New Roman" w:hAnsi="Times New Roman" w:cs="Times New Roman" w:eastAsiaTheme="minorEastAsia"/>
                <w:color w:val="auto"/>
                <w:spacing w:val="0"/>
                <w:w w:val="100"/>
                <w:sz w:val="21"/>
                <w:szCs w:val="21"/>
              </w:rPr>
              <w:t>②</w:t>
            </w:r>
          </w:p>
        </w:tc>
        <w:tc>
          <w:tcPr>
            <w:tcW w:w="578" w:type="pct"/>
            <w:tcBorders>
              <w:tl2br w:val="nil"/>
              <w:tr2bl w:val="nil"/>
            </w:tcBorders>
            <w:vAlign w:val="center"/>
          </w:tcPr>
          <w:p w14:paraId="46240CA6">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在建工程排放量（固体废物产生量）③</w:t>
            </w:r>
          </w:p>
        </w:tc>
        <w:tc>
          <w:tcPr>
            <w:tcW w:w="576" w:type="pct"/>
            <w:tcBorders>
              <w:tl2br w:val="nil"/>
              <w:tr2bl w:val="nil"/>
            </w:tcBorders>
            <w:vAlign w:val="center"/>
          </w:tcPr>
          <w:p w14:paraId="5A6D9422">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本项目排放量（固体废物产生量）④</w:t>
            </w:r>
          </w:p>
        </w:tc>
        <w:tc>
          <w:tcPr>
            <w:tcW w:w="578" w:type="pct"/>
            <w:tcBorders>
              <w:tl2br w:val="nil"/>
              <w:tr2bl w:val="nil"/>
            </w:tcBorders>
            <w:vAlign w:val="center"/>
          </w:tcPr>
          <w:p w14:paraId="33718542">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以新带老削减量（新建项目不填）</w:t>
            </w:r>
            <w:r>
              <w:rPr>
                <w:rFonts w:hint="default" w:ascii="Times New Roman" w:hAnsi="Times New Roman" w:cs="Times New Roman" w:eastAsiaTheme="minorEastAsia"/>
                <w:color w:val="auto"/>
                <w:spacing w:val="0"/>
                <w:w w:val="100"/>
                <w:sz w:val="21"/>
                <w:szCs w:val="21"/>
              </w:rPr>
              <w:t>⑤</w:t>
            </w:r>
          </w:p>
        </w:tc>
        <w:tc>
          <w:tcPr>
            <w:tcW w:w="577" w:type="pct"/>
            <w:tcBorders>
              <w:tl2br w:val="nil"/>
              <w:tr2bl w:val="nil"/>
            </w:tcBorders>
            <w:vAlign w:val="center"/>
          </w:tcPr>
          <w:p w14:paraId="22913A8A">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本项目建成后全厂排放量（固体废物产生量）⑥</w:t>
            </w:r>
          </w:p>
        </w:tc>
        <w:tc>
          <w:tcPr>
            <w:tcW w:w="375" w:type="pct"/>
            <w:tcBorders>
              <w:tl2br w:val="nil"/>
              <w:tr2bl w:val="nil"/>
            </w:tcBorders>
            <w:vAlign w:val="center"/>
          </w:tcPr>
          <w:p w14:paraId="4388976D">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变化量</w:t>
            </w:r>
            <w:r>
              <w:rPr>
                <w:rFonts w:hint="default" w:ascii="Times New Roman" w:hAnsi="Times New Roman" w:cs="Times New Roman" w:eastAsiaTheme="minorEastAsia"/>
                <w:color w:val="auto"/>
                <w:spacing w:val="0"/>
                <w:w w:val="100"/>
                <w:sz w:val="21"/>
                <w:szCs w:val="21"/>
              </w:rPr>
              <w:t>⑦</w:t>
            </w:r>
          </w:p>
        </w:tc>
      </w:tr>
      <w:tr w14:paraId="61E4CAB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4" w:type="pct"/>
            <w:vMerge w:val="restart"/>
            <w:tcBorders>
              <w:tl2br w:val="nil"/>
              <w:tr2bl w:val="nil"/>
            </w:tcBorders>
            <w:vAlign w:val="center"/>
          </w:tcPr>
          <w:p w14:paraId="252B8F87">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eastAsia="zh-CN"/>
              </w:rPr>
            </w:pPr>
            <w:r>
              <w:rPr>
                <w:rFonts w:hint="default" w:ascii="Times New Roman" w:hAnsi="Times New Roman" w:cs="Times New Roman" w:eastAsiaTheme="minorEastAsia"/>
                <w:color w:val="auto"/>
                <w:spacing w:val="0"/>
                <w:sz w:val="21"/>
                <w:szCs w:val="21"/>
              </w:rPr>
              <w:t>废气</w:t>
            </w:r>
            <w:r>
              <w:rPr>
                <w:rFonts w:hint="default" w:ascii="Times New Roman" w:hAnsi="Times New Roman" w:cs="Times New Roman" w:eastAsiaTheme="minorEastAsia"/>
                <w:color w:val="auto"/>
                <w:spacing w:val="0"/>
                <w:sz w:val="21"/>
                <w:szCs w:val="21"/>
                <w:lang w:eastAsia="zh-CN"/>
              </w:rPr>
              <w:t>（</w:t>
            </w:r>
            <w:r>
              <w:rPr>
                <w:rFonts w:hint="default" w:ascii="Times New Roman" w:hAnsi="Times New Roman" w:cs="Times New Roman" w:eastAsiaTheme="minorEastAsia"/>
                <w:color w:val="auto"/>
                <w:spacing w:val="0"/>
                <w:sz w:val="21"/>
                <w:szCs w:val="21"/>
                <w:lang w:val="en-US" w:eastAsia="zh-CN"/>
              </w:rPr>
              <w:t>t/a</w:t>
            </w:r>
            <w:r>
              <w:rPr>
                <w:rFonts w:hint="default" w:ascii="Times New Roman" w:hAnsi="Times New Roman" w:cs="Times New Roman" w:eastAsiaTheme="minorEastAsia"/>
                <w:color w:val="auto"/>
                <w:spacing w:val="0"/>
                <w:sz w:val="21"/>
                <w:szCs w:val="21"/>
                <w:lang w:eastAsia="zh-CN"/>
              </w:rPr>
              <w:t>）</w:t>
            </w:r>
          </w:p>
        </w:tc>
        <w:tc>
          <w:tcPr>
            <w:tcW w:w="793" w:type="pct"/>
            <w:tcBorders>
              <w:tl2br w:val="nil"/>
              <w:tr2bl w:val="nil"/>
            </w:tcBorders>
            <w:vAlign w:val="center"/>
          </w:tcPr>
          <w:p w14:paraId="7ADD2AED">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颗粒物</w:t>
            </w:r>
          </w:p>
        </w:tc>
        <w:tc>
          <w:tcPr>
            <w:tcW w:w="576" w:type="pct"/>
            <w:tcBorders>
              <w:tl2br w:val="nil"/>
              <w:tr2bl w:val="nil"/>
            </w:tcBorders>
            <w:vAlign w:val="center"/>
          </w:tcPr>
          <w:p w14:paraId="69C64A8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vAlign w:val="center"/>
          </w:tcPr>
          <w:p w14:paraId="7786417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shd w:val="clear" w:color="auto" w:fill="auto"/>
            <w:vAlign w:val="center"/>
          </w:tcPr>
          <w:p w14:paraId="0FA9907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6" w:type="pct"/>
            <w:tcBorders>
              <w:tl2br w:val="nil"/>
              <w:tr2bl w:val="nil"/>
            </w:tcBorders>
            <w:shd w:val="clear" w:color="auto" w:fill="auto"/>
            <w:vAlign w:val="center"/>
          </w:tcPr>
          <w:p w14:paraId="10F735A8">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4.3836</w:t>
            </w:r>
          </w:p>
        </w:tc>
        <w:tc>
          <w:tcPr>
            <w:tcW w:w="578" w:type="pct"/>
            <w:tcBorders>
              <w:tl2br w:val="nil"/>
              <w:tr2bl w:val="nil"/>
            </w:tcBorders>
            <w:shd w:val="clear" w:color="auto" w:fill="auto"/>
            <w:vAlign w:val="center"/>
          </w:tcPr>
          <w:p w14:paraId="6DB3D0D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7" w:type="pct"/>
            <w:tcBorders>
              <w:tl2br w:val="nil"/>
              <w:tr2bl w:val="nil"/>
            </w:tcBorders>
            <w:shd w:val="clear" w:color="auto" w:fill="auto"/>
            <w:vAlign w:val="center"/>
          </w:tcPr>
          <w:p w14:paraId="7C684BFD">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4.3836</w:t>
            </w:r>
          </w:p>
        </w:tc>
        <w:tc>
          <w:tcPr>
            <w:tcW w:w="375" w:type="pct"/>
            <w:tcBorders>
              <w:tl2br w:val="nil"/>
              <w:tr2bl w:val="nil"/>
            </w:tcBorders>
            <w:shd w:val="clear" w:color="auto" w:fill="auto"/>
            <w:vAlign w:val="center"/>
          </w:tcPr>
          <w:p w14:paraId="0227C9AD">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+4.3836</w:t>
            </w:r>
          </w:p>
        </w:tc>
      </w:tr>
      <w:tr w14:paraId="7881087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4" w:type="pct"/>
            <w:vMerge w:val="continue"/>
            <w:tcBorders>
              <w:tl2br w:val="nil"/>
              <w:tr2bl w:val="nil"/>
            </w:tcBorders>
            <w:vAlign w:val="center"/>
          </w:tcPr>
          <w:p w14:paraId="4D2FF294">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eastAsia="zh-CN"/>
              </w:rPr>
            </w:pPr>
          </w:p>
        </w:tc>
        <w:tc>
          <w:tcPr>
            <w:tcW w:w="793" w:type="pct"/>
            <w:tcBorders>
              <w:tl2br w:val="nil"/>
              <w:tr2bl w:val="nil"/>
            </w:tcBorders>
            <w:vAlign w:val="center"/>
          </w:tcPr>
          <w:p w14:paraId="44B45F13">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lang w:eastAsia="zh-CN"/>
              </w:rPr>
              <w:t>非甲烷总烃</w:t>
            </w:r>
          </w:p>
        </w:tc>
        <w:tc>
          <w:tcPr>
            <w:tcW w:w="576" w:type="pct"/>
            <w:tcBorders>
              <w:tl2br w:val="nil"/>
              <w:tr2bl w:val="nil"/>
            </w:tcBorders>
            <w:vAlign w:val="center"/>
          </w:tcPr>
          <w:p w14:paraId="661C467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vAlign w:val="center"/>
          </w:tcPr>
          <w:p w14:paraId="58B43A3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shd w:val="clear" w:color="auto" w:fill="auto"/>
            <w:vAlign w:val="center"/>
          </w:tcPr>
          <w:p w14:paraId="3F40856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6" w:type="pct"/>
            <w:tcBorders>
              <w:tl2br w:val="nil"/>
              <w:tr2bl w:val="nil"/>
            </w:tcBorders>
            <w:shd w:val="clear" w:color="auto" w:fill="auto"/>
            <w:vAlign w:val="center"/>
          </w:tcPr>
          <w:p w14:paraId="136A7491">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w:t>
            </w:r>
            <w:r>
              <w:rPr>
                <w:rFonts w:hint="eastAsia" w:ascii="Times New Roman" w:hAnsi="Times New Roman" w:cs="Times New Roman" w:eastAsiaTheme="minorEastAsia"/>
                <w:color w:val="auto"/>
                <w:spacing w:val="0"/>
                <w:sz w:val="21"/>
                <w:szCs w:val="21"/>
                <w:lang w:val="en-US" w:eastAsia="zh-CN"/>
              </w:rPr>
              <w:t>7796</w:t>
            </w:r>
          </w:p>
        </w:tc>
        <w:tc>
          <w:tcPr>
            <w:tcW w:w="578" w:type="pct"/>
            <w:tcBorders>
              <w:tl2br w:val="nil"/>
              <w:tr2bl w:val="nil"/>
            </w:tcBorders>
            <w:shd w:val="clear" w:color="auto" w:fill="auto"/>
            <w:vAlign w:val="center"/>
          </w:tcPr>
          <w:p w14:paraId="4FDAF5D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7" w:type="pct"/>
            <w:tcBorders>
              <w:tl2br w:val="nil"/>
              <w:tr2bl w:val="nil"/>
            </w:tcBorders>
            <w:shd w:val="clear" w:color="auto" w:fill="auto"/>
            <w:vAlign w:val="center"/>
          </w:tcPr>
          <w:p w14:paraId="343F6AD3">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w:t>
            </w:r>
            <w:r>
              <w:rPr>
                <w:rFonts w:hint="eastAsia" w:ascii="Times New Roman" w:hAnsi="Times New Roman" w:cs="Times New Roman" w:eastAsiaTheme="minorEastAsia"/>
                <w:color w:val="auto"/>
                <w:spacing w:val="0"/>
                <w:sz w:val="21"/>
                <w:szCs w:val="21"/>
                <w:lang w:val="en-US" w:eastAsia="zh-CN"/>
              </w:rPr>
              <w:t>7796</w:t>
            </w:r>
          </w:p>
        </w:tc>
        <w:tc>
          <w:tcPr>
            <w:tcW w:w="375" w:type="pct"/>
            <w:tcBorders>
              <w:tl2br w:val="nil"/>
              <w:tr2bl w:val="nil"/>
            </w:tcBorders>
            <w:shd w:val="clear" w:color="auto" w:fill="auto"/>
            <w:vAlign w:val="center"/>
          </w:tcPr>
          <w:p w14:paraId="12FB26BC">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w:t>
            </w:r>
            <w:r>
              <w:rPr>
                <w:rFonts w:hint="eastAsia" w:ascii="Times New Roman" w:hAnsi="Times New Roman" w:cs="Times New Roman" w:eastAsiaTheme="minorEastAsia"/>
                <w:color w:val="auto"/>
                <w:spacing w:val="0"/>
                <w:sz w:val="21"/>
                <w:szCs w:val="21"/>
                <w:lang w:val="en-US" w:eastAsia="zh-CN"/>
              </w:rPr>
              <w:t>7796</w:t>
            </w:r>
          </w:p>
        </w:tc>
      </w:tr>
      <w:tr w14:paraId="6E2A697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4" w:type="pct"/>
            <w:vMerge w:val="restart"/>
            <w:tcBorders>
              <w:tl2br w:val="nil"/>
              <w:tr2bl w:val="nil"/>
            </w:tcBorders>
            <w:vAlign w:val="center"/>
          </w:tcPr>
          <w:p w14:paraId="1B30FBC7">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eastAsia="zh-CN"/>
              </w:rPr>
            </w:pPr>
            <w:r>
              <w:rPr>
                <w:rFonts w:hint="default" w:ascii="Times New Roman" w:hAnsi="Times New Roman" w:cs="Times New Roman" w:eastAsiaTheme="minorEastAsia"/>
                <w:color w:val="auto"/>
                <w:spacing w:val="0"/>
                <w:sz w:val="21"/>
                <w:szCs w:val="21"/>
              </w:rPr>
              <w:t>废水</w:t>
            </w:r>
            <w:r>
              <w:rPr>
                <w:rFonts w:hint="default" w:ascii="Times New Roman" w:hAnsi="Times New Roman" w:cs="Times New Roman" w:eastAsiaTheme="minorEastAsia"/>
                <w:color w:val="auto"/>
                <w:spacing w:val="0"/>
                <w:sz w:val="21"/>
                <w:szCs w:val="21"/>
                <w:lang w:eastAsia="zh-CN"/>
              </w:rPr>
              <w:t>（</w:t>
            </w:r>
            <w:r>
              <w:rPr>
                <w:rFonts w:hint="default" w:ascii="Times New Roman" w:hAnsi="Times New Roman" w:cs="Times New Roman" w:eastAsiaTheme="minorEastAsia"/>
                <w:color w:val="auto"/>
                <w:spacing w:val="0"/>
                <w:sz w:val="21"/>
                <w:szCs w:val="21"/>
                <w:lang w:val="en-US" w:eastAsia="zh-CN"/>
              </w:rPr>
              <w:t>t/a</w:t>
            </w:r>
            <w:r>
              <w:rPr>
                <w:rFonts w:hint="default" w:ascii="Times New Roman" w:hAnsi="Times New Roman" w:cs="Times New Roman" w:eastAsiaTheme="minorEastAsia"/>
                <w:color w:val="auto"/>
                <w:spacing w:val="0"/>
                <w:sz w:val="21"/>
                <w:szCs w:val="21"/>
                <w:lang w:eastAsia="zh-CN"/>
              </w:rPr>
              <w:t>）</w:t>
            </w:r>
          </w:p>
        </w:tc>
        <w:tc>
          <w:tcPr>
            <w:tcW w:w="793" w:type="pct"/>
            <w:tcBorders>
              <w:tl2br w:val="nil"/>
              <w:tr2bl w:val="nil"/>
            </w:tcBorders>
            <w:shd w:val="clear" w:color="auto" w:fill="auto"/>
            <w:vAlign w:val="center"/>
          </w:tcPr>
          <w:p w14:paraId="264A77AE">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eastAsia="zh-CN"/>
              </w:rPr>
            </w:pPr>
            <w:r>
              <w:rPr>
                <w:rFonts w:hint="default" w:ascii="Times New Roman" w:hAnsi="Times New Roman" w:cs="Times New Roman" w:eastAsiaTheme="minorEastAsia"/>
                <w:color w:val="auto"/>
                <w:spacing w:val="0"/>
                <w:sz w:val="21"/>
                <w:szCs w:val="21"/>
                <w:lang w:eastAsia="zh-CN"/>
              </w:rPr>
              <w:t>废水量</w:t>
            </w:r>
          </w:p>
        </w:tc>
        <w:tc>
          <w:tcPr>
            <w:tcW w:w="576" w:type="pct"/>
            <w:tcBorders>
              <w:tl2br w:val="nil"/>
              <w:tr2bl w:val="nil"/>
            </w:tcBorders>
            <w:vAlign w:val="center"/>
          </w:tcPr>
          <w:p w14:paraId="0864F8D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vAlign w:val="center"/>
          </w:tcPr>
          <w:p w14:paraId="5D5D986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shd w:val="clear" w:color="auto" w:fill="auto"/>
            <w:vAlign w:val="center"/>
          </w:tcPr>
          <w:p w14:paraId="586D11D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6" w:type="pct"/>
            <w:tcBorders>
              <w:tl2br w:val="nil"/>
              <w:tr2bl w:val="nil"/>
            </w:tcBorders>
            <w:vAlign w:val="center"/>
          </w:tcPr>
          <w:p w14:paraId="3E592FA9">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720</w:t>
            </w:r>
          </w:p>
        </w:tc>
        <w:tc>
          <w:tcPr>
            <w:tcW w:w="578" w:type="pct"/>
            <w:tcBorders>
              <w:tl2br w:val="nil"/>
              <w:tr2bl w:val="nil"/>
            </w:tcBorders>
            <w:shd w:val="clear" w:color="auto" w:fill="auto"/>
            <w:vAlign w:val="center"/>
          </w:tcPr>
          <w:p w14:paraId="4607CC3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7" w:type="pct"/>
            <w:tcBorders>
              <w:tl2br w:val="nil"/>
              <w:tr2bl w:val="nil"/>
            </w:tcBorders>
            <w:shd w:val="clear" w:color="auto" w:fill="auto"/>
            <w:vAlign w:val="center"/>
          </w:tcPr>
          <w:p w14:paraId="29A84EB7">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720</w:t>
            </w:r>
          </w:p>
        </w:tc>
        <w:tc>
          <w:tcPr>
            <w:tcW w:w="375" w:type="pct"/>
            <w:tcBorders>
              <w:tl2br w:val="nil"/>
              <w:tr2bl w:val="nil"/>
            </w:tcBorders>
            <w:shd w:val="clear" w:color="auto" w:fill="auto"/>
            <w:vAlign w:val="center"/>
          </w:tcPr>
          <w:p w14:paraId="121AC10F">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+720</w:t>
            </w:r>
          </w:p>
        </w:tc>
      </w:tr>
      <w:tr w14:paraId="4E9E3FD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4" w:type="pct"/>
            <w:vMerge w:val="continue"/>
            <w:tcBorders>
              <w:tl2br w:val="nil"/>
              <w:tr2bl w:val="nil"/>
            </w:tcBorders>
            <w:vAlign w:val="center"/>
          </w:tcPr>
          <w:p w14:paraId="511C93E6">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eastAsia="zh-CN"/>
              </w:rPr>
            </w:pPr>
          </w:p>
        </w:tc>
        <w:tc>
          <w:tcPr>
            <w:tcW w:w="793" w:type="pct"/>
            <w:tcBorders>
              <w:tl2br w:val="nil"/>
              <w:tr2bl w:val="nil"/>
            </w:tcBorders>
            <w:shd w:val="clear" w:color="auto" w:fill="auto"/>
            <w:vAlign w:val="center"/>
          </w:tcPr>
          <w:p w14:paraId="10C59EB5">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eastAsia="zh-CN"/>
              </w:rPr>
              <w:t>COD</w:t>
            </w:r>
            <w:r>
              <w:rPr>
                <w:rFonts w:hint="default" w:ascii="Times New Roman" w:hAnsi="Times New Roman" w:cs="Times New Roman" w:eastAsiaTheme="minorEastAsia"/>
                <w:color w:val="auto"/>
                <w:spacing w:val="0"/>
                <w:sz w:val="21"/>
                <w:szCs w:val="21"/>
                <w:lang w:val="en-US" w:eastAsia="zh-CN"/>
              </w:rPr>
              <w:t>Cr</w:t>
            </w:r>
          </w:p>
        </w:tc>
        <w:tc>
          <w:tcPr>
            <w:tcW w:w="576" w:type="pct"/>
            <w:tcBorders>
              <w:tl2br w:val="nil"/>
              <w:tr2bl w:val="nil"/>
            </w:tcBorders>
            <w:vAlign w:val="center"/>
          </w:tcPr>
          <w:p w14:paraId="3AEEC91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vAlign w:val="center"/>
          </w:tcPr>
          <w:p w14:paraId="6EECCA2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shd w:val="clear" w:color="auto" w:fill="auto"/>
            <w:vAlign w:val="center"/>
          </w:tcPr>
          <w:p w14:paraId="6A9C982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6" w:type="pct"/>
            <w:tcBorders>
              <w:tl2br w:val="nil"/>
              <w:tr2bl w:val="nil"/>
            </w:tcBorders>
            <w:vAlign w:val="center"/>
          </w:tcPr>
          <w:p w14:paraId="46398AD8">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0.0742</w:t>
            </w:r>
          </w:p>
        </w:tc>
        <w:tc>
          <w:tcPr>
            <w:tcW w:w="578" w:type="pct"/>
            <w:tcBorders>
              <w:tl2br w:val="nil"/>
              <w:tr2bl w:val="nil"/>
            </w:tcBorders>
            <w:shd w:val="clear" w:color="auto" w:fill="auto"/>
            <w:vAlign w:val="center"/>
          </w:tcPr>
          <w:p w14:paraId="0BBA811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7" w:type="pct"/>
            <w:tcBorders>
              <w:tl2br w:val="nil"/>
              <w:tr2bl w:val="nil"/>
            </w:tcBorders>
            <w:shd w:val="clear" w:color="auto" w:fill="auto"/>
            <w:vAlign w:val="center"/>
          </w:tcPr>
          <w:p w14:paraId="5B88AF22">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0.0742</w:t>
            </w:r>
          </w:p>
        </w:tc>
        <w:tc>
          <w:tcPr>
            <w:tcW w:w="375" w:type="pct"/>
            <w:tcBorders>
              <w:tl2br w:val="nil"/>
              <w:tr2bl w:val="nil"/>
            </w:tcBorders>
            <w:shd w:val="clear" w:color="auto" w:fill="auto"/>
            <w:vAlign w:val="center"/>
          </w:tcPr>
          <w:p w14:paraId="2F76729F">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+0.0742</w:t>
            </w:r>
          </w:p>
        </w:tc>
      </w:tr>
      <w:tr w14:paraId="796F96B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4" w:type="pct"/>
            <w:vMerge w:val="continue"/>
            <w:tcBorders>
              <w:tl2br w:val="nil"/>
              <w:tr2bl w:val="nil"/>
            </w:tcBorders>
            <w:vAlign w:val="center"/>
          </w:tcPr>
          <w:p w14:paraId="56263ECE">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p>
        </w:tc>
        <w:tc>
          <w:tcPr>
            <w:tcW w:w="793" w:type="pct"/>
            <w:tcBorders>
              <w:tl2br w:val="nil"/>
              <w:tr2bl w:val="nil"/>
            </w:tcBorders>
            <w:shd w:val="clear" w:color="auto" w:fill="auto"/>
            <w:vAlign w:val="center"/>
          </w:tcPr>
          <w:p w14:paraId="6EC6D027">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eastAsia="zh-CN"/>
              </w:rPr>
              <w:t>SS</w:t>
            </w:r>
          </w:p>
        </w:tc>
        <w:tc>
          <w:tcPr>
            <w:tcW w:w="576" w:type="pct"/>
            <w:tcBorders>
              <w:tl2br w:val="nil"/>
              <w:tr2bl w:val="nil"/>
            </w:tcBorders>
            <w:vAlign w:val="center"/>
          </w:tcPr>
          <w:p w14:paraId="28A942D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vAlign w:val="center"/>
          </w:tcPr>
          <w:p w14:paraId="7FF9D36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shd w:val="clear" w:color="auto" w:fill="auto"/>
            <w:vAlign w:val="center"/>
          </w:tcPr>
          <w:p w14:paraId="42E0EF9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6" w:type="pct"/>
            <w:tcBorders>
              <w:tl2br w:val="nil"/>
              <w:tr2bl w:val="nil"/>
            </w:tcBorders>
            <w:vAlign w:val="center"/>
          </w:tcPr>
          <w:p w14:paraId="03D22E77">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0.0720</w:t>
            </w:r>
          </w:p>
        </w:tc>
        <w:tc>
          <w:tcPr>
            <w:tcW w:w="578" w:type="pct"/>
            <w:tcBorders>
              <w:tl2br w:val="nil"/>
              <w:tr2bl w:val="nil"/>
            </w:tcBorders>
            <w:shd w:val="clear" w:color="auto" w:fill="auto"/>
            <w:vAlign w:val="center"/>
          </w:tcPr>
          <w:p w14:paraId="3C7C2DF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7" w:type="pct"/>
            <w:tcBorders>
              <w:tl2br w:val="nil"/>
              <w:tr2bl w:val="nil"/>
            </w:tcBorders>
            <w:shd w:val="clear" w:color="auto" w:fill="auto"/>
            <w:vAlign w:val="center"/>
          </w:tcPr>
          <w:p w14:paraId="7AB97F64">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0.0720</w:t>
            </w:r>
          </w:p>
        </w:tc>
        <w:tc>
          <w:tcPr>
            <w:tcW w:w="375" w:type="pct"/>
            <w:tcBorders>
              <w:tl2br w:val="nil"/>
              <w:tr2bl w:val="nil"/>
            </w:tcBorders>
            <w:shd w:val="clear" w:color="auto" w:fill="auto"/>
            <w:vAlign w:val="center"/>
          </w:tcPr>
          <w:p w14:paraId="3A717031">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+0.0720</w:t>
            </w:r>
          </w:p>
        </w:tc>
      </w:tr>
      <w:tr w14:paraId="3296984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4" w:type="pct"/>
            <w:vMerge w:val="continue"/>
            <w:tcBorders>
              <w:tl2br w:val="nil"/>
              <w:tr2bl w:val="nil"/>
            </w:tcBorders>
            <w:vAlign w:val="center"/>
          </w:tcPr>
          <w:p w14:paraId="34F3CCF5">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p>
        </w:tc>
        <w:tc>
          <w:tcPr>
            <w:tcW w:w="793" w:type="pct"/>
            <w:tcBorders>
              <w:tl2br w:val="nil"/>
              <w:tr2bl w:val="nil"/>
            </w:tcBorders>
            <w:shd w:val="clear" w:color="auto" w:fill="auto"/>
            <w:vAlign w:val="center"/>
          </w:tcPr>
          <w:p w14:paraId="15CA8A3C">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eastAsia="zh-CN"/>
              </w:rPr>
            </w:pPr>
            <w:r>
              <w:rPr>
                <w:rFonts w:hint="default" w:ascii="Times New Roman" w:hAnsi="Times New Roman" w:cs="Times New Roman" w:eastAsiaTheme="minorEastAsia"/>
                <w:color w:val="auto"/>
                <w:spacing w:val="0"/>
                <w:sz w:val="21"/>
                <w:szCs w:val="21"/>
                <w:lang w:eastAsia="zh-CN"/>
              </w:rPr>
              <w:t>NH</w:t>
            </w:r>
            <w:r>
              <w:rPr>
                <w:rFonts w:hint="default" w:ascii="Times New Roman" w:hAnsi="Times New Roman" w:cs="Times New Roman" w:eastAsiaTheme="minorEastAsia"/>
                <w:color w:val="auto"/>
                <w:spacing w:val="0"/>
                <w:sz w:val="21"/>
                <w:szCs w:val="21"/>
                <w:vertAlign w:val="subscript"/>
                <w:lang w:eastAsia="zh-CN"/>
              </w:rPr>
              <w:t>3</w:t>
            </w:r>
            <w:r>
              <w:rPr>
                <w:rFonts w:hint="default" w:ascii="Times New Roman" w:hAnsi="Times New Roman" w:cs="Times New Roman" w:eastAsiaTheme="minorEastAsia"/>
                <w:color w:val="auto"/>
                <w:spacing w:val="0"/>
                <w:sz w:val="21"/>
                <w:szCs w:val="21"/>
                <w:lang w:eastAsia="zh-CN"/>
              </w:rPr>
              <w:t>-N</w:t>
            </w:r>
          </w:p>
        </w:tc>
        <w:tc>
          <w:tcPr>
            <w:tcW w:w="576" w:type="pct"/>
            <w:tcBorders>
              <w:tl2br w:val="nil"/>
              <w:tr2bl w:val="nil"/>
            </w:tcBorders>
            <w:vAlign w:val="center"/>
          </w:tcPr>
          <w:p w14:paraId="2F96252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vAlign w:val="center"/>
          </w:tcPr>
          <w:p w14:paraId="38FF228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shd w:val="clear" w:color="auto" w:fill="auto"/>
            <w:vAlign w:val="center"/>
          </w:tcPr>
          <w:p w14:paraId="538053E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6" w:type="pct"/>
            <w:tcBorders>
              <w:tl2br w:val="nil"/>
              <w:tr2bl w:val="nil"/>
            </w:tcBorders>
            <w:vAlign w:val="center"/>
          </w:tcPr>
          <w:p w14:paraId="02720A98">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0.0096</w:t>
            </w:r>
          </w:p>
        </w:tc>
        <w:tc>
          <w:tcPr>
            <w:tcW w:w="578" w:type="pct"/>
            <w:tcBorders>
              <w:tl2br w:val="nil"/>
              <w:tr2bl w:val="nil"/>
            </w:tcBorders>
            <w:shd w:val="clear" w:color="auto" w:fill="auto"/>
            <w:vAlign w:val="center"/>
          </w:tcPr>
          <w:p w14:paraId="29C9E62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7" w:type="pct"/>
            <w:tcBorders>
              <w:tl2br w:val="nil"/>
              <w:tr2bl w:val="nil"/>
            </w:tcBorders>
            <w:shd w:val="clear" w:color="auto" w:fill="auto"/>
            <w:vAlign w:val="center"/>
          </w:tcPr>
          <w:p w14:paraId="280F7532">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0.0096</w:t>
            </w:r>
          </w:p>
        </w:tc>
        <w:tc>
          <w:tcPr>
            <w:tcW w:w="375" w:type="pct"/>
            <w:tcBorders>
              <w:tl2br w:val="nil"/>
              <w:tr2bl w:val="nil"/>
            </w:tcBorders>
            <w:shd w:val="clear" w:color="auto" w:fill="auto"/>
            <w:vAlign w:val="center"/>
          </w:tcPr>
          <w:p w14:paraId="0C058018">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+0.0096</w:t>
            </w:r>
          </w:p>
        </w:tc>
      </w:tr>
      <w:tr w14:paraId="6DA3BD4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4" w:type="pct"/>
            <w:vMerge w:val="continue"/>
            <w:tcBorders>
              <w:tl2br w:val="nil"/>
              <w:tr2bl w:val="nil"/>
            </w:tcBorders>
            <w:vAlign w:val="center"/>
          </w:tcPr>
          <w:p w14:paraId="00EFCE32">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p>
        </w:tc>
        <w:tc>
          <w:tcPr>
            <w:tcW w:w="793" w:type="pct"/>
            <w:tcBorders>
              <w:tl2br w:val="nil"/>
              <w:tr2bl w:val="nil"/>
            </w:tcBorders>
            <w:shd w:val="clear" w:color="auto" w:fill="auto"/>
            <w:vAlign w:val="center"/>
          </w:tcPr>
          <w:p w14:paraId="32BCA4D4">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eastAsia="zh-CN"/>
              </w:rPr>
            </w:pPr>
            <w:r>
              <w:rPr>
                <w:rFonts w:hint="default" w:ascii="Times New Roman" w:hAnsi="Times New Roman" w:cs="Times New Roman" w:eastAsiaTheme="minorEastAsia"/>
                <w:color w:val="auto"/>
                <w:spacing w:val="0"/>
                <w:sz w:val="21"/>
                <w:szCs w:val="21"/>
                <w:lang w:eastAsia="zh-CN"/>
              </w:rPr>
              <w:t>BOD</w:t>
            </w:r>
            <w:r>
              <w:rPr>
                <w:rFonts w:hint="default" w:ascii="Times New Roman" w:hAnsi="Times New Roman" w:cs="Times New Roman" w:eastAsiaTheme="minorEastAsia"/>
                <w:color w:val="auto"/>
                <w:spacing w:val="0"/>
                <w:sz w:val="21"/>
                <w:szCs w:val="21"/>
                <w:vertAlign w:val="subscript"/>
                <w:lang w:eastAsia="zh-CN"/>
              </w:rPr>
              <w:t>5</w:t>
            </w:r>
          </w:p>
        </w:tc>
        <w:tc>
          <w:tcPr>
            <w:tcW w:w="576" w:type="pct"/>
            <w:tcBorders>
              <w:tl2br w:val="nil"/>
              <w:tr2bl w:val="nil"/>
            </w:tcBorders>
            <w:vAlign w:val="center"/>
          </w:tcPr>
          <w:p w14:paraId="33E0104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vAlign w:val="center"/>
          </w:tcPr>
          <w:p w14:paraId="70326BF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shd w:val="clear" w:color="auto" w:fill="auto"/>
            <w:vAlign w:val="center"/>
          </w:tcPr>
          <w:p w14:paraId="7C2B1A7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6" w:type="pct"/>
            <w:tcBorders>
              <w:tl2br w:val="nil"/>
              <w:tr2bl w:val="nil"/>
            </w:tcBorders>
            <w:vAlign w:val="center"/>
          </w:tcPr>
          <w:p w14:paraId="65D36234">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0.1080</w:t>
            </w:r>
          </w:p>
        </w:tc>
        <w:tc>
          <w:tcPr>
            <w:tcW w:w="578" w:type="pct"/>
            <w:tcBorders>
              <w:tl2br w:val="nil"/>
              <w:tr2bl w:val="nil"/>
            </w:tcBorders>
            <w:shd w:val="clear" w:color="auto" w:fill="auto"/>
            <w:vAlign w:val="center"/>
          </w:tcPr>
          <w:p w14:paraId="1440B6B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7" w:type="pct"/>
            <w:tcBorders>
              <w:tl2br w:val="nil"/>
              <w:tr2bl w:val="nil"/>
            </w:tcBorders>
            <w:shd w:val="clear" w:color="auto" w:fill="auto"/>
            <w:vAlign w:val="center"/>
          </w:tcPr>
          <w:p w14:paraId="7854E413">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0.1080</w:t>
            </w:r>
          </w:p>
        </w:tc>
        <w:tc>
          <w:tcPr>
            <w:tcW w:w="375" w:type="pct"/>
            <w:tcBorders>
              <w:tl2br w:val="nil"/>
              <w:tr2bl w:val="nil"/>
            </w:tcBorders>
            <w:shd w:val="clear" w:color="auto" w:fill="auto"/>
            <w:vAlign w:val="center"/>
          </w:tcPr>
          <w:p w14:paraId="0837347F">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+0.1080</w:t>
            </w:r>
          </w:p>
        </w:tc>
      </w:tr>
      <w:tr w14:paraId="29CA1F7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4" w:type="pct"/>
            <w:vMerge w:val="restart"/>
            <w:tcBorders>
              <w:tl2br w:val="nil"/>
              <w:tr2bl w:val="nil"/>
            </w:tcBorders>
            <w:vAlign w:val="center"/>
          </w:tcPr>
          <w:p w14:paraId="7C6E7B2C">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一般工业固体废物</w:t>
            </w:r>
            <w:r>
              <w:rPr>
                <w:rFonts w:hint="default" w:ascii="Times New Roman" w:hAnsi="Times New Roman" w:cs="Times New Roman" w:eastAsiaTheme="minorEastAsia"/>
                <w:color w:val="auto"/>
                <w:spacing w:val="0"/>
                <w:sz w:val="21"/>
                <w:szCs w:val="21"/>
                <w:lang w:eastAsia="zh-CN"/>
              </w:rPr>
              <w:t>（</w:t>
            </w:r>
            <w:r>
              <w:rPr>
                <w:rFonts w:hint="default" w:ascii="Times New Roman" w:hAnsi="Times New Roman" w:cs="Times New Roman" w:eastAsiaTheme="minorEastAsia"/>
                <w:color w:val="auto"/>
                <w:spacing w:val="0"/>
                <w:sz w:val="21"/>
                <w:szCs w:val="21"/>
                <w:lang w:val="en-US" w:eastAsia="zh-CN"/>
              </w:rPr>
              <w:t>t/a</w:t>
            </w:r>
            <w:r>
              <w:rPr>
                <w:rFonts w:hint="default" w:ascii="Times New Roman" w:hAnsi="Times New Roman" w:cs="Times New Roman" w:eastAsiaTheme="minorEastAsia"/>
                <w:color w:val="auto"/>
                <w:spacing w:val="0"/>
                <w:sz w:val="21"/>
                <w:szCs w:val="21"/>
                <w:lang w:eastAsia="zh-CN"/>
              </w:rPr>
              <w:t>）</w:t>
            </w:r>
          </w:p>
        </w:tc>
        <w:tc>
          <w:tcPr>
            <w:tcW w:w="793" w:type="pct"/>
            <w:tcBorders>
              <w:tl2br w:val="nil"/>
              <w:tr2bl w:val="nil"/>
            </w:tcBorders>
            <w:vAlign w:val="center"/>
          </w:tcPr>
          <w:p w14:paraId="4B1B8C8B">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eastAsia="宋体" w:cs="Times New Roman"/>
                <w:b w:val="0"/>
                <w:bCs w:val="0"/>
                <w:color w:val="auto"/>
                <w:spacing w:val="0"/>
                <w:w w:val="100"/>
                <w:kern w:val="0"/>
                <w:sz w:val="21"/>
                <w:szCs w:val="21"/>
                <w:lang w:val="en-US" w:eastAsia="zh-CN" w:bidi="ar-SA"/>
              </w:rPr>
              <w:t>废铁屑</w:t>
            </w:r>
          </w:p>
        </w:tc>
        <w:tc>
          <w:tcPr>
            <w:tcW w:w="576" w:type="pct"/>
            <w:tcBorders>
              <w:tl2br w:val="nil"/>
              <w:tr2bl w:val="nil"/>
            </w:tcBorders>
            <w:vAlign w:val="center"/>
          </w:tcPr>
          <w:p w14:paraId="699CEDF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vAlign w:val="center"/>
          </w:tcPr>
          <w:p w14:paraId="1EF57E0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shd w:val="clear" w:color="auto" w:fill="auto"/>
            <w:vAlign w:val="center"/>
          </w:tcPr>
          <w:p w14:paraId="6638E4F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6" w:type="pct"/>
            <w:tcBorders>
              <w:tl2br w:val="nil"/>
              <w:tr2bl w:val="nil"/>
            </w:tcBorders>
            <w:vAlign w:val="center"/>
          </w:tcPr>
          <w:p w14:paraId="5064A609">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0.3</w:t>
            </w:r>
          </w:p>
        </w:tc>
        <w:tc>
          <w:tcPr>
            <w:tcW w:w="578" w:type="pct"/>
            <w:tcBorders>
              <w:tl2br w:val="nil"/>
              <w:tr2bl w:val="nil"/>
            </w:tcBorders>
            <w:shd w:val="clear" w:color="auto" w:fill="auto"/>
            <w:vAlign w:val="center"/>
          </w:tcPr>
          <w:p w14:paraId="394B616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7" w:type="pct"/>
            <w:tcBorders>
              <w:tl2br w:val="nil"/>
              <w:tr2bl w:val="nil"/>
            </w:tcBorders>
            <w:shd w:val="clear" w:color="auto" w:fill="auto"/>
            <w:vAlign w:val="center"/>
          </w:tcPr>
          <w:p w14:paraId="47FA512E">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0.3</w:t>
            </w:r>
          </w:p>
        </w:tc>
        <w:tc>
          <w:tcPr>
            <w:tcW w:w="375" w:type="pct"/>
            <w:tcBorders>
              <w:tl2br w:val="nil"/>
              <w:tr2bl w:val="nil"/>
            </w:tcBorders>
            <w:shd w:val="clear" w:color="auto" w:fill="auto"/>
            <w:vAlign w:val="center"/>
          </w:tcPr>
          <w:p w14:paraId="2AAA44A3">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+0.3</w:t>
            </w:r>
          </w:p>
        </w:tc>
      </w:tr>
      <w:tr w14:paraId="5B17F65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4" w:type="pct"/>
            <w:vMerge w:val="continue"/>
            <w:tcBorders>
              <w:tl2br w:val="nil"/>
              <w:tr2bl w:val="nil"/>
            </w:tcBorders>
            <w:vAlign w:val="center"/>
          </w:tcPr>
          <w:p w14:paraId="34CCCF82">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p>
        </w:tc>
        <w:tc>
          <w:tcPr>
            <w:tcW w:w="793" w:type="pct"/>
            <w:tcBorders>
              <w:tl2br w:val="nil"/>
              <w:tr2bl w:val="nil"/>
            </w:tcBorders>
            <w:vAlign w:val="center"/>
          </w:tcPr>
          <w:p w14:paraId="0BAC3677">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kern w:val="0"/>
                <w:sz w:val="21"/>
                <w:szCs w:val="21"/>
                <w:lang w:val="en-US" w:eastAsia="zh-CN" w:bidi="ar-SA"/>
              </w:rPr>
            </w:pPr>
            <w:r>
              <w:rPr>
                <w:rFonts w:hint="default" w:ascii="Times New Roman" w:hAnsi="Times New Roman" w:eastAsia="宋体" w:cs="Times New Roman"/>
                <w:b w:val="0"/>
                <w:bCs w:val="0"/>
                <w:color w:val="auto"/>
                <w:spacing w:val="0"/>
                <w:w w:val="100"/>
                <w:kern w:val="0"/>
                <w:sz w:val="21"/>
                <w:szCs w:val="21"/>
                <w:lang w:val="en-US" w:eastAsia="zh-CN" w:bidi="ar-SA"/>
              </w:rPr>
              <w:t>炉渣</w:t>
            </w:r>
          </w:p>
        </w:tc>
        <w:tc>
          <w:tcPr>
            <w:tcW w:w="576" w:type="pct"/>
            <w:tcBorders>
              <w:tl2br w:val="nil"/>
              <w:tr2bl w:val="nil"/>
            </w:tcBorders>
            <w:vAlign w:val="center"/>
          </w:tcPr>
          <w:p w14:paraId="079A921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vAlign w:val="center"/>
          </w:tcPr>
          <w:p w14:paraId="4A9AD4C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shd w:val="clear" w:color="auto" w:fill="auto"/>
            <w:vAlign w:val="center"/>
          </w:tcPr>
          <w:p w14:paraId="5DD2D3B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6" w:type="pct"/>
            <w:tcBorders>
              <w:tl2br w:val="nil"/>
              <w:tr2bl w:val="nil"/>
            </w:tcBorders>
            <w:vAlign w:val="center"/>
          </w:tcPr>
          <w:p w14:paraId="606D9286">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10</w:t>
            </w:r>
          </w:p>
        </w:tc>
        <w:tc>
          <w:tcPr>
            <w:tcW w:w="578" w:type="pct"/>
            <w:tcBorders>
              <w:tl2br w:val="nil"/>
              <w:tr2bl w:val="nil"/>
            </w:tcBorders>
            <w:shd w:val="clear" w:color="auto" w:fill="auto"/>
            <w:vAlign w:val="center"/>
          </w:tcPr>
          <w:p w14:paraId="028A76B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7" w:type="pct"/>
            <w:tcBorders>
              <w:tl2br w:val="nil"/>
              <w:tr2bl w:val="nil"/>
            </w:tcBorders>
            <w:shd w:val="clear" w:color="auto" w:fill="auto"/>
            <w:vAlign w:val="center"/>
          </w:tcPr>
          <w:p w14:paraId="2883A905">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10</w:t>
            </w:r>
          </w:p>
        </w:tc>
        <w:tc>
          <w:tcPr>
            <w:tcW w:w="375" w:type="pct"/>
            <w:tcBorders>
              <w:tl2br w:val="nil"/>
              <w:tr2bl w:val="nil"/>
            </w:tcBorders>
            <w:shd w:val="clear" w:color="auto" w:fill="auto"/>
            <w:vAlign w:val="center"/>
          </w:tcPr>
          <w:p w14:paraId="14378567">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+10</w:t>
            </w:r>
          </w:p>
        </w:tc>
      </w:tr>
      <w:tr w14:paraId="4E8D2A5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4" w:type="pct"/>
            <w:vMerge w:val="continue"/>
            <w:tcBorders>
              <w:tl2br w:val="nil"/>
              <w:tr2bl w:val="nil"/>
            </w:tcBorders>
            <w:vAlign w:val="center"/>
          </w:tcPr>
          <w:p w14:paraId="7248E143">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p>
        </w:tc>
        <w:tc>
          <w:tcPr>
            <w:tcW w:w="793" w:type="pct"/>
            <w:tcBorders>
              <w:tl2br w:val="nil"/>
              <w:tr2bl w:val="nil"/>
            </w:tcBorders>
            <w:vAlign w:val="center"/>
          </w:tcPr>
          <w:p w14:paraId="1D6EE711">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kern w:val="0"/>
                <w:sz w:val="21"/>
                <w:szCs w:val="21"/>
                <w:lang w:val="en-US" w:eastAsia="zh-CN" w:bidi="ar-SA"/>
              </w:rPr>
            </w:pPr>
            <w:r>
              <w:rPr>
                <w:rFonts w:hint="default" w:ascii="Times New Roman" w:hAnsi="Times New Roman" w:eastAsia="宋体" w:cs="Times New Roman"/>
                <w:b w:val="0"/>
                <w:bCs w:val="0"/>
                <w:color w:val="auto"/>
                <w:spacing w:val="0"/>
                <w:w w:val="100"/>
                <w:kern w:val="0"/>
                <w:sz w:val="21"/>
                <w:szCs w:val="21"/>
                <w:lang w:val="en-US" w:eastAsia="zh-CN" w:bidi="ar-SA"/>
              </w:rPr>
              <w:t>废砂</w:t>
            </w:r>
          </w:p>
        </w:tc>
        <w:tc>
          <w:tcPr>
            <w:tcW w:w="576" w:type="pct"/>
            <w:tcBorders>
              <w:tl2br w:val="nil"/>
              <w:tr2bl w:val="nil"/>
            </w:tcBorders>
            <w:vAlign w:val="center"/>
          </w:tcPr>
          <w:p w14:paraId="1EF272B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vAlign w:val="center"/>
          </w:tcPr>
          <w:p w14:paraId="3A6EF6A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shd w:val="clear" w:color="auto" w:fill="auto"/>
            <w:vAlign w:val="center"/>
          </w:tcPr>
          <w:p w14:paraId="4AA5E3A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6" w:type="pct"/>
            <w:tcBorders>
              <w:tl2br w:val="nil"/>
              <w:tr2bl w:val="nil"/>
            </w:tcBorders>
            <w:vAlign w:val="center"/>
          </w:tcPr>
          <w:p w14:paraId="79ECF57D">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8</w:t>
            </w:r>
          </w:p>
        </w:tc>
        <w:tc>
          <w:tcPr>
            <w:tcW w:w="578" w:type="pct"/>
            <w:tcBorders>
              <w:tl2br w:val="nil"/>
              <w:tr2bl w:val="nil"/>
            </w:tcBorders>
            <w:shd w:val="clear" w:color="auto" w:fill="auto"/>
            <w:vAlign w:val="center"/>
          </w:tcPr>
          <w:p w14:paraId="724FA4E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7" w:type="pct"/>
            <w:tcBorders>
              <w:tl2br w:val="nil"/>
              <w:tr2bl w:val="nil"/>
            </w:tcBorders>
            <w:shd w:val="clear" w:color="auto" w:fill="auto"/>
            <w:vAlign w:val="center"/>
          </w:tcPr>
          <w:p w14:paraId="7193C267">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8</w:t>
            </w:r>
          </w:p>
        </w:tc>
        <w:tc>
          <w:tcPr>
            <w:tcW w:w="375" w:type="pct"/>
            <w:tcBorders>
              <w:tl2br w:val="nil"/>
              <w:tr2bl w:val="nil"/>
            </w:tcBorders>
            <w:shd w:val="clear" w:color="auto" w:fill="auto"/>
            <w:vAlign w:val="center"/>
          </w:tcPr>
          <w:p w14:paraId="24A7D60B">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+8</w:t>
            </w:r>
          </w:p>
        </w:tc>
      </w:tr>
      <w:tr w14:paraId="5D055E6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4" w:type="pct"/>
            <w:vMerge w:val="continue"/>
            <w:tcBorders>
              <w:tl2br w:val="nil"/>
              <w:tr2bl w:val="nil"/>
            </w:tcBorders>
            <w:vAlign w:val="center"/>
          </w:tcPr>
          <w:p w14:paraId="5E69D339">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p>
        </w:tc>
        <w:tc>
          <w:tcPr>
            <w:tcW w:w="793" w:type="pct"/>
            <w:tcBorders>
              <w:tl2br w:val="nil"/>
              <w:tr2bl w:val="nil"/>
            </w:tcBorders>
            <w:vAlign w:val="center"/>
          </w:tcPr>
          <w:p w14:paraId="451CE38E">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pacing w:val="0"/>
                <w:w w:val="100"/>
                <w:kern w:val="0"/>
                <w:sz w:val="21"/>
                <w:szCs w:val="21"/>
                <w:lang w:val="en-US" w:eastAsia="zh-CN" w:bidi="ar-SA"/>
              </w:rPr>
            </w:pPr>
            <w:r>
              <w:rPr>
                <w:rFonts w:hint="default" w:ascii="Times New Roman" w:hAnsi="Times New Roman" w:eastAsia="宋体" w:cs="Times New Roman"/>
                <w:b w:val="0"/>
                <w:bCs w:val="0"/>
                <w:color w:val="auto"/>
                <w:spacing w:val="0"/>
                <w:w w:val="100"/>
                <w:kern w:val="0"/>
                <w:sz w:val="21"/>
                <w:szCs w:val="21"/>
                <w:lang w:val="en-US" w:eastAsia="zh-CN" w:bidi="ar-SA"/>
              </w:rPr>
              <w:t>布袋除尘灰</w:t>
            </w:r>
          </w:p>
        </w:tc>
        <w:tc>
          <w:tcPr>
            <w:tcW w:w="576" w:type="pct"/>
            <w:tcBorders>
              <w:tl2br w:val="nil"/>
              <w:tr2bl w:val="nil"/>
            </w:tcBorders>
            <w:vAlign w:val="center"/>
          </w:tcPr>
          <w:p w14:paraId="39BF19C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vAlign w:val="center"/>
          </w:tcPr>
          <w:p w14:paraId="5DB6C20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shd w:val="clear" w:color="auto" w:fill="auto"/>
            <w:vAlign w:val="center"/>
          </w:tcPr>
          <w:p w14:paraId="4F0971C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6" w:type="pct"/>
            <w:tcBorders>
              <w:tl2br w:val="nil"/>
              <w:tr2bl w:val="nil"/>
            </w:tcBorders>
            <w:vAlign w:val="center"/>
          </w:tcPr>
          <w:p w14:paraId="41660067">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18.6884</w:t>
            </w:r>
          </w:p>
        </w:tc>
        <w:tc>
          <w:tcPr>
            <w:tcW w:w="578" w:type="pct"/>
            <w:tcBorders>
              <w:tl2br w:val="nil"/>
              <w:tr2bl w:val="nil"/>
            </w:tcBorders>
            <w:shd w:val="clear" w:color="auto" w:fill="auto"/>
            <w:vAlign w:val="center"/>
          </w:tcPr>
          <w:p w14:paraId="74F6DE2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7" w:type="pct"/>
            <w:tcBorders>
              <w:tl2br w:val="nil"/>
              <w:tr2bl w:val="nil"/>
            </w:tcBorders>
            <w:shd w:val="clear" w:color="auto" w:fill="auto"/>
            <w:vAlign w:val="center"/>
          </w:tcPr>
          <w:p w14:paraId="1C5C30A4">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18.6884</w:t>
            </w:r>
          </w:p>
        </w:tc>
        <w:tc>
          <w:tcPr>
            <w:tcW w:w="375" w:type="pct"/>
            <w:tcBorders>
              <w:tl2br w:val="nil"/>
              <w:tr2bl w:val="nil"/>
            </w:tcBorders>
            <w:shd w:val="clear" w:color="auto" w:fill="auto"/>
            <w:vAlign w:val="center"/>
          </w:tcPr>
          <w:p w14:paraId="391C06D4">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+18.6884</w:t>
            </w:r>
          </w:p>
        </w:tc>
      </w:tr>
      <w:tr w14:paraId="6532DA0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4" w:type="pct"/>
            <w:vMerge w:val="restart"/>
            <w:tcBorders>
              <w:tl2br w:val="nil"/>
              <w:tr2bl w:val="nil"/>
            </w:tcBorders>
            <w:vAlign w:val="center"/>
          </w:tcPr>
          <w:p w14:paraId="273D89A3">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危险</w:t>
            </w:r>
          </w:p>
          <w:p w14:paraId="44DA17C3">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废物</w:t>
            </w:r>
            <w:r>
              <w:rPr>
                <w:rFonts w:hint="default" w:ascii="Times New Roman" w:hAnsi="Times New Roman" w:cs="Times New Roman" w:eastAsiaTheme="minorEastAsia"/>
                <w:color w:val="auto"/>
                <w:spacing w:val="0"/>
                <w:sz w:val="21"/>
                <w:szCs w:val="21"/>
                <w:lang w:eastAsia="zh-CN"/>
              </w:rPr>
              <w:t>（</w:t>
            </w:r>
            <w:r>
              <w:rPr>
                <w:rFonts w:hint="default" w:ascii="Times New Roman" w:hAnsi="Times New Roman" w:cs="Times New Roman" w:eastAsiaTheme="minorEastAsia"/>
                <w:color w:val="auto"/>
                <w:spacing w:val="0"/>
                <w:sz w:val="21"/>
                <w:szCs w:val="21"/>
                <w:lang w:val="en-US" w:eastAsia="zh-CN"/>
              </w:rPr>
              <w:t>t/a</w:t>
            </w:r>
            <w:r>
              <w:rPr>
                <w:rFonts w:hint="default" w:ascii="Times New Roman" w:hAnsi="Times New Roman" w:cs="Times New Roman" w:eastAsiaTheme="minorEastAsia"/>
                <w:color w:val="auto"/>
                <w:spacing w:val="0"/>
                <w:sz w:val="21"/>
                <w:szCs w:val="21"/>
                <w:lang w:eastAsia="zh-CN"/>
              </w:rPr>
              <w:t>）</w:t>
            </w:r>
          </w:p>
        </w:tc>
        <w:tc>
          <w:tcPr>
            <w:tcW w:w="793" w:type="pct"/>
            <w:tcBorders>
              <w:tl2br w:val="nil"/>
              <w:tr2bl w:val="nil"/>
            </w:tcBorders>
            <w:shd w:val="clear" w:color="auto" w:fill="auto"/>
            <w:vAlign w:val="center"/>
          </w:tcPr>
          <w:p w14:paraId="640F1D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废活性炭</w:t>
            </w:r>
          </w:p>
        </w:tc>
        <w:tc>
          <w:tcPr>
            <w:tcW w:w="576" w:type="pct"/>
            <w:tcBorders>
              <w:tl2br w:val="nil"/>
              <w:tr2bl w:val="nil"/>
            </w:tcBorders>
            <w:shd w:val="clear" w:color="auto" w:fill="auto"/>
            <w:vAlign w:val="center"/>
          </w:tcPr>
          <w:p w14:paraId="147C314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vAlign w:val="center"/>
          </w:tcPr>
          <w:p w14:paraId="2325AEA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8" w:type="pct"/>
            <w:tcBorders>
              <w:tl2br w:val="nil"/>
              <w:tr2bl w:val="nil"/>
            </w:tcBorders>
            <w:shd w:val="clear" w:color="auto" w:fill="auto"/>
            <w:vAlign w:val="center"/>
          </w:tcPr>
          <w:p w14:paraId="4492B8C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6" w:type="pct"/>
            <w:tcBorders>
              <w:tl2br w:val="nil"/>
              <w:tr2bl w:val="nil"/>
            </w:tcBorders>
            <w:shd w:val="clear" w:color="auto" w:fill="auto"/>
            <w:vAlign w:val="center"/>
          </w:tcPr>
          <w:p w14:paraId="371AE3F7">
            <w:pPr>
              <w:pStyle w:val="12"/>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kern w:val="0"/>
                <w:position w:val="0"/>
                <w:sz w:val="21"/>
                <w:szCs w:val="21"/>
                <w:lang w:val="en-US" w:eastAsia="zh-CN"/>
              </w:rPr>
            </w:pPr>
            <w:r>
              <w:rPr>
                <w:rFonts w:hint="default" w:ascii="Times New Roman" w:hAnsi="Times New Roman" w:eastAsia="宋体" w:cs="Times New Roman"/>
                <w:color w:val="auto"/>
                <w:spacing w:val="0"/>
                <w:w w:val="100"/>
                <w:position w:val="0"/>
                <w:sz w:val="21"/>
                <w:lang w:val="en-US" w:eastAsia="zh-CN"/>
              </w:rPr>
              <w:t>1.1674</w:t>
            </w:r>
          </w:p>
        </w:tc>
        <w:tc>
          <w:tcPr>
            <w:tcW w:w="578" w:type="pct"/>
            <w:tcBorders>
              <w:tl2br w:val="nil"/>
              <w:tr2bl w:val="nil"/>
            </w:tcBorders>
            <w:shd w:val="clear" w:color="auto" w:fill="auto"/>
            <w:vAlign w:val="center"/>
          </w:tcPr>
          <w:p w14:paraId="662401F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7" w:type="pct"/>
            <w:tcBorders>
              <w:tl2br w:val="nil"/>
              <w:tr2bl w:val="nil"/>
            </w:tcBorders>
            <w:shd w:val="clear" w:color="auto" w:fill="auto"/>
            <w:vAlign w:val="center"/>
          </w:tcPr>
          <w:p w14:paraId="7605991D">
            <w:pPr>
              <w:pStyle w:val="12"/>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kern w:val="0"/>
                <w:position w:val="0"/>
                <w:sz w:val="21"/>
                <w:szCs w:val="21"/>
                <w:lang w:val="en-US" w:eastAsia="zh-CN"/>
              </w:rPr>
            </w:pPr>
            <w:r>
              <w:rPr>
                <w:rFonts w:hint="default" w:ascii="Times New Roman" w:hAnsi="Times New Roman" w:eastAsia="宋体" w:cs="Times New Roman"/>
                <w:color w:val="auto"/>
                <w:spacing w:val="0"/>
                <w:w w:val="100"/>
                <w:position w:val="0"/>
                <w:sz w:val="21"/>
                <w:lang w:val="en-US" w:eastAsia="zh-CN"/>
              </w:rPr>
              <w:t>1.1674</w:t>
            </w:r>
          </w:p>
        </w:tc>
        <w:tc>
          <w:tcPr>
            <w:tcW w:w="375" w:type="pct"/>
            <w:tcBorders>
              <w:tl2br w:val="nil"/>
              <w:tr2bl w:val="nil"/>
            </w:tcBorders>
            <w:shd w:val="clear" w:color="auto" w:fill="auto"/>
            <w:vAlign w:val="center"/>
          </w:tcPr>
          <w:p w14:paraId="7E674663">
            <w:pPr>
              <w:pStyle w:val="12"/>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kern w:val="0"/>
                <w:position w:val="0"/>
                <w:sz w:val="21"/>
                <w:szCs w:val="21"/>
                <w:lang w:val="en-US" w:eastAsia="zh-CN"/>
              </w:rPr>
            </w:pPr>
            <w:r>
              <w:rPr>
                <w:rFonts w:hint="default" w:ascii="Times New Roman" w:hAnsi="Times New Roman" w:eastAsia="宋体" w:cs="Times New Roman"/>
                <w:color w:val="auto"/>
                <w:spacing w:val="0"/>
                <w:w w:val="100"/>
                <w:position w:val="0"/>
                <w:sz w:val="21"/>
                <w:lang w:val="en-US" w:eastAsia="zh-CN"/>
              </w:rPr>
              <w:t>+1.1674</w:t>
            </w:r>
          </w:p>
        </w:tc>
      </w:tr>
      <w:tr w14:paraId="0AF920A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4" w:type="pct"/>
            <w:vMerge w:val="continue"/>
            <w:tcBorders>
              <w:tl2br w:val="nil"/>
              <w:tr2bl w:val="nil"/>
            </w:tcBorders>
            <w:vAlign w:val="center"/>
          </w:tcPr>
          <w:p w14:paraId="757BC506">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rPr>
            </w:pPr>
          </w:p>
        </w:tc>
        <w:tc>
          <w:tcPr>
            <w:tcW w:w="793" w:type="pct"/>
            <w:tcBorders>
              <w:tl2br w:val="nil"/>
              <w:tr2bl w:val="nil"/>
            </w:tcBorders>
            <w:shd w:val="clear" w:color="auto" w:fill="auto"/>
            <w:vAlign w:val="center"/>
          </w:tcPr>
          <w:p w14:paraId="5485516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kern w:val="0"/>
                <w:position w:val="0"/>
                <w:sz w:val="21"/>
                <w:szCs w:val="21"/>
                <w:lang w:val="en-US" w:eastAsia="zh-CN"/>
              </w:rPr>
            </w:pPr>
            <w:r>
              <w:rPr>
                <w:rFonts w:hint="default" w:ascii="Times New Roman" w:hAnsi="Times New Roman" w:eastAsia="宋体" w:cs="Times New Roman"/>
                <w:b w:val="0"/>
                <w:bCs w:val="0"/>
                <w:color w:val="auto"/>
                <w:spacing w:val="0"/>
                <w:w w:val="100"/>
                <w:kern w:val="0"/>
                <w:position w:val="0"/>
                <w:sz w:val="21"/>
                <w:szCs w:val="21"/>
                <w:lang w:val="en-US" w:eastAsia="zh-CN"/>
              </w:rPr>
              <w:t>废机油</w:t>
            </w:r>
          </w:p>
        </w:tc>
        <w:tc>
          <w:tcPr>
            <w:tcW w:w="576" w:type="pct"/>
            <w:tcBorders>
              <w:tl2br w:val="nil"/>
              <w:tr2bl w:val="nil"/>
            </w:tcBorders>
            <w:shd w:val="clear" w:color="auto" w:fill="auto"/>
            <w:vAlign w:val="center"/>
          </w:tcPr>
          <w:p w14:paraId="21BCCF1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8" w:type="pct"/>
            <w:tcBorders>
              <w:tl2br w:val="nil"/>
              <w:tr2bl w:val="nil"/>
            </w:tcBorders>
            <w:vAlign w:val="center"/>
          </w:tcPr>
          <w:p w14:paraId="58775C3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8" w:type="pct"/>
            <w:tcBorders>
              <w:tl2br w:val="nil"/>
              <w:tr2bl w:val="nil"/>
            </w:tcBorders>
            <w:shd w:val="clear" w:color="auto" w:fill="auto"/>
            <w:vAlign w:val="center"/>
          </w:tcPr>
          <w:p w14:paraId="60CC572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76" w:type="pct"/>
            <w:tcBorders>
              <w:tl2br w:val="nil"/>
              <w:tr2bl w:val="nil"/>
            </w:tcBorders>
            <w:shd w:val="clear" w:color="auto" w:fill="auto"/>
            <w:vAlign w:val="center"/>
          </w:tcPr>
          <w:p w14:paraId="5706009D">
            <w:pPr>
              <w:pStyle w:val="12"/>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pacing w:val="0"/>
                <w:w w:val="100"/>
                <w:position w:val="0"/>
                <w:sz w:val="21"/>
                <w:lang w:val="en-US" w:eastAsia="zh-CN"/>
              </w:rPr>
            </w:pPr>
            <w:r>
              <w:rPr>
                <w:rFonts w:hint="default" w:ascii="Times New Roman" w:hAnsi="Times New Roman" w:eastAsia="宋体" w:cs="Times New Roman"/>
                <w:color w:val="auto"/>
                <w:spacing w:val="0"/>
                <w:w w:val="100"/>
                <w:position w:val="0"/>
                <w:sz w:val="21"/>
                <w:lang w:val="en-US" w:eastAsia="zh-CN"/>
              </w:rPr>
              <w:t>0.2</w:t>
            </w:r>
          </w:p>
        </w:tc>
        <w:tc>
          <w:tcPr>
            <w:tcW w:w="578" w:type="pct"/>
            <w:tcBorders>
              <w:tl2br w:val="nil"/>
              <w:tr2bl w:val="nil"/>
            </w:tcBorders>
            <w:shd w:val="clear" w:color="auto" w:fill="auto"/>
            <w:vAlign w:val="center"/>
          </w:tcPr>
          <w:p w14:paraId="5312D4F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color w:val="auto"/>
                <w:sz w:val="21"/>
                <w:szCs w:val="21"/>
                <w:highlight w:val="none"/>
              </w:rPr>
              <w:t>——</w:t>
            </w:r>
          </w:p>
        </w:tc>
        <w:tc>
          <w:tcPr>
            <w:tcW w:w="577" w:type="pct"/>
            <w:tcBorders>
              <w:tl2br w:val="nil"/>
              <w:tr2bl w:val="nil"/>
            </w:tcBorders>
            <w:shd w:val="clear" w:color="auto" w:fill="auto"/>
            <w:vAlign w:val="center"/>
          </w:tcPr>
          <w:p w14:paraId="015568A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0.2</w:t>
            </w:r>
          </w:p>
        </w:tc>
        <w:tc>
          <w:tcPr>
            <w:tcW w:w="375" w:type="pct"/>
            <w:tcBorders>
              <w:tl2br w:val="nil"/>
              <w:tr2bl w:val="nil"/>
            </w:tcBorders>
            <w:shd w:val="clear" w:color="auto" w:fill="auto"/>
            <w:vAlign w:val="center"/>
          </w:tcPr>
          <w:p w14:paraId="58113E5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+0.2</w:t>
            </w:r>
          </w:p>
        </w:tc>
      </w:tr>
      <w:tr w14:paraId="7C9DA92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64" w:type="pct"/>
            <w:tcBorders>
              <w:tl2br w:val="nil"/>
              <w:tr2bl w:val="nil"/>
            </w:tcBorders>
            <w:vAlign w:val="center"/>
          </w:tcPr>
          <w:p w14:paraId="78719BE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生活垃圾（t/a）</w:t>
            </w:r>
          </w:p>
        </w:tc>
        <w:tc>
          <w:tcPr>
            <w:tcW w:w="793" w:type="pct"/>
            <w:tcBorders>
              <w:tl2br w:val="nil"/>
              <w:tr2bl w:val="nil"/>
            </w:tcBorders>
            <w:vAlign w:val="center"/>
          </w:tcPr>
          <w:p w14:paraId="2DE2E06C">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生活垃圾</w:t>
            </w:r>
          </w:p>
        </w:tc>
        <w:tc>
          <w:tcPr>
            <w:tcW w:w="576" w:type="pct"/>
            <w:tcBorders>
              <w:tl2br w:val="nil"/>
              <w:tr2bl w:val="nil"/>
            </w:tcBorders>
            <w:vAlign w:val="center"/>
          </w:tcPr>
          <w:p w14:paraId="77DE5DE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color w:val="auto"/>
                <w:sz w:val="21"/>
                <w:szCs w:val="21"/>
                <w:highlight w:val="none"/>
              </w:rPr>
              <w:t>——</w:t>
            </w:r>
          </w:p>
        </w:tc>
        <w:tc>
          <w:tcPr>
            <w:tcW w:w="578" w:type="pct"/>
            <w:tcBorders>
              <w:tl2br w:val="nil"/>
              <w:tr2bl w:val="nil"/>
            </w:tcBorders>
            <w:vAlign w:val="center"/>
          </w:tcPr>
          <w:p w14:paraId="5634A08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color w:val="auto"/>
                <w:sz w:val="21"/>
                <w:szCs w:val="21"/>
                <w:highlight w:val="none"/>
              </w:rPr>
              <w:t>——</w:t>
            </w:r>
          </w:p>
        </w:tc>
        <w:tc>
          <w:tcPr>
            <w:tcW w:w="578" w:type="pct"/>
            <w:tcBorders>
              <w:tl2br w:val="nil"/>
              <w:tr2bl w:val="nil"/>
            </w:tcBorders>
            <w:shd w:val="clear" w:color="auto" w:fill="auto"/>
            <w:vAlign w:val="center"/>
          </w:tcPr>
          <w:p w14:paraId="5CBC008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color w:val="auto"/>
                <w:sz w:val="21"/>
                <w:szCs w:val="21"/>
                <w:highlight w:val="none"/>
              </w:rPr>
              <w:t>——</w:t>
            </w:r>
          </w:p>
        </w:tc>
        <w:tc>
          <w:tcPr>
            <w:tcW w:w="576" w:type="pct"/>
            <w:tcBorders>
              <w:tl2br w:val="nil"/>
              <w:tr2bl w:val="nil"/>
            </w:tcBorders>
            <w:vAlign w:val="center"/>
          </w:tcPr>
          <w:p w14:paraId="178A87A9">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9.18</w:t>
            </w:r>
          </w:p>
        </w:tc>
        <w:tc>
          <w:tcPr>
            <w:tcW w:w="578" w:type="pct"/>
            <w:tcBorders>
              <w:tl2br w:val="nil"/>
              <w:tr2bl w:val="nil"/>
            </w:tcBorders>
            <w:shd w:val="clear" w:color="auto" w:fill="auto"/>
            <w:vAlign w:val="center"/>
          </w:tcPr>
          <w:p w14:paraId="56DE81B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rPr>
            </w:pPr>
            <w:r>
              <w:rPr>
                <w:rFonts w:hint="default" w:ascii="Times New Roman" w:hAnsi="Times New Roman" w:cs="Times New Roman"/>
                <w:color w:val="auto"/>
                <w:sz w:val="21"/>
                <w:szCs w:val="21"/>
                <w:highlight w:val="none"/>
              </w:rPr>
              <w:t>——</w:t>
            </w:r>
          </w:p>
        </w:tc>
        <w:tc>
          <w:tcPr>
            <w:tcW w:w="577" w:type="pct"/>
            <w:tcBorders>
              <w:tl2br w:val="nil"/>
              <w:tr2bl w:val="nil"/>
            </w:tcBorders>
            <w:shd w:val="clear" w:color="auto" w:fill="auto"/>
            <w:vAlign w:val="center"/>
          </w:tcPr>
          <w:p w14:paraId="44E5DF24">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9.18</w:t>
            </w:r>
          </w:p>
        </w:tc>
        <w:tc>
          <w:tcPr>
            <w:tcW w:w="375" w:type="pct"/>
            <w:tcBorders>
              <w:tl2br w:val="nil"/>
              <w:tr2bl w:val="nil"/>
            </w:tcBorders>
            <w:shd w:val="clear" w:color="auto" w:fill="auto"/>
            <w:vAlign w:val="center"/>
          </w:tcPr>
          <w:p w14:paraId="5CDD456E">
            <w:pPr>
              <w:pStyle w:val="326"/>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spacing w:val="0"/>
                <w:sz w:val="21"/>
                <w:szCs w:val="21"/>
                <w:lang w:val="en-US" w:eastAsia="zh-CN"/>
              </w:rPr>
            </w:pPr>
            <w:r>
              <w:rPr>
                <w:rFonts w:hint="default" w:ascii="Times New Roman" w:hAnsi="Times New Roman" w:cs="Times New Roman" w:eastAsiaTheme="minorEastAsia"/>
                <w:color w:val="auto"/>
                <w:spacing w:val="0"/>
                <w:sz w:val="21"/>
                <w:szCs w:val="21"/>
                <w:lang w:val="en-US" w:eastAsia="zh-CN"/>
              </w:rPr>
              <w:t>+9.18</w:t>
            </w:r>
          </w:p>
        </w:tc>
      </w:tr>
    </w:tbl>
    <w:p w14:paraId="5E8864FF">
      <w:pPr>
        <w:pStyle w:val="168"/>
        <w:spacing w:beforeLines="0" w:afterLines="0" w:line="240" w:lineRule="auto"/>
        <w:ind w:left="0" w:leftChars="0" w:firstLine="0" w:firstLineChars="0"/>
        <w:jc w:val="left"/>
        <w:rPr>
          <w:rFonts w:hint="default" w:ascii="Times New Roman" w:hAnsi="Times New Roman" w:cs="Times New Roman"/>
          <w:color w:val="auto"/>
          <w:spacing w:val="0"/>
          <w:w w:val="100"/>
          <w:position w:val="0"/>
          <w:sz w:val="21"/>
        </w:rPr>
        <w:sectPr>
          <w:footerReference r:id="rId8" w:type="default"/>
          <w:pgSz w:w="16838" w:h="11906" w:orient="landscape"/>
          <w:pgMar w:top="1701" w:right="1134" w:bottom="1701" w:left="1134"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snapToGrid w:val="0"/>
          <w:color w:val="auto"/>
          <w:spacing w:val="0"/>
          <w:w w:val="100"/>
          <w:kern w:val="21"/>
          <w:position w:val="0"/>
          <w:sz w:val="21"/>
        </w:rPr>
        <w:t>注：</w:t>
      </w:r>
      <w:r>
        <w:rPr>
          <w:rFonts w:hint="default" w:ascii="Times New Roman" w:hAnsi="Times New Roman" w:cs="Times New Roman"/>
          <w:snapToGrid w:val="0"/>
          <w:color w:val="auto"/>
          <w:spacing w:val="0"/>
          <w:w w:val="100"/>
          <w:kern w:val="21"/>
          <w:position w:val="0"/>
          <w:sz w:val="21"/>
        </w:rPr>
        <w:fldChar w:fldCharType="begin"/>
      </w:r>
      <w:r>
        <w:rPr>
          <w:rFonts w:hint="default" w:ascii="Times New Roman" w:hAnsi="Times New Roman" w:cs="Times New Roman"/>
          <w:snapToGrid w:val="0"/>
          <w:color w:val="auto"/>
          <w:spacing w:val="0"/>
          <w:w w:val="100"/>
          <w:kern w:val="21"/>
          <w:position w:val="0"/>
          <w:sz w:val="21"/>
        </w:rPr>
        <w:instrText xml:space="preserve"> = 6 \* GB3 \* MERGEFORMAT </w:instrText>
      </w:r>
      <w:r>
        <w:rPr>
          <w:rFonts w:hint="default" w:ascii="Times New Roman" w:hAnsi="Times New Roman" w:cs="Times New Roman"/>
          <w:snapToGrid w:val="0"/>
          <w:color w:val="auto"/>
          <w:spacing w:val="0"/>
          <w:w w:val="100"/>
          <w:kern w:val="21"/>
          <w:position w:val="0"/>
          <w:sz w:val="21"/>
        </w:rPr>
        <w:fldChar w:fldCharType="separate"/>
      </w:r>
      <w:r>
        <w:rPr>
          <w:rFonts w:hint="default" w:ascii="Times New Roman" w:hAnsi="Times New Roman" w:cs="Times New Roman"/>
          <w:color w:val="auto"/>
          <w:spacing w:val="0"/>
          <w:w w:val="100"/>
          <w:position w:val="0"/>
          <w:sz w:val="21"/>
        </w:rPr>
        <w:t>⑥</w:t>
      </w:r>
      <w:r>
        <w:rPr>
          <w:rFonts w:hint="default" w:ascii="Times New Roman" w:hAnsi="Times New Roman" w:cs="Times New Roman"/>
          <w:color w:val="auto"/>
          <w:spacing w:val="0"/>
          <w:w w:val="100"/>
          <w:position w:val="0"/>
          <w:sz w:val="21"/>
        </w:rPr>
        <w:fldChar w:fldCharType="end"/>
      </w:r>
      <w:r>
        <w:rPr>
          <w:rFonts w:hint="default" w:ascii="Times New Roman" w:hAnsi="Times New Roman" w:cs="Times New Roman"/>
          <w:snapToGrid w:val="0"/>
          <w:color w:val="auto"/>
          <w:spacing w:val="0"/>
          <w:w w:val="100"/>
          <w:kern w:val="21"/>
          <w:position w:val="0"/>
          <w:sz w:val="21"/>
        </w:rPr>
        <w:t>=</w:t>
      </w:r>
      <w:r>
        <w:rPr>
          <w:rFonts w:hint="default" w:ascii="Times New Roman" w:hAnsi="Times New Roman" w:cs="Times New Roman"/>
          <w:snapToGrid w:val="0"/>
          <w:color w:val="auto"/>
          <w:spacing w:val="0"/>
          <w:w w:val="100"/>
          <w:kern w:val="21"/>
          <w:position w:val="0"/>
          <w:sz w:val="21"/>
        </w:rPr>
        <w:fldChar w:fldCharType="begin"/>
      </w:r>
      <w:r>
        <w:rPr>
          <w:rFonts w:hint="default" w:ascii="Times New Roman" w:hAnsi="Times New Roman" w:cs="Times New Roman"/>
          <w:snapToGrid w:val="0"/>
          <w:color w:val="auto"/>
          <w:spacing w:val="0"/>
          <w:w w:val="100"/>
          <w:kern w:val="21"/>
          <w:position w:val="0"/>
          <w:sz w:val="21"/>
        </w:rPr>
        <w:instrText xml:space="preserve"> = 1 \* GB3 \* MERGEFORMAT </w:instrText>
      </w:r>
      <w:r>
        <w:rPr>
          <w:rFonts w:hint="default" w:ascii="Times New Roman" w:hAnsi="Times New Roman" w:cs="Times New Roman"/>
          <w:snapToGrid w:val="0"/>
          <w:color w:val="auto"/>
          <w:spacing w:val="0"/>
          <w:w w:val="100"/>
          <w:kern w:val="21"/>
          <w:position w:val="0"/>
          <w:sz w:val="21"/>
        </w:rPr>
        <w:fldChar w:fldCharType="separate"/>
      </w:r>
      <w:r>
        <w:rPr>
          <w:rFonts w:hint="default" w:ascii="Times New Roman" w:hAnsi="Times New Roman" w:cs="Times New Roman"/>
          <w:color w:val="auto"/>
          <w:spacing w:val="0"/>
          <w:w w:val="100"/>
          <w:position w:val="0"/>
          <w:sz w:val="21"/>
        </w:rPr>
        <w:t>①</w:t>
      </w:r>
      <w:r>
        <w:rPr>
          <w:rFonts w:hint="default" w:ascii="Times New Roman" w:hAnsi="Times New Roman" w:cs="Times New Roman"/>
          <w:color w:val="auto"/>
          <w:spacing w:val="0"/>
          <w:w w:val="100"/>
          <w:position w:val="0"/>
          <w:sz w:val="21"/>
        </w:rPr>
        <w:fldChar w:fldCharType="end"/>
      </w:r>
      <w:r>
        <w:rPr>
          <w:rFonts w:hint="default" w:ascii="Times New Roman" w:hAnsi="Times New Roman" w:cs="Times New Roman"/>
          <w:snapToGrid w:val="0"/>
          <w:color w:val="auto"/>
          <w:spacing w:val="0"/>
          <w:w w:val="100"/>
          <w:kern w:val="21"/>
          <w:position w:val="0"/>
          <w:sz w:val="21"/>
        </w:rPr>
        <w:t>+</w:t>
      </w:r>
      <w:r>
        <w:rPr>
          <w:rFonts w:hint="default" w:ascii="Times New Roman" w:hAnsi="Times New Roman" w:cs="Times New Roman"/>
          <w:snapToGrid w:val="0"/>
          <w:color w:val="auto"/>
          <w:spacing w:val="0"/>
          <w:w w:val="100"/>
          <w:kern w:val="21"/>
          <w:position w:val="0"/>
          <w:sz w:val="21"/>
        </w:rPr>
        <w:fldChar w:fldCharType="begin"/>
      </w:r>
      <w:r>
        <w:rPr>
          <w:rFonts w:hint="default" w:ascii="Times New Roman" w:hAnsi="Times New Roman" w:cs="Times New Roman"/>
          <w:snapToGrid w:val="0"/>
          <w:color w:val="auto"/>
          <w:spacing w:val="0"/>
          <w:w w:val="100"/>
          <w:kern w:val="21"/>
          <w:position w:val="0"/>
          <w:sz w:val="21"/>
        </w:rPr>
        <w:instrText xml:space="preserve"> = 3 \* GB3 \* MERGEFORMAT </w:instrText>
      </w:r>
      <w:r>
        <w:rPr>
          <w:rFonts w:hint="default" w:ascii="Times New Roman" w:hAnsi="Times New Roman" w:cs="Times New Roman"/>
          <w:snapToGrid w:val="0"/>
          <w:color w:val="auto"/>
          <w:spacing w:val="0"/>
          <w:w w:val="100"/>
          <w:kern w:val="21"/>
          <w:position w:val="0"/>
          <w:sz w:val="21"/>
        </w:rPr>
        <w:fldChar w:fldCharType="separate"/>
      </w:r>
      <w:r>
        <w:rPr>
          <w:rFonts w:hint="default" w:ascii="Times New Roman" w:hAnsi="Times New Roman" w:cs="Times New Roman"/>
          <w:color w:val="auto"/>
          <w:spacing w:val="0"/>
          <w:w w:val="100"/>
          <w:position w:val="0"/>
          <w:sz w:val="21"/>
        </w:rPr>
        <w:t>③</w:t>
      </w:r>
      <w:r>
        <w:rPr>
          <w:rFonts w:hint="default" w:ascii="Times New Roman" w:hAnsi="Times New Roman" w:cs="Times New Roman"/>
          <w:color w:val="auto"/>
          <w:spacing w:val="0"/>
          <w:w w:val="100"/>
          <w:position w:val="0"/>
          <w:sz w:val="21"/>
        </w:rPr>
        <w:fldChar w:fldCharType="end"/>
      </w:r>
      <w:r>
        <w:rPr>
          <w:rFonts w:hint="default" w:ascii="Times New Roman" w:hAnsi="Times New Roman" w:cs="Times New Roman"/>
          <w:snapToGrid w:val="0"/>
          <w:color w:val="auto"/>
          <w:spacing w:val="0"/>
          <w:w w:val="100"/>
          <w:kern w:val="21"/>
          <w:position w:val="0"/>
          <w:sz w:val="21"/>
        </w:rPr>
        <w:t>+</w:t>
      </w:r>
      <w:r>
        <w:rPr>
          <w:rFonts w:hint="default" w:ascii="Times New Roman" w:hAnsi="Times New Roman" w:cs="Times New Roman"/>
          <w:snapToGrid w:val="0"/>
          <w:color w:val="auto"/>
          <w:spacing w:val="0"/>
          <w:w w:val="100"/>
          <w:kern w:val="21"/>
          <w:position w:val="0"/>
          <w:sz w:val="21"/>
        </w:rPr>
        <w:fldChar w:fldCharType="begin"/>
      </w:r>
      <w:r>
        <w:rPr>
          <w:rFonts w:hint="default" w:ascii="Times New Roman" w:hAnsi="Times New Roman" w:cs="Times New Roman"/>
          <w:snapToGrid w:val="0"/>
          <w:color w:val="auto"/>
          <w:spacing w:val="0"/>
          <w:w w:val="100"/>
          <w:kern w:val="21"/>
          <w:position w:val="0"/>
          <w:sz w:val="21"/>
        </w:rPr>
        <w:instrText xml:space="preserve"> = 4 \* GB3 \* MERGEFORMAT </w:instrText>
      </w:r>
      <w:r>
        <w:rPr>
          <w:rFonts w:hint="default" w:ascii="Times New Roman" w:hAnsi="Times New Roman" w:cs="Times New Roman"/>
          <w:snapToGrid w:val="0"/>
          <w:color w:val="auto"/>
          <w:spacing w:val="0"/>
          <w:w w:val="100"/>
          <w:kern w:val="21"/>
          <w:position w:val="0"/>
          <w:sz w:val="21"/>
        </w:rPr>
        <w:fldChar w:fldCharType="separate"/>
      </w:r>
      <w:r>
        <w:rPr>
          <w:rFonts w:hint="default" w:ascii="Times New Roman" w:hAnsi="Times New Roman" w:cs="Times New Roman"/>
          <w:color w:val="auto"/>
          <w:spacing w:val="0"/>
          <w:w w:val="100"/>
          <w:position w:val="0"/>
          <w:sz w:val="21"/>
        </w:rPr>
        <w:t>④</w:t>
      </w:r>
      <w:r>
        <w:rPr>
          <w:rFonts w:hint="default" w:ascii="Times New Roman" w:hAnsi="Times New Roman" w:cs="Times New Roman"/>
          <w:color w:val="auto"/>
          <w:spacing w:val="0"/>
          <w:w w:val="100"/>
          <w:position w:val="0"/>
          <w:sz w:val="21"/>
        </w:rPr>
        <w:fldChar w:fldCharType="end"/>
      </w:r>
      <w:r>
        <w:rPr>
          <w:rFonts w:hint="default" w:ascii="Times New Roman" w:hAnsi="Times New Roman" w:cs="Times New Roman"/>
          <w:snapToGrid w:val="0"/>
          <w:color w:val="auto"/>
          <w:spacing w:val="0"/>
          <w:w w:val="100"/>
          <w:kern w:val="21"/>
          <w:position w:val="0"/>
          <w:sz w:val="21"/>
        </w:rPr>
        <w:t>-</w:t>
      </w:r>
      <w:r>
        <w:rPr>
          <w:rFonts w:hint="default" w:ascii="Times New Roman" w:hAnsi="Times New Roman" w:cs="Times New Roman"/>
          <w:snapToGrid w:val="0"/>
          <w:color w:val="auto"/>
          <w:spacing w:val="0"/>
          <w:w w:val="100"/>
          <w:kern w:val="21"/>
          <w:position w:val="0"/>
          <w:sz w:val="21"/>
        </w:rPr>
        <w:fldChar w:fldCharType="begin"/>
      </w:r>
      <w:r>
        <w:rPr>
          <w:rFonts w:hint="default" w:ascii="Times New Roman" w:hAnsi="Times New Roman" w:cs="Times New Roman"/>
          <w:snapToGrid w:val="0"/>
          <w:color w:val="auto"/>
          <w:spacing w:val="0"/>
          <w:w w:val="100"/>
          <w:kern w:val="21"/>
          <w:position w:val="0"/>
          <w:sz w:val="21"/>
        </w:rPr>
        <w:instrText xml:space="preserve"> = 5 \* GB3 \* MERGEFORMAT </w:instrText>
      </w:r>
      <w:r>
        <w:rPr>
          <w:rFonts w:hint="default" w:ascii="Times New Roman" w:hAnsi="Times New Roman" w:cs="Times New Roman"/>
          <w:snapToGrid w:val="0"/>
          <w:color w:val="auto"/>
          <w:spacing w:val="0"/>
          <w:w w:val="100"/>
          <w:kern w:val="21"/>
          <w:position w:val="0"/>
          <w:sz w:val="21"/>
        </w:rPr>
        <w:fldChar w:fldCharType="separate"/>
      </w:r>
      <w:r>
        <w:rPr>
          <w:rFonts w:hint="default" w:ascii="Times New Roman" w:hAnsi="Times New Roman" w:cs="Times New Roman"/>
          <w:color w:val="auto"/>
          <w:spacing w:val="0"/>
          <w:w w:val="100"/>
          <w:position w:val="0"/>
          <w:sz w:val="21"/>
        </w:rPr>
        <w:t>⑤</w:t>
      </w:r>
      <w:r>
        <w:rPr>
          <w:rFonts w:hint="default" w:ascii="Times New Roman" w:hAnsi="Times New Roman" w:cs="Times New Roman"/>
          <w:color w:val="auto"/>
          <w:spacing w:val="0"/>
          <w:w w:val="100"/>
          <w:position w:val="0"/>
          <w:sz w:val="21"/>
        </w:rPr>
        <w:fldChar w:fldCharType="end"/>
      </w:r>
      <w:r>
        <w:rPr>
          <w:rFonts w:hint="default" w:ascii="Times New Roman" w:hAnsi="Times New Roman" w:cs="Times New Roman"/>
          <w:snapToGrid w:val="0"/>
          <w:color w:val="auto"/>
          <w:spacing w:val="0"/>
          <w:w w:val="100"/>
          <w:kern w:val="21"/>
          <w:position w:val="0"/>
          <w:sz w:val="21"/>
        </w:rPr>
        <w:t>；</w:t>
      </w:r>
      <w:r>
        <w:rPr>
          <w:rFonts w:hint="default" w:ascii="Times New Roman" w:hAnsi="Times New Roman" w:cs="Times New Roman"/>
          <w:snapToGrid w:val="0"/>
          <w:color w:val="auto"/>
          <w:spacing w:val="0"/>
          <w:w w:val="100"/>
          <w:kern w:val="21"/>
          <w:position w:val="0"/>
          <w:sz w:val="21"/>
        </w:rPr>
        <w:fldChar w:fldCharType="begin"/>
      </w:r>
      <w:r>
        <w:rPr>
          <w:rFonts w:hint="default" w:ascii="Times New Roman" w:hAnsi="Times New Roman" w:cs="Times New Roman"/>
          <w:snapToGrid w:val="0"/>
          <w:color w:val="auto"/>
          <w:spacing w:val="0"/>
          <w:w w:val="100"/>
          <w:kern w:val="21"/>
          <w:position w:val="0"/>
          <w:sz w:val="21"/>
        </w:rPr>
        <w:instrText xml:space="preserve"> = 7 \* GB3 \* MERGEFORMAT </w:instrText>
      </w:r>
      <w:r>
        <w:rPr>
          <w:rFonts w:hint="default" w:ascii="Times New Roman" w:hAnsi="Times New Roman" w:cs="Times New Roman"/>
          <w:snapToGrid w:val="0"/>
          <w:color w:val="auto"/>
          <w:spacing w:val="0"/>
          <w:w w:val="100"/>
          <w:kern w:val="21"/>
          <w:position w:val="0"/>
          <w:sz w:val="21"/>
        </w:rPr>
        <w:fldChar w:fldCharType="separate"/>
      </w:r>
      <w:r>
        <w:rPr>
          <w:rFonts w:hint="default" w:ascii="Times New Roman" w:hAnsi="Times New Roman" w:cs="Times New Roman"/>
          <w:color w:val="auto"/>
          <w:spacing w:val="0"/>
          <w:w w:val="100"/>
          <w:position w:val="0"/>
          <w:sz w:val="21"/>
        </w:rPr>
        <w:t>⑦</w:t>
      </w:r>
      <w:r>
        <w:rPr>
          <w:rFonts w:hint="default" w:ascii="Times New Roman" w:hAnsi="Times New Roman" w:cs="Times New Roman"/>
          <w:color w:val="auto"/>
          <w:spacing w:val="0"/>
          <w:w w:val="100"/>
          <w:position w:val="0"/>
          <w:sz w:val="21"/>
        </w:rPr>
        <w:fldChar w:fldCharType="end"/>
      </w:r>
      <w:r>
        <w:rPr>
          <w:rFonts w:hint="default" w:ascii="Times New Roman" w:hAnsi="Times New Roman" w:cs="Times New Roman"/>
          <w:snapToGrid w:val="0"/>
          <w:color w:val="auto"/>
          <w:spacing w:val="0"/>
          <w:w w:val="100"/>
          <w:kern w:val="21"/>
          <w:position w:val="0"/>
          <w:sz w:val="21"/>
        </w:rPr>
        <w:t>=</w:t>
      </w:r>
      <w:r>
        <w:rPr>
          <w:rFonts w:hint="default" w:ascii="Times New Roman" w:hAnsi="Times New Roman" w:cs="Times New Roman"/>
          <w:snapToGrid w:val="0"/>
          <w:color w:val="auto"/>
          <w:spacing w:val="0"/>
          <w:w w:val="100"/>
          <w:kern w:val="21"/>
          <w:position w:val="0"/>
          <w:sz w:val="21"/>
        </w:rPr>
        <w:fldChar w:fldCharType="begin"/>
      </w:r>
      <w:r>
        <w:rPr>
          <w:rFonts w:hint="default" w:ascii="Times New Roman" w:hAnsi="Times New Roman" w:cs="Times New Roman"/>
          <w:snapToGrid w:val="0"/>
          <w:color w:val="auto"/>
          <w:spacing w:val="0"/>
          <w:w w:val="100"/>
          <w:kern w:val="21"/>
          <w:position w:val="0"/>
          <w:sz w:val="21"/>
        </w:rPr>
        <w:instrText xml:space="preserve"> = 6 \* GB3 \* MERGEFORMAT </w:instrText>
      </w:r>
      <w:r>
        <w:rPr>
          <w:rFonts w:hint="default" w:ascii="Times New Roman" w:hAnsi="Times New Roman" w:cs="Times New Roman"/>
          <w:snapToGrid w:val="0"/>
          <w:color w:val="auto"/>
          <w:spacing w:val="0"/>
          <w:w w:val="100"/>
          <w:kern w:val="21"/>
          <w:position w:val="0"/>
          <w:sz w:val="21"/>
        </w:rPr>
        <w:fldChar w:fldCharType="separate"/>
      </w:r>
      <w:r>
        <w:rPr>
          <w:rFonts w:hint="default" w:ascii="Times New Roman" w:hAnsi="Times New Roman" w:cs="Times New Roman"/>
          <w:color w:val="auto"/>
          <w:spacing w:val="0"/>
          <w:w w:val="100"/>
          <w:position w:val="0"/>
          <w:sz w:val="21"/>
        </w:rPr>
        <w:t>⑥</w:t>
      </w:r>
      <w:r>
        <w:rPr>
          <w:rFonts w:hint="default" w:ascii="Times New Roman" w:hAnsi="Times New Roman" w:cs="Times New Roman"/>
          <w:color w:val="auto"/>
          <w:spacing w:val="0"/>
          <w:w w:val="100"/>
          <w:position w:val="0"/>
          <w:sz w:val="21"/>
        </w:rPr>
        <w:fldChar w:fldCharType="end"/>
      </w:r>
      <w:r>
        <w:rPr>
          <w:rFonts w:hint="default" w:ascii="Times New Roman" w:hAnsi="Times New Roman" w:cs="Times New Roman"/>
          <w:snapToGrid w:val="0"/>
          <w:color w:val="auto"/>
          <w:spacing w:val="0"/>
          <w:w w:val="100"/>
          <w:kern w:val="21"/>
          <w:position w:val="0"/>
          <w:sz w:val="21"/>
        </w:rPr>
        <w:t>-</w:t>
      </w:r>
      <w:r>
        <w:rPr>
          <w:rFonts w:hint="default" w:ascii="Times New Roman" w:hAnsi="Times New Roman" w:cs="Times New Roman"/>
          <w:snapToGrid w:val="0"/>
          <w:color w:val="auto"/>
          <w:spacing w:val="0"/>
          <w:w w:val="100"/>
          <w:kern w:val="21"/>
          <w:position w:val="0"/>
          <w:sz w:val="21"/>
        </w:rPr>
        <w:fldChar w:fldCharType="begin"/>
      </w:r>
      <w:r>
        <w:rPr>
          <w:rFonts w:hint="default" w:ascii="Times New Roman" w:hAnsi="Times New Roman" w:cs="Times New Roman"/>
          <w:snapToGrid w:val="0"/>
          <w:color w:val="auto"/>
          <w:spacing w:val="0"/>
          <w:w w:val="100"/>
          <w:kern w:val="21"/>
          <w:position w:val="0"/>
          <w:sz w:val="21"/>
        </w:rPr>
        <w:instrText xml:space="preserve"> = 1 \* GB3 \* MERGEFORMAT </w:instrText>
      </w:r>
      <w:r>
        <w:rPr>
          <w:rFonts w:hint="default" w:ascii="Times New Roman" w:hAnsi="Times New Roman" w:cs="Times New Roman"/>
          <w:snapToGrid w:val="0"/>
          <w:color w:val="auto"/>
          <w:spacing w:val="0"/>
          <w:w w:val="100"/>
          <w:kern w:val="21"/>
          <w:position w:val="0"/>
          <w:sz w:val="21"/>
        </w:rPr>
        <w:fldChar w:fldCharType="separate"/>
      </w:r>
      <w:r>
        <w:rPr>
          <w:rFonts w:hint="default" w:ascii="Times New Roman" w:hAnsi="Times New Roman" w:cs="Times New Roman"/>
          <w:color w:val="auto"/>
          <w:spacing w:val="0"/>
          <w:w w:val="100"/>
          <w:position w:val="0"/>
          <w:sz w:val="21"/>
        </w:rPr>
        <w:t>①</w:t>
      </w:r>
      <w:r>
        <w:rPr>
          <w:rFonts w:hint="default" w:ascii="Times New Roman" w:hAnsi="Times New Roman" w:cs="Times New Roman"/>
          <w:color w:val="auto"/>
          <w:spacing w:val="0"/>
          <w:w w:val="100"/>
          <w:position w:val="0"/>
          <w:sz w:val="21"/>
        </w:rPr>
        <w:fldChar w:fldCharType="end"/>
      </w:r>
    </w:p>
    <w:p w14:paraId="66993403">
      <w:pPr>
        <w:ind w:left="0" w:leftChars="0" w:firstLine="0" w:firstLineChars="0"/>
        <w:jc w:val="center"/>
        <w:rPr>
          <w:rFonts w:hint="default" w:ascii="Times New Roman" w:hAnsi="Times New Roman" w:cs="Times New Roman"/>
          <w:highlight w:val="none"/>
        </w:rPr>
      </w:pPr>
      <w:r>
        <w:rPr>
          <w:rFonts w:hint="default" w:ascii="Times New Roman" w:hAnsi="Times New Roman" w:cs="Times New Roman"/>
          <w:sz w:val="28"/>
          <w:highlight w:val="none"/>
        </w:rPr>
        <w:drawing>
          <wp:anchor distT="0" distB="0" distL="114300" distR="114300" simplePos="0" relativeHeight="251670528" behindDoc="0" locked="0" layoutInCell="1" allowOverlap="1">
            <wp:simplePos x="0" y="0"/>
            <wp:positionH relativeFrom="column">
              <wp:posOffset>570230</wp:posOffset>
            </wp:positionH>
            <wp:positionV relativeFrom="paragraph">
              <wp:posOffset>3549015</wp:posOffset>
            </wp:positionV>
            <wp:extent cx="1808480" cy="1226820"/>
            <wp:effectExtent l="0" t="0" r="1270" b="11430"/>
            <wp:wrapNone/>
            <wp:docPr id="30" name="图片 30" descr="2797ea8356d5804065c0ab0172d2a4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797ea8356d5804065c0ab0172d2a4c9"/>
                    <pic:cNvPicPr>
                      <a:picLocks noChangeAspect="1"/>
                    </pic:cNvPicPr>
                  </pic:nvPicPr>
                  <pic:blipFill>
                    <a:blip r:embed="rId28"/>
                    <a:stretch>
                      <a:fillRect/>
                    </a:stretch>
                  </pic:blipFill>
                  <pic:spPr>
                    <a:xfrm>
                      <a:off x="0" y="0"/>
                      <a:ext cx="1808480" cy="1226820"/>
                    </a:xfrm>
                    <a:prstGeom prst="rect">
                      <a:avLst/>
                    </a:prstGeom>
                  </pic:spPr>
                </pic:pic>
              </a:graphicData>
            </a:graphic>
          </wp:anchor>
        </w:drawing>
      </w:r>
      <w:r>
        <w:rPr>
          <w:rFonts w:hint="default" w:ascii="Times New Roman" w:hAnsi="Times New Roman" w:cs="Times New Roman"/>
          <w:sz w:val="28"/>
          <w:highlight w:val="none"/>
        </w:rPr>
        <mc:AlternateContent>
          <mc:Choice Requires="wps">
            <w:drawing>
              <wp:anchor distT="0" distB="0" distL="114300" distR="114300" simplePos="0" relativeHeight="251669504" behindDoc="0" locked="0" layoutInCell="1" allowOverlap="1">
                <wp:simplePos x="0" y="0"/>
                <wp:positionH relativeFrom="column">
                  <wp:posOffset>2225040</wp:posOffset>
                </wp:positionH>
                <wp:positionV relativeFrom="paragraph">
                  <wp:posOffset>2597150</wp:posOffset>
                </wp:positionV>
                <wp:extent cx="2168525" cy="981075"/>
                <wp:effectExtent l="0" t="6985" r="3175" b="21590"/>
                <wp:wrapNone/>
                <wp:docPr id="29" name="直接连接符 29"/>
                <wp:cNvGraphicFramePr/>
                <a:graphic xmlns:a="http://schemas.openxmlformats.org/drawingml/2006/main">
                  <a:graphicData uri="http://schemas.microsoft.com/office/word/2010/wordprocessingShape">
                    <wps:wsp>
                      <wps:cNvCnPr/>
                      <wps:spPr>
                        <a:xfrm flipH="1">
                          <a:off x="0" y="0"/>
                          <a:ext cx="2168525" cy="981075"/>
                        </a:xfrm>
                        <a:prstGeom prst="line">
                          <a:avLst/>
                        </a:prstGeom>
                        <a:ln w="15875" cap="flat" cmpd="sng">
                          <a:solidFill>
                            <a:srgbClr val="FF0000"/>
                          </a:solidFill>
                          <a:prstDash val="solid"/>
                          <a:headEnd type="none" w="med" len="med"/>
                          <a:tailEnd type="stealth" w="lg" len="lg"/>
                        </a:ln>
                      </wps:spPr>
                      <wps:bodyPr upright="1"/>
                    </wps:wsp>
                  </a:graphicData>
                </a:graphic>
              </wp:anchor>
            </w:drawing>
          </mc:Choice>
          <mc:Fallback>
            <w:pict>
              <v:line id="_x0000_s1026" o:spid="_x0000_s1026" o:spt="20" style="position:absolute;left:0pt;flip:x;margin-left:175.2pt;margin-top:204.5pt;height:77.25pt;width:170.75pt;z-index:251669504;mso-width-relative:page;mso-height-relative:page;" filled="f" stroked="t" coordsize="21600,21600" o:gfxdata="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Qr8vjbAAAACwEAAA8AAAAAAAAA&#10;AQAgAAAAIgAAAGRycy9kb3ducmV2LnhtbFBLAQIUABQAAAAIAIdO4kDeA61RDgIAAPcDAAAOAAAA&#10;AAAAAAEAIAAAACoBAABkcnMvZTJvRG9jLnhtbFBLBQYAAAAABgAGAFkBAACqBQAAAAA=&#10;">
                <v:fill on="f" focussize="0,0"/>
                <v:stroke weight="1.25pt" color="#FF0000" joinstyle="round" endarrow="classic" endarrowwidth="wide" endarrowlength="long"/>
                <v:imagedata o:title=""/>
                <o:lock v:ext="edit" aspectratio="f"/>
              </v:lin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8480" behindDoc="0" locked="0" layoutInCell="1" allowOverlap="1">
                <wp:simplePos x="0" y="0"/>
                <wp:positionH relativeFrom="column">
                  <wp:posOffset>3121025</wp:posOffset>
                </wp:positionH>
                <wp:positionV relativeFrom="paragraph">
                  <wp:posOffset>1525905</wp:posOffset>
                </wp:positionV>
                <wp:extent cx="906780" cy="317500"/>
                <wp:effectExtent l="5080" t="5080" r="402590" b="763270"/>
                <wp:wrapNone/>
                <wp:docPr id="28" name="矩形标注 28"/>
                <wp:cNvGraphicFramePr/>
                <a:graphic xmlns:a="http://schemas.openxmlformats.org/drawingml/2006/main">
                  <a:graphicData uri="http://schemas.microsoft.com/office/word/2010/wordprocessingShape">
                    <wps:wsp>
                      <wps:cNvSpPr/>
                      <wps:spPr>
                        <a:xfrm>
                          <a:off x="0" y="0"/>
                          <a:ext cx="906780" cy="317500"/>
                        </a:xfrm>
                        <a:prstGeom prst="wedgeRectCallout">
                          <a:avLst>
                            <a:gd name="adj1" fmla="val 90352"/>
                            <a:gd name="adj2" fmla="val 277602"/>
                          </a:avLst>
                        </a:prstGeom>
                        <a:noFill/>
                        <a:ln w="9525" cap="flat" cmpd="sng">
                          <a:solidFill>
                            <a:srgbClr val="000000"/>
                          </a:solidFill>
                          <a:prstDash val="solid"/>
                          <a:miter/>
                          <a:headEnd type="none" w="med" len="med"/>
                          <a:tailEnd type="none" w="med" len="med"/>
                        </a:ln>
                      </wps:spPr>
                      <wps:txbx>
                        <w:txbxContent>
                          <w:p w14:paraId="0820B489">
                            <w:pPr>
                              <w:ind w:left="0" w:leftChars="0" w:firstLine="0" w:firstLineChars="0"/>
                              <w:jc w:val="both"/>
                              <w:rPr>
                                <w:b/>
                                <w:bCs/>
                                <w:color w:val="FF0000"/>
                              </w:rPr>
                            </w:pPr>
                            <w:r>
                              <w:rPr>
                                <w:rFonts w:hint="eastAsia"/>
                                <w:b/>
                                <w:bCs/>
                                <w:color w:val="FF0000"/>
                              </w:rPr>
                              <w:t>项目所在地</w:t>
                            </w:r>
                          </w:p>
                        </w:txbxContent>
                      </wps:txbx>
                      <wps:bodyPr upright="1"/>
                    </wps:wsp>
                  </a:graphicData>
                </a:graphic>
              </wp:anchor>
            </w:drawing>
          </mc:Choice>
          <mc:Fallback>
            <w:pict>
              <v:shape id="_x0000_s1026" o:spid="_x0000_s1026" o:spt="61" type="#_x0000_t61" style="position:absolute;left:0pt;margin-left:245.75pt;margin-top:120.15pt;height:25pt;width:71.4pt;z-index:251668480;mso-width-relative:page;mso-height-relative:page;" filled="f" stroked="t" coordsize="21600,21600" o:gfxdata="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vPDOY2QAAAAsBAAAPAAAAAAAAAAEAIAAAACIAAABkcnMvZG93bnJl&#10;di54bWxQSwECFAAUAAAACACHTuJAq3GnSDUCAABlBAAADgAAAAAAAAABACAAAAAoAQAAZHJzL2Uy&#10;b0RvYy54bWxQSwUGAAAAAAYABgBZAQAAzwUAAAAA&#10;" adj="30316,70762">
                <v:fill on="f" focussize="0,0"/>
                <v:stroke color="#000000" joinstyle="miter"/>
                <v:imagedata o:title=""/>
                <o:lock v:ext="edit" aspectratio="f"/>
                <v:textbox>
                  <w:txbxContent>
                    <w:p w14:paraId="0820B489">
                      <w:pPr>
                        <w:ind w:left="0" w:leftChars="0" w:firstLine="0" w:firstLineChars="0"/>
                        <w:jc w:val="both"/>
                        <w:rPr>
                          <w:b/>
                          <w:bCs/>
                          <w:color w:val="FF0000"/>
                        </w:rPr>
                      </w:pPr>
                      <w:r>
                        <w:rPr>
                          <w:rFonts w:hint="eastAsia"/>
                          <w:b/>
                          <w:bCs/>
                          <w:color w:val="FF0000"/>
                        </w:rPr>
                        <w:t>项目所在地</w:t>
                      </w:r>
                    </w:p>
                  </w:txbxContent>
                </v:textbox>
              </v:shape>
            </w:pict>
          </mc:Fallback>
        </mc:AlternateContent>
      </w:r>
      <w:r>
        <w:rPr>
          <w:rFonts w:hint="default" w:ascii="Times New Roman" w:hAnsi="Times New Roman" w:cs="Times New Roman"/>
          <w:highlight w:val="none"/>
        </w:rPr>
        <w:drawing>
          <wp:inline distT="0" distB="0" distL="114300" distR="114300">
            <wp:extent cx="8066405" cy="4747260"/>
            <wp:effectExtent l="19050" t="19050" r="29845" b="34290"/>
            <wp:docPr id="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pic:cNvPicPr>
                      <a:picLocks noChangeAspect="1"/>
                    </pic:cNvPicPr>
                  </pic:nvPicPr>
                  <pic:blipFill>
                    <a:blip r:embed="rId29"/>
                    <a:srcRect t="3230"/>
                    <a:stretch>
                      <a:fillRect/>
                    </a:stretch>
                  </pic:blipFill>
                  <pic:spPr>
                    <a:xfrm>
                      <a:off x="0" y="0"/>
                      <a:ext cx="8066405" cy="4747260"/>
                    </a:xfrm>
                    <a:prstGeom prst="rect">
                      <a:avLst/>
                    </a:prstGeom>
                    <a:noFill/>
                    <a:ln w="19050" cap="flat" cmpd="sng">
                      <a:solidFill>
                        <a:srgbClr val="000000"/>
                      </a:solidFill>
                      <a:prstDash val="solid"/>
                      <a:miter/>
                      <a:headEnd type="none" w="med" len="med"/>
                      <a:tailEnd type="none" w="med" len="med"/>
                    </a:ln>
                  </pic:spPr>
                </pic:pic>
              </a:graphicData>
            </a:graphic>
          </wp:inline>
        </w:drawing>
      </w:r>
      <w:r>
        <w:rPr>
          <w:rFonts w:hint="default" w:ascii="Times New Roman" w:hAnsi="Times New Roman" w:cs="Times New Roman"/>
        </w:rPr>
        <w:drawing>
          <wp:anchor distT="0" distB="0" distL="114300" distR="114300" simplePos="0" relativeHeight="251667456" behindDoc="0" locked="0" layoutInCell="1" allowOverlap="1">
            <wp:simplePos x="0" y="0"/>
            <wp:positionH relativeFrom="column">
              <wp:posOffset>7825740</wp:posOffset>
            </wp:positionH>
            <wp:positionV relativeFrom="paragraph">
              <wp:posOffset>4292600</wp:posOffset>
            </wp:positionV>
            <wp:extent cx="619125" cy="485775"/>
            <wp:effectExtent l="0" t="0" r="9525" b="9525"/>
            <wp:wrapNone/>
            <wp:docPr id="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7"/>
                    <pic:cNvPicPr>
                      <a:picLocks noChangeAspect="1"/>
                    </pic:cNvPicPr>
                  </pic:nvPicPr>
                  <pic:blipFill>
                    <a:blip r:embed="rId30"/>
                    <a:stretch>
                      <a:fillRect/>
                    </a:stretch>
                  </pic:blipFill>
                  <pic:spPr>
                    <a:xfrm>
                      <a:off x="0" y="0"/>
                      <a:ext cx="619125" cy="485775"/>
                    </a:xfrm>
                    <a:prstGeom prst="rect">
                      <a:avLst/>
                    </a:prstGeom>
                    <a:noFill/>
                    <a:ln>
                      <a:noFill/>
                    </a:ln>
                  </pic:spPr>
                </pic:pic>
              </a:graphicData>
            </a:graphic>
          </wp:anchor>
        </w:drawing>
      </w:r>
      <w:r>
        <w:rPr>
          <w:rFonts w:hint="default" w:ascii="Times New Roman" w:hAnsi="Times New Roman" w:cs="Times New Roman"/>
          <w:color w:val="auto"/>
          <w:highlight w:val="none"/>
        </w:rPr>
        <w:drawing>
          <wp:anchor distT="0" distB="0" distL="114300" distR="114300" simplePos="0" relativeHeight="251666432" behindDoc="0" locked="0" layoutInCell="1" allowOverlap="1">
            <wp:simplePos x="0" y="0"/>
            <wp:positionH relativeFrom="column">
              <wp:posOffset>7689215</wp:posOffset>
            </wp:positionH>
            <wp:positionV relativeFrom="paragraph">
              <wp:posOffset>22225</wp:posOffset>
            </wp:positionV>
            <wp:extent cx="742950" cy="857250"/>
            <wp:effectExtent l="0" t="0" r="0" b="0"/>
            <wp:wrapNone/>
            <wp:docPr id="26"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33"/>
                    <pic:cNvPicPr>
                      <a:picLocks noChangeAspect="1"/>
                    </pic:cNvPicPr>
                  </pic:nvPicPr>
                  <pic:blipFill>
                    <a:blip r:embed="rId31"/>
                    <a:stretch>
                      <a:fillRect/>
                    </a:stretch>
                  </pic:blipFill>
                  <pic:spPr>
                    <a:xfrm>
                      <a:off x="0" y="0"/>
                      <a:ext cx="742950" cy="857250"/>
                    </a:xfrm>
                    <a:prstGeom prst="rect">
                      <a:avLst/>
                    </a:prstGeom>
                    <a:noFill/>
                    <a:ln>
                      <a:noFill/>
                    </a:ln>
                  </pic:spPr>
                </pic:pic>
              </a:graphicData>
            </a:graphic>
          </wp:anchor>
        </w:drawing>
      </w:r>
    </w:p>
    <w:p w14:paraId="64F8D0D4">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0"/>
        <w:rPr>
          <w:rFonts w:hint="default" w:ascii="Times New Roman" w:hAnsi="Times New Roman" w:eastAsia="宋体" w:cs="Times New Roman"/>
          <w:b/>
          <w:bCs/>
          <w:color w:val="auto"/>
          <w:kern w:val="2"/>
          <w:sz w:val="28"/>
          <w:szCs w:val="28"/>
          <w:highlight w:val="none"/>
          <w:lang w:val="en-US" w:eastAsia="zh-CN" w:bidi="ar-SA"/>
        </w:rPr>
        <w:sectPr>
          <w:pgSz w:w="16838" w:h="11906" w:orient="landscape"/>
          <w:pgMar w:top="1701" w:right="1134" w:bottom="1701" w:left="1134"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kern w:val="2"/>
          <w:sz w:val="28"/>
          <w:szCs w:val="28"/>
          <w:highlight w:val="none"/>
          <w:lang w:val="en-US" w:eastAsia="zh-CN" w:bidi="ar-SA"/>
        </w:rPr>
        <w:t>附图1  项目地理位置图</w:t>
      </w:r>
    </w:p>
    <w:p w14:paraId="68B8E79D">
      <w:pPr>
        <w:pStyle w:val="2"/>
        <w:ind w:left="0" w:leftChars="0" w:firstLine="0" w:firstLineChars="0"/>
        <w:jc w:val="center"/>
        <w:rPr>
          <w:rFonts w:hint="default" w:ascii="Times New Roman" w:hAnsi="Times New Roman" w:eastAsia="等线" w:cs="Times New Roman"/>
          <w:lang w:eastAsia="zh-CN"/>
        </w:rPr>
      </w:pPr>
      <w:r>
        <w:rPr>
          <w:rFonts w:hint="default" w:ascii="Times New Roman" w:hAnsi="Times New Roman" w:cs="Times New Roman"/>
          <w:sz w:val="21"/>
        </w:rPr>
        <mc:AlternateContent>
          <mc:Choice Requires="wps">
            <w:drawing>
              <wp:anchor distT="0" distB="0" distL="114300" distR="114300" simplePos="0" relativeHeight="251673600" behindDoc="0" locked="0" layoutInCell="1" allowOverlap="1">
                <wp:simplePos x="0" y="0"/>
                <wp:positionH relativeFrom="column">
                  <wp:posOffset>2306320</wp:posOffset>
                </wp:positionH>
                <wp:positionV relativeFrom="paragraph">
                  <wp:posOffset>1934210</wp:posOffset>
                </wp:positionV>
                <wp:extent cx="821055" cy="278765"/>
                <wp:effectExtent l="0" t="0" r="0" b="0"/>
                <wp:wrapNone/>
                <wp:docPr id="35" name="文本框 35"/>
                <wp:cNvGraphicFramePr/>
                <a:graphic xmlns:a="http://schemas.openxmlformats.org/drawingml/2006/main">
                  <a:graphicData uri="http://schemas.microsoft.com/office/word/2010/wordprocessingShape">
                    <wps:wsp>
                      <wps:cNvSpPr txBox="1"/>
                      <wps:spPr>
                        <a:xfrm>
                          <a:off x="3404235" y="3089910"/>
                          <a:ext cx="821055" cy="2787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BB88B3">
                            <w:pPr>
                              <w:rPr>
                                <w:rFonts w:hint="default" w:eastAsia="等线"/>
                                <w:color w:val="FF0000"/>
                                <w:lang w:val="en-US" w:eastAsia="zh-CN"/>
                              </w:rPr>
                            </w:pPr>
                            <w:r>
                              <w:rPr>
                                <w:rFonts w:hint="eastAsia"/>
                                <w:color w:val="FF0000"/>
                                <w:lang w:val="en-US" w:eastAsia="zh-CN"/>
                              </w:rPr>
                              <w:t>203m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1.6pt;margin-top:152.3pt;height:21.95pt;width:64.65pt;z-index:251673600;mso-width-relative:page;mso-height-relative:page;" filled="f" stroked="f" coordsize="21600,21600" o:gfxdata="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D1nmZnbAAAACwEAAA8AAAAAAAAA&#10;AQAgAAAAIgAAAGRycy9kb3ducmV2LnhtbFBLAQIUABQAAAAIAIdO4kDUoJ5wRwIAAHMEAAAOAAAA&#10;AAAAAAEAIAAAACoBAABkcnMvZTJvRG9jLnhtbFBLBQYAAAAABgAGAFkBAADjBQAAAAA=&#10;">
                <v:fill on="f" focussize="0,0"/>
                <v:stroke on="f" weight="0.5pt"/>
                <v:imagedata o:title=""/>
                <o:lock v:ext="edit" aspectratio="f"/>
                <v:textbox>
                  <w:txbxContent>
                    <w:p w14:paraId="60BB88B3">
                      <w:pPr>
                        <w:rPr>
                          <w:rFonts w:hint="default" w:eastAsia="等线"/>
                          <w:color w:val="FF0000"/>
                          <w:lang w:val="en-US" w:eastAsia="zh-CN"/>
                        </w:rPr>
                      </w:pPr>
                      <w:r>
                        <w:rPr>
                          <w:rFonts w:hint="eastAsia"/>
                          <w:color w:val="FF0000"/>
                          <w:lang w:val="en-US" w:eastAsia="zh-CN"/>
                        </w:rPr>
                        <w:t>203m</w:t>
                      </w:r>
                    </w:p>
                  </w:txbxContent>
                </v:textbox>
              </v:shape>
            </w:pict>
          </mc:Fallback>
        </mc:AlternateContent>
      </w:r>
      <w:r>
        <w:rPr>
          <w:rFonts w:hint="default" w:ascii="Times New Roman" w:hAnsi="Times New Roman" w:cs="Times New Roman"/>
          <w:sz w:val="21"/>
        </w:rPr>
        <mc:AlternateContent>
          <mc:Choice Requires="wps">
            <w:drawing>
              <wp:anchor distT="0" distB="0" distL="114300" distR="114300" simplePos="0" relativeHeight="251672576" behindDoc="0" locked="0" layoutInCell="1" allowOverlap="1">
                <wp:simplePos x="0" y="0"/>
                <wp:positionH relativeFrom="column">
                  <wp:posOffset>2153285</wp:posOffset>
                </wp:positionH>
                <wp:positionV relativeFrom="paragraph">
                  <wp:posOffset>2227580</wp:posOffset>
                </wp:positionV>
                <wp:extent cx="1076960" cy="6985"/>
                <wp:effectExtent l="0" t="48895" r="8890" b="58420"/>
                <wp:wrapNone/>
                <wp:docPr id="34" name="直接箭头连接符 34"/>
                <wp:cNvGraphicFramePr/>
                <a:graphic xmlns:a="http://schemas.openxmlformats.org/drawingml/2006/main">
                  <a:graphicData uri="http://schemas.microsoft.com/office/word/2010/wordprocessingShape">
                    <wps:wsp>
                      <wps:cNvCnPr/>
                      <wps:spPr>
                        <a:xfrm flipV="1">
                          <a:off x="3067685" y="3368675"/>
                          <a:ext cx="1076960" cy="6985"/>
                        </a:xfrm>
                        <a:prstGeom prst="straightConnector1">
                          <a:avLst/>
                        </a:prstGeom>
                        <a:ln w="6350">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69.55pt;margin-top:175.4pt;height:0.55pt;width:84.8pt;z-index:251672576;mso-width-relative:page;mso-height-relative:page;" filled="f" stroked="t" coordsize="21600,21600" o:gfxdata="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OanQPYAAAACwEAAA8AAAAAAAAA&#10;AQAgAAAAIgAAAGRycy9kb3ducmV2LnhtbFBLAQIUABQAAAAIAIdO4kC+3FdIEQIAAOIDAAAOAAAA&#10;AAAAAAEAIAAAACcBAABkcnMvZTJvRG9jLnhtbFBLBQYAAAAABgAGAFkBAACqBQAAAAA=&#10;">
                <v:fill on="f" focussize="0,0"/>
                <v:stroke weight="0.5pt" color="#FF0000 [3204]" joinstyle="round" endarrow="open"/>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71552" behindDoc="0" locked="0" layoutInCell="1" allowOverlap="1">
                <wp:simplePos x="0" y="0"/>
                <wp:positionH relativeFrom="column">
                  <wp:posOffset>767080</wp:posOffset>
                </wp:positionH>
                <wp:positionV relativeFrom="paragraph">
                  <wp:posOffset>1075055</wp:posOffset>
                </wp:positionV>
                <wp:extent cx="906780" cy="317500"/>
                <wp:effectExtent l="5080" t="5080" r="402590" b="763270"/>
                <wp:wrapNone/>
                <wp:docPr id="33" name="矩形标注 33"/>
                <wp:cNvGraphicFramePr/>
                <a:graphic xmlns:a="http://schemas.openxmlformats.org/drawingml/2006/main">
                  <a:graphicData uri="http://schemas.microsoft.com/office/word/2010/wordprocessingShape">
                    <wps:wsp>
                      <wps:cNvSpPr/>
                      <wps:spPr>
                        <a:xfrm>
                          <a:off x="0" y="0"/>
                          <a:ext cx="906780" cy="317500"/>
                        </a:xfrm>
                        <a:prstGeom prst="wedgeRectCallout">
                          <a:avLst>
                            <a:gd name="adj1" fmla="val 90352"/>
                            <a:gd name="adj2" fmla="val 277602"/>
                          </a:avLst>
                        </a:prstGeom>
                        <a:noFill/>
                        <a:ln w="9525" cap="flat" cmpd="sng">
                          <a:solidFill>
                            <a:srgbClr val="000000"/>
                          </a:solidFill>
                          <a:prstDash val="solid"/>
                          <a:miter/>
                          <a:headEnd type="none" w="med" len="med"/>
                          <a:tailEnd type="none" w="med" len="med"/>
                        </a:ln>
                      </wps:spPr>
                      <wps:txbx>
                        <w:txbxContent>
                          <w:p w14:paraId="4C7D0312">
                            <w:pPr>
                              <w:ind w:left="0" w:leftChars="0" w:firstLine="0" w:firstLineChars="0"/>
                              <w:jc w:val="both"/>
                              <w:rPr>
                                <w:b/>
                                <w:bCs/>
                                <w:color w:val="FF0000"/>
                              </w:rPr>
                            </w:pPr>
                            <w:r>
                              <w:rPr>
                                <w:rFonts w:hint="eastAsia"/>
                                <w:b/>
                                <w:bCs/>
                                <w:color w:val="FF0000"/>
                              </w:rPr>
                              <w:t>项目所在地</w:t>
                            </w:r>
                          </w:p>
                        </w:txbxContent>
                      </wps:txbx>
                      <wps:bodyPr upright="1"/>
                    </wps:wsp>
                  </a:graphicData>
                </a:graphic>
              </wp:anchor>
            </w:drawing>
          </mc:Choice>
          <mc:Fallback>
            <w:pict>
              <v:shape id="_x0000_s1026" o:spid="_x0000_s1026" o:spt="61" type="#_x0000_t61" style="position:absolute;left:0pt;margin-left:60.4pt;margin-top:84.65pt;height:25pt;width:71.4pt;z-index:251671552;mso-width-relative:page;mso-height-relative:page;" filled="f" stroked="t" coordsize="21600,21600" o:gfxdata="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A1CMHtcAAAALAQAADwAAAAAAAAABACAAAAAiAAAAZHJzL2Rvd25yZXYu&#10;eG1sUEsBAhQAFAAAAAgAh07iQLaFRso1AgAAZQQAAA4AAAAAAAAAAQAgAAAAJgEAAGRycy9lMm9E&#10;b2MueG1sUEsFBgAAAAAGAAYAWQEAAM0FAAAAAA==&#10;" adj="30316,70762">
                <v:fill on="f" focussize="0,0"/>
                <v:stroke color="#000000" joinstyle="miter"/>
                <v:imagedata o:title=""/>
                <o:lock v:ext="edit" aspectratio="f"/>
                <v:textbox>
                  <w:txbxContent>
                    <w:p w14:paraId="4C7D0312">
                      <w:pPr>
                        <w:ind w:left="0" w:leftChars="0" w:firstLine="0" w:firstLineChars="0"/>
                        <w:jc w:val="both"/>
                        <w:rPr>
                          <w:b/>
                          <w:bCs/>
                          <w:color w:val="FF0000"/>
                        </w:rPr>
                      </w:pPr>
                      <w:r>
                        <w:rPr>
                          <w:rFonts w:hint="eastAsia"/>
                          <w:b/>
                          <w:bCs/>
                          <w:color w:val="FF0000"/>
                        </w:rPr>
                        <w:t>项目所在地</w:t>
                      </w:r>
                    </w:p>
                  </w:txbxContent>
                </v:textbox>
              </v:shape>
            </w:pict>
          </mc:Fallback>
        </mc:AlternateContent>
      </w:r>
      <w:r>
        <w:rPr>
          <w:rFonts w:hint="default" w:ascii="Times New Roman" w:hAnsi="Times New Roman" w:eastAsia="等线" w:cs="Times New Roman"/>
          <w:lang w:eastAsia="zh-CN"/>
        </w:rPr>
        <w:drawing>
          <wp:inline distT="0" distB="0" distL="114300" distR="114300">
            <wp:extent cx="8042275" cy="4497705"/>
            <wp:effectExtent l="0" t="0" r="15875" b="17145"/>
            <wp:docPr id="31" name="图片 31" descr="18328ef7e298facb6004bf5e7f231f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8328ef7e298facb6004bf5e7f231faa"/>
                    <pic:cNvPicPr>
                      <a:picLocks noChangeAspect="1"/>
                    </pic:cNvPicPr>
                  </pic:nvPicPr>
                  <pic:blipFill>
                    <a:blip r:embed="rId32"/>
                    <a:stretch>
                      <a:fillRect/>
                    </a:stretch>
                  </pic:blipFill>
                  <pic:spPr>
                    <a:xfrm>
                      <a:off x="0" y="0"/>
                      <a:ext cx="8042275" cy="4497705"/>
                    </a:xfrm>
                    <a:prstGeom prst="rect">
                      <a:avLst/>
                    </a:prstGeom>
                  </pic:spPr>
                </pic:pic>
              </a:graphicData>
            </a:graphic>
          </wp:inline>
        </w:drawing>
      </w:r>
    </w:p>
    <w:p w14:paraId="35D443D2">
      <w:pPr>
        <w:pStyle w:val="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0"/>
        <w:rPr>
          <w:rFonts w:hint="default" w:ascii="Times New Roman" w:hAnsi="Times New Roman" w:cs="Times New Roman"/>
          <w:lang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sz w:val="28"/>
          <w:szCs w:val="28"/>
          <w:highlight w:val="none"/>
        </w:rPr>
        <w:t>附图2  项目周边环境敏感点分布示意图</w:t>
      </w:r>
    </w:p>
    <w:p w14:paraId="137BF851">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cs="Times New Roman"/>
        </w:rPr>
      </w:pPr>
      <w:r>
        <w:rPr>
          <w:rFonts w:hint="default" w:ascii="Times New Roman" w:hAnsi="Times New Roman" w:cs="Times New Roman"/>
        </w:rPr>
        <w:pict>
          <v:shape id="_x0000_s1026" o:spid="_x0000_s1026" o:spt="75" type="#_x0000_t75" style="position:absolute;left:0pt;margin-left:9.55pt;margin-top:-58.25pt;height:432.95pt;width:680.6pt;mso-wrap-distance-bottom:0pt;mso-wrap-distance-left:9pt;mso-wrap-distance-right:9pt;mso-wrap-distance-top:0pt;z-index:251681792;mso-width-relative:page;mso-height-relative:page;" o:ole="t" filled="f" o:preferrelative="t" stroked="f" coordsize="21600,21600">
            <v:path/>
            <v:fill on="f" focussize="0,0"/>
            <v:stroke on="f"/>
            <v:imagedata r:id="rId34" o:title=""/>
            <o:lock v:ext="edit" aspectratio="f"/>
            <w10:wrap type="square"/>
          </v:shape>
          <o:OLEObject Type="Embed" ProgID="Visio.Drawing.11" ShapeID="_x0000_s1026" DrawAspect="Content" ObjectID="_1468075728" r:id="rId33">
            <o:LockedField>false</o:LockedField>
          </o:OLEObject>
        </w:pict>
      </w:r>
      <w:r>
        <w:rPr>
          <w:rFonts w:hint="default" w:ascii="Times New Roman" w:hAnsi="Times New Roman" w:cs="Times New Roman"/>
        </w:rPr>
        <w:drawing>
          <wp:anchor distT="0" distB="0" distL="114300" distR="114300" simplePos="0" relativeHeight="251680768" behindDoc="0" locked="0" layoutInCell="1" allowOverlap="1">
            <wp:simplePos x="0" y="0"/>
            <wp:positionH relativeFrom="column">
              <wp:posOffset>8161655</wp:posOffset>
            </wp:positionH>
            <wp:positionV relativeFrom="paragraph">
              <wp:posOffset>-57150</wp:posOffset>
            </wp:positionV>
            <wp:extent cx="708660" cy="644525"/>
            <wp:effectExtent l="0" t="0" r="15240" b="3175"/>
            <wp:wrapNone/>
            <wp:docPr id="72" name="图片 72" descr="广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广西"/>
                    <pic:cNvPicPr>
                      <a:picLocks noChangeAspect="1"/>
                    </pic:cNvPicPr>
                  </pic:nvPicPr>
                  <pic:blipFill>
                    <a:blip r:embed="rId31"/>
                    <a:stretch>
                      <a:fillRect/>
                    </a:stretch>
                  </pic:blipFill>
                  <pic:spPr>
                    <a:xfrm>
                      <a:off x="0" y="0"/>
                      <a:ext cx="708660" cy="644525"/>
                    </a:xfrm>
                    <a:prstGeom prst="rect">
                      <a:avLst/>
                    </a:prstGeom>
                  </pic:spPr>
                </pic:pic>
              </a:graphicData>
            </a:graphic>
          </wp:anchor>
        </w:drawing>
      </w:r>
    </w:p>
    <w:p w14:paraId="287F1D3B">
      <w:pPr>
        <w:pStyle w:val="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0"/>
        <w:rPr>
          <w:rFonts w:hint="default" w:ascii="Times New Roman" w:hAnsi="Times New Roman" w:eastAsia="宋体" w:cs="Times New Roman"/>
          <w:b/>
          <w:bCs/>
          <w:color w:val="0000FF"/>
          <w:sz w:val="28"/>
          <w:szCs w:val="28"/>
          <w:highlight w:val="none"/>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000000" w:themeColor="text1"/>
          <w:sz w:val="28"/>
          <w:szCs w:val="28"/>
          <w:highlight w:val="none"/>
          <w14:textFill>
            <w14:solidFill>
              <w14:schemeClr w14:val="tx1"/>
            </w14:solidFill>
          </w14:textFill>
        </w:rPr>
        <w:t>附图</w:t>
      </w:r>
      <w:r>
        <w:rPr>
          <w:rFonts w:hint="default" w:ascii="Times New Roman" w:hAnsi="Times New Roman" w:eastAsia="宋体" w:cs="Times New Roman"/>
          <w:b/>
          <w:bCs/>
          <w:color w:val="000000" w:themeColor="text1"/>
          <w:sz w:val="28"/>
          <w:szCs w:val="28"/>
          <w:highlight w:val="none"/>
          <w:lang w:val="en-US" w:eastAsia="zh-CN"/>
          <w14:textFill>
            <w14:solidFill>
              <w14:schemeClr w14:val="tx1"/>
            </w14:solidFill>
          </w14:textFill>
        </w:rPr>
        <w:t>3</w:t>
      </w:r>
      <w:r>
        <w:rPr>
          <w:rFonts w:hint="default" w:ascii="Times New Roman" w:hAnsi="Times New Roman" w:eastAsia="宋体" w:cs="Times New Roman"/>
          <w:b/>
          <w:bCs/>
          <w:color w:val="000000" w:themeColor="text1"/>
          <w:sz w:val="28"/>
          <w:szCs w:val="28"/>
          <w:highlight w:val="none"/>
          <w14:textFill>
            <w14:solidFill>
              <w14:schemeClr w14:val="tx1"/>
            </w14:solidFill>
          </w14:textFill>
        </w:rPr>
        <w:t xml:space="preserve">  项目平面布置图</w:t>
      </w:r>
    </w:p>
    <w:p w14:paraId="652F025D">
      <w:pPr>
        <w:ind w:left="0" w:leftChars="0" w:firstLine="0" w:firstLineChars="0"/>
        <w:jc w:val="center"/>
        <w:rPr>
          <w:rFonts w:hint="default" w:ascii="Times New Roman" w:hAnsi="Times New Roman" w:eastAsia="等线" w:cs="Times New Roman"/>
          <w:lang w:eastAsia="zh-CN"/>
        </w:rPr>
      </w:pPr>
      <w:r>
        <w:rPr>
          <w:rFonts w:hint="default" w:ascii="Times New Roman" w:hAnsi="Times New Roman" w:cs="Times New Roman"/>
          <w:color w:val="auto"/>
          <w:highlight w:val="none"/>
        </w:rPr>
        <mc:AlternateContent>
          <mc:Choice Requires="wps">
            <w:drawing>
              <wp:anchor distT="0" distB="0" distL="114300" distR="114300" simplePos="0" relativeHeight="251676672" behindDoc="0" locked="0" layoutInCell="1" allowOverlap="1">
                <wp:simplePos x="0" y="0"/>
                <wp:positionH relativeFrom="column">
                  <wp:posOffset>1520190</wp:posOffset>
                </wp:positionH>
                <wp:positionV relativeFrom="paragraph">
                  <wp:posOffset>1229995</wp:posOffset>
                </wp:positionV>
                <wp:extent cx="906780" cy="317500"/>
                <wp:effectExtent l="5080" t="699135" r="231140" b="12065"/>
                <wp:wrapNone/>
                <wp:docPr id="39" name="矩形标注 39"/>
                <wp:cNvGraphicFramePr/>
                <a:graphic xmlns:a="http://schemas.openxmlformats.org/drawingml/2006/main">
                  <a:graphicData uri="http://schemas.microsoft.com/office/word/2010/wordprocessingShape">
                    <wps:wsp>
                      <wps:cNvSpPr/>
                      <wps:spPr>
                        <a:xfrm>
                          <a:off x="0" y="0"/>
                          <a:ext cx="906780" cy="317500"/>
                        </a:xfrm>
                        <a:prstGeom prst="wedgeRectCallout">
                          <a:avLst>
                            <a:gd name="adj1" fmla="val 71778"/>
                            <a:gd name="adj2" fmla="val -260200"/>
                          </a:avLst>
                        </a:prstGeom>
                        <a:noFill/>
                        <a:ln w="9525" cap="flat" cmpd="sng">
                          <a:solidFill>
                            <a:srgbClr val="000000"/>
                          </a:solidFill>
                          <a:prstDash val="solid"/>
                          <a:miter/>
                          <a:headEnd type="none" w="med" len="med"/>
                          <a:tailEnd type="none" w="med" len="med"/>
                        </a:ln>
                      </wps:spPr>
                      <wps:txbx>
                        <w:txbxContent>
                          <w:p w14:paraId="7B4CA2B1">
                            <w:pPr>
                              <w:ind w:left="0" w:leftChars="0" w:firstLine="0" w:firstLineChars="0"/>
                              <w:jc w:val="both"/>
                              <w:rPr>
                                <w:b/>
                                <w:bCs/>
                                <w:color w:val="FF0000"/>
                              </w:rPr>
                            </w:pPr>
                            <w:r>
                              <w:rPr>
                                <w:rFonts w:hint="eastAsia"/>
                                <w:b/>
                                <w:bCs/>
                                <w:color w:val="FF0000"/>
                              </w:rPr>
                              <w:t>项目所在地</w:t>
                            </w:r>
                          </w:p>
                        </w:txbxContent>
                      </wps:txbx>
                      <wps:bodyPr upright="1"/>
                    </wps:wsp>
                  </a:graphicData>
                </a:graphic>
              </wp:anchor>
            </w:drawing>
          </mc:Choice>
          <mc:Fallback>
            <w:pict>
              <v:shape id="_x0000_s1026" o:spid="_x0000_s1026" o:spt="61" type="#_x0000_t61" style="position:absolute;left:0pt;margin-left:119.7pt;margin-top:96.85pt;height:25pt;width:71.4pt;z-index:251676672;mso-width-relative:page;mso-height-relative:page;" filled="f" stroked="t" coordsize="21600,21600" o:gfxdata="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YFrvANsAAAALAQAADwAAAAAAAAABACAAAAAiAAAAZHJzL2Rvd25y&#10;ZXYueG1sUEsBAhQAFAAAAAgAh07iQNuOLOg0AgAAZgQAAA4AAAAAAAAAAQAgAAAAKgEAAGRycy9l&#10;Mm9Eb2MueG1sUEsFBgAAAAAGAAYAWQEAANAFAAAAAA==&#10;" adj="26304,-45403">
                <v:fill on="f" focussize="0,0"/>
                <v:stroke color="#000000" joinstyle="miter"/>
                <v:imagedata o:title=""/>
                <o:lock v:ext="edit" aspectratio="f"/>
                <v:textbox>
                  <w:txbxContent>
                    <w:p w14:paraId="7B4CA2B1">
                      <w:pPr>
                        <w:ind w:left="0" w:leftChars="0" w:firstLine="0" w:firstLineChars="0"/>
                        <w:jc w:val="both"/>
                        <w:rPr>
                          <w:b/>
                          <w:bCs/>
                          <w:color w:val="FF0000"/>
                        </w:rPr>
                      </w:pPr>
                      <w:r>
                        <w:rPr>
                          <w:rFonts w:hint="eastAsia"/>
                          <w:b/>
                          <w:bCs/>
                          <w:color w:val="FF0000"/>
                        </w:rPr>
                        <w:t>项目所在地</w:t>
                      </w:r>
                    </w:p>
                  </w:txbxContent>
                </v:textbox>
              </v:shape>
            </w:pict>
          </mc:Fallback>
        </mc:AlternateContent>
      </w:r>
      <w:r>
        <w:rPr>
          <w:rFonts w:hint="default" w:ascii="Times New Roman" w:hAnsi="Times New Roman" w:cs="Times New Roman"/>
          <w:sz w:val="20"/>
        </w:rPr>
        <mc:AlternateContent>
          <mc:Choice Requires="wps">
            <w:drawing>
              <wp:anchor distT="0" distB="0" distL="114300" distR="114300" simplePos="0" relativeHeight="251675648" behindDoc="0" locked="0" layoutInCell="1" allowOverlap="1">
                <wp:simplePos x="0" y="0"/>
                <wp:positionH relativeFrom="column">
                  <wp:posOffset>3274060</wp:posOffset>
                </wp:positionH>
                <wp:positionV relativeFrom="paragraph">
                  <wp:posOffset>2002790</wp:posOffset>
                </wp:positionV>
                <wp:extent cx="849630" cy="384810"/>
                <wp:effectExtent l="0" t="0" r="0" b="0"/>
                <wp:wrapNone/>
                <wp:docPr id="38" name="文本框 38"/>
                <wp:cNvGraphicFramePr/>
                <a:graphic xmlns:a="http://schemas.openxmlformats.org/drawingml/2006/main">
                  <a:graphicData uri="http://schemas.microsoft.com/office/word/2010/wordprocessingShape">
                    <wps:wsp>
                      <wps:cNvSpPr txBox="1"/>
                      <wps:spPr>
                        <a:xfrm>
                          <a:off x="4364355" y="3143885"/>
                          <a:ext cx="849630" cy="3848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8C48C2">
                            <w:pPr>
                              <w:rPr>
                                <w:rFonts w:hint="default" w:eastAsia="等线"/>
                                <w:lang w:val="en-US" w:eastAsia="zh-CN"/>
                              </w:rPr>
                            </w:pPr>
                            <w:r>
                              <w:rPr>
                                <w:rFonts w:hint="eastAsia"/>
                                <w:color w:val="FFFF00"/>
                                <w:lang w:val="en-US" w:eastAsia="zh-CN"/>
                              </w:rPr>
                              <w:t>2.32km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7.8pt;margin-top:157.7pt;height:30.3pt;width:66.9pt;z-index:251675648;mso-width-relative:page;mso-height-relative:page;" filled="f" stroked="f" coordsize="21600,21600" o:gfxdata="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gTNJk9sAAAALAQAADwAAAAAA&#10;AAABACAAAAAiAAAAZHJzL2Rvd25yZXYueG1sUEsBAhQAFAAAAAgAh07iQDHf8wtJAgAAcwQAAA4A&#10;AAAAAAAAAQAgAAAAKgEAAGRycy9lMm9Eb2MueG1sUEsFBgAAAAAGAAYAWQEAAOUFAAAAAA==&#10;">
                <v:fill on="f" focussize="0,0"/>
                <v:stroke on="f" weight="0.5pt"/>
                <v:imagedata o:title=""/>
                <o:lock v:ext="edit" aspectratio="f"/>
                <v:textbox>
                  <w:txbxContent>
                    <w:p w14:paraId="358C48C2">
                      <w:pPr>
                        <w:rPr>
                          <w:rFonts w:hint="default" w:eastAsia="等线"/>
                          <w:lang w:val="en-US" w:eastAsia="zh-CN"/>
                        </w:rPr>
                      </w:pPr>
                      <w:r>
                        <w:rPr>
                          <w:rFonts w:hint="eastAsia"/>
                          <w:color w:val="FFFF00"/>
                          <w:lang w:val="en-US" w:eastAsia="zh-CN"/>
                        </w:rPr>
                        <w:t>2.32km</w:t>
                      </w:r>
                    </w:p>
                  </w:txbxContent>
                </v:textbox>
              </v:shape>
            </w:pict>
          </mc:Fallback>
        </mc:AlternateContent>
      </w:r>
      <w:r>
        <w:rPr>
          <w:rFonts w:hint="default" w:ascii="Times New Roman" w:hAnsi="Times New Roman" w:cs="Times New Roman"/>
          <w:sz w:val="20"/>
        </w:rPr>
        <mc:AlternateContent>
          <mc:Choice Requires="wps">
            <w:drawing>
              <wp:anchor distT="0" distB="0" distL="114300" distR="114300" simplePos="0" relativeHeight="251674624" behindDoc="0" locked="0" layoutInCell="1" allowOverlap="1">
                <wp:simplePos x="0" y="0"/>
                <wp:positionH relativeFrom="column">
                  <wp:posOffset>2731770</wp:posOffset>
                </wp:positionH>
                <wp:positionV relativeFrom="paragraph">
                  <wp:posOffset>537210</wp:posOffset>
                </wp:positionV>
                <wp:extent cx="1494790" cy="3363595"/>
                <wp:effectExtent l="10795" t="0" r="18415" b="8255"/>
                <wp:wrapNone/>
                <wp:docPr id="37" name="直接箭头连接符 37"/>
                <wp:cNvGraphicFramePr/>
                <a:graphic xmlns:a="http://schemas.openxmlformats.org/drawingml/2006/main">
                  <a:graphicData uri="http://schemas.microsoft.com/office/word/2010/wordprocessingShape">
                    <wps:wsp>
                      <wps:cNvCnPr/>
                      <wps:spPr>
                        <a:xfrm>
                          <a:off x="3646170" y="1678305"/>
                          <a:ext cx="1494790" cy="3363595"/>
                        </a:xfrm>
                        <a:prstGeom prst="straightConnector1">
                          <a:avLst/>
                        </a:prstGeom>
                        <a:ln w="6350">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15.1pt;margin-top:42.3pt;height:264.85pt;width:117.7pt;z-index:251674624;mso-width-relative:page;mso-height-relative:page;" filled="f" stroked="t" coordsize="21600,21600" o:gfxdata="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y+k0r1QAAAAoBAAAPAAAAAAAA&#10;AAEAIAAAACIAAABkcnMvZG93bnJldi54bWxQSwECFAAUAAAACACHTuJAf+CSlBUCAAD0AwAADgAA&#10;AAAAAAABACAAAAAkAQAAZHJzL2Uyb0RvYy54bWxQSwUGAAAAAAYABgBZAQAAqwUAAAAA&#10;">
                <v:fill on="f" focussize="0,0"/>
                <v:stroke weight="0.5pt" color="#FFFF00 [3204]" joinstyle="round" startarrow="open" endarrow="open"/>
                <v:imagedata o:title=""/>
                <o:lock v:ext="edit" aspectratio="f"/>
              </v:shape>
            </w:pict>
          </mc:Fallback>
        </mc:AlternateContent>
      </w:r>
      <w:r>
        <w:rPr>
          <w:rFonts w:hint="default" w:ascii="Times New Roman" w:hAnsi="Times New Roman" w:eastAsia="等线" w:cs="Times New Roman"/>
          <w:lang w:eastAsia="zh-CN"/>
        </w:rPr>
        <w:drawing>
          <wp:inline distT="0" distB="0" distL="114300" distR="114300">
            <wp:extent cx="6850380" cy="4629785"/>
            <wp:effectExtent l="0" t="0" r="7620" b="18415"/>
            <wp:docPr id="36" name="图片 36" descr="6b05fc49d7a15bbdb7323456fe358d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6b05fc49d7a15bbdb7323456fe358d90"/>
                    <pic:cNvPicPr>
                      <a:picLocks noChangeAspect="1"/>
                    </pic:cNvPicPr>
                  </pic:nvPicPr>
                  <pic:blipFill>
                    <a:blip r:embed="rId35"/>
                    <a:stretch>
                      <a:fillRect/>
                    </a:stretch>
                  </pic:blipFill>
                  <pic:spPr>
                    <a:xfrm>
                      <a:off x="0" y="0"/>
                      <a:ext cx="6850380" cy="4629785"/>
                    </a:xfrm>
                    <a:prstGeom prst="rect">
                      <a:avLst/>
                    </a:prstGeom>
                  </pic:spPr>
                </pic:pic>
              </a:graphicData>
            </a:graphic>
          </wp:inline>
        </w:drawing>
      </w:r>
    </w:p>
    <w:p w14:paraId="02D4A660">
      <w:pPr>
        <w:pStyle w:val="75"/>
        <w:ind w:firstLine="0" w:firstLineChars="0"/>
        <w:jc w:val="center"/>
        <w:outlineLvl w:val="0"/>
        <w:rPr>
          <w:rFonts w:hint="default" w:ascii="Times New Roman" w:hAnsi="Times New Roman" w:eastAsia="宋体" w:cs="Times New Roman"/>
          <w:b/>
          <w:bCs/>
          <w:color w:val="auto"/>
          <w:kern w:val="2"/>
          <w:sz w:val="28"/>
          <w:szCs w:val="28"/>
          <w:highlight w:val="none"/>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kern w:val="2"/>
          <w:sz w:val="28"/>
          <w:szCs w:val="28"/>
          <w:highlight w:val="none"/>
        </w:rPr>
        <w:t>附图</w:t>
      </w:r>
      <w:r>
        <w:rPr>
          <w:rFonts w:hint="default" w:ascii="Times New Roman" w:hAnsi="Times New Roman" w:eastAsia="宋体" w:cs="Times New Roman"/>
          <w:b/>
          <w:bCs/>
          <w:color w:val="auto"/>
          <w:kern w:val="2"/>
          <w:sz w:val="28"/>
          <w:szCs w:val="28"/>
          <w:highlight w:val="none"/>
          <w:lang w:val="en-US" w:eastAsia="zh-CN"/>
        </w:rPr>
        <w:t>4</w:t>
      </w:r>
      <w:r>
        <w:rPr>
          <w:rFonts w:hint="default" w:ascii="Times New Roman" w:hAnsi="Times New Roman" w:eastAsia="宋体" w:cs="Times New Roman"/>
          <w:b/>
          <w:bCs/>
          <w:color w:val="auto"/>
          <w:kern w:val="2"/>
          <w:sz w:val="28"/>
          <w:szCs w:val="28"/>
          <w:highlight w:val="none"/>
        </w:rPr>
        <w:t xml:space="preserve">  项目</w:t>
      </w:r>
      <w:r>
        <w:rPr>
          <w:rFonts w:hint="default" w:ascii="Times New Roman" w:hAnsi="Times New Roman" w:eastAsia="宋体" w:cs="Times New Roman"/>
          <w:b/>
          <w:bCs/>
          <w:color w:val="auto"/>
          <w:kern w:val="2"/>
          <w:sz w:val="28"/>
          <w:szCs w:val="28"/>
          <w:highlight w:val="none"/>
          <w:lang w:val="en-US" w:eastAsia="zh-CN"/>
        </w:rPr>
        <w:t>与引用项目TSP数据分布示意图</w:t>
      </w:r>
    </w:p>
    <w:p w14:paraId="1974D76A">
      <w:pPr>
        <w:pStyle w:val="75"/>
        <w:ind w:firstLine="0" w:firstLineChars="0"/>
        <w:jc w:val="center"/>
        <w:outlineLvl w:val="0"/>
        <w:rPr>
          <w:rFonts w:hint="default" w:ascii="Times New Roman" w:hAnsi="Times New Roman" w:cs="Times New Roman"/>
          <w:color w:val="auto"/>
          <w:highlight w:val="none"/>
        </w:rPr>
      </w:pPr>
      <w:bookmarkStart w:id="117" w:name="_Toc22391"/>
      <w:bookmarkStart w:id="118" w:name="_Toc20841"/>
      <w:bookmarkStart w:id="119" w:name="_Toc21087"/>
      <w:r>
        <w:rPr>
          <w:rFonts w:hint="default" w:ascii="Times New Roman" w:hAnsi="Times New Roman" w:cs="Times New Roman"/>
          <w:sz w:val="24"/>
        </w:rPr>
        <mc:AlternateContent>
          <mc:Choice Requires="wps">
            <w:drawing>
              <wp:anchor distT="0" distB="0" distL="114300" distR="114300" simplePos="0" relativeHeight="251679744" behindDoc="0" locked="0" layoutInCell="1" allowOverlap="1">
                <wp:simplePos x="0" y="0"/>
                <wp:positionH relativeFrom="column">
                  <wp:posOffset>3352165</wp:posOffset>
                </wp:positionH>
                <wp:positionV relativeFrom="paragraph">
                  <wp:posOffset>3237230</wp:posOffset>
                </wp:positionV>
                <wp:extent cx="895350" cy="207010"/>
                <wp:effectExtent l="0" t="4445" r="19050" b="36195"/>
                <wp:wrapNone/>
                <wp:docPr id="45" name="直接箭头连接符 45"/>
                <wp:cNvGraphicFramePr/>
                <a:graphic xmlns:a="http://schemas.openxmlformats.org/drawingml/2006/main">
                  <a:graphicData uri="http://schemas.microsoft.com/office/word/2010/wordprocessingShape">
                    <wps:wsp>
                      <wps:cNvCnPr>
                        <a:stCxn id="44" idx="4"/>
                        <a:endCxn id="43" idx="3"/>
                      </wps:cNvCnPr>
                      <wps:spPr>
                        <a:xfrm flipH="1">
                          <a:off x="4266565" y="4378325"/>
                          <a:ext cx="895350" cy="207010"/>
                        </a:xfrm>
                        <a:prstGeom prst="straightConnector1">
                          <a:avLst/>
                        </a:prstGeom>
                        <a:ln w="9525">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63.95pt;margin-top:254.9pt;height:16.3pt;width:70.5pt;z-index:251679744;mso-width-relative:page;mso-height-relative:page;" filled="f" stroked="t" coordsize="21600,21600" o:gfxdata="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521302AAAAAsBAAAPAAAAAAAAAAEAIAAAACIAAABkcnMvZG93bnJldi54bWxQSwECFAAU&#10;AAAACACHTuJAMZUn8CoCAAAlBAAADgAAAAAAAAABACAAAAAnAQAAZHJzL2Uyb0RvYy54bWxQSwUG&#10;AAAAAAYABgBZAQAAwwUAAAAA&#10;">
                <v:fill on="f" focussize="0,0"/>
                <v:stroke color="#FF0000 [3204]" joinstyle="round" endarrow="open"/>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78720" behindDoc="0" locked="0" layoutInCell="1" allowOverlap="1">
                <wp:simplePos x="0" y="0"/>
                <wp:positionH relativeFrom="column">
                  <wp:posOffset>4894580</wp:posOffset>
                </wp:positionH>
                <wp:positionV relativeFrom="paragraph">
                  <wp:posOffset>2548890</wp:posOffset>
                </wp:positionV>
                <wp:extent cx="906780" cy="317500"/>
                <wp:effectExtent l="683260" t="5080" r="10160" b="401320"/>
                <wp:wrapNone/>
                <wp:docPr id="44" name="矩形标注 44"/>
                <wp:cNvGraphicFramePr/>
                <a:graphic xmlns:a="http://schemas.openxmlformats.org/drawingml/2006/main">
                  <a:graphicData uri="http://schemas.microsoft.com/office/word/2010/wordprocessingShape">
                    <wps:wsp>
                      <wps:cNvSpPr/>
                      <wps:spPr>
                        <a:xfrm>
                          <a:off x="0" y="0"/>
                          <a:ext cx="906780" cy="317500"/>
                        </a:xfrm>
                        <a:prstGeom prst="wedgeRectCallout">
                          <a:avLst>
                            <a:gd name="adj1" fmla="val -121358"/>
                            <a:gd name="adj2" fmla="val 166800"/>
                          </a:avLst>
                        </a:prstGeom>
                        <a:noFill/>
                        <a:ln w="9525" cap="flat" cmpd="sng">
                          <a:solidFill>
                            <a:srgbClr val="000000"/>
                          </a:solidFill>
                          <a:prstDash val="solid"/>
                          <a:miter/>
                          <a:headEnd type="none" w="med" len="med"/>
                          <a:tailEnd type="none" w="med" len="med"/>
                        </a:ln>
                      </wps:spPr>
                      <wps:txbx>
                        <w:txbxContent>
                          <w:p w14:paraId="15217878">
                            <w:pPr>
                              <w:ind w:left="0" w:leftChars="0" w:firstLine="0" w:firstLineChars="0"/>
                              <w:jc w:val="both"/>
                              <w:rPr>
                                <w:b/>
                                <w:bCs/>
                                <w:color w:val="FF0000"/>
                              </w:rPr>
                            </w:pPr>
                            <w:r>
                              <w:rPr>
                                <w:rFonts w:hint="eastAsia"/>
                                <w:b/>
                                <w:bCs/>
                                <w:color w:val="FF0000"/>
                              </w:rPr>
                              <w:t>项目所在地</w:t>
                            </w:r>
                          </w:p>
                        </w:txbxContent>
                      </wps:txbx>
                      <wps:bodyPr upright="1"/>
                    </wps:wsp>
                  </a:graphicData>
                </a:graphic>
              </wp:anchor>
            </w:drawing>
          </mc:Choice>
          <mc:Fallback>
            <w:pict>
              <v:shape id="_x0000_s1026" o:spid="_x0000_s1026" o:spt="61" type="#_x0000_t61" style="position:absolute;left:0pt;margin-left:385.4pt;margin-top:200.7pt;height:25pt;width:71.4pt;z-index:251678720;mso-width-relative:page;mso-height-relative:page;" filled="f" stroked="t" coordsize="21600,21600" o:gfxdata="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NaxvHjaAAAACwEAAA8AAAAAAAAAAQAgAAAAIgAAAGRycy9kb3du&#10;cmV2LnhtbFBLAQIUABQAAAAIAIdO4kCWK8FONgIAAGcEAAAOAAAAAAAAAAEAIAAAACkBAABkcnMv&#10;ZTJvRG9jLnhtbFBLBQYAAAAABgAGAFkBAADRBQAAAAA=&#10;" adj="-15413,46829">
                <v:fill on="f" focussize="0,0"/>
                <v:stroke color="#000000" joinstyle="miter"/>
                <v:imagedata o:title=""/>
                <o:lock v:ext="edit" aspectratio="f"/>
                <v:textbox>
                  <w:txbxContent>
                    <w:p w14:paraId="15217878">
                      <w:pPr>
                        <w:ind w:left="0" w:leftChars="0" w:firstLine="0" w:firstLineChars="0"/>
                        <w:jc w:val="both"/>
                        <w:rPr>
                          <w:b/>
                          <w:bCs/>
                          <w:color w:val="FF0000"/>
                        </w:rPr>
                      </w:pPr>
                      <w:r>
                        <w:rPr>
                          <w:rFonts w:hint="eastAsia"/>
                          <w:b/>
                          <w:bCs/>
                          <w:color w:val="FF0000"/>
                        </w:rPr>
                        <w:t>项目所在地</w:t>
                      </w:r>
                    </w:p>
                  </w:txbxContent>
                </v:textbox>
              </v:shape>
            </w:pict>
          </mc:Fallback>
        </mc:AlternateContent>
      </w:r>
      <w:r>
        <w:rPr>
          <w:rFonts w:hint="default" w:ascii="Times New Roman" w:hAnsi="Times New Roman" w:cs="Times New Roman"/>
          <w:highlight w:val="none"/>
        </w:rPr>
        <w:drawing>
          <wp:anchor distT="0" distB="0" distL="114300" distR="114300" simplePos="0" relativeHeight="251677696" behindDoc="0" locked="0" layoutInCell="1" allowOverlap="1">
            <wp:simplePos x="0" y="0"/>
            <wp:positionH relativeFrom="column">
              <wp:posOffset>749300</wp:posOffset>
            </wp:positionH>
            <wp:positionV relativeFrom="paragraph">
              <wp:posOffset>2420620</wp:posOffset>
            </wp:positionV>
            <wp:extent cx="2602865" cy="2046605"/>
            <wp:effectExtent l="0" t="0" r="6985" b="10795"/>
            <wp:wrapNone/>
            <wp:docPr id="4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1"/>
                    <pic:cNvPicPr>
                      <a:picLocks noChangeAspect="1"/>
                    </pic:cNvPicPr>
                  </pic:nvPicPr>
                  <pic:blipFill>
                    <a:blip r:embed="rId36"/>
                    <a:stretch>
                      <a:fillRect/>
                    </a:stretch>
                  </pic:blipFill>
                  <pic:spPr>
                    <a:xfrm>
                      <a:off x="0" y="0"/>
                      <a:ext cx="2602865" cy="2046605"/>
                    </a:xfrm>
                    <a:prstGeom prst="rect">
                      <a:avLst/>
                    </a:prstGeom>
                    <a:noFill/>
                    <a:ln>
                      <a:noFill/>
                    </a:ln>
                  </pic:spPr>
                </pic:pic>
              </a:graphicData>
            </a:graphic>
          </wp:anchor>
        </w:drawing>
      </w:r>
      <w:r>
        <w:rPr>
          <w:rFonts w:hint="default" w:ascii="Times New Roman" w:hAnsi="Times New Roman" w:cs="Times New Roman"/>
          <w:color w:val="auto"/>
          <w:highlight w:val="none"/>
        </w:rPr>
        <w:drawing>
          <wp:inline distT="0" distB="0" distL="114300" distR="114300">
            <wp:extent cx="7432675" cy="4504055"/>
            <wp:effectExtent l="0" t="0" r="15875" b="10795"/>
            <wp:docPr id="42" name="图片 17" descr="图 1 柳州市陆域生态环境管控单元分类图（2023 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7" descr="图 1 柳州市陆域生态环境管控单元分类图（2023 年）"/>
                    <pic:cNvPicPr>
                      <a:picLocks noChangeAspect="1"/>
                    </pic:cNvPicPr>
                  </pic:nvPicPr>
                  <pic:blipFill>
                    <a:blip r:embed="rId37"/>
                    <a:srcRect l="9880" t="12622" r="8195" b="17175"/>
                    <a:stretch>
                      <a:fillRect/>
                    </a:stretch>
                  </pic:blipFill>
                  <pic:spPr>
                    <a:xfrm>
                      <a:off x="0" y="0"/>
                      <a:ext cx="7432675" cy="4504055"/>
                    </a:xfrm>
                    <a:prstGeom prst="rect">
                      <a:avLst/>
                    </a:prstGeom>
                    <a:noFill/>
                    <a:ln>
                      <a:noFill/>
                    </a:ln>
                  </pic:spPr>
                </pic:pic>
              </a:graphicData>
            </a:graphic>
          </wp:inline>
        </w:drawing>
      </w:r>
      <w:bookmarkEnd w:id="117"/>
      <w:bookmarkEnd w:id="118"/>
      <w:bookmarkEnd w:id="119"/>
    </w:p>
    <w:p w14:paraId="4019562F">
      <w:pPr>
        <w:pStyle w:val="75"/>
        <w:ind w:firstLine="0" w:firstLineChars="0"/>
        <w:jc w:val="center"/>
        <w:outlineLvl w:val="0"/>
        <w:rPr>
          <w:rFonts w:hint="default" w:ascii="Times New Roman" w:hAnsi="Times New Roman" w:eastAsia="宋体" w:cs="Times New Roman"/>
          <w:b/>
          <w:bCs/>
          <w:color w:val="auto"/>
          <w:kern w:val="2"/>
          <w:sz w:val="28"/>
          <w:szCs w:val="28"/>
          <w:highlight w:val="none"/>
          <w:lang w:val="en-US" w:eastAsia="zh-CN"/>
        </w:rPr>
      </w:pPr>
      <w:r>
        <w:rPr>
          <w:rFonts w:hint="default" w:ascii="Times New Roman" w:hAnsi="Times New Roman" w:eastAsia="宋体" w:cs="Times New Roman"/>
          <w:b/>
          <w:bCs/>
          <w:color w:val="auto"/>
          <w:kern w:val="2"/>
          <w:sz w:val="28"/>
          <w:szCs w:val="28"/>
          <w:highlight w:val="none"/>
          <w:lang w:val="en-US" w:eastAsia="zh-CN"/>
        </w:rPr>
        <w:t>附图</w:t>
      </w:r>
      <w:r>
        <w:rPr>
          <w:rFonts w:hint="eastAsia" w:ascii="Times New Roman" w:hAnsi="Times New Roman" w:eastAsia="宋体" w:cs="Times New Roman"/>
          <w:b/>
          <w:bCs/>
          <w:color w:val="auto"/>
          <w:kern w:val="2"/>
          <w:sz w:val="28"/>
          <w:szCs w:val="28"/>
          <w:highlight w:val="none"/>
          <w:lang w:val="en-US" w:eastAsia="zh-CN"/>
        </w:rPr>
        <w:t>5</w:t>
      </w:r>
      <w:r>
        <w:rPr>
          <w:rFonts w:hint="default" w:ascii="Times New Roman" w:hAnsi="Times New Roman" w:eastAsia="宋体" w:cs="Times New Roman"/>
          <w:b/>
          <w:bCs/>
          <w:color w:val="auto"/>
          <w:kern w:val="2"/>
          <w:sz w:val="28"/>
          <w:szCs w:val="28"/>
          <w:highlight w:val="none"/>
          <w:lang w:val="en-US" w:eastAsia="zh-CN"/>
        </w:rPr>
        <w:t xml:space="preserve">  柳州市陆域生态环境管控单元分类图（2023年）</w:t>
      </w:r>
    </w:p>
    <w:p w14:paraId="5E283607">
      <w:pPr>
        <w:pStyle w:val="75"/>
        <w:ind w:firstLine="0" w:firstLineChars="0"/>
        <w:jc w:val="center"/>
        <w:outlineLvl w:val="0"/>
        <w:rPr>
          <w:rFonts w:hint="default" w:ascii="Times New Roman" w:hAnsi="Times New Roman" w:cs="Times New Roman"/>
          <w:color w:val="auto"/>
          <w:highlight w:val="none"/>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9E41BE5">
      <w:pPr>
        <w:pStyle w:val="75"/>
        <w:ind w:firstLine="0" w:firstLineChars="0"/>
        <w:jc w:val="center"/>
        <w:outlineLvl w:val="0"/>
        <w:rPr>
          <w:rFonts w:hint="default" w:ascii="Times New Roman" w:hAnsi="Times New Roman" w:cs="Times New Roman"/>
          <w:color w:val="0000FF"/>
          <w:highlight w:val="none"/>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000000" w:themeColor="text1"/>
          <w:highlight w:val="none"/>
          <w:lang w:val="en-US" w:eastAsia="zh-CN"/>
          <w14:textFill>
            <w14:solidFill>
              <w14:schemeClr w14:val="tx1"/>
            </w14:solidFill>
          </w14:textFill>
        </w:rPr>
        <w:pict>
          <v:shape id="_x0000_s1027" o:spid="_x0000_s1027" o:spt="75" type="#_x0000_t75" style="position:absolute;left:0pt;margin-left:-37.25pt;margin-top:-41.05pt;height:455.15pt;width:781.4pt;mso-wrap-distance-bottom:0pt;mso-wrap-distance-left:9pt;mso-wrap-distance-right:9pt;mso-wrap-distance-top:0pt;z-index:251682816;mso-width-relative:page;mso-height-relative:page;" o:ole="t" filled="f" o:preferrelative="t" stroked="f" coordsize="21600,21600">
            <v:path/>
            <v:fill on="f" focussize="0,0"/>
            <v:stroke on="f"/>
            <v:imagedata r:id="rId39" o:title=""/>
            <o:lock v:ext="edit" aspectratio="f"/>
            <w10:wrap type="square"/>
          </v:shape>
          <o:OLEObject Type="Embed" ProgID="Visio.Drawing.11" ShapeID="_x0000_s1027" DrawAspect="Content" ObjectID="_1468075729" r:id="rId38">
            <o:LockedField>false</o:LockedField>
          </o:OLEObject>
        </w:pict>
      </w:r>
      <w:r>
        <w:rPr>
          <w:rFonts w:hint="default" w:ascii="Times New Roman" w:hAnsi="Times New Roman" w:eastAsia="宋体" w:cs="Times New Roman"/>
          <w:b/>
          <w:bCs/>
          <w:color w:val="000000" w:themeColor="text1"/>
          <w:kern w:val="2"/>
          <w:sz w:val="28"/>
          <w:szCs w:val="28"/>
          <w:highlight w:val="none"/>
          <w:lang w:val="en-US" w:eastAsia="zh-CN"/>
          <w14:textFill>
            <w14:solidFill>
              <w14:schemeClr w14:val="tx1"/>
            </w14:solidFill>
          </w14:textFill>
        </w:rPr>
        <w:t>附图</w:t>
      </w:r>
      <w:r>
        <w:rPr>
          <w:rFonts w:hint="eastAsia" w:ascii="Times New Roman" w:hAnsi="Times New Roman" w:eastAsia="宋体" w:cs="Times New Roman"/>
          <w:b/>
          <w:bCs/>
          <w:color w:val="000000" w:themeColor="text1"/>
          <w:kern w:val="2"/>
          <w:sz w:val="28"/>
          <w:szCs w:val="28"/>
          <w:highlight w:val="none"/>
          <w:lang w:val="en-US" w:eastAsia="zh-CN"/>
          <w14:textFill>
            <w14:solidFill>
              <w14:schemeClr w14:val="tx1"/>
            </w14:solidFill>
          </w14:textFill>
        </w:rPr>
        <w:t>6</w:t>
      </w:r>
      <w:r>
        <w:rPr>
          <w:rFonts w:hint="default" w:ascii="Times New Roman" w:hAnsi="Times New Roman" w:eastAsia="宋体" w:cs="Times New Roman"/>
          <w:b/>
          <w:bCs/>
          <w:color w:val="000000" w:themeColor="text1"/>
          <w:kern w:val="2"/>
          <w:sz w:val="28"/>
          <w:szCs w:val="28"/>
          <w:highlight w:val="none"/>
          <w:lang w:val="en-US" w:eastAsia="zh-CN"/>
          <w14:textFill>
            <w14:solidFill>
              <w14:schemeClr w14:val="tx1"/>
            </w14:solidFill>
          </w14:textFill>
        </w:rPr>
        <w:t xml:space="preserve">  项目位于鹿寨县声功能区划图中的位置图</w:t>
      </w:r>
    </w:p>
    <w:tbl>
      <w:tblPr>
        <w:tblStyle w:val="6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4"/>
        <w:gridCol w:w="4264"/>
      </w:tblGrid>
      <w:tr w14:paraId="15B2A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14:paraId="5677FD50">
            <w:pPr>
              <w:pStyle w:val="75"/>
              <w:keepNext w:val="0"/>
              <w:keepLines w:val="0"/>
              <w:suppressLineNumbers w:val="0"/>
              <w:spacing w:before="0" w:beforeAutospacing="0" w:after="0" w:afterAutospacing="0"/>
              <w:ind w:left="0" w:leftChars="0" w:right="0" w:firstLine="0" w:firstLineChars="0"/>
              <w:jc w:val="both"/>
              <w:outlineLvl w:val="0"/>
              <w:rPr>
                <w:rFonts w:hint="default" w:ascii="Times New Roman" w:hAnsi="Times New Roman" w:eastAsia="宋体" w:cs="Times New Roman"/>
                <w:b/>
                <w:bCs/>
                <w:color w:val="auto"/>
                <w:kern w:val="2"/>
                <w:sz w:val="28"/>
                <w:szCs w:val="28"/>
                <w:highlight w:val="none"/>
                <w:vertAlign w:val="baseline"/>
                <w:lang w:val="en-US" w:eastAsia="zh-CN"/>
              </w:rPr>
            </w:pPr>
            <w:bookmarkStart w:id="120" w:name="_Toc15485"/>
            <w:bookmarkStart w:id="121" w:name="_Toc22963"/>
            <w:bookmarkStart w:id="122" w:name="_Toc15967"/>
            <w:r>
              <w:rPr>
                <w:rFonts w:hint="default" w:ascii="Times New Roman" w:hAnsi="Times New Roman" w:eastAsia="宋体" w:cs="Times New Roman"/>
                <w:b/>
                <w:bCs/>
                <w:color w:val="auto"/>
                <w:kern w:val="2"/>
                <w:sz w:val="28"/>
                <w:szCs w:val="28"/>
                <w:highlight w:val="none"/>
                <w:vertAlign w:val="baseline"/>
                <w:lang w:val="en-US" w:eastAsia="zh-CN"/>
              </w:rPr>
              <w:drawing>
                <wp:inline distT="0" distB="0" distL="114300" distR="114300">
                  <wp:extent cx="2567305" cy="1924685"/>
                  <wp:effectExtent l="0" t="0" r="4445" b="18415"/>
                  <wp:docPr id="46" name="图片 46" descr="204e6579febb776d0256cd56fa748f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204e6579febb776d0256cd56fa748f6c"/>
                          <pic:cNvPicPr>
                            <a:picLocks noChangeAspect="1"/>
                          </pic:cNvPicPr>
                        </pic:nvPicPr>
                        <pic:blipFill>
                          <a:blip r:embed="rId40"/>
                          <a:stretch>
                            <a:fillRect/>
                          </a:stretch>
                        </pic:blipFill>
                        <pic:spPr>
                          <a:xfrm>
                            <a:off x="0" y="0"/>
                            <a:ext cx="2567305" cy="1924685"/>
                          </a:xfrm>
                          <a:prstGeom prst="rect">
                            <a:avLst/>
                          </a:prstGeom>
                        </pic:spPr>
                      </pic:pic>
                    </a:graphicData>
                  </a:graphic>
                </wp:inline>
              </w:drawing>
            </w:r>
            <w:bookmarkEnd w:id="120"/>
            <w:bookmarkEnd w:id="121"/>
            <w:bookmarkEnd w:id="122"/>
          </w:p>
        </w:tc>
        <w:tc>
          <w:tcPr>
            <w:tcW w:w="4264" w:type="dxa"/>
          </w:tcPr>
          <w:p w14:paraId="2717E5E0">
            <w:pPr>
              <w:pStyle w:val="75"/>
              <w:keepNext w:val="0"/>
              <w:keepLines w:val="0"/>
              <w:suppressLineNumbers w:val="0"/>
              <w:spacing w:before="0" w:beforeAutospacing="0" w:after="0" w:afterAutospacing="0"/>
              <w:ind w:left="0" w:leftChars="0" w:right="0" w:firstLine="0" w:firstLineChars="0"/>
              <w:jc w:val="both"/>
              <w:outlineLvl w:val="0"/>
              <w:rPr>
                <w:rFonts w:hint="default" w:ascii="Times New Roman" w:hAnsi="Times New Roman" w:eastAsia="宋体" w:cs="Times New Roman"/>
                <w:b/>
                <w:bCs/>
                <w:color w:val="auto"/>
                <w:kern w:val="2"/>
                <w:sz w:val="28"/>
                <w:szCs w:val="28"/>
                <w:highlight w:val="none"/>
                <w:vertAlign w:val="baseline"/>
                <w:lang w:val="en-US" w:eastAsia="zh-CN"/>
              </w:rPr>
            </w:pPr>
            <w:bookmarkStart w:id="123" w:name="_Toc15628"/>
            <w:bookmarkStart w:id="124" w:name="_Toc22075"/>
            <w:bookmarkStart w:id="125" w:name="_Toc8967"/>
            <w:r>
              <w:rPr>
                <w:rFonts w:hint="default" w:ascii="Times New Roman" w:hAnsi="Times New Roman" w:eastAsia="宋体" w:cs="Times New Roman"/>
                <w:b/>
                <w:bCs/>
                <w:color w:val="auto"/>
                <w:kern w:val="2"/>
                <w:sz w:val="28"/>
                <w:szCs w:val="28"/>
                <w:highlight w:val="none"/>
                <w:vertAlign w:val="baseline"/>
                <w:lang w:val="en-US" w:eastAsia="zh-CN"/>
              </w:rPr>
              <w:drawing>
                <wp:inline distT="0" distB="0" distL="114300" distR="114300">
                  <wp:extent cx="2567305" cy="1924685"/>
                  <wp:effectExtent l="0" t="0" r="4445" b="18415"/>
                  <wp:docPr id="47" name="图片 47" descr="803adb283ca970b13715587676e82a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803adb283ca970b13715587676e82ab8"/>
                          <pic:cNvPicPr>
                            <a:picLocks noChangeAspect="1"/>
                          </pic:cNvPicPr>
                        </pic:nvPicPr>
                        <pic:blipFill>
                          <a:blip r:embed="rId41"/>
                          <a:stretch>
                            <a:fillRect/>
                          </a:stretch>
                        </pic:blipFill>
                        <pic:spPr>
                          <a:xfrm>
                            <a:off x="0" y="0"/>
                            <a:ext cx="2567305" cy="1924685"/>
                          </a:xfrm>
                          <a:prstGeom prst="rect">
                            <a:avLst/>
                          </a:prstGeom>
                        </pic:spPr>
                      </pic:pic>
                    </a:graphicData>
                  </a:graphic>
                </wp:inline>
              </w:drawing>
            </w:r>
            <w:bookmarkEnd w:id="123"/>
            <w:bookmarkEnd w:id="124"/>
            <w:bookmarkEnd w:id="125"/>
          </w:p>
        </w:tc>
      </w:tr>
      <w:tr w14:paraId="39F78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14:paraId="7A1EA0E9">
            <w:pPr>
              <w:pStyle w:val="75"/>
              <w:keepNext w:val="0"/>
              <w:keepLines w:val="0"/>
              <w:suppressLineNumbers w:val="0"/>
              <w:spacing w:before="0" w:beforeAutospacing="0" w:after="0" w:afterAutospacing="0"/>
              <w:ind w:left="0" w:leftChars="0" w:right="0" w:firstLine="0" w:firstLineChars="0"/>
              <w:jc w:val="both"/>
              <w:outlineLvl w:val="0"/>
              <w:rPr>
                <w:rFonts w:hint="default" w:ascii="Times New Roman" w:hAnsi="Times New Roman" w:eastAsia="宋体" w:cs="Times New Roman"/>
                <w:b/>
                <w:bCs/>
                <w:color w:val="auto"/>
                <w:kern w:val="2"/>
                <w:sz w:val="28"/>
                <w:szCs w:val="28"/>
                <w:highlight w:val="none"/>
                <w:vertAlign w:val="baseline"/>
                <w:lang w:val="en-US" w:eastAsia="zh-CN"/>
              </w:rPr>
            </w:pPr>
            <w:bookmarkStart w:id="126" w:name="_Toc6854"/>
            <w:bookmarkStart w:id="127" w:name="_Toc30244"/>
            <w:bookmarkStart w:id="128" w:name="_Toc30434"/>
            <w:r>
              <w:rPr>
                <w:rFonts w:hint="default" w:ascii="Times New Roman" w:hAnsi="Times New Roman" w:eastAsia="宋体" w:cs="Times New Roman"/>
                <w:b/>
                <w:bCs/>
                <w:color w:val="auto"/>
                <w:kern w:val="2"/>
                <w:sz w:val="28"/>
                <w:szCs w:val="28"/>
                <w:highlight w:val="none"/>
                <w:vertAlign w:val="baseline"/>
                <w:lang w:val="en-US" w:eastAsia="zh-CN"/>
              </w:rPr>
              <w:drawing>
                <wp:inline distT="0" distB="0" distL="114300" distR="114300">
                  <wp:extent cx="2567305" cy="1924685"/>
                  <wp:effectExtent l="0" t="0" r="4445" b="18415"/>
                  <wp:docPr id="48" name="图片 48" descr="792384ffea9252c3c6be2402c2b22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792384ffea9252c3c6be2402c2b22c10"/>
                          <pic:cNvPicPr>
                            <a:picLocks noChangeAspect="1"/>
                          </pic:cNvPicPr>
                        </pic:nvPicPr>
                        <pic:blipFill>
                          <a:blip r:embed="rId42"/>
                          <a:stretch>
                            <a:fillRect/>
                          </a:stretch>
                        </pic:blipFill>
                        <pic:spPr>
                          <a:xfrm>
                            <a:off x="0" y="0"/>
                            <a:ext cx="2567305" cy="1924685"/>
                          </a:xfrm>
                          <a:prstGeom prst="rect">
                            <a:avLst/>
                          </a:prstGeom>
                        </pic:spPr>
                      </pic:pic>
                    </a:graphicData>
                  </a:graphic>
                </wp:inline>
              </w:drawing>
            </w:r>
            <w:bookmarkEnd w:id="126"/>
            <w:bookmarkEnd w:id="127"/>
            <w:bookmarkEnd w:id="128"/>
          </w:p>
        </w:tc>
        <w:tc>
          <w:tcPr>
            <w:tcW w:w="4264" w:type="dxa"/>
          </w:tcPr>
          <w:p w14:paraId="2D2BBFAA">
            <w:pPr>
              <w:pStyle w:val="75"/>
              <w:keepNext w:val="0"/>
              <w:keepLines w:val="0"/>
              <w:suppressLineNumbers w:val="0"/>
              <w:spacing w:before="0" w:beforeAutospacing="0" w:after="0" w:afterAutospacing="0"/>
              <w:ind w:left="0" w:leftChars="0" w:right="0" w:firstLine="0" w:firstLineChars="0"/>
              <w:jc w:val="both"/>
              <w:outlineLvl w:val="0"/>
              <w:rPr>
                <w:rFonts w:hint="default" w:ascii="Times New Roman" w:hAnsi="Times New Roman" w:eastAsia="宋体" w:cs="Times New Roman"/>
                <w:b/>
                <w:bCs/>
                <w:color w:val="auto"/>
                <w:kern w:val="2"/>
                <w:sz w:val="28"/>
                <w:szCs w:val="28"/>
                <w:highlight w:val="none"/>
                <w:vertAlign w:val="baseline"/>
                <w:lang w:val="en-US" w:eastAsia="zh-CN"/>
              </w:rPr>
            </w:pPr>
            <w:bookmarkStart w:id="129" w:name="_Toc19499"/>
            <w:bookmarkStart w:id="130" w:name="_Toc22385"/>
            <w:bookmarkStart w:id="131" w:name="_Toc25560"/>
            <w:r>
              <w:rPr>
                <w:rFonts w:hint="default" w:ascii="Times New Roman" w:hAnsi="Times New Roman" w:eastAsia="宋体" w:cs="Times New Roman"/>
                <w:b/>
                <w:bCs/>
                <w:color w:val="auto"/>
                <w:kern w:val="2"/>
                <w:sz w:val="28"/>
                <w:szCs w:val="28"/>
                <w:highlight w:val="none"/>
                <w:vertAlign w:val="baseline"/>
                <w:lang w:val="en-US" w:eastAsia="zh-CN"/>
              </w:rPr>
              <w:drawing>
                <wp:inline distT="0" distB="0" distL="114300" distR="114300">
                  <wp:extent cx="2567305" cy="1924685"/>
                  <wp:effectExtent l="0" t="0" r="4445" b="18415"/>
                  <wp:docPr id="49" name="图片 49" descr="3022410378eea4a43bbf82bfd0cdb3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3022410378eea4a43bbf82bfd0cdb3a7"/>
                          <pic:cNvPicPr>
                            <a:picLocks noChangeAspect="1"/>
                          </pic:cNvPicPr>
                        </pic:nvPicPr>
                        <pic:blipFill>
                          <a:blip r:embed="rId43"/>
                          <a:stretch>
                            <a:fillRect/>
                          </a:stretch>
                        </pic:blipFill>
                        <pic:spPr>
                          <a:xfrm>
                            <a:off x="0" y="0"/>
                            <a:ext cx="2567305" cy="1924685"/>
                          </a:xfrm>
                          <a:prstGeom prst="rect">
                            <a:avLst/>
                          </a:prstGeom>
                        </pic:spPr>
                      </pic:pic>
                    </a:graphicData>
                  </a:graphic>
                </wp:inline>
              </w:drawing>
            </w:r>
            <w:bookmarkEnd w:id="129"/>
            <w:bookmarkEnd w:id="130"/>
            <w:bookmarkEnd w:id="131"/>
          </w:p>
        </w:tc>
      </w:tr>
      <w:tr w14:paraId="23030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14:paraId="3724CEE9">
            <w:pPr>
              <w:pStyle w:val="75"/>
              <w:keepNext w:val="0"/>
              <w:keepLines w:val="0"/>
              <w:suppressLineNumbers w:val="0"/>
              <w:spacing w:before="0" w:beforeAutospacing="0" w:after="0" w:afterAutospacing="0"/>
              <w:ind w:left="0" w:leftChars="0" w:right="0" w:firstLine="0" w:firstLineChars="0"/>
              <w:jc w:val="both"/>
              <w:outlineLvl w:val="0"/>
              <w:rPr>
                <w:rFonts w:hint="default" w:ascii="Times New Roman" w:hAnsi="Times New Roman" w:eastAsia="宋体" w:cs="Times New Roman"/>
                <w:b/>
                <w:bCs/>
                <w:color w:val="auto"/>
                <w:kern w:val="2"/>
                <w:sz w:val="28"/>
                <w:szCs w:val="28"/>
                <w:highlight w:val="none"/>
                <w:vertAlign w:val="baseline"/>
                <w:lang w:val="en-US" w:eastAsia="zh-CN"/>
              </w:rPr>
            </w:pPr>
            <w:bookmarkStart w:id="132" w:name="_Toc8337"/>
            <w:bookmarkStart w:id="133" w:name="_Toc5830"/>
            <w:bookmarkStart w:id="134" w:name="_Toc11212"/>
            <w:r>
              <w:rPr>
                <w:rFonts w:hint="default" w:ascii="Times New Roman" w:hAnsi="Times New Roman" w:eastAsia="宋体" w:cs="Times New Roman"/>
                <w:b/>
                <w:bCs/>
                <w:color w:val="auto"/>
                <w:kern w:val="2"/>
                <w:sz w:val="28"/>
                <w:szCs w:val="28"/>
                <w:highlight w:val="none"/>
                <w:vertAlign w:val="baseline"/>
                <w:lang w:val="en-US" w:eastAsia="zh-CN"/>
              </w:rPr>
              <w:drawing>
                <wp:inline distT="0" distB="0" distL="114300" distR="114300">
                  <wp:extent cx="2567305" cy="1924685"/>
                  <wp:effectExtent l="0" t="0" r="4445" b="18415"/>
                  <wp:docPr id="50" name="图片 50" descr="a3232e434b058eee712eab38c03ea3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a3232e434b058eee712eab38c03ea3e4"/>
                          <pic:cNvPicPr>
                            <a:picLocks noChangeAspect="1"/>
                          </pic:cNvPicPr>
                        </pic:nvPicPr>
                        <pic:blipFill>
                          <a:blip r:embed="rId44"/>
                          <a:stretch>
                            <a:fillRect/>
                          </a:stretch>
                        </pic:blipFill>
                        <pic:spPr>
                          <a:xfrm>
                            <a:off x="0" y="0"/>
                            <a:ext cx="2567305" cy="1924685"/>
                          </a:xfrm>
                          <a:prstGeom prst="rect">
                            <a:avLst/>
                          </a:prstGeom>
                        </pic:spPr>
                      </pic:pic>
                    </a:graphicData>
                  </a:graphic>
                </wp:inline>
              </w:drawing>
            </w:r>
            <w:bookmarkEnd w:id="132"/>
            <w:bookmarkEnd w:id="133"/>
            <w:bookmarkEnd w:id="134"/>
          </w:p>
        </w:tc>
        <w:tc>
          <w:tcPr>
            <w:tcW w:w="4264" w:type="dxa"/>
          </w:tcPr>
          <w:p w14:paraId="4F11FAAD">
            <w:pPr>
              <w:pStyle w:val="75"/>
              <w:keepNext w:val="0"/>
              <w:keepLines w:val="0"/>
              <w:suppressLineNumbers w:val="0"/>
              <w:spacing w:before="0" w:beforeAutospacing="0" w:after="0" w:afterAutospacing="0"/>
              <w:ind w:left="0" w:leftChars="0" w:right="0" w:firstLine="0" w:firstLineChars="0"/>
              <w:jc w:val="both"/>
              <w:outlineLvl w:val="0"/>
              <w:rPr>
                <w:rFonts w:hint="default" w:ascii="Times New Roman" w:hAnsi="Times New Roman" w:eastAsia="宋体" w:cs="Times New Roman"/>
                <w:b/>
                <w:bCs/>
                <w:color w:val="auto"/>
                <w:kern w:val="2"/>
                <w:sz w:val="28"/>
                <w:szCs w:val="28"/>
                <w:highlight w:val="none"/>
                <w:vertAlign w:val="baseline"/>
                <w:lang w:val="en-US" w:eastAsia="zh-CN"/>
              </w:rPr>
            </w:pPr>
            <w:bookmarkStart w:id="135" w:name="_Toc28004"/>
            <w:bookmarkStart w:id="136" w:name="_Toc9861"/>
            <w:bookmarkStart w:id="137" w:name="_Toc18180"/>
            <w:r>
              <w:rPr>
                <w:rFonts w:hint="default" w:ascii="Times New Roman" w:hAnsi="Times New Roman" w:eastAsia="宋体" w:cs="Times New Roman"/>
                <w:b/>
                <w:bCs/>
                <w:color w:val="auto"/>
                <w:kern w:val="2"/>
                <w:sz w:val="28"/>
                <w:szCs w:val="28"/>
                <w:highlight w:val="none"/>
                <w:vertAlign w:val="baseline"/>
                <w:lang w:val="en-US" w:eastAsia="zh-CN"/>
              </w:rPr>
              <w:drawing>
                <wp:inline distT="0" distB="0" distL="114300" distR="114300">
                  <wp:extent cx="2567305" cy="1924685"/>
                  <wp:effectExtent l="0" t="0" r="4445" b="18415"/>
                  <wp:docPr id="51" name="图片 51" descr="fa4e7033ca35039327a549070a86e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fa4e7033ca35039327a549070a86ed33"/>
                          <pic:cNvPicPr>
                            <a:picLocks noChangeAspect="1"/>
                          </pic:cNvPicPr>
                        </pic:nvPicPr>
                        <pic:blipFill>
                          <a:blip r:embed="rId45"/>
                          <a:stretch>
                            <a:fillRect/>
                          </a:stretch>
                        </pic:blipFill>
                        <pic:spPr>
                          <a:xfrm>
                            <a:off x="0" y="0"/>
                            <a:ext cx="2567305" cy="1924685"/>
                          </a:xfrm>
                          <a:prstGeom prst="rect">
                            <a:avLst/>
                          </a:prstGeom>
                        </pic:spPr>
                      </pic:pic>
                    </a:graphicData>
                  </a:graphic>
                </wp:inline>
              </w:drawing>
            </w:r>
            <w:bookmarkEnd w:id="135"/>
            <w:bookmarkEnd w:id="136"/>
            <w:bookmarkEnd w:id="137"/>
          </w:p>
        </w:tc>
      </w:tr>
      <w:tr w14:paraId="51F3A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2"/>
          </w:tcPr>
          <w:p w14:paraId="4E5105C1">
            <w:pPr>
              <w:pStyle w:val="75"/>
              <w:keepNext w:val="0"/>
              <w:keepLines w:val="0"/>
              <w:suppressLineNumbers w:val="0"/>
              <w:spacing w:before="0" w:beforeAutospacing="0" w:after="0" w:afterAutospacing="0"/>
              <w:ind w:left="0" w:right="0"/>
              <w:jc w:val="center"/>
              <w:outlineLvl w:val="0"/>
              <w:rPr>
                <w:rFonts w:hint="default" w:ascii="Times New Roman" w:hAnsi="Times New Roman" w:eastAsia="宋体" w:cs="Times New Roman"/>
                <w:b/>
                <w:bCs/>
                <w:color w:val="auto"/>
                <w:kern w:val="2"/>
                <w:sz w:val="28"/>
                <w:szCs w:val="28"/>
                <w:highlight w:val="none"/>
                <w:vertAlign w:val="baseline"/>
                <w:lang w:val="en-US" w:eastAsia="zh-CN"/>
              </w:rPr>
            </w:pPr>
            <w:bookmarkStart w:id="138" w:name="_Toc30664"/>
            <w:r>
              <w:rPr>
                <w:rFonts w:hint="default" w:ascii="Times New Roman" w:hAnsi="Times New Roman" w:eastAsia="宋体" w:cs="Times New Roman"/>
                <w:b/>
                <w:bCs/>
                <w:color w:val="auto"/>
                <w:kern w:val="2"/>
                <w:sz w:val="28"/>
                <w:szCs w:val="28"/>
                <w:highlight w:val="none"/>
                <w:lang w:val="en-US" w:eastAsia="zh-CN"/>
              </w:rPr>
              <w:t>附图</w:t>
            </w:r>
            <w:r>
              <w:rPr>
                <w:rFonts w:hint="eastAsia" w:ascii="Times New Roman" w:hAnsi="Times New Roman" w:eastAsia="宋体" w:cs="Times New Roman"/>
                <w:b/>
                <w:bCs/>
                <w:color w:val="auto"/>
                <w:kern w:val="2"/>
                <w:sz w:val="28"/>
                <w:szCs w:val="28"/>
                <w:highlight w:val="none"/>
                <w:lang w:val="en-US" w:eastAsia="zh-CN"/>
              </w:rPr>
              <w:t>7</w:t>
            </w:r>
            <w:r>
              <w:rPr>
                <w:rFonts w:hint="default" w:ascii="Times New Roman" w:hAnsi="Times New Roman" w:eastAsia="宋体" w:cs="Times New Roman"/>
                <w:b/>
                <w:bCs/>
                <w:color w:val="auto"/>
                <w:kern w:val="2"/>
                <w:sz w:val="28"/>
                <w:szCs w:val="28"/>
                <w:highlight w:val="none"/>
                <w:lang w:val="en-US" w:eastAsia="zh-CN"/>
              </w:rPr>
              <w:t xml:space="preserve">  项目用地及周边环境现状图片资料</w:t>
            </w:r>
            <w:bookmarkEnd w:id="138"/>
          </w:p>
        </w:tc>
      </w:tr>
      <w:tr w14:paraId="6D96B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2"/>
          </w:tcPr>
          <w:p w14:paraId="7178B421">
            <w:pPr>
              <w:pStyle w:val="75"/>
              <w:keepNext w:val="0"/>
              <w:keepLines w:val="0"/>
              <w:suppressLineNumbers w:val="0"/>
              <w:spacing w:before="0" w:beforeAutospacing="0" w:after="0" w:afterAutospacing="0"/>
              <w:ind w:left="0" w:right="0"/>
              <w:jc w:val="center"/>
              <w:outlineLvl w:val="0"/>
              <w:rPr>
                <w:rFonts w:hint="default" w:ascii="Times New Roman" w:hAnsi="Times New Roman" w:eastAsia="宋体" w:cs="Times New Roman"/>
                <w:b/>
                <w:bCs/>
                <w:color w:val="000000" w:themeColor="text1"/>
                <w:kern w:val="2"/>
                <w:sz w:val="28"/>
                <w:szCs w:val="28"/>
                <w:highlight w:val="none"/>
                <w:lang w:val="en-US" w:eastAsia="zh-CN"/>
                <w14:textFill>
                  <w14:solidFill>
                    <w14:schemeClr w14:val="tx1"/>
                  </w14:solidFill>
                </w14:textFill>
              </w:rPr>
            </w:pPr>
            <w:bookmarkStart w:id="139" w:name="_Toc3058"/>
            <w:r>
              <w:rPr>
                <w:rFonts w:hint="default" w:ascii="Times New Roman" w:hAnsi="Times New Roman" w:eastAsia="宋体" w:cs="Times New Roman"/>
                <w:b/>
                <w:bCs/>
                <w:color w:val="000000" w:themeColor="text1"/>
                <w:kern w:val="2"/>
                <w:sz w:val="28"/>
                <w:szCs w:val="28"/>
                <w:highlight w:val="none"/>
                <w:lang w:val="en-US" w:eastAsia="zh-CN"/>
                <w14:textFill>
                  <w14:solidFill>
                    <w14:schemeClr w14:val="tx1"/>
                  </w14:solidFill>
                </w14:textFill>
              </w:rPr>
              <w:t>附图</w:t>
            </w:r>
            <w:r>
              <w:rPr>
                <w:rFonts w:hint="eastAsia" w:ascii="Times New Roman" w:hAnsi="Times New Roman" w:eastAsia="宋体" w:cs="Times New Roman"/>
                <w:b/>
                <w:bCs/>
                <w:color w:val="000000" w:themeColor="text1"/>
                <w:kern w:val="2"/>
                <w:sz w:val="28"/>
                <w:szCs w:val="28"/>
                <w:highlight w:val="none"/>
                <w:lang w:val="en-US" w:eastAsia="zh-CN"/>
                <w14:textFill>
                  <w14:solidFill>
                    <w14:schemeClr w14:val="tx1"/>
                  </w14:solidFill>
                </w14:textFill>
              </w:rPr>
              <w:t>8</w:t>
            </w:r>
            <w:r>
              <w:rPr>
                <w:rFonts w:hint="default" w:ascii="Times New Roman" w:hAnsi="Times New Roman" w:eastAsia="宋体" w:cs="Times New Roman"/>
                <w:b/>
                <w:bCs/>
                <w:color w:val="000000" w:themeColor="text1"/>
                <w:kern w:val="2"/>
                <w:sz w:val="28"/>
                <w:szCs w:val="28"/>
                <w:highlight w:val="none"/>
                <w:lang w:val="en-US" w:eastAsia="zh-CN"/>
                <w14:textFill>
                  <w14:solidFill>
                    <w14:schemeClr w14:val="tx1"/>
                  </w14:solidFill>
                </w14:textFill>
              </w:rPr>
              <w:t xml:space="preserve"> 工程师现场勘察照片</w:t>
            </w:r>
            <w:r>
              <w:rPr>
                <w:rFonts w:hint="default" w:ascii="Times New Roman" w:hAnsi="Times New Roman" w:eastAsia="宋体" w:cs="Times New Roman"/>
                <w:b/>
                <w:bCs/>
                <w:color w:val="000000" w:themeColor="text1"/>
                <w:kern w:val="2"/>
                <w:sz w:val="28"/>
                <w:szCs w:val="28"/>
                <w:highlight w:val="none"/>
                <w:lang w:val="en-US" w:eastAsia="zh-CN"/>
                <w14:textFill>
                  <w14:solidFill>
                    <w14:schemeClr w14:val="tx1"/>
                  </w14:solidFill>
                </w14:textFill>
              </w:rPr>
              <w:drawing>
                <wp:anchor distT="0" distB="0" distL="114300" distR="114300" simplePos="0" relativeHeight="251681792" behindDoc="1" locked="0" layoutInCell="1" allowOverlap="1">
                  <wp:simplePos x="0" y="0"/>
                  <wp:positionH relativeFrom="column">
                    <wp:posOffset>208280</wp:posOffset>
                  </wp:positionH>
                  <wp:positionV relativeFrom="paragraph">
                    <wp:posOffset>81915</wp:posOffset>
                  </wp:positionV>
                  <wp:extent cx="4985385" cy="4562475"/>
                  <wp:effectExtent l="0" t="0" r="5715" b="9525"/>
                  <wp:wrapTight wrapText="bothSides">
                    <wp:wrapPolygon>
                      <wp:start x="0" y="0"/>
                      <wp:lineTo x="0" y="21555"/>
                      <wp:lineTo x="21542" y="21555"/>
                      <wp:lineTo x="21542" y="0"/>
                      <wp:lineTo x="0" y="0"/>
                    </wp:wrapPolygon>
                  </wp:wrapTight>
                  <wp:docPr id="4" name="图片 4" descr="9b6b3d1a-1417-4fa6-98f3-8aa7661231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9b6b3d1a-1417-4fa6-98f3-8aa7661231b9"/>
                          <pic:cNvPicPr>
                            <a:picLocks noChangeAspect="1"/>
                          </pic:cNvPicPr>
                        </pic:nvPicPr>
                        <pic:blipFill>
                          <a:blip r:embed="rId46"/>
                          <a:stretch>
                            <a:fillRect/>
                          </a:stretch>
                        </pic:blipFill>
                        <pic:spPr>
                          <a:xfrm>
                            <a:off x="0" y="0"/>
                            <a:ext cx="4985385" cy="4562475"/>
                          </a:xfrm>
                          <a:prstGeom prst="rect">
                            <a:avLst/>
                          </a:prstGeom>
                        </pic:spPr>
                      </pic:pic>
                    </a:graphicData>
                  </a:graphic>
                </wp:anchor>
              </w:drawing>
            </w:r>
            <w:bookmarkEnd w:id="139"/>
          </w:p>
        </w:tc>
      </w:tr>
    </w:tbl>
    <w:p w14:paraId="049ECA5F">
      <w:pPr>
        <w:pStyle w:val="75"/>
        <w:ind w:firstLine="0" w:firstLineChars="0"/>
        <w:jc w:val="center"/>
        <w:outlineLvl w:val="0"/>
        <w:rPr>
          <w:rFonts w:hint="default" w:ascii="Times New Roman" w:hAnsi="Times New Roman" w:eastAsia="宋体" w:cs="Times New Roman"/>
          <w:b/>
          <w:bCs/>
          <w:color w:val="auto"/>
          <w:kern w:val="2"/>
          <w:sz w:val="28"/>
          <w:szCs w:val="28"/>
          <w:highlight w:val="none"/>
          <w:lang w:val="en-US" w:eastAsia="zh-CN"/>
        </w:rPr>
      </w:pPr>
    </w:p>
    <w:p w14:paraId="5F44A11A">
      <w:pPr>
        <w:pStyle w:val="2"/>
        <w:rPr>
          <w:rFonts w:hint="default" w:ascii="Times New Roman" w:hAnsi="Times New Roman" w:cs="Times New Roman"/>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C5183D9">
      <w:pPr>
        <w:pStyle w:val="2"/>
        <w:keepNext w:val="0"/>
        <w:keepLines w:val="0"/>
        <w:pageBreakBefore w:val="0"/>
        <w:widowControl w:val="0"/>
        <w:kinsoku/>
        <w:wordWrap/>
        <w:overflowPunct/>
        <w:topLinePunct w:val="0"/>
        <w:autoSpaceDE/>
        <w:autoSpaceDN/>
        <w:bidi w:val="0"/>
        <w:adjustRightInd w:val="0"/>
        <w:snapToGrid w:val="0"/>
        <w:ind w:firstLine="0" w:firstLineChars="0"/>
        <w:textAlignment w:val="auto"/>
        <w:outlineLvl w:val="0"/>
        <w:rPr>
          <w:rFonts w:hint="default" w:ascii="Times New Roman" w:hAnsi="Times New Roman" w:eastAsia="宋体" w:cs="Times New Roman"/>
          <w:color w:val="auto"/>
          <w:kern w:val="2"/>
          <w:sz w:val="28"/>
          <w:szCs w:val="28"/>
          <w:highlight w:val="none"/>
          <w:lang w:val="en-US" w:eastAsia="zh-CN" w:bidi="ar-SA"/>
        </w:rPr>
      </w:pPr>
      <w:bookmarkStart w:id="140" w:name="_Toc23363"/>
      <w:bookmarkStart w:id="141" w:name="_Toc21580"/>
      <w:r>
        <w:rPr>
          <w:rFonts w:hint="eastAsia" w:ascii="宋体" w:hAnsi="宋体" w:eastAsia="宋体" w:cs="宋体"/>
          <w:b/>
          <w:bCs/>
          <w:color w:val="auto"/>
          <w:kern w:val="2"/>
          <w:sz w:val="28"/>
          <w:szCs w:val="28"/>
          <w:highlight w:val="none"/>
          <w:lang w:val="en-US" w:eastAsia="zh-CN" w:bidi="ar-SA"/>
        </w:rPr>
        <w:t>附件1</w:t>
      </w:r>
      <w:bookmarkEnd w:id="140"/>
      <w:bookmarkEnd w:id="141"/>
    </w:p>
    <w:p w14:paraId="228D9379">
      <w:pPr>
        <w:pStyle w:val="2"/>
        <w:jc w:val="center"/>
        <w:rPr>
          <w:rFonts w:hint="default" w:ascii="Times New Roman" w:hAnsi="Times New Roman" w:eastAsia="宋体" w:cs="Times New Roman"/>
          <w:color w:val="auto"/>
          <w:kern w:val="2"/>
          <w:sz w:val="30"/>
          <w:szCs w:val="30"/>
          <w:highlight w:val="none"/>
          <w:lang w:val="en-US" w:eastAsia="zh-CN" w:bidi="ar-SA"/>
        </w:rPr>
      </w:pPr>
      <w:r>
        <w:rPr>
          <w:rFonts w:hint="default" w:ascii="Times New Roman" w:hAnsi="Times New Roman" w:eastAsia="宋体" w:cs="Times New Roman"/>
          <w:color w:val="auto"/>
          <w:kern w:val="2"/>
          <w:sz w:val="30"/>
          <w:szCs w:val="30"/>
          <w:highlight w:val="none"/>
          <w:lang w:val="en-US" w:eastAsia="zh-CN" w:bidi="ar-SA"/>
        </w:rPr>
        <w:t>建设项目环境影响评价</w:t>
      </w:r>
    </w:p>
    <w:p w14:paraId="3AA64CDC">
      <w:pPr>
        <w:pStyle w:val="2"/>
        <w:jc w:val="center"/>
        <w:rPr>
          <w:rFonts w:hint="default" w:ascii="Times New Roman" w:hAnsi="Times New Roman" w:eastAsia="宋体" w:cs="Times New Roman"/>
          <w:color w:val="auto"/>
          <w:kern w:val="2"/>
          <w:sz w:val="30"/>
          <w:szCs w:val="30"/>
          <w:highlight w:val="none"/>
          <w:lang w:val="en-US" w:eastAsia="zh-CN" w:bidi="ar-SA"/>
        </w:rPr>
      </w:pPr>
      <w:bookmarkStart w:id="142" w:name="_Toc7932"/>
      <w:r>
        <w:rPr>
          <w:rFonts w:hint="default" w:ascii="Times New Roman" w:hAnsi="Times New Roman" w:eastAsia="宋体" w:cs="Times New Roman"/>
          <w:color w:val="auto"/>
          <w:kern w:val="2"/>
          <w:sz w:val="30"/>
          <w:szCs w:val="30"/>
          <w:highlight w:val="none"/>
          <w:lang w:val="en-US" w:eastAsia="zh-CN" w:bidi="ar-SA"/>
        </w:rPr>
        <w:t>委  托  书</w:t>
      </w:r>
      <w:bookmarkEnd w:id="142"/>
    </w:p>
    <w:p w14:paraId="67140A80">
      <w:pPr>
        <w:pStyle w:val="2"/>
        <w:keepNext w:val="0"/>
        <w:keepLines w:val="0"/>
        <w:pageBreakBefore w:val="0"/>
        <w:widowControl w:val="0"/>
        <w:kinsoku/>
        <w:wordWrap/>
        <w:overflowPunct/>
        <w:topLinePunct w:val="0"/>
        <w:autoSpaceDE/>
        <w:autoSpaceDN/>
        <w:bidi w:val="0"/>
        <w:adjustRightInd w:val="0"/>
        <w:snapToGrid w:val="0"/>
        <w:spacing w:before="685" w:beforeLines="200"/>
        <w:ind w:firstLine="0" w:firstLineChars="0"/>
        <w:jc w:val="left"/>
        <w:textAlignment w:val="auto"/>
        <w:rPr>
          <w:rFonts w:hint="eastAsia" w:ascii="宋体" w:hAnsi="宋体" w:eastAsia="宋体" w:cs="宋体"/>
          <w:color w:val="auto"/>
          <w:kern w:val="2"/>
          <w:sz w:val="30"/>
          <w:szCs w:val="30"/>
          <w:highlight w:val="none"/>
          <w:lang w:val="en-US" w:eastAsia="zh-CN" w:bidi="ar-SA"/>
        </w:rPr>
      </w:pPr>
      <w:r>
        <w:rPr>
          <w:rFonts w:hint="eastAsia" w:ascii="宋体" w:hAnsi="宋体" w:eastAsia="宋体" w:cs="宋体"/>
          <w:color w:val="auto"/>
          <w:kern w:val="2"/>
          <w:sz w:val="30"/>
          <w:szCs w:val="30"/>
          <w:highlight w:val="none"/>
          <w:lang w:val="en-US" w:eastAsia="zh-CN" w:bidi="ar-SA"/>
        </w:rPr>
        <w:t>广西环奕环保科技有限公司：</w:t>
      </w:r>
    </w:p>
    <w:p w14:paraId="5EEB675D">
      <w:pPr>
        <w:pStyle w:val="2"/>
        <w:keepNext w:val="0"/>
        <w:keepLines w:val="0"/>
        <w:pageBreakBefore w:val="0"/>
        <w:widowControl w:val="0"/>
        <w:kinsoku/>
        <w:wordWrap/>
        <w:overflowPunct/>
        <w:topLinePunct w:val="0"/>
        <w:autoSpaceDE/>
        <w:autoSpaceDN/>
        <w:bidi w:val="0"/>
        <w:adjustRightInd w:val="0"/>
        <w:snapToGrid w:val="0"/>
        <w:ind w:firstLine="600" w:firstLineChars="200"/>
        <w:textAlignment w:val="auto"/>
        <w:rPr>
          <w:rFonts w:hint="eastAsia" w:ascii="宋体" w:hAnsi="宋体" w:eastAsia="宋体" w:cs="宋体"/>
          <w:color w:val="auto"/>
          <w:kern w:val="2"/>
          <w:sz w:val="30"/>
          <w:szCs w:val="30"/>
          <w:highlight w:val="none"/>
          <w:lang w:val="en-US" w:eastAsia="zh-CN" w:bidi="ar-SA"/>
        </w:rPr>
      </w:pPr>
      <w:r>
        <w:rPr>
          <w:rFonts w:hint="eastAsia" w:ascii="宋体" w:hAnsi="宋体" w:eastAsia="宋体" w:cs="宋体"/>
          <w:color w:val="auto"/>
          <w:kern w:val="2"/>
          <w:sz w:val="30"/>
          <w:szCs w:val="30"/>
          <w:highlight w:val="none"/>
          <w:lang w:val="en-US" w:eastAsia="zh-CN" w:bidi="ar-SA"/>
        </w:rPr>
        <w:t>我公司拟建设“造纸纸浆高端磨片及耐磨件生产项目”，根据《中华人民共和国环境保护法》、《建设项目环境保护管理办法》的规定，现委托贵公司承担该项目的环境影响评价工作，具体工作按双方签订的合同进行。</w:t>
      </w:r>
    </w:p>
    <w:p w14:paraId="45D75C01">
      <w:pPr>
        <w:pStyle w:val="2"/>
        <w:keepNext w:val="0"/>
        <w:keepLines w:val="0"/>
        <w:pageBreakBefore w:val="0"/>
        <w:widowControl w:val="0"/>
        <w:kinsoku/>
        <w:wordWrap/>
        <w:overflowPunct/>
        <w:topLinePunct w:val="0"/>
        <w:autoSpaceDE/>
        <w:autoSpaceDN/>
        <w:bidi w:val="0"/>
        <w:adjustRightInd w:val="0"/>
        <w:snapToGrid w:val="0"/>
        <w:ind w:firstLine="600" w:firstLineChars="200"/>
        <w:textAlignment w:val="auto"/>
        <w:rPr>
          <w:rFonts w:hint="eastAsia" w:ascii="宋体" w:hAnsi="宋体" w:eastAsia="宋体" w:cs="宋体"/>
          <w:color w:val="auto"/>
          <w:kern w:val="2"/>
          <w:sz w:val="30"/>
          <w:szCs w:val="30"/>
          <w:highlight w:val="none"/>
          <w:lang w:val="en-US" w:eastAsia="zh-CN" w:bidi="ar-SA"/>
        </w:rPr>
      </w:pPr>
      <w:r>
        <w:rPr>
          <w:rFonts w:hint="eastAsia" w:ascii="宋体" w:hAnsi="宋体" w:eastAsia="宋体" w:cs="宋体"/>
          <w:color w:val="auto"/>
          <w:kern w:val="2"/>
          <w:sz w:val="30"/>
          <w:szCs w:val="30"/>
          <w:highlight w:val="none"/>
          <w:lang w:val="en-US" w:eastAsia="zh-CN" w:bidi="ar-SA"/>
        </w:rPr>
        <w:t>特此委托。</w:t>
      </w:r>
    </w:p>
    <w:p w14:paraId="4719C91A">
      <w:pPr>
        <w:pStyle w:val="2"/>
        <w:jc w:val="right"/>
        <w:rPr>
          <w:rFonts w:hint="eastAsia" w:ascii="宋体" w:hAnsi="宋体" w:eastAsia="宋体" w:cs="宋体"/>
          <w:color w:val="auto"/>
          <w:kern w:val="2"/>
          <w:sz w:val="30"/>
          <w:szCs w:val="30"/>
          <w:highlight w:val="none"/>
          <w:lang w:val="en-US" w:eastAsia="zh-CN" w:bidi="ar-SA"/>
        </w:rPr>
      </w:pPr>
    </w:p>
    <w:p w14:paraId="486A2825">
      <w:pPr>
        <w:pStyle w:val="2"/>
        <w:ind w:firstLine="2400" w:firstLineChars="800"/>
        <w:jc w:val="right"/>
        <w:rPr>
          <w:rFonts w:hint="eastAsia" w:ascii="宋体" w:hAnsi="宋体" w:eastAsia="宋体" w:cs="宋体"/>
          <w:color w:val="auto"/>
          <w:kern w:val="2"/>
          <w:sz w:val="30"/>
          <w:szCs w:val="30"/>
          <w:highlight w:val="none"/>
          <w:lang w:val="en-US" w:eastAsia="zh-CN" w:bidi="ar-SA"/>
        </w:rPr>
      </w:pPr>
      <w:r>
        <w:rPr>
          <w:rFonts w:hint="eastAsia" w:ascii="宋体" w:hAnsi="宋体" w:eastAsia="宋体" w:cs="宋体"/>
          <w:color w:val="auto"/>
          <w:kern w:val="2"/>
          <w:sz w:val="30"/>
          <w:szCs w:val="30"/>
          <w:highlight w:val="none"/>
          <w:lang w:val="en-US" w:eastAsia="zh-CN" w:bidi="ar-SA"/>
        </w:rPr>
        <w:t>委托方（盖章）：柳州航城合金材料有限公司</w:t>
      </w:r>
    </w:p>
    <w:p w14:paraId="54056991">
      <w:pPr>
        <w:pStyle w:val="2"/>
        <w:jc w:val="right"/>
        <w:rPr>
          <w:rFonts w:hint="eastAsia" w:ascii="宋体" w:hAnsi="宋体" w:eastAsia="宋体" w:cs="宋体"/>
          <w:color w:val="auto"/>
          <w:kern w:val="2"/>
          <w:sz w:val="30"/>
          <w:szCs w:val="30"/>
          <w:highlight w:val="none"/>
          <w:lang w:val="en-US" w:eastAsia="zh-CN" w:bidi="ar-SA"/>
        </w:rPr>
      </w:pPr>
      <w:r>
        <w:rPr>
          <w:rFonts w:hint="eastAsia" w:ascii="宋体" w:hAnsi="宋体" w:eastAsia="宋体" w:cs="宋体"/>
          <w:color w:val="auto"/>
          <w:kern w:val="2"/>
          <w:sz w:val="30"/>
          <w:szCs w:val="30"/>
          <w:highlight w:val="none"/>
          <w:lang w:val="en-US" w:eastAsia="zh-CN" w:bidi="ar-SA"/>
        </w:rPr>
        <w:t>2026年04月10日</w:t>
      </w:r>
    </w:p>
    <w:p w14:paraId="02A21EFD">
      <w:pPr>
        <w:pStyle w:val="2"/>
        <w:rPr>
          <w:rFonts w:hint="default" w:ascii="Times New Roman" w:hAnsi="Times New Roman" w:eastAsia="宋体" w:cs="Times New Roman"/>
          <w:color w:val="auto"/>
          <w:kern w:val="2"/>
          <w:sz w:val="28"/>
          <w:szCs w:val="28"/>
          <w:highlight w:val="none"/>
          <w:lang w:val="en-US" w:eastAsia="zh-CN" w:bidi="ar-SA"/>
        </w:rPr>
      </w:pPr>
    </w:p>
    <w:p w14:paraId="693AA8D4">
      <w:pPr>
        <w:pStyle w:val="2"/>
        <w:rPr>
          <w:rFonts w:hint="default" w:ascii="Times New Roman" w:hAnsi="Times New Roman" w:eastAsia="宋体" w:cs="Times New Roman"/>
          <w:color w:val="auto"/>
          <w:kern w:val="2"/>
          <w:sz w:val="28"/>
          <w:szCs w:val="28"/>
          <w:highlight w:val="none"/>
          <w:lang w:val="en-US" w:eastAsia="zh-CN" w:bidi="ar-SA"/>
        </w:rPr>
        <w:sectPr>
          <w:headerReference r:id="rId9" w:type="default"/>
          <w:footerReference r:id="rId10" w:type="default"/>
          <w:pgSz w:w="11905" w:h="16838"/>
          <w:pgMar w:top="1417" w:right="1417" w:bottom="1417" w:left="1417" w:header="794" w:footer="992" w:gutter="0"/>
          <w:pgBorders>
            <w:top w:val="none" w:sz="0" w:space="0"/>
            <w:left w:val="none" w:sz="0" w:space="0"/>
            <w:bottom w:val="none" w:sz="0" w:space="0"/>
            <w:right w:val="none" w:sz="0" w:space="0"/>
          </w:pgBorders>
          <w:pgNumType w:fmt="decimal"/>
          <w:cols w:space="720" w:num="1"/>
          <w:docGrid w:type="lines" w:linePitch="342" w:charSpace="0"/>
        </w:sectPr>
      </w:pPr>
    </w:p>
    <w:p w14:paraId="7AD963FE">
      <w:pPr>
        <w:pStyle w:val="2"/>
        <w:keepNext w:val="0"/>
        <w:keepLines w:val="0"/>
        <w:pageBreakBefore w:val="0"/>
        <w:widowControl w:val="0"/>
        <w:kinsoku/>
        <w:wordWrap/>
        <w:overflowPunct/>
        <w:topLinePunct w:val="0"/>
        <w:autoSpaceDE/>
        <w:autoSpaceDN/>
        <w:bidi w:val="0"/>
        <w:adjustRightInd w:val="0"/>
        <w:snapToGrid w:val="0"/>
        <w:ind w:firstLine="0" w:firstLineChars="0"/>
        <w:textAlignment w:val="auto"/>
        <w:outlineLvl w:val="0"/>
        <w:rPr>
          <w:rFonts w:hint="default" w:ascii="宋体" w:hAnsi="宋体" w:eastAsia="宋体" w:cs="宋体"/>
          <w:b/>
          <w:bCs/>
          <w:color w:val="auto"/>
          <w:kern w:val="2"/>
          <w:sz w:val="28"/>
          <w:szCs w:val="28"/>
          <w:highlight w:val="none"/>
          <w:lang w:val="en-US" w:eastAsia="zh-CN" w:bidi="ar-SA"/>
        </w:rPr>
      </w:pPr>
      <w:bookmarkStart w:id="143" w:name="_Toc3157"/>
      <w:r>
        <w:rPr>
          <w:rFonts w:hint="default" w:ascii="宋体" w:hAnsi="宋体" w:eastAsia="宋体" w:cs="宋体"/>
          <w:b/>
          <w:bCs/>
          <w:color w:val="auto"/>
          <w:kern w:val="2"/>
          <w:sz w:val="28"/>
          <w:szCs w:val="28"/>
          <w:highlight w:val="none"/>
          <w:lang w:val="en-US" w:eastAsia="zh-CN" w:bidi="ar-SA"/>
        </w:rPr>
        <w:t>附件2营业执照</w:t>
      </w:r>
      <w:bookmarkEnd w:id="143"/>
    </w:p>
    <w:p w14:paraId="77A8B6D1">
      <w:pPr>
        <w:pStyle w:val="2"/>
        <w:jc w:val="center"/>
        <w:rPr>
          <w:rFonts w:hint="default" w:ascii="Times New Roman" w:hAnsi="Times New Roman" w:cs="Times New Roman"/>
          <w:lang w:eastAsia="zh-CN"/>
        </w:rPr>
      </w:pPr>
    </w:p>
    <w:p w14:paraId="2ECD8479">
      <w:pPr>
        <w:pStyle w:val="3"/>
        <w:rPr>
          <w:rFonts w:hint="default"/>
          <w:lang w:eastAsia="zh-CN"/>
        </w:rPr>
        <w:sectPr>
          <w:headerReference r:id="rId11" w:type="default"/>
          <w:footerReference r:id="rId12" w:type="default"/>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9E422AF">
      <w:pPr>
        <w:pStyle w:val="2"/>
        <w:keepNext w:val="0"/>
        <w:keepLines w:val="0"/>
        <w:pageBreakBefore w:val="0"/>
        <w:widowControl w:val="0"/>
        <w:kinsoku/>
        <w:wordWrap/>
        <w:overflowPunct/>
        <w:topLinePunct w:val="0"/>
        <w:autoSpaceDE/>
        <w:autoSpaceDN/>
        <w:bidi w:val="0"/>
        <w:adjustRightInd w:val="0"/>
        <w:snapToGrid w:val="0"/>
        <w:ind w:firstLine="0" w:firstLineChars="0"/>
        <w:textAlignment w:val="auto"/>
        <w:outlineLvl w:val="0"/>
        <w:rPr>
          <w:rFonts w:hint="default" w:ascii="宋体" w:hAnsi="宋体" w:eastAsia="宋体" w:cs="宋体"/>
          <w:b/>
          <w:bCs/>
          <w:color w:val="auto"/>
          <w:kern w:val="2"/>
          <w:sz w:val="28"/>
          <w:szCs w:val="28"/>
          <w:highlight w:val="none"/>
          <w:lang w:val="en-US" w:eastAsia="zh-CN" w:bidi="ar-SA"/>
        </w:rPr>
      </w:pPr>
      <w:r>
        <w:rPr>
          <w:rFonts w:hint="default" w:ascii="宋体" w:hAnsi="宋体" w:eastAsia="宋体" w:cs="宋体"/>
          <w:b/>
          <w:bCs/>
          <w:color w:val="auto"/>
          <w:kern w:val="2"/>
          <w:sz w:val="28"/>
          <w:szCs w:val="28"/>
          <w:highlight w:val="none"/>
          <w:lang w:val="en-US" w:eastAsia="zh-CN" w:bidi="ar-SA"/>
        </w:rPr>
        <w:t>附件3  广西壮族自治区投资项目备案证明</w:t>
      </w:r>
    </w:p>
    <w:p w14:paraId="513D67FE">
      <w:pPr>
        <w:pStyle w:val="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lang w:eastAsia="zh-CN"/>
        </w:rPr>
        <w:sectPr>
          <w:pgSz w:w="11906" w:h="16838"/>
          <w:pgMar w:top="1134" w:right="1701" w:bottom="1134" w:left="1701" w:header="567" w:footer="567" w:gutter="0"/>
          <w:pgBorders>
            <w:top w:val="none" w:sz="0" w:space="0"/>
            <w:left w:val="none" w:sz="0" w:space="0"/>
            <w:bottom w:val="none" w:sz="0" w:space="0"/>
            <w:right w:val="none" w:sz="0" w:space="0"/>
          </w:pgBorders>
          <w:pgNumType w:fmt="decimal"/>
          <w:cols w:space="720" w:num="1"/>
          <w:docGrid w:type="lines" w:linePitch="312" w:charSpace="0"/>
        </w:sectPr>
      </w:pPr>
      <w:r>
        <w:rPr>
          <w:sz w:val="21"/>
        </w:rPr>
        <mc:AlternateContent>
          <mc:Choice Requires="wps">
            <w:drawing>
              <wp:anchor distT="0" distB="0" distL="114300" distR="114300" simplePos="0" relativeHeight="251685888" behindDoc="0" locked="0" layoutInCell="1" allowOverlap="1">
                <wp:simplePos x="0" y="0"/>
                <wp:positionH relativeFrom="column">
                  <wp:posOffset>3684905</wp:posOffset>
                </wp:positionH>
                <wp:positionV relativeFrom="paragraph">
                  <wp:posOffset>7183120</wp:posOffset>
                </wp:positionV>
                <wp:extent cx="1513840" cy="505460"/>
                <wp:effectExtent l="12700" t="12700" r="16510" b="15240"/>
                <wp:wrapNone/>
                <wp:docPr id="21" name="矩形 21"/>
                <wp:cNvGraphicFramePr/>
                <a:graphic xmlns:a="http://schemas.openxmlformats.org/drawingml/2006/main">
                  <a:graphicData uri="http://schemas.microsoft.com/office/word/2010/wordprocessingShape">
                    <wps:wsp>
                      <wps:cNvSpPr/>
                      <wps:spPr>
                        <a:xfrm>
                          <a:off x="0" y="0"/>
                          <a:ext cx="1513840" cy="505460"/>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0.15pt;margin-top:565.6pt;height:39.8pt;width:119.2pt;z-index:251685888;v-text-anchor:middle;mso-width-relative:page;mso-height-relative:page;" fillcolor="#FFFFFF [3212]" filled="t" stroked="t" coordsize="21600,21600" o:gfxdata="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y2HDu2wAAAA0BAAAPAAAAAAAAAAEAIAAAACIAAABk&#10;cnMvZG93bnJldi54bWxQSwECFAAUAAAACACHTuJAoXX0tnUCAAABBQAADgAAAAAAAAABACAAAAAq&#10;AQAAZHJzL2Uyb0RvYy54bWxQSwUGAAAAAAYABgBZAQAAEQYAAAAA&#10;">
                <v:fill on="t" focussize="0,0"/>
                <v:stroke weight="2pt" color="#376092 [2404]" joinstyle="round"/>
                <v:imagedata o:title=""/>
                <o:lock v:ext="edit" aspectratio="f"/>
              </v:rect>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1435735</wp:posOffset>
                </wp:positionH>
                <wp:positionV relativeFrom="paragraph">
                  <wp:posOffset>7160260</wp:posOffset>
                </wp:positionV>
                <wp:extent cx="1078230" cy="505460"/>
                <wp:effectExtent l="12700" t="12700" r="13970" b="15240"/>
                <wp:wrapNone/>
                <wp:docPr id="20" name="矩形 20"/>
                <wp:cNvGraphicFramePr/>
                <a:graphic xmlns:a="http://schemas.openxmlformats.org/drawingml/2006/main">
                  <a:graphicData uri="http://schemas.microsoft.com/office/word/2010/wordprocessingShape">
                    <wps:wsp>
                      <wps:cNvSpPr/>
                      <wps:spPr>
                        <a:xfrm>
                          <a:off x="2515870" y="8301990"/>
                          <a:ext cx="1078230" cy="505460"/>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3.05pt;margin-top:563.8pt;height:39.8pt;width:84.9pt;z-index:251684864;v-text-anchor:middle;mso-width-relative:page;mso-height-relative:page;" fillcolor="#FFFFFF [3212]" filled="t" stroked="t" coordsize="21600,21600" o:gfxdata="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Iagky7cAAAADQEAAA8AAAAA&#10;AAAAAQAgAAAAIgAAAGRycy9kb3ducmV2LnhtbFBLAQIUABQAAAAIAIdO4kB3nJDcggIAAA0FAAAO&#10;AAAAAAAAAAEAIAAAACsBAABkcnMvZTJvRG9jLnhtbFBLBQYAAAAABgAGAFkBAAAfBgAAAAA=&#10;">
                <v:fill on="t" focussize="0,0"/>
                <v:stroke weight="2pt" color="#376092 [2404]" joinstyle="round"/>
                <v:imagedata o:title=""/>
                <o:lock v:ext="edit" aspectratio="f"/>
              </v:rect>
            </w:pict>
          </mc:Fallback>
        </mc:AlternateContent>
      </w:r>
      <w:r>
        <w:rPr>
          <w:rFonts w:hint="default" w:ascii="Times New Roman" w:hAnsi="Times New Roman" w:cs="Times New Roman"/>
          <w:lang w:eastAsia="zh-CN"/>
        </w:rPr>
        <w:drawing>
          <wp:anchor distT="0" distB="0" distL="114300" distR="114300" simplePos="0" relativeHeight="251682816" behindDoc="0" locked="0" layoutInCell="1" allowOverlap="1">
            <wp:simplePos x="0" y="0"/>
            <wp:positionH relativeFrom="column">
              <wp:posOffset>-238760</wp:posOffset>
            </wp:positionH>
            <wp:positionV relativeFrom="paragraph">
              <wp:posOffset>66040</wp:posOffset>
            </wp:positionV>
            <wp:extent cx="5766435" cy="8162290"/>
            <wp:effectExtent l="0" t="0" r="5715" b="10160"/>
            <wp:wrapNone/>
            <wp:docPr id="53" name="图片 53" descr="7b0a202020202266696c746572223a202230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7b0a202020202266696c746572223a202230220a7d0a"/>
                    <pic:cNvPicPr>
                      <a:picLocks noChangeAspect="1"/>
                    </pic:cNvPicPr>
                  </pic:nvPicPr>
                  <pic:blipFill>
                    <a:blip r:embed="rId47"/>
                    <a:stretch>
                      <a:fillRect/>
                    </a:stretch>
                  </pic:blipFill>
                  <pic:spPr>
                    <a:xfrm>
                      <a:off x="0" y="0"/>
                      <a:ext cx="5766435" cy="8162290"/>
                    </a:xfrm>
                    <a:prstGeom prst="rect">
                      <a:avLst/>
                    </a:prstGeom>
                  </pic:spPr>
                </pic:pic>
              </a:graphicData>
            </a:graphic>
          </wp:anchor>
        </w:drawing>
      </w:r>
    </w:p>
    <w:p w14:paraId="3ECE34DE">
      <w:pPr>
        <w:pStyle w:val="2"/>
        <w:keepNext w:val="0"/>
        <w:keepLines w:val="0"/>
        <w:pageBreakBefore w:val="0"/>
        <w:widowControl w:val="0"/>
        <w:kinsoku/>
        <w:wordWrap/>
        <w:overflowPunct/>
        <w:topLinePunct w:val="0"/>
        <w:autoSpaceDE/>
        <w:autoSpaceDN/>
        <w:bidi w:val="0"/>
        <w:adjustRightInd w:val="0"/>
        <w:snapToGrid w:val="0"/>
        <w:ind w:firstLine="0" w:firstLineChars="0"/>
        <w:textAlignment w:val="auto"/>
        <w:outlineLvl w:val="0"/>
        <w:rPr>
          <w:rFonts w:hint="default" w:ascii="宋体" w:hAnsi="宋体" w:eastAsia="宋体" w:cs="宋体"/>
          <w:b/>
          <w:bCs/>
          <w:color w:val="auto"/>
          <w:kern w:val="2"/>
          <w:sz w:val="28"/>
          <w:szCs w:val="28"/>
          <w:highlight w:val="none"/>
          <w:lang w:val="en-US" w:eastAsia="zh-CN" w:bidi="ar-SA"/>
        </w:rPr>
      </w:pPr>
      <w:r>
        <w:rPr>
          <w:rFonts w:hint="default" w:ascii="宋体" w:hAnsi="宋体" w:eastAsia="宋体" w:cs="宋体"/>
          <w:b/>
          <w:bCs/>
          <w:color w:val="auto"/>
          <w:kern w:val="2"/>
          <w:sz w:val="28"/>
          <w:szCs w:val="28"/>
          <w:highlight w:val="none"/>
          <w:lang w:val="en-US" w:eastAsia="zh-CN" w:bidi="ar-SA"/>
        </w:rPr>
        <w:t>附件4  桂（2025）鹿寨县不动产权第0001317号土地证明</w:t>
      </w:r>
    </w:p>
    <w:p w14:paraId="67093F88">
      <w:pPr>
        <w:pStyle w:val="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lang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lang w:eastAsia="zh-CN"/>
        </w:rPr>
        <w:drawing>
          <wp:inline distT="0" distB="0" distL="114300" distR="114300">
            <wp:extent cx="6868160" cy="4557395"/>
            <wp:effectExtent l="0" t="0" r="8890" b="14605"/>
            <wp:docPr id="54" name="图片 54" descr="柳州航城合金材料有限公司-产权证明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柳州航城合金材料有限公司-产权证明_1"/>
                    <pic:cNvPicPr>
                      <a:picLocks noChangeAspect="1"/>
                    </pic:cNvPicPr>
                  </pic:nvPicPr>
                  <pic:blipFill>
                    <a:blip r:embed="rId48"/>
                    <a:stretch>
                      <a:fillRect/>
                    </a:stretch>
                  </pic:blipFill>
                  <pic:spPr>
                    <a:xfrm>
                      <a:off x="0" y="0"/>
                      <a:ext cx="6868160" cy="4557395"/>
                    </a:xfrm>
                    <a:prstGeom prst="rect">
                      <a:avLst/>
                    </a:prstGeom>
                  </pic:spPr>
                </pic:pic>
              </a:graphicData>
            </a:graphic>
          </wp:inline>
        </w:drawing>
      </w:r>
      <w:r>
        <w:rPr>
          <w:rFonts w:hint="default" w:ascii="Times New Roman" w:hAnsi="Times New Roman" w:cs="Times New Roman"/>
          <w:lang w:eastAsia="zh-CN"/>
        </w:rPr>
        <w:drawing>
          <wp:inline distT="0" distB="0" distL="114300" distR="114300">
            <wp:extent cx="7461250" cy="5271770"/>
            <wp:effectExtent l="0" t="0" r="6350" b="5080"/>
            <wp:docPr id="55" name="图片 55" descr="柳州航城合金材料有限公司-产权证明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柳州航城合金材料有限公司-产权证明_2"/>
                    <pic:cNvPicPr>
                      <a:picLocks noChangeAspect="1"/>
                    </pic:cNvPicPr>
                  </pic:nvPicPr>
                  <pic:blipFill>
                    <a:blip r:embed="rId49"/>
                    <a:stretch>
                      <a:fillRect/>
                    </a:stretch>
                  </pic:blipFill>
                  <pic:spPr>
                    <a:xfrm>
                      <a:off x="0" y="0"/>
                      <a:ext cx="7461250" cy="5271770"/>
                    </a:xfrm>
                    <a:prstGeom prst="rect">
                      <a:avLst/>
                    </a:prstGeom>
                  </pic:spPr>
                </pic:pic>
              </a:graphicData>
            </a:graphic>
          </wp:inline>
        </w:drawing>
      </w:r>
      <w:r>
        <w:rPr>
          <w:rFonts w:hint="default" w:ascii="Times New Roman" w:hAnsi="Times New Roman" w:cs="Times New Roman"/>
          <w:lang w:eastAsia="zh-CN"/>
        </w:rPr>
        <w:drawing>
          <wp:inline distT="0" distB="0" distL="114300" distR="114300">
            <wp:extent cx="7461250" cy="5271770"/>
            <wp:effectExtent l="0" t="0" r="6350" b="5080"/>
            <wp:docPr id="56" name="图片 56" descr="柳州航城合金材料有限公司-产权证明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柳州航城合金材料有限公司-产权证明_3"/>
                    <pic:cNvPicPr>
                      <a:picLocks noChangeAspect="1"/>
                    </pic:cNvPicPr>
                  </pic:nvPicPr>
                  <pic:blipFill>
                    <a:blip r:embed="rId50"/>
                    <a:stretch>
                      <a:fillRect/>
                    </a:stretch>
                  </pic:blipFill>
                  <pic:spPr>
                    <a:xfrm>
                      <a:off x="0" y="0"/>
                      <a:ext cx="7461250" cy="5271770"/>
                    </a:xfrm>
                    <a:prstGeom prst="rect">
                      <a:avLst/>
                    </a:prstGeom>
                  </pic:spPr>
                </pic:pic>
              </a:graphicData>
            </a:graphic>
          </wp:inline>
        </w:drawing>
      </w:r>
    </w:p>
    <w:p w14:paraId="6E4BD3A9">
      <w:pPr>
        <w:pStyle w:val="2"/>
        <w:keepNext w:val="0"/>
        <w:keepLines w:val="0"/>
        <w:pageBreakBefore w:val="0"/>
        <w:widowControl w:val="0"/>
        <w:kinsoku/>
        <w:wordWrap/>
        <w:overflowPunct/>
        <w:topLinePunct w:val="0"/>
        <w:autoSpaceDE/>
        <w:autoSpaceDN/>
        <w:bidi w:val="0"/>
        <w:adjustRightInd w:val="0"/>
        <w:snapToGrid w:val="0"/>
        <w:ind w:firstLine="0" w:firstLineChars="0"/>
        <w:textAlignment w:val="auto"/>
        <w:outlineLvl w:val="0"/>
        <w:rPr>
          <w:rFonts w:hint="default" w:ascii="宋体" w:hAnsi="宋体" w:eastAsia="宋体" w:cs="宋体"/>
          <w:b/>
          <w:bCs/>
          <w:color w:val="auto"/>
          <w:kern w:val="2"/>
          <w:sz w:val="28"/>
          <w:szCs w:val="28"/>
          <w:highlight w:val="none"/>
          <w:lang w:val="en-US" w:eastAsia="zh-CN" w:bidi="ar-SA"/>
        </w:rPr>
      </w:pPr>
      <w:r>
        <w:rPr>
          <w:rFonts w:hint="default" w:ascii="宋体" w:hAnsi="宋体" w:eastAsia="宋体" w:cs="宋体"/>
          <w:b/>
          <w:bCs/>
          <w:color w:val="auto"/>
          <w:kern w:val="2"/>
          <w:sz w:val="28"/>
          <w:szCs w:val="28"/>
          <w:highlight w:val="none"/>
          <w:lang w:val="en-US" w:eastAsia="zh-CN" w:bidi="ar-SA"/>
        </w:rPr>
        <w:t>附件5  鹿化公司场地租赁合同</w:t>
      </w:r>
    </w:p>
    <w:p w14:paraId="5D011466">
      <w:pPr>
        <w:pStyle w:val="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lang w:val="en-US" w:eastAsia="zh-CN"/>
        </w:rPr>
        <w:drawing>
          <wp:inline distT="0" distB="0" distL="114300" distR="114300">
            <wp:extent cx="5271770" cy="7461250"/>
            <wp:effectExtent l="0" t="0" r="5080" b="6350"/>
            <wp:docPr id="57" name="图片 57" descr="租赁合同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租赁合同_1"/>
                    <pic:cNvPicPr>
                      <a:picLocks noChangeAspect="1"/>
                    </pic:cNvPicPr>
                  </pic:nvPicPr>
                  <pic:blipFill>
                    <a:blip r:embed="rId51"/>
                    <a:stretch>
                      <a:fillRect/>
                    </a:stretch>
                  </pic:blipFill>
                  <pic:spPr>
                    <a:xfrm>
                      <a:off x="0" y="0"/>
                      <a:ext cx="5271770" cy="7461250"/>
                    </a:xfrm>
                    <a:prstGeom prst="rect">
                      <a:avLst/>
                    </a:prstGeom>
                  </pic:spPr>
                </pic:pic>
              </a:graphicData>
            </a:graphic>
          </wp:inline>
        </w:drawing>
      </w:r>
      <w:r>
        <w:rPr>
          <w:sz w:val="21"/>
        </w:rPr>
        <mc:AlternateContent>
          <mc:Choice Requires="wps">
            <w:drawing>
              <wp:anchor distT="0" distB="0" distL="114300" distR="114300" simplePos="0" relativeHeight="251694080" behindDoc="0" locked="0" layoutInCell="1" allowOverlap="1">
                <wp:simplePos x="0" y="0"/>
                <wp:positionH relativeFrom="column">
                  <wp:posOffset>892175</wp:posOffset>
                </wp:positionH>
                <wp:positionV relativeFrom="paragraph">
                  <wp:posOffset>1579880</wp:posOffset>
                </wp:positionV>
                <wp:extent cx="3810000" cy="1063625"/>
                <wp:effectExtent l="12700" t="12700" r="25400" b="28575"/>
                <wp:wrapNone/>
                <wp:docPr id="79" name="矩形 79"/>
                <wp:cNvGraphicFramePr/>
                <a:graphic xmlns:a="http://schemas.openxmlformats.org/drawingml/2006/main">
                  <a:graphicData uri="http://schemas.microsoft.com/office/word/2010/wordprocessingShape">
                    <wps:wsp>
                      <wps:cNvSpPr/>
                      <wps:spPr>
                        <a:xfrm>
                          <a:off x="0" y="0"/>
                          <a:ext cx="3810000" cy="1063625"/>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0.25pt;margin-top:124.4pt;height:83.75pt;width:300pt;z-index:251694080;v-text-anchor:middle;mso-width-relative:page;mso-height-relative:page;" fillcolor="#FFFFFF [3212]" filled="t" stroked="t" coordsize="21600,21600" o:gfxdata="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cjRf9oAAAALAQAADwAAAAAAAAABACAAAAAiAAAA&#10;ZHJzL2Rvd25yZXYueG1sUEsBAhQAFAAAAAgAh07iQDJ6LD13AgAAAgUAAA4AAAAAAAAAAQAgAAAA&#10;KQEAAGRycy9lMm9Eb2MueG1sUEsFBgAAAAAGAAYAWQEAABIGAAAAAA==&#10;">
                <v:fill on="t" focussize="0,0"/>
                <v:stroke weight="2pt" color="#376092 [2404]" joinstyle="round"/>
                <v:imagedata o:title=""/>
                <o:lock v:ext="edit" aspectratio="f"/>
              </v:rect>
            </w:pict>
          </mc:Fallback>
        </mc:AlternateContent>
      </w:r>
      <w:r>
        <w:rPr>
          <w:sz w:val="21"/>
        </w:rPr>
        <mc:AlternateContent>
          <mc:Choice Requires="wps">
            <w:drawing>
              <wp:anchor distT="0" distB="0" distL="114300" distR="114300" simplePos="0" relativeHeight="251688960" behindDoc="0" locked="0" layoutInCell="1" allowOverlap="1">
                <wp:simplePos x="0" y="0"/>
                <wp:positionH relativeFrom="column">
                  <wp:posOffset>1021715</wp:posOffset>
                </wp:positionH>
                <wp:positionV relativeFrom="paragraph">
                  <wp:posOffset>6610985</wp:posOffset>
                </wp:positionV>
                <wp:extent cx="3810000" cy="286385"/>
                <wp:effectExtent l="12700" t="12700" r="25400" b="24765"/>
                <wp:wrapNone/>
                <wp:docPr id="74" name="矩形 74"/>
                <wp:cNvGraphicFramePr/>
                <a:graphic xmlns:a="http://schemas.openxmlformats.org/drawingml/2006/main">
                  <a:graphicData uri="http://schemas.microsoft.com/office/word/2010/wordprocessingShape">
                    <wps:wsp>
                      <wps:cNvSpPr/>
                      <wps:spPr>
                        <a:xfrm>
                          <a:off x="2162810" y="7525385"/>
                          <a:ext cx="3810000" cy="286385"/>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0.45pt;margin-top:520.55pt;height:22.55pt;width:300pt;z-index:251688960;v-text-anchor:middle;mso-width-relative:page;mso-height-relative:page;" fillcolor="#FFFFFF [3212]" filled="t" stroked="t" coordsize="21600,21600" o:gfxdata="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GzBvL9oAAAANAQAADwAAAAAAAAAB&#10;ACAAAAAiAAAAZHJzL2Rvd25yZXYueG1sUEsBAhQAFAAAAAgAh07iQG2gj62AAgAADQUAAA4AAAAA&#10;AAAAAQAgAAAAKQEAAGRycy9lMm9Eb2MueG1sUEsFBgAAAAAGAAYAWQEAABsGAAAAAA==&#10;">
                <v:fill on="t" focussize="0,0"/>
                <v:stroke weight="2pt" color="#376092 [2404]" joinstyle="round"/>
                <v:imagedata o:title=""/>
                <o:lock v:ext="edit" aspectratio="f"/>
              </v:rect>
            </w:pict>
          </mc:Fallback>
        </mc:AlternateContent>
      </w:r>
      <w:r>
        <w:rPr>
          <w:rFonts w:hint="default" w:ascii="Times New Roman" w:hAnsi="Times New Roman" w:cs="Times New Roman"/>
          <w:lang w:val="en-US" w:eastAsia="zh-CN"/>
        </w:rPr>
        <w:drawing>
          <wp:inline distT="0" distB="0" distL="114300" distR="114300">
            <wp:extent cx="5271770" cy="7461250"/>
            <wp:effectExtent l="0" t="0" r="5080" b="6350"/>
            <wp:docPr id="58" name="图片 58" descr="租赁合同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租赁合同_2"/>
                    <pic:cNvPicPr>
                      <a:picLocks noChangeAspect="1"/>
                    </pic:cNvPicPr>
                  </pic:nvPicPr>
                  <pic:blipFill>
                    <a:blip r:embed="rId52"/>
                    <a:stretch>
                      <a:fillRect/>
                    </a:stretch>
                  </pic:blipFill>
                  <pic:spPr>
                    <a:xfrm>
                      <a:off x="0" y="0"/>
                      <a:ext cx="5271770" cy="7461250"/>
                    </a:xfrm>
                    <a:prstGeom prst="rect">
                      <a:avLst/>
                    </a:prstGeom>
                  </pic:spPr>
                </pic:pic>
              </a:graphicData>
            </a:graphic>
          </wp:inline>
        </w:drawing>
      </w:r>
      <w:r>
        <w:rPr>
          <w:sz w:val="21"/>
        </w:rPr>
        <mc:AlternateContent>
          <mc:Choice Requires="wps">
            <w:drawing>
              <wp:anchor distT="0" distB="0" distL="114300" distR="114300" simplePos="0" relativeHeight="251692032" behindDoc="0" locked="0" layoutInCell="1" allowOverlap="1">
                <wp:simplePos x="0" y="0"/>
                <wp:positionH relativeFrom="column">
                  <wp:posOffset>484505</wp:posOffset>
                </wp:positionH>
                <wp:positionV relativeFrom="paragraph">
                  <wp:posOffset>5838190</wp:posOffset>
                </wp:positionV>
                <wp:extent cx="3810000" cy="896620"/>
                <wp:effectExtent l="12700" t="12700" r="25400" b="24130"/>
                <wp:wrapNone/>
                <wp:docPr id="77" name="矩形 77"/>
                <wp:cNvGraphicFramePr/>
                <a:graphic xmlns:a="http://schemas.openxmlformats.org/drawingml/2006/main">
                  <a:graphicData uri="http://schemas.microsoft.com/office/word/2010/wordprocessingShape">
                    <wps:wsp>
                      <wps:cNvSpPr/>
                      <wps:spPr>
                        <a:xfrm>
                          <a:off x="0" y="0"/>
                          <a:ext cx="3810000" cy="896620"/>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66985633">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15pt;margin-top:459.7pt;height:70.6pt;width:300pt;z-index:251692032;v-text-anchor:middle;mso-width-relative:page;mso-height-relative:page;" fillcolor="#FFFFFF [3212]" filled="t" stroked="t" coordsize="21600,21600" o:gfxdata="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nepmiNgAAAALAQAADwAAAAAAAAABACAA&#10;AAAiAAAAZHJzL2Rvd25yZXYueG1sUEsBAhQAFAAAAAgAh07iQJ4k6/d/AgAADAUAAA4AAAAAAAAA&#10;AQAgAAAAJwEAAGRycy9lMm9Eb2MueG1sUEsFBgAAAAAGAAYAWQEAABgGAAAAAA==&#10;">
                <v:fill on="t" focussize="0,0"/>
                <v:stroke weight="2pt" color="#376092 [2404]" joinstyle="round"/>
                <v:imagedata o:title=""/>
                <o:lock v:ext="edit" aspectratio="f"/>
                <v:textbox>
                  <w:txbxContent>
                    <w:p w14:paraId="66985633">
                      <w:pPr>
                        <w:jc w:val="center"/>
                      </w:pPr>
                    </w:p>
                  </w:txbxContent>
                </v:textbox>
              </v:rect>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502920</wp:posOffset>
                </wp:positionH>
                <wp:positionV relativeFrom="paragraph">
                  <wp:posOffset>4016375</wp:posOffset>
                </wp:positionV>
                <wp:extent cx="3810000" cy="896620"/>
                <wp:effectExtent l="12700" t="12700" r="25400" b="24130"/>
                <wp:wrapNone/>
                <wp:docPr id="76" name="矩形 76"/>
                <wp:cNvGraphicFramePr/>
                <a:graphic xmlns:a="http://schemas.openxmlformats.org/drawingml/2006/main">
                  <a:graphicData uri="http://schemas.microsoft.com/office/word/2010/wordprocessingShape">
                    <wps:wsp>
                      <wps:cNvSpPr/>
                      <wps:spPr>
                        <a:xfrm>
                          <a:off x="0" y="0"/>
                          <a:ext cx="3810000" cy="896620"/>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4C77A96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6pt;margin-top:316.25pt;height:70.6pt;width:300pt;z-index:251691008;v-text-anchor:middle;mso-width-relative:page;mso-height-relative:page;" fillcolor="#FFFFFF [3212]" filled="t" stroked="t" coordsize="21600,21600" o:gfxdata="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FP2DI/ZAAAACgEAAA8AAAAAAAAAAQAg&#10;AAAAIgAAAGRycy9kb3ducmV2LnhtbFBLAQIUABQAAAAIAIdO4kChekRNfwIAAAwFAAAOAAAAAAAA&#10;AAEAIAAAACgBAABkcnMvZTJvRG9jLnhtbFBLBQYAAAAABgAGAFkBAAAZBgAAAAA=&#10;">
                <v:fill on="t" focussize="0,0"/>
                <v:stroke weight="2pt" color="#376092 [2404]" joinstyle="round"/>
                <v:imagedata o:title=""/>
                <o:lock v:ext="edit" aspectratio="f"/>
                <v:textbox>
                  <w:txbxContent>
                    <w:p w14:paraId="4C77A966">
                      <w:pPr>
                        <w:jc w:val="center"/>
                      </w:pPr>
                    </w:p>
                  </w:txbxContent>
                </v:textbox>
              </v:rect>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605790</wp:posOffset>
                </wp:positionH>
                <wp:positionV relativeFrom="paragraph">
                  <wp:posOffset>548005</wp:posOffset>
                </wp:positionV>
                <wp:extent cx="3810000" cy="1515110"/>
                <wp:effectExtent l="12700" t="12700" r="25400" b="15240"/>
                <wp:wrapNone/>
                <wp:docPr id="75" name="矩形 75"/>
                <wp:cNvGraphicFramePr/>
                <a:graphic xmlns:a="http://schemas.openxmlformats.org/drawingml/2006/main">
                  <a:graphicData uri="http://schemas.microsoft.com/office/word/2010/wordprocessingShape">
                    <wps:wsp>
                      <wps:cNvSpPr/>
                      <wps:spPr>
                        <a:xfrm>
                          <a:off x="0" y="0"/>
                          <a:ext cx="3810000" cy="1515110"/>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1AEE3A54">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7pt;margin-top:43.15pt;height:119.3pt;width:300pt;z-index:251689984;v-text-anchor:middle;mso-width-relative:page;mso-height-relative:page;" fillcolor="#FFFFFF [3212]" filled="t" stroked="t" coordsize="21600,21600" o:gfxdata="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DTTvsdkAAAAJAQAADwAAAAAAAAABACAA&#10;AAAiAAAAZHJzL2Rvd25yZXYueG1sUEsBAhQAFAAAAAgAh07iQBa7kQh+AgAADQUAAA4AAAAAAAAA&#10;AQAgAAAAKAEAAGRycy9lMm9Eb2MueG1sUEsFBgAAAAAGAAYAWQEAABgGAAAAAA==&#10;">
                <v:fill on="t" focussize="0,0"/>
                <v:stroke weight="2pt" color="#376092 [2404]" joinstyle="round"/>
                <v:imagedata o:title=""/>
                <o:lock v:ext="edit" aspectratio="f"/>
                <v:textbox>
                  <w:txbxContent>
                    <w:p w14:paraId="1AEE3A54">
                      <w:pPr>
                        <w:jc w:val="center"/>
                      </w:pPr>
                    </w:p>
                  </w:txbxContent>
                </v:textbox>
              </v:rect>
            </w:pict>
          </mc:Fallback>
        </mc:AlternateContent>
      </w:r>
      <w:r>
        <w:rPr>
          <w:rFonts w:hint="default" w:ascii="Times New Roman" w:hAnsi="Times New Roman" w:cs="Times New Roman"/>
          <w:lang w:val="en-US" w:eastAsia="zh-CN"/>
        </w:rPr>
        <w:drawing>
          <wp:inline distT="0" distB="0" distL="114300" distR="114300">
            <wp:extent cx="5271770" cy="7461250"/>
            <wp:effectExtent l="0" t="0" r="5080" b="6350"/>
            <wp:docPr id="59" name="图片 59" descr="租赁合同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租赁合同_3"/>
                    <pic:cNvPicPr>
                      <a:picLocks noChangeAspect="1"/>
                    </pic:cNvPicPr>
                  </pic:nvPicPr>
                  <pic:blipFill>
                    <a:blip r:embed="rId53"/>
                    <a:stretch>
                      <a:fillRect/>
                    </a:stretch>
                  </pic:blipFill>
                  <pic:spPr>
                    <a:xfrm>
                      <a:off x="0" y="0"/>
                      <a:ext cx="5271770" cy="7461250"/>
                    </a:xfrm>
                    <a:prstGeom prst="rect">
                      <a:avLst/>
                    </a:prstGeom>
                  </pic:spPr>
                </pic:pic>
              </a:graphicData>
            </a:graphic>
          </wp:inline>
        </w:drawing>
      </w:r>
      <w:r>
        <w:rPr>
          <w:sz w:val="21"/>
        </w:rPr>
        <mc:AlternateContent>
          <mc:Choice Requires="wps">
            <w:drawing>
              <wp:anchor distT="0" distB="0" distL="114300" distR="114300" simplePos="0" relativeHeight="251693056" behindDoc="0" locked="0" layoutInCell="1" allowOverlap="1">
                <wp:simplePos x="0" y="0"/>
                <wp:positionH relativeFrom="column">
                  <wp:posOffset>734060</wp:posOffset>
                </wp:positionH>
                <wp:positionV relativeFrom="paragraph">
                  <wp:posOffset>416560</wp:posOffset>
                </wp:positionV>
                <wp:extent cx="3810000" cy="379730"/>
                <wp:effectExtent l="12700" t="12700" r="25400" b="26670"/>
                <wp:wrapNone/>
                <wp:docPr id="78" name="矩形 78"/>
                <wp:cNvGraphicFramePr/>
                <a:graphic xmlns:a="http://schemas.openxmlformats.org/drawingml/2006/main">
                  <a:graphicData uri="http://schemas.microsoft.com/office/word/2010/wordprocessingShape">
                    <wps:wsp>
                      <wps:cNvSpPr/>
                      <wps:spPr>
                        <a:xfrm>
                          <a:off x="0" y="0"/>
                          <a:ext cx="3810000" cy="379730"/>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76527694">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8pt;margin-top:32.8pt;height:29.9pt;width:300pt;z-index:251693056;v-text-anchor:middle;mso-width-relative:page;mso-height-relative:page;" fillcolor="#FFFFFF [3212]" filled="t" stroked="t" coordsize="21600,21600" o:gfxdata="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7Op82AAAAAoBAAAPAAAAAAAAAAEAIAAA&#10;ACIAAABkcnMvZG93bnJldi54bWxQSwECFAAUAAAACACHTuJAwV6JD34CAAAMBQAADgAAAAAAAAAB&#10;ACAAAAAnAQAAZHJzL2Uyb0RvYy54bWxQSwUGAAAAAAYABgBZAQAAFwYAAAAA&#10;">
                <v:fill on="t" focussize="0,0"/>
                <v:stroke weight="2pt" color="#376092 [2404]" joinstyle="round"/>
                <v:imagedata o:title=""/>
                <o:lock v:ext="edit" aspectratio="f"/>
                <v:textbox>
                  <w:txbxContent>
                    <w:p w14:paraId="76527694">
                      <w:pPr>
                        <w:jc w:val="center"/>
                      </w:pPr>
                    </w:p>
                  </w:txbxContent>
                </v:textbox>
              </v:rect>
            </w:pict>
          </mc:Fallback>
        </mc:AlternateContent>
      </w:r>
      <w:r>
        <w:rPr>
          <w:rFonts w:hint="default" w:ascii="Times New Roman" w:hAnsi="Times New Roman" w:cs="Times New Roman"/>
          <w:lang w:val="en-US" w:eastAsia="zh-CN"/>
        </w:rPr>
        <w:drawing>
          <wp:inline distT="0" distB="0" distL="114300" distR="114300">
            <wp:extent cx="5271770" cy="7461250"/>
            <wp:effectExtent l="0" t="0" r="5080" b="6350"/>
            <wp:docPr id="60" name="图片 60" descr="租赁合同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租赁合同_4"/>
                    <pic:cNvPicPr>
                      <a:picLocks noChangeAspect="1"/>
                    </pic:cNvPicPr>
                  </pic:nvPicPr>
                  <pic:blipFill>
                    <a:blip r:embed="rId54"/>
                    <a:stretch>
                      <a:fillRect/>
                    </a:stretch>
                  </pic:blipFill>
                  <pic:spPr>
                    <a:xfrm>
                      <a:off x="0" y="0"/>
                      <a:ext cx="5271770" cy="7461250"/>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5271770" cy="7461250"/>
            <wp:effectExtent l="0" t="0" r="5080" b="6350"/>
            <wp:docPr id="61" name="图片 61" descr="租赁合同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租赁合同_5"/>
                    <pic:cNvPicPr>
                      <a:picLocks noChangeAspect="1"/>
                    </pic:cNvPicPr>
                  </pic:nvPicPr>
                  <pic:blipFill>
                    <a:blip r:embed="rId55"/>
                    <a:stretch>
                      <a:fillRect/>
                    </a:stretch>
                  </pic:blipFill>
                  <pic:spPr>
                    <a:xfrm>
                      <a:off x="0" y="0"/>
                      <a:ext cx="5271770" cy="7461250"/>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5271770" cy="7461250"/>
            <wp:effectExtent l="0" t="0" r="5080" b="6350"/>
            <wp:docPr id="62" name="图片 62" descr="租赁合同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租赁合同_6"/>
                    <pic:cNvPicPr>
                      <a:picLocks noChangeAspect="1"/>
                    </pic:cNvPicPr>
                  </pic:nvPicPr>
                  <pic:blipFill>
                    <a:blip r:embed="rId56"/>
                    <a:stretch>
                      <a:fillRect/>
                    </a:stretch>
                  </pic:blipFill>
                  <pic:spPr>
                    <a:xfrm>
                      <a:off x="0" y="0"/>
                      <a:ext cx="5271770" cy="7461250"/>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5271770" cy="7461250"/>
            <wp:effectExtent l="0" t="0" r="5080" b="6350"/>
            <wp:docPr id="63" name="图片 63" descr="租赁合同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租赁合同_7"/>
                    <pic:cNvPicPr>
                      <a:picLocks noChangeAspect="1"/>
                    </pic:cNvPicPr>
                  </pic:nvPicPr>
                  <pic:blipFill>
                    <a:blip r:embed="rId57"/>
                    <a:stretch>
                      <a:fillRect/>
                    </a:stretch>
                  </pic:blipFill>
                  <pic:spPr>
                    <a:xfrm>
                      <a:off x="0" y="0"/>
                      <a:ext cx="5271770" cy="7461250"/>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5271770" cy="7461250"/>
            <wp:effectExtent l="0" t="0" r="5080" b="6350"/>
            <wp:docPr id="64" name="图片 64" descr="租赁合同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租赁合同_8"/>
                    <pic:cNvPicPr>
                      <a:picLocks noChangeAspect="1"/>
                    </pic:cNvPicPr>
                  </pic:nvPicPr>
                  <pic:blipFill>
                    <a:blip r:embed="rId58"/>
                    <a:stretch>
                      <a:fillRect/>
                    </a:stretch>
                  </pic:blipFill>
                  <pic:spPr>
                    <a:xfrm>
                      <a:off x="0" y="0"/>
                      <a:ext cx="5271770" cy="7461250"/>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5271770" cy="7461250"/>
            <wp:effectExtent l="0" t="0" r="5080" b="6350"/>
            <wp:docPr id="65" name="图片 65" descr="租赁合同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租赁合同_9"/>
                    <pic:cNvPicPr>
                      <a:picLocks noChangeAspect="1"/>
                    </pic:cNvPicPr>
                  </pic:nvPicPr>
                  <pic:blipFill>
                    <a:blip r:embed="rId59"/>
                    <a:stretch>
                      <a:fillRect/>
                    </a:stretch>
                  </pic:blipFill>
                  <pic:spPr>
                    <a:xfrm>
                      <a:off x="0" y="0"/>
                      <a:ext cx="5271770" cy="7461250"/>
                    </a:xfrm>
                    <a:prstGeom prst="rect">
                      <a:avLst/>
                    </a:prstGeom>
                  </pic:spPr>
                </pic:pic>
              </a:graphicData>
            </a:graphic>
          </wp:inline>
        </w:drawing>
      </w:r>
      <w:r>
        <w:rPr>
          <w:sz w:val="21"/>
        </w:rPr>
        <mc:AlternateContent>
          <mc:Choice Requires="wps">
            <w:drawing>
              <wp:anchor distT="0" distB="0" distL="114300" distR="114300" simplePos="0" relativeHeight="251686912" behindDoc="0" locked="0" layoutInCell="1" allowOverlap="1">
                <wp:simplePos x="0" y="0"/>
                <wp:positionH relativeFrom="column">
                  <wp:posOffset>685165</wp:posOffset>
                </wp:positionH>
                <wp:positionV relativeFrom="paragraph">
                  <wp:posOffset>1949450</wp:posOffset>
                </wp:positionV>
                <wp:extent cx="3935730" cy="584200"/>
                <wp:effectExtent l="12700" t="12700" r="13970" b="12700"/>
                <wp:wrapNone/>
                <wp:docPr id="41" name="矩形 41"/>
                <wp:cNvGraphicFramePr/>
                <a:graphic xmlns:a="http://schemas.openxmlformats.org/drawingml/2006/main">
                  <a:graphicData uri="http://schemas.microsoft.com/office/word/2010/wordprocessingShape">
                    <wps:wsp>
                      <wps:cNvSpPr/>
                      <wps:spPr>
                        <a:xfrm>
                          <a:off x="1826260" y="3012440"/>
                          <a:ext cx="3935730" cy="584200"/>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95pt;margin-top:153.5pt;height:46pt;width:309.9pt;z-index:251686912;v-text-anchor:middle;mso-width-relative:page;mso-height-relative:page;" fillcolor="#FFFFFF [3212]" filled="t" stroked="t" coordsize="21600,21600" o:gfxdata="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i53S9NkAAAALAQAADwAAAAAAAAAB&#10;ACAAAAAiAAAAZHJzL2Rvd25yZXYueG1sUEsBAhQAFAAAAAgAh07iQNaoz3uBAgAADQUAAA4AAAAA&#10;AAAAAQAgAAAAKAEAAGRycy9lMm9Eb2MueG1sUEsFBgAAAAAGAAYAWQEAABsGAAAAAA==&#10;">
                <v:fill on="t" focussize="0,0"/>
                <v:stroke weight="2pt" color="#376092 [2404]" joinstyle="round"/>
                <v:imagedata o:title=""/>
                <o:lock v:ext="edit" aspectratio="f"/>
              </v:rect>
            </w:pict>
          </mc:Fallback>
        </mc:AlternateContent>
      </w:r>
      <w:r>
        <w:rPr>
          <w:rFonts w:hint="default" w:ascii="Times New Roman" w:hAnsi="Times New Roman" w:cs="Times New Roman"/>
          <w:lang w:val="en-US" w:eastAsia="zh-CN"/>
        </w:rPr>
        <w:drawing>
          <wp:inline distT="0" distB="0" distL="114300" distR="114300">
            <wp:extent cx="5271770" cy="7461250"/>
            <wp:effectExtent l="0" t="0" r="5080" b="6350"/>
            <wp:docPr id="66" name="图片 66" descr="租赁合同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租赁合同_10"/>
                    <pic:cNvPicPr>
                      <a:picLocks noChangeAspect="1"/>
                    </pic:cNvPicPr>
                  </pic:nvPicPr>
                  <pic:blipFill>
                    <a:blip r:embed="rId60"/>
                    <a:stretch>
                      <a:fillRect/>
                    </a:stretch>
                  </pic:blipFill>
                  <pic:spPr>
                    <a:xfrm>
                      <a:off x="0" y="0"/>
                      <a:ext cx="5271770" cy="7461250"/>
                    </a:xfrm>
                    <a:prstGeom prst="rect">
                      <a:avLst/>
                    </a:prstGeom>
                  </pic:spPr>
                </pic:pic>
              </a:graphicData>
            </a:graphic>
          </wp:inline>
        </w:drawing>
      </w:r>
      <w:r>
        <w:rPr>
          <w:sz w:val="21"/>
        </w:rPr>
        <mc:AlternateContent>
          <mc:Choice Requires="wps">
            <w:drawing>
              <wp:anchor distT="0" distB="0" distL="114300" distR="114300" simplePos="0" relativeHeight="251687936" behindDoc="0" locked="0" layoutInCell="1" allowOverlap="1">
                <wp:simplePos x="0" y="0"/>
                <wp:positionH relativeFrom="column">
                  <wp:posOffset>2481580</wp:posOffset>
                </wp:positionH>
                <wp:positionV relativeFrom="paragraph">
                  <wp:posOffset>5859780</wp:posOffset>
                </wp:positionV>
                <wp:extent cx="1939290" cy="493395"/>
                <wp:effectExtent l="12700" t="12700" r="29210" b="27305"/>
                <wp:wrapNone/>
                <wp:docPr id="52" name="矩形 52"/>
                <wp:cNvGraphicFramePr/>
                <a:graphic xmlns:a="http://schemas.openxmlformats.org/drawingml/2006/main">
                  <a:graphicData uri="http://schemas.microsoft.com/office/word/2010/wordprocessingShape">
                    <wps:wsp>
                      <wps:cNvSpPr/>
                      <wps:spPr>
                        <a:xfrm>
                          <a:off x="3622675" y="6774180"/>
                          <a:ext cx="1939290" cy="493395"/>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5.4pt;margin-top:461.4pt;height:38.85pt;width:152.7pt;z-index:251687936;v-text-anchor:middle;mso-width-relative:page;mso-height-relative:page;" fillcolor="#FFFFFF [3212]" filled="t" stroked="t" coordsize="21600,21600" o:gfxdata="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pXT5p9sAAAAMAQAADwAA&#10;AAAAAAABACAAAAAiAAAAZHJzL2Rvd25yZXYueG1sUEsBAhQAFAAAAAgAh07iQDmS3/eFAgAADQUA&#10;AA4AAAAAAAAAAQAgAAAAKgEAAGRycy9lMm9Eb2MueG1sUEsFBgAAAAAGAAYAWQEAACEGAAAAAA==&#10;">
                <v:fill on="t" focussize="0,0"/>
                <v:stroke weight="2pt" color="#376092 [2404]" joinstyle="round"/>
                <v:imagedata o:title=""/>
                <o:lock v:ext="edit" aspectratio="f"/>
              </v:rect>
            </w:pict>
          </mc:Fallback>
        </mc:AlternateContent>
      </w:r>
      <w:r>
        <w:rPr>
          <w:rFonts w:hint="default" w:ascii="Times New Roman" w:hAnsi="Times New Roman" w:cs="Times New Roman"/>
          <w:lang w:val="en-US" w:eastAsia="zh-CN"/>
        </w:rPr>
        <w:drawing>
          <wp:inline distT="0" distB="0" distL="114300" distR="114300">
            <wp:extent cx="5271770" cy="7461250"/>
            <wp:effectExtent l="0" t="0" r="5080" b="6350"/>
            <wp:docPr id="67" name="图片 67" descr="租赁合同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租赁合同_11"/>
                    <pic:cNvPicPr>
                      <a:picLocks noChangeAspect="1"/>
                    </pic:cNvPicPr>
                  </pic:nvPicPr>
                  <pic:blipFill>
                    <a:blip r:embed="rId61"/>
                    <a:stretch>
                      <a:fillRect/>
                    </a:stretch>
                  </pic:blipFill>
                  <pic:spPr>
                    <a:xfrm>
                      <a:off x="0" y="0"/>
                      <a:ext cx="5271770" cy="7461250"/>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5271770" cy="7461250"/>
            <wp:effectExtent l="0" t="0" r="5080" b="6350"/>
            <wp:docPr id="68" name="图片 68" descr="租赁合同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租赁合同_12"/>
                    <pic:cNvPicPr>
                      <a:picLocks noChangeAspect="1"/>
                    </pic:cNvPicPr>
                  </pic:nvPicPr>
                  <pic:blipFill>
                    <a:blip r:embed="rId62"/>
                    <a:stretch>
                      <a:fillRect/>
                    </a:stretch>
                  </pic:blipFill>
                  <pic:spPr>
                    <a:xfrm>
                      <a:off x="0" y="0"/>
                      <a:ext cx="5271770" cy="7461250"/>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5271770" cy="7461250"/>
            <wp:effectExtent l="0" t="0" r="5080" b="6350"/>
            <wp:docPr id="69" name="图片 69" descr="租赁合同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租赁合同_13"/>
                    <pic:cNvPicPr>
                      <a:picLocks noChangeAspect="1"/>
                    </pic:cNvPicPr>
                  </pic:nvPicPr>
                  <pic:blipFill>
                    <a:blip r:embed="rId63"/>
                    <a:stretch>
                      <a:fillRect/>
                    </a:stretch>
                  </pic:blipFill>
                  <pic:spPr>
                    <a:xfrm>
                      <a:off x="0" y="0"/>
                      <a:ext cx="5271770" cy="7461250"/>
                    </a:xfrm>
                    <a:prstGeom prst="rect">
                      <a:avLst/>
                    </a:prstGeom>
                  </pic:spPr>
                </pic:pic>
              </a:graphicData>
            </a:graphic>
          </wp:inline>
        </w:drawing>
      </w:r>
    </w:p>
    <w:p w14:paraId="371829F7">
      <w:pPr>
        <w:pStyle w:val="2"/>
        <w:keepNext w:val="0"/>
        <w:keepLines w:val="0"/>
        <w:pageBreakBefore w:val="0"/>
        <w:widowControl w:val="0"/>
        <w:kinsoku/>
        <w:wordWrap/>
        <w:overflowPunct/>
        <w:topLinePunct w:val="0"/>
        <w:autoSpaceDE/>
        <w:autoSpaceDN/>
        <w:bidi w:val="0"/>
        <w:adjustRightInd w:val="0"/>
        <w:snapToGrid w:val="0"/>
        <w:ind w:firstLine="0" w:firstLineChars="0"/>
        <w:textAlignment w:val="auto"/>
        <w:outlineLvl w:val="0"/>
        <w:rPr>
          <w:rFonts w:hint="default" w:ascii="宋体" w:hAnsi="宋体" w:eastAsia="宋体" w:cs="宋体"/>
          <w:b/>
          <w:bCs/>
          <w:color w:val="auto"/>
          <w:kern w:val="2"/>
          <w:sz w:val="28"/>
          <w:szCs w:val="28"/>
          <w:highlight w:val="none"/>
          <w:lang w:val="en-US" w:eastAsia="zh-CN" w:bidi="ar-SA"/>
        </w:rPr>
      </w:pPr>
      <w:r>
        <w:rPr>
          <w:rFonts w:hint="default" w:ascii="宋体" w:hAnsi="宋体" w:eastAsia="宋体" w:cs="宋体"/>
          <w:b/>
          <w:bCs/>
          <w:color w:val="auto"/>
          <w:kern w:val="2"/>
          <w:sz w:val="28"/>
          <w:szCs w:val="28"/>
          <w:highlight w:val="none"/>
          <w:lang w:val="en-US" w:eastAsia="zh-CN" w:bidi="ar-SA"/>
        </w:rPr>
        <w:t>附件6  企业入驻通知书文件（鹿投促通﹝2025﹞35号）</w:t>
      </w:r>
    </w:p>
    <w:p w14:paraId="50554CD3">
      <w:pPr>
        <w:pStyle w:val="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lang w:val="en-US" w:eastAsia="zh-CN"/>
        </w:rPr>
        <w:drawing>
          <wp:inline distT="0" distB="0" distL="114300" distR="114300">
            <wp:extent cx="5273040" cy="7465060"/>
            <wp:effectExtent l="0" t="0" r="3810" b="2540"/>
            <wp:docPr id="70" name="图片 70" descr="企业入驻通知书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企业入驻通知书_1"/>
                    <pic:cNvPicPr>
                      <a:picLocks noChangeAspect="1"/>
                    </pic:cNvPicPr>
                  </pic:nvPicPr>
                  <pic:blipFill>
                    <a:blip r:embed="rId64"/>
                    <a:stretch>
                      <a:fillRect/>
                    </a:stretch>
                  </pic:blipFill>
                  <pic:spPr>
                    <a:xfrm>
                      <a:off x="0" y="0"/>
                      <a:ext cx="5273040" cy="7465060"/>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5273040" cy="7465060"/>
            <wp:effectExtent l="0" t="0" r="3810" b="2540"/>
            <wp:docPr id="71" name="图片 71" descr="企业入驻通知书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企业入驻通知书_2"/>
                    <pic:cNvPicPr>
                      <a:picLocks noChangeAspect="1"/>
                    </pic:cNvPicPr>
                  </pic:nvPicPr>
                  <pic:blipFill>
                    <a:blip r:embed="rId65"/>
                    <a:stretch>
                      <a:fillRect/>
                    </a:stretch>
                  </pic:blipFill>
                  <pic:spPr>
                    <a:xfrm>
                      <a:off x="0" y="0"/>
                      <a:ext cx="5273040" cy="7465060"/>
                    </a:xfrm>
                    <a:prstGeom prst="rect">
                      <a:avLst/>
                    </a:prstGeom>
                  </pic:spPr>
                </pic:pic>
              </a:graphicData>
            </a:graphic>
          </wp:inline>
        </w:drawing>
      </w:r>
    </w:p>
    <w:p w14:paraId="55E55E2D">
      <w:pPr>
        <w:pStyle w:val="2"/>
        <w:keepNext w:val="0"/>
        <w:keepLines w:val="0"/>
        <w:pageBreakBefore w:val="0"/>
        <w:widowControl w:val="0"/>
        <w:kinsoku/>
        <w:wordWrap/>
        <w:overflowPunct/>
        <w:topLinePunct w:val="0"/>
        <w:autoSpaceDE/>
        <w:autoSpaceDN/>
        <w:bidi w:val="0"/>
        <w:adjustRightInd w:val="0"/>
        <w:snapToGrid w:val="0"/>
        <w:ind w:firstLine="0" w:firstLineChars="0"/>
        <w:textAlignment w:val="auto"/>
        <w:outlineLvl w:val="0"/>
        <w:rPr>
          <w:rFonts w:hint="default" w:ascii="宋体" w:hAnsi="宋体" w:eastAsia="宋体" w:cs="宋体"/>
          <w:b/>
          <w:bCs/>
          <w:color w:val="auto"/>
          <w:kern w:val="2"/>
          <w:sz w:val="28"/>
          <w:szCs w:val="28"/>
          <w:highlight w:val="none"/>
          <w:lang w:val="en-US" w:eastAsia="zh-CN" w:bidi="ar-SA"/>
        </w:rPr>
      </w:pPr>
      <w:r>
        <w:rPr>
          <w:rFonts w:hint="default" w:ascii="宋体" w:hAnsi="宋体" w:eastAsia="宋体" w:cs="宋体"/>
          <w:b/>
          <w:bCs/>
          <w:color w:val="auto"/>
          <w:kern w:val="2"/>
          <w:sz w:val="28"/>
          <w:szCs w:val="28"/>
          <w:highlight w:val="none"/>
          <w:lang w:val="en-US" w:eastAsia="zh-CN" w:bidi="ar-SA"/>
        </w:rPr>
        <w:t>附件7  法定代表人身份证复印件</w:t>
      </w:r>
    </w:p>
    <w:p w14:paraId="2432BA36">
      <w:pPr>
        <w:pStyle w:val="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0"/>
        <w:rPr>
          <w:rFonts w:hint="default" w:ascii="宋体" w:hAnsi="宋体" w:eastAsia="宋体" w:cs="宋体"/>
          <w:b/>
          <w:bCs/>
          <w:color w:val="auto"/>
          <w:kern w:val="2"/>
          <w:sz w:val="28"/>
          <w:szCs w:val="28"/>
          <w:highlight w:val="none"/>
          <w:lang w:val="en-US" w:eastAsia="zh-CN" w:bidi="ar-SA"/>
        </w:rPr>
      </w:pPr>
    </w:p>
    <w:p w14:paraId="2CB653F1">
      <w:pPr>
        <w:pStyle w:val="2"/>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0"/>
        <w:rPr>
          <w:rFonts w:hint="default" w:ascii="宋体" w:hAnsi="宋体" w:eastAsia="宋体" w:cs="宋体"/>
          <w:b/>
          <w:bCs/>
          <w:color w:val="auto"/>
          <w:kern w:val="2"/>
          <w:sz w:val="28"/>
          <w:szCs w:val="28"/>
          <w:highlight w:val="none"/>
          <w:lang w:val="en-US" w:eastAsia="zh-CN" w:bidi="ar-SA"/>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454BF37">
      <w:pPr>
        <w:pStyle w:val="2"/>
        <w:keepNext w:val="0"/>
        <w:keepLines w:val="0"/>
        <w:pageBreakBefore w:val="0"/>
        <w:widowControl w:val="0"/>
        <w:kinsoku/>
        <w:wordWrap/>
        <w:overflowPunct/>
        <w:topLinePunct w:val="0"/>
        <w:autoSpaceDE/>
        <w:autoSpaceDN/>
        <w:bidi w:val="0"/>
        <w:adjustRightInd w:val="0"/>
        <w:snapToGrid w:val="0"/>
        <w:ind w:firstLine="0" w:firstLineChars="0"/>
        <w:textAlignment w:val="auto"/>
        <w:outlineLvl w:val="0"/>
        <w:rPr>
          <w:rFonts w:hint="default" w:ascii="宋体" w:hAnsi="宋体" w:eastAsia="宋体" w:cs="宋体"/>
          <w:b/>
          <w:bCs/>
          <w:color w:val="auto"/>
          <w:kern w:val="2"/>
          <w:sz w:val="28"/>
          <w:szCs w:val="28"/>
          <w:highlight w:val="none"/>
          <w:lang w:val="en-US" w:eastAsia="zh-CN" w:bidi="ar-SA"/>
        </w:rPr>
      </w:pPr>
      <w:r>
        <w:rPr>
          <w:rFonts w:hint="default" w:ascii="宋体" w:hAnsi="宋体" w:eastAsia="宋体" w:cs="宋体"/>
          <w:b/>
          <w:bCs/>
          <w:color w:val="auto"/>
          <w:kern w:val="2"/>
          <w:sz w:val="28"/>
          <w:szCs w:val="28"/>
          <w:highlight w:val="none"/>
          <w:lang w:val="en-US" w:eastAsia="zh-CN" w:bidi="ar-SA"/>
        </w:rPr>
        <w:t xml:space="preserve">附件8  </w:t>
      </w:r>
    </w:p>
    <w:p w14:paraId="677030A4">
      <w:pPr>
        <w:keepNext/>
        <w:keepLines/>
        <w:pageBreakBefore w:val="0"/>
        <w:widowControl w:val="0"/>
        <w:numPr>
          <w:ilvl w:val="0"/>
          <w:numId w:val="0"/>
        </w:numPr>
        <w:kinsoku/>
        <w:wordWrap/>
        <w:overflowPunct/>
        <w:topLinePunct w:val="0"/>
        <w:autoSpaceDE/>
        <w:autoSpaceDN/>
        <w:bidi w:val="0"/>
        <w:adjustRightInd w:val="0"/>
        <w:snapToGrid w:val="0"/>
        <w:spacing w:after="696" w:afterLines="200"/>
        <w:ind w:leftChars="0"/>
        <w:jc w:val="center"/>
        <w:textAlignment w:val="baseline"/>
        <w:outlineLvl w:val="9"/>
        <w:rPr>
          <w:rFonts w:hint="default" w:ascii="Times New Roman" w:hAnsi="Times New Roman" w:eastAsia="宋体" w:cs="Times New Roman"/>
          <w:color w:val="auto"/>
          <w:sz w:val="30"/>
          <w:szCs w:val="30"/>
          <w:highlight w:val="none"/>
        </w:rPr>
      </w:pPr>
      <w:r>
        <w:rPr>
          <w:rFonts w:hint="default" w:ascii="Times New Roman" w:hAnsi="Times New Roman" w:eastAsia="宋体" w:cs="Times New Roman"/>
          <w:color w:val="auto"/>
          <w:sz w:val="30"/>
          <w:szCs w:val="30"/>
          <w:highlight w:val="none"/>
        </w:rPr>
        <w:t>责任声明书</w:t>
      </w:r>
    </w:p>
    <w:p w14:paraId="5E1811CB">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我单位柳州航城合金材料有限公司（统一社会信用代码：</w:t>
      </w:r>
      <w:r>
        <w:rPr>
          <w:rFonts w:hint="default" w:ascii="Times New Roman" w:hAnsi="Times New Roman" w:eastAsia="宋体" w:cs="Times New Roman"/>
          <w:color w:val="auto"/>
          <w:sz w:val="24"/>
          <w:szCs w:val="24"/>
          <w:highlight w:val="none"/>
          <w:u w:val="single"/>
          <w:lang w:val="en-US" w:eastAsia="zh-CN"/>
        </w:rPr>
        <w:t xml:space="preserve"> 91450222MABYCTKN82</w:t>
      </w:r>
      <w:r>
        <w:rPr>
          <w:rFonts w:hint="default" w:ascii="Times New Roman" w:hAnsi="Times New Roman" w:eastAsia="宋体" w:cs="Times New Roman"/>
          <w:color w:val="auto"/>
          <w:sz w:val="24"/>
          <w:szCs w:val="24"/>
          <w:highlight w:val="none"/>
          <w:lang w:val="en-US" w:eastAsia="zh-CN"/>
        </w:rPr>
        <w:t>）郑重声明：</w:t>
      </w:r>
    </w:p>
    <w:p w14:paraId="32C0EC5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一、我单位对</w:t>
      </w:r>
      <w:r>
        <w:rPr>
          <w:rFonts w:hint="default" w:ascii="Times New Roman" w:hAnsi="Times New Roman" w:eastAsia="宋体" w:cs="Times New Roman"/>
          <w:caps w:val="0"/>
          <w:color w:val="auto"/>
          <w:sz w:val="24"/>
          <w:szCs w:val="24"/>
          <w:highlight w:val="none"/>
          <w:u w:val="single" w:color="auto"/>
          <w:lang w:val="en-US" w:eastAsia="zh-CN"/>
        </w:rPr>
        <w:t xml:space="preserve"> 造纸纸浆高端磨片及耐磨件生产项目 </w:t>
      </w:r>
      <w:r>
        <w:rPr>
          <w:rFonts w:hint="default" w:ascii="Times New Roman" w:hAnsi="Times New Roman" w:eastAsia="宋体" w:cs="Times New Roman"/>
          <w:color w:val="auto"/>
          <w:sz w:val="24"/>
          <w:szCs w:val="24"/>
          <w:highlight w:val="none"/>
          <w:lang w:val="en-US" w:eastAsia="zh-CN"/>
        </w:rPr>
        <w:t>环境影响报告表（以下简称“报告表”）承担主体责任，并对报告表内容和结论负责。</w:t>
      </w:r>
    </w:p>
    <w:p w14:paraId="522F5D5F">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二、在本项目环评编制过程中，我单位如实提供了该项目相关基础资料，加强组织管理，掌握环评工作进展，并已详细阅读和审核过报告表，确认报告表提出的污染防治、生态保护与环境风险防范措施，充分知悉、认可其内容和结论。</w:t>
      </w:r>
    </w:p>
    <w:p w14:paraId="52AA1B9F">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三、本项目符合生态环境法律法规、相关法定规划及管理政策要求，我单位将严格按照报告表及其批复文件确定的内容和规模建设，并在建设和运营过程严格落实报告表及其批复文件提出的防治污染、防止生态破坏的措施，落实环境环保投入和资金来源，确保相关污染物排放符合相关标准和总量控制要求。</w:t>
      </w:r>
    </w:p>
    <w:p w14:paraId="0869C937">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四、本项目将按照《排污许可管理条例》《固定污染源排污许可分类管理名录》有关规定，在启动生产设施或者发生实际排污之前申请取得排污许可证。</w:t>
      </w:r>
    </w:p>
    <w:p w14:paraId="1516EB6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五、本项目建设将严格执行配套建设的环境保护设施与主体工程同时设计、同时施工、同时投产使用的环境保护“三同时”制度，并按规定接受生态环境主管部门日常监督检查。在正式投产前，我单位将对配套建设的环境保护设施进行验收，编制验收报告，向社会公开验收结果。</w:t>
      </w:r>
      <w:r>
        <w:rPr>
          <w:rFonts w:hint="default" w:ascii="Times New Roman" w:hAnsi="Times New Roman" w:eastAsia="宋体" w:cs="Times New Roman"/>
          <w:b/>
          <w:bCs/>
          <w:color w:val="auto"/>
          <w:sz w:val="24"/>
          <w:szCs w:val="24"/>
          <w:highlight w:val="none"/>
        </w:rPr>
        <w:t xml:space="preserve"> </w:t>
      </w:r>
      <w:r>
        <w:rPr>
          <w:rFonts w:hint="default" w:ascii="Times New Roman" w:hAnsi="Times New Roman" w:eastAsia="宋体" w:cs="Times New Roman"/>
          <w:color w:val="auto"/>
          <w:sz w:val="24"/>
          <w:szCs w:val="24"/>
          <w:highlight w:val="none"/>
        </w:rPr>
        <w:t xml:space="preserve"> </w:t>
      </w:r>
    </w:p>
    <w:p w14:paraId="1F2BF4C1">
      <w:pPr>
        <w:spacing w:line="360" w:lineRule="auto"/>
        <w:jc w:val="right"/>
        <w:rPr>
          <w:rFonts w:hint="default" w:ascii="Times New Roman" w:hAnsi="Times New Roman" w:eastAsia="宋体" w:cs="Times New Roman"/>
          <w:color w:val="auto"/>
          <w:sz w:val="24"/>
          <w:szCs w:val="24"/>
          <w:highlight w:val="none"/>
        </w:rPr>
      </w:pPr>
    </w:p>
    <w:p w14:paraId="56342716">
      <w:pPr>
        <w:spacing w:line="360" w:lineRule="auto"/>
        <w:jc w:val="righ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建设单位（盖章）：</w:t>
      </w:r>
      <w:r>
        <w:rPr>
          <w:rFonts w:hint="default" w:ascii="Times New Roman" w:hAnsi="Times New Roman" w:eastAsia="宋体" w:cs="Times New Roman"/>
          <w:color w:val="auto"/>
          <w:sz w:val="24"/>
          <w:szCs w:val="24"/>
          <w:highlight w:val="none"/>
          <w:lang w:val="en-US" w:eastAsia="zh-CN"/>
        </w:rPr>
        <w:t>柳州航城合金材料</w:t>
      </w:r>
      <w:r>
        <w:rPr>
          <w:rFonts w:hint="default" w:ascii="Times New Roman" w:hAnsi="Times New Roman" w:eastAsia="宋体" w:cs="Times New Roman"/>
          <w:color w:val="auto"/>
          <w:sz w:val="24"/>
          <w:szCs w:val="24"/>
          <w:highlight w:val="none"/>
        </w:rPr>
        <w:t>有限公司</w:t>
      </w:r>
    </w:p>
    <w:p w14:paraId="4B221DC2">
      <w:pPr>
        <w:spacing w:line="360" w:lineRule="auto"/>
        <w:jc w:val="center"/>
        <w:rPr>
          <w:rFonts w:hint="default" w:ascii="Times New Roman" w:hAnsi="Times New Roman" w:eastAsia="宋体" w:cs="Times New Roman"/>
          <w:color w:val="auto"/>
          <w:sz w:val="24"/>
          <w:szCs w:val="24"/>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color w:val="auto"/>
          <w:sz w:val="24"/>
          <w:szCs w:val="24"/>
          <w:highlight w:val="none"/>
          <w:lang w:val="en-US" w:eastAsia="zh-CN"/>
        </w:rPr>
        <w:t>2026</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val="en-US" w:eastAsia="zh-CN"/>
        </w:rPr>
        <w:t>04</w:t>
      </w:r>
      <w:r>
        <w:rPr>
          <w:rFonts w:hint="default" w:ascii="Times New Roman" w:hAnsi="Times New Roman" w:eastAsia="宋体" w:cs="Times New Roman"/>
          <w:color w:val="auto"/>
          <w:sz w:val="24"/>
          <w:szCs w:val="24"/>
          <w:highlight w:val="none"/>
        </w:rPr>
        <w:t>月</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rPr>
        <w:t>日</w:t>
      </w:r>
    </w:p>
    <w:p w14:paraId="48DFBFEC">
      <w:pPr>
        <w:pStyle w:val="2"/>
        <w:keepNext w:val="0"/>
        <w:keepLines w:val="0"/>
        <w:pageBreakBefore w:val="0"/>
        <w:widowControl w:val="0"/>
        <w:kinsoku/>
        <w:wordWrap/>
        <w:overflowPunct/>
        <w:topLinePunct w:val="0"/>
        <w:autoSpaceDE/>
        <w:autoSpaceDN/>
        <w:bidi w:val="0"/>
        <w:adjustRightInd w:val="0"/>
        <w:snapToGrid w:val="0"/>
        <w:ind w:firstLine="0" w:firstLineChars="0"/>
        <w:textAlignment w:val="auto"/>
        <w:outlineLvl w:val="0"/>
        <w:rPr>
          <w:rFonts w:hint="default" w:ascii="宋体" w:hAnsi="宋体" w:eastAsia="宋体" w:cs="宋体"/>
          <w:b/>
          <w:bCs/>
          <w:color w:val="auto"/>
          <w:kern w:val="2"/>
          <w:sz w:val="28"/>
          <w:szCs w:val="28"/>
          <w:highlight w:val="none"/>
          <w:lang w:val="en-US" w:eastAsia="zh-CN" w:bidi="ar-SA"/>
        </w:rPr>
      </w:pPr>
      <w:r>
        <w:rPr>
          <w:rFonts w:hint="default" w:ascii="宋体" w:hAnsi="宋体" w:eastAsia="宋体" w:cs="宋体"/>
          <w:b/>
          <w:bCs/>
          <w:color w:val="auto"/>
          <w:kern w:val="2"/>
          <w:sz w:val="28"/>
          <w:szCs w:val="28"/>
          <w:highlight w:val="none"/>
          <w:lang w:val="en-US" w:eastAsia="zh-CN" w:bidi="ar-SA"/>
        </w:rPr>
        <w:t>附件9   建设项目智能研判报告</w:t>
      </w:r>
    </w:p>
    <w:p w14:paraId="6A23559D">
      <w:pPr>
        <w:pStyle w:val="2"/>
        <w:rPr>
          <w:rFonts w:hint="default" w:ascii="Times New Roman" w:hAnsi="Times New Roman" w:cs="Times New Roman" w:eastAsiaTheme="minorEastAsia"/>
          <w:b/>
          <w:bCs/>
          <w:color w:val="auto"/>
          <w:kern w:val="2"/>
          <w:sz w:val="28"/>
          <w:szCs w:val="28"/>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eastAsiaTheme="minorEastAsia"/>
          <w:b/>
          <w:bCs/>
          <w:color w:val="auto"/>
          <w:kern w:val="2"/>
          <w:sz w:val="28"/>
          <w:szCs w:val="28"/>
          <w:highlight w:val="none"/>
          <w:lang w:val="en-US" w:eastAsia="zh-CN"/>
        </w:rPr>
        <w:drawing>
          <wp:inline distT="0" distB="0" distL="114300" distR="114300">
            <wp:extent cx="5271135" cy="7453630"/>
            <wp:effectExtent l="0" t="0" r="5715" b="13970"/>
            <wp:docPr id="5" name="图片 5" descr="关于柳州航城合金材料有限公司造纸制浆高端磨片及耐磨件生产项目研判初步结论 (1)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关于柳州航城合金材料有限公司造纸制浆高端磨片及耐磨件生产项目研判初步结论 (1)_页面_1"/>
                    <pic:cNvPicPr>
                      <a:picLocks noChangeAspect="1"/>
                    </pic:cNvPicPr>
                  </pic:nvPicPr>
                  <pic:blipFill>
                    <a:blip r:embed="rId66"/>
                    <a:stretch>
                      <a:fillRect/>
                    </a:stretch>
                  </pic:blipFill>
                  <pic:spPr>
                    <a:xfrm>
                      <a:off x="0" y="0"/>
                      <a:ext cx="5271135" cy="7453630"/>
                    </a:xfrm>
                    <a:prstGeom prst="rect">
                      <a:avLst/>
                    </a:prstGeom>
                  </pic:spPr>
                </pic:pic>
              </a:graphicData>
            </a:graphic>
          </wp:inline>
        </w:drawing>
      </w:r>
    </w:p>
    <w:p w14:paraId="3F959A03">
      <w:pPr>
        <w:rPr>
          <w:rFonts w:hint="default" w:ascii="Times New Roman" w:hAnsi="Times New Roman" w:cs="Times New Roman"/>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lang w:val="en-US" w:eastAsia="zh-CN"/>
        </w:rPr>
        <w:drawing>
          <wp:inline distT="0" distB="0" distL="114300" distR="114300">
            <wp:extent cx="5271135" cy="7453630"/>
            <wp:effectExtent l="0" t="0" r="5715" b="13970"/>
            <wp:docPr id="6" name="图片 6" descr="关于柳州航城合金材料有限公司造纸制浆高端磨片及耐磨件生产项目研判初步结论 (1)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关于柳州航城合金材料有限公司造纸制浆高端磨片及耐磨件生产项目研判初步结论 (1)_页面_2"/>
                    <pic:cNvPicPr>
                      <a:picLocks noChangeAspect="1"/>
                    </pic:cNvPicPr>
                  </pic:nvPicPr>
                  <pic:blipFill>
                    <a:blip r:embed="rId67"/>
                    <a:stretch>
                      <a:fillRect/>
                    </a:stretch>
                  </pic:blipFill>
                  <pic:spPr>
                    <a:xfrm>
                      <a:off x="0" y="0"/>
                      <a:ext cx="5271135" cy="7453630"/>
                    </a:xfrm>
                    <a:prstGeom prst="rect">
                      <a:avLst/>
                    </a:prstGeom>
                  </pic:spPr>
                </pic:pic>
              </a:graphicData>
            </a:graphic>
          </wp:inline>
        </w:drawing>
      </w:r>
    </w:p>
    <w:p w14:paraId="70D87183">
      <w:pPr>
        <w:pStyle w:val="2"/>
        <w:rPr>
          <w:rFonts w:hint="default" w:ascii="Times New Roman" w:hAnsi="Times New Roman" w:cs="Times New Roman"/>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lang w:val="en-US" w:eastAsia="zh-CN"/>
        </w:rPr>
        <w:drawing>
          <wp:inline distT="0" distB="0" distL="114300" distR="114300">
            <wp:extent cx="5271135" cy="7453630"/>
            <wp:effectExtent l="0" t="0" r="5715" b="13970"/>
            <wp:docPr id="7" name="图片 7" descr="关于柳州航城合金材料有限公司造纸制浆高端磨片及耐磨件生产项目研判初步结论 (1)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关于柳州航城合金材料有限公司造纸制浆高端磨片及耐磨件生产项目研判初步结论 (1)_页面_3"/>
                    <pic:cNvPicPr>
                      <a:picLocks noChangeAspect="1"/>
                    </pic:cNvPicPr>
                  </pic:nvPicPr>
                  <pic:blipFill>
                    <a:blip r:embed="rId68"/>
                    <a:stretch>
                      <a:fillRect/>
                    </a:stretch>
                  </pic:blipFill>
                  <pic:spPr>
                    <a:xfrm>
                      <a:off x="0" y="0"/>
                      <a:ext cx="5271135" cy="7453630"/>
                    </a:xfrm>
                    <a:prstGeom prst="rect">
                      <a:avLst/>
                    </a:prstGeom>
                  </pic:spPr>
                </pic:pic>
              </a:graphicData>
            </a:graphic>
          </wp:inline>
        </w:drawing>
      </w:r>
    </w:p>
    <w:p w14:paraId="05750336">
      <w:pPr>
        <w:rPr>
          <w:rFonts w:hint="default" w:ascii="Times New Roman" w:hAnsi="Times New Roman" w:cs="Times New Roman"/>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lang w:val="en-US" w:eastAsia="zh-CN"/>
        </w:rPr>
        <w:drawing>
          <wp:inline distT="0" distB="0" distL="114300" distR="114300">
            <wp:extent cx="5276850" cy="7464425"/>
            <wp:effectExtent l="0" t="0" r="0" b="3175"/>
            <wp:docPr id="8" name="图片 8" descr="关于柳州航城合金材料有限公司造纸制浆高端磨片及耐磨件生产项目研判初步结论 (1)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关于柳州航城合金材料有限公司造纸制浆高端磨片及耐磨件生产项目研判初步结论 (1)_页面_4"/>
                    <pic:cNvPicPr>
                      <a:picLocks noChangeAspect="1"/>
                    </pic:cNvPicPr>
                  </pic:nvPicPr>
                  <pic:blipFill>
                    <a:blip r:embed="rId69"/>
                    <a:stretch>
                      <a:fillRect/>
                    </a:stretch>
                  </pic:blipFill>
                  <pic:spPr>
                    <a:xfrm>
                      <a:off x="0" y="0"/>
                      <a:ext cx="5276850" cy="7464425"/>
                    </a:xfrm>
                    <a:prstGeom prst="rect">
                      <a:avLst/>
                    </a:prstGeom>
                  </pic:spPr>
                </pic:pic>
              </a:graphicData>
            </a:graphic>
          </wp:inline>
        </w:drawing>
      </w:r>
    </w:p>
    <w:p w14:paraId="27C43EF4">
      <w:pPr>
        <w:pStyle w:val="2"/>
        <w:rPr>
          <w:rFonts w:hint="default" w:ascii="Times New Roman" w:hAnsi="Times New Roman" w:cs="Times New Roman"/>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lang w:val="en-US" w:eastAsia="zh-CN"/>
        </w:rPr>
        <w:drawing>
          <wp:inline distT="0" distB="0" distL="114300" distR="114300">
            <wp:extent cx="5276850" cy="7464425"/>
            <wp:effectExtent l="0" t="0" r="0" b="3175"/>
            <wp:docPr id="9" name="图片 9" descr="关于柳州航城合金材料有限公司造纸制浆高端磨片及耐磨件生产项目研判初步结论 (1)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关于柳州航城合金材料有限公司造纸制浆高端磨片及耐磨件生产项目研判初步结论 (1)_页面_5"/>
                    <pic:cNvPicPr>
                      <a:picLocks noChangeAspect="1"/>
                    </pic:cNvPicPr>
                  </pic:nvPicPr>
                  <pic:blipFill>
                    <a:blip r:embed="rId70"/>
                    <a:stretch>
                      <a:fillRect/>
                    </a:stretch>
                  </pic:blipFill>
                  <pic:spPr>
                    <a:xfrm>
                      <a:off x="0" y="0"/>
                      <a:ext cx="5276850" cy="7464425"/>
                    </a:xfrm>
                    <a:prstGeom prst="rect">
                      <a:avLst/>
                    </a:prstGeom>
                  </pic:spPr>
                </pic:pic>
              </a:graphicData>
            </a:graphic>
          </wp:inline>
        </w:drawing>
      </w:r>
    </w:p>
    <w:p w14:paraId="7F7DAAA2">
      <w:pPr>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271135" cy="7453630"/>
            <wp:effectExtent l="0" t="0" r="5715" b="13970"/>
            <wp:docPr id="10" name="图片 10" descr="关于柳州航城合金材料有限公司造纸制浆高端磨片及耐磨件生产项目研判初步结论 (1)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关于柳州航城合金材料有限公司造纸制浆高端磨片及耐磨件生产项目研判初步结论 (1)_页面_6"/>
                    <pic:cNvPicPr>
                      <a:picLocks noChangeAspect="1"/>
                    </pic:cNvPicPr>
                  </pic:nvPicPr>
                  <pic:blipFill>
                    <a:blip r:embed="rId71"/>
                    <a:stretch>
                      <a:fillRect/>
                    </a:stretch>
                  </pic:blipFill>
                  <pic:spPr>
                    <a:xfrm>
                      <a:off x="0" y="0"/>
                      <a:ext cx="5271135" cy="7453630"/>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5271135" cy="7453630"/>
            <wp:effectExtent l="0" t="0" r="5715" b="13970"/>
            <wp:docPr id="13" name="图片 13" descr="关于柳州航城合金材料有限公司造纸制浆高端磨片及耐磨件生产项目研判初步结论 (1)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关于柳州航城合金材料有限公司造纸制浆高端磨片及耐磨件生产项目研判初步结论 (1)_页面_7"/>
                    <pic:cNvPicPr>
                      <a:picLocks noChangeAspect="1"/>
                    </pic:cNvPicPr>
                  </pic:nvPicPr>
                  <pic:blipFill>
                    <a:blip r:embed="rId72"/>
                    <a:stretch>
                      <a:fillRect/>
                    </a:stretch>
                  </pic:blipFill>
                  <pic:spPr>
                    <a:xfrm>
                      <a:off x="0" y="0"/>
                      <a:ext cx="5271135" cy="7453630"/>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5271135" cy="7453630"/>
            <wp:effectExtent l="0" t="0" r="5715" b="13970"/>
            <wp:docPr id="14" name="图片 14" descr="关于柳州航城合金材料有限公司造纸制浆高端磨片及耐磨件生产项目研判初步结论 (1)_页面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关于柳州航城合金材料有限公司造纸制浆高端磨片及耐磨件生产项目研判初步结论 (1)_页面_8"/>
                    <pic:cNvPicPr>
                      <a:picLocks noChangeAspect="1"/>
                    </pic:cNvPicPr>
                  </pic:nvPicPr>
                  <pic:blipFill>
                    <a:blip r:embed="rId73"/>
                    <a:stretch>
                      <a:fillRect/>
                    </a:stretch>
                  </pic:blipFill>
                  <pic:spPr>
                    <a:xfrm>
                      <a:off x="0" y="0"/>
                      <a:ext cx="5271135" cy="7453630"/>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5271135" cy="7453630"/>
            <wp:effectExtent l="0" t="0" r="5715" b="13970"/>
            <wp:docPr id="17" name="图片 17" descr="关于柳州航城合金材料有限公司造纸制浆高端磨片及耐磨件生产项目研判初步结论 (1)_页面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关于柳州航城合金材料有限公司造纸制浆高端磨片及耐磨件生产项目研判初步结论 (1)_页面_9"/>
                    <pic:cNvPicPr>
                      <a:picLocks noChangeAspect="1"/>
                    </pic:cNvPicPr>
                  </pic:nvPicPr>
                  <pic:blipFill>
                    <a:blip r:embed="rId74"/>
                    <a:stretch>
                      <a:fillRect/>
                    </a:stretch>
                  </pic:blipFill>
                  <pic:spPr>
                    <a:xfrm>
                      <a:off x="0" y="0"/>
                      <a:ext cx="5271135" cy="7453630"/>
                    </a:xfrm>
                    <a:prstGeom prst="rect">
                      <a:avLst/>
                    </a:prstGeom>
                  </pic:spPr>
                </pic:pic>
              </a:graphicData>
            </a:graphic>
          </wp:inline>
        </w:drawing>
      </w:r>
    </w:p>
    <w:p w14:paraId="439CF281">
      <w:pPr>
        <w:rPr>
          <w:rFonts w:hint="default" w:ascii="Times New Roman" w:hAnsi="Times New Roman" w:cs="Times New Roman"/>
          <w:lang w:val="en-US" w:eastAsia="zh-CN"/>
        </w:rPr>
      </w:pPr>
    </w:p>
    <w:p w14:paraId="536E5A3D">
      <w:pPr>
        <w:rPr>
          <w:rFonts w:hint="default" w:ascii="Times New Roman" w:hAnsi="Times New Roman" w:cs="Times New Roman"/>
          <w:lang w:val="en-US" w:eastAsia="zh-CN"/>
        </w:rPr>
      </w:pPr>
      <w:r>
        <w:rPr>
          <w:rFonts w:hint="default" w:ascii="Times New Roman" w:hAnsi="Times New Roman" w:cs="Times New Roman"/>
          <w:lang w:val="en-US" w:eastAsia="zh-CN"/>
        </w:rPr>
        <w:br w:type="page"/>
      </w:r>
    </w:p>
    <w:p w14:paraId="1A1E66AD">
      <w:pPr>
        <w:pStyle w:val="2"/>
        <w:keepNext w:val="0"/>
        <w:keepLines w:val="0"/>
        <w:pageBreakBefore w:val="0"/>
        <w:widowControl w:val="0"/>
        <w:kinsoku/>
        <w:wordWrap/>
        <w:overflowPunct/>
        <w:topLinePunct w:val="0"/>
        <w:autoSpaceDE/>
        <w:autoSpaceDN/>
        <w:bidi w:val="0"/>
        <w:adjustRightInd w:val="0"/>
        <w:snapToGrid w:val="0"/>
        <w:ind w:firstLine="0" w:firstLineChars="0"/>
        <w:textAlignment w:val="auto"/>
        <w:outlineLvl w:val="0"/>
        <w:rPr>
          <w:rFonts w:hint="eastAsia" w:ascii="宋体" w:hAnsi="宋体" w:eastAsia="宋体" w:cs="宋体"/>
          <w:b/>
          <w:bCs/>
          <w:color w:val="auto"/>
          <w:kern w:val="2"/>
          <w:sz w:val="28"/>
          <w:szCs w:val="28"/>
          <w:highlight w:val="none"/>
          <w:lang w:val="en-US" w:eastAsia="zh-CN" w:bidi="ar-SA"/>
        </w:rPr>
      </w:pPr>
      <w:r>
        <w:rPr>
          <w:rFonts w:hint="eastAsia" w:ascii="宋体" w:hAnsi="宋体" w:eastAsia="宋体" w:cs="宋体"/>
          <w:b/>
          <w:bCs/>
          <w:color w:val="auto"/>
          <w:kern w:val="2"/>
          <w:sz w:val="28"/>
          <w:szCs w:val="28"/>
          <w:highlight w:val="none"/>
          <w:lang w:val="en-US" w:eastAsia="zh-CN" w:bidi="ar-SA"/>
        </w:rPr>
        <w:t xml:space="preserve">附件10 </w:t>
      </w:r>
    </w:p>
    <w:p w14:paraId="5B1F64B7">
      <w:pPr>
        <w:pStyle w:val="2"/>
        <w:rPr>
          <w:rFonts w:hint="default" w:ascii="Times New Roman" w:hAnsi="Times New Roman" w:cs="Times New Roman"/>
          <w:lang w:val="en-US" w:eastAsia="zh-CN"/>
        </w:rPr>
      </w:pPr>
      <w:r>
        <w:rPr>
          <w:sz w:val="21"/>
        </w:rPr>
        <mc:AlternateContent>
          <mc:Choice Requires="wps">
            <w:drawing>
              <wp:anchor distT="0" distB="0" distL="114300" distR="114300" simplePos="0" relativeHeight="251695104" behindDoc="0" locked="0" layoutInCell="1" allowOverlap="1">
                <wp:simplePos x="0" y="0"/>
                <wp:positionH relativeFrom="column">
                  <wp:posOffset>274955</wp:posOffset>
                </wp:positionH>
                <wp:positionV relativeFrom="paragraph">
                  <wp:posOffset>2610485</wp:posOffset>
                </wp:positionV>
                <wp:extent cx="4716780" cy="979170"/>
                <wp:effectExtent l="12700" t="12700" r="13970" b="17780"/>
                <wp:wrapNone/>
                <wp:docPr id="80" name="矩形 80"/>
                <wp:cNvGraphicFramePr/>
                <a:graphic xmlns:a="http://schemas.openxmlformats.org/drawingml/2006/main">
                  <a:graphicData uri="http://schemas.microsoft.com/office/word/2010/wordprocessingShape">
                    <wps:wsp>
                      <wps:cNvSpPr/>
                      <wps:spPr>
                        <a:xfrm>
                          <a:off x="1380490" y="4177030"/>
                          <a:ext cx="4716780" cy="979170"/>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65pt;margin-top:205.55pt;height:77.1pt;width:371.4pt;z-index:251695104;v-text-anchor:middle;mso-width-relative:page;mso-height-relative:page;" fillcolor="#FFFFFF [3212]" filled="t" stroked="t" coordsize="21600,21600" o:gfxdata="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eDSIo9oAAAAKAQAADwAAAAAA&#10;AAABACAAAAAiAAAAZHJzL2Rvd25yZXYueG1sUEsBAhQAFAAAAAgAh07iQNpK2jKDAgAADQUAAA4A&#10;AAAAAAAAAQAgAAAAKQEAAGRycy9lMm9Eb2MueG1sUEsFBgAAAAAGAAYAWQEAAB4GAAAAAA==&#10;">
                <v:fill on="t" focussize="0,0"/>
                <v:stroke weight="2pt" color="#376092 [2404]" joinstyle="round"/>
                <v:imagedata o:title=""/>
                <o:lock v:ext="edit" aspectratio="f"/>
              </v:rect>
            </w:pict>
          </mc:Fallback>
        </mc:AlternateContent>
      </w:r>
      <w:r>
        <w:drawing>
          <wp:anchor distT="0" distB="0" distL="114300" distR="114300" simplePos="0" relativeHeight="251683840" behindDoc="0" locked="0" layoutInCell="1" allowOverlap="1">
            <wp:simplePos x="0" y="0"/>
            <wp:positionH relativeFrom="column">
              <wp:posOffset>-314325</wp:posOffset>
            </wp:positionH>
            <wp:positionV relativeFrom="paragraph">
              <wp:posOffset>64770</wp:posOffset>
            </wp:positionV>
            <wp:extent cx="6057265" cy="7569200"/>
            <wp:effectExtent l="0" t="0" r="635" b="12700"/>
            <wp:wrapTopAndBottom/>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75"/>
                    <a:stretch>
                      <a:fillRect/>
                    </a:stretch>
                  </pic:blipFill>
                  <pic:spPr>
                    <a:xfrm>
                      <a:off x="0" y="0"/>
                      <a:ext cx="6057265" cy="7569200"/>
                    </a:xfrm>
                    <a:prstGeom prst="rect">
                      <a:avLst/>
                    </a:prstGeom>
                    <a:noFill/>
                    <a:ln>
                      <a:noFill/>
                    </a:ln>
                  </pic:spPr>
                </pic:pic>
              </a:graphicData>
            </a:graphic>
          </wp:anchor>
        </w:drawing>
      </w:r>
    </w:p>
    <w:p w14:paraId="626B3406">
      <w:pPr>
        <w:pStyle w:val="2"/>
        <w:ind w:left="0" w:leftChars="0" w:firstLine="0" w:firstLineChars="0"/>
        <w:rPr>
          <w:rFonts w:hint="default" w:ascii="Times New Roman" w:hAnsi="Times New Roman" w:cs="Times New Roman"/>
          <w:color w:val="auto"/>
          <w:lang w:val="en-US" w:eastAsia="zh-CN"/>
        </w:rPr>
      </w:pPr>
    </w:p>
    <w:sectPr>
      <w:headerReference r:id="rId13" w:type="default"/>
      <w:footerReference r:id="rId14"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00"/>
      </w:pPr>
      <w:r>
        <w:separator/>
      </w:r>
    </w:p>
  </w:endnote>
  <w:endnote w:type="continuationSeparator" w:id="1">
    <w:p>
      <w:pPr>
        <w:spacing w:line="240" w:lineRule="auto"/>
        <w:ind w:firstLine="40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28"/>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TimesNewRomanPSMT">
    <w:altName w:val="Times New Roman"/>
    <w:panose1 w:val="00000000000000000000"/>
    <w:charset w:val="00"/>
    <w:family w:val="roman"/>
    <w:pitch w:val="default"/>
    <w:sig w:usb0="00000000" w:usb1="00000000" w:usb2="00000010" w:usb3="00000000" w:csb0="00040001" w:csb1="00000000"/>
  </w:font>
  <w:font w:name="微软雅黑">
    <w:panose1 w:val="020B0503020204020204"/>
    <w:charset w:val="86"/>
    <w:family w:val="auto"/>
    <w:pitch w:val="default"/>
    <w:sig w:usb0="80000287" w:usb1="2ACF3C50" w:usb2="00000016" w:usb3="00000000" w:csb0="0004001F" w:csb1="00000000"/>
  </w:font>
  <w:font w:name="仿宋_GB2312">
    <w:panose1 w:val="02010609030101010101"/>
    <w:charset w:val="86"/>
    <w:family w:val="auto"/>
    <w:pitch w:val="default"/>
    <w:sig w:usb0="00000001" w:usb1="080E0000" w:usb2="00000000" w:usb3="00000000" w:csb0="00040000" w:csb1="00000000"/>
  </w:font>
  <w:font w:name="Sylfaen">
    <w:panose1 w:val="010A0502050306030303"/>
    <w:charset w:val="00"/>
    <w:family w:val="roman"/>
    <w:pitch w:val="default"/>
    <w:sig w:usb0="04000687" w:usb1="00000000" w:usb2="00000000" w:usb3="00000000" w:csb0="2000009F" w:csb1="00000000"/>
  </w:font>
  <w:font w:name="MingLiU">
    <w:altName w:val="PMingLiU-ExtB"/>
    <w:panose1 w:val="02010609000101010101"/>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等线 Light">
    <w:panose1 w:val="02010600030101010101"/>
    <w:charset w:val="86"/>
    <w:family w:val="auto"/>
    <w:pitch w:val="default"/>
    <w:sig w:usb0="A00002BF" w:usb1="38CF7CFA" w:usb2="00000016" w:usb3="00000000" w:csb0="0004000F" w:csb1="00000000"/>
  </w:font>
  <w:font w:name="Tahoma">
    <w:panose1 w:val="020B0604030504040204"/>
    <w:charset w:val="00"/>
    <w:family w:val="swiss"/>
    <w:pitch w:val="default"/>
    <w:sig w:usb0="E1002EFF" w:usb1="C000605B" w:usb2="00000029" w:usb3="00000000" w:csb0="200101FF" w:csb1="20280000"/>
  </w:font>
  <w:font w:name="华文中宋">
    <w:panose1 w:val="02010600040101010101"/>
    <w:charset w:val="86"/>
    <w:family w:val="auto"/>
    <w:pitch w:val="default"/>
    <w:sig w:usb0="00000287" w:usb1="080F0000" w:usb2="00000000" w:usb3="00000000" w:csb0="0004009F" w:csb1="DFD70000"/>
  </w:font>
  <w:font w:name="Verdana">
    <w:panose1 w:val="020B0604030504040204"/>
    <w:charset w:val="00"/>
    <w:family w:val="swiss"/>
    <w:pitch w:val="default"/>
    <w:sig w:usb0="A00006FF" w:usb1="4000205B" w:usb2="00000010" w:usb3="00000000" w:csb0="2000019F" w:csb1="00000000"/>
  </w:font>
  <w:font w:name="”“Times New Roman”“">
    <w:altName w:val="宋体"/>
    <w:panose1 w:val="00000000000000000000"/>
    <w:charset w:val="86"/>
    <w:family w:val="roman"/>
    <w:pitch w:val="default"/>
    <w:sig w:usb0="00000000" w:usb1="00000000" w:usb2="00000010" w:usb3="00000000" w:csb0="00040000" w:csb1="00000000"/>
  </w:font>
  <w:font w:name="幼圆">
    <w:panose1 w:val="0201050906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CEF67A">
    <w:pPr>
      <w:pStyle w:val="43"/>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F9906B">
    <w:pPr>
      <w:pStyle w:val="43"/>
      <w:ind w:firstLine="0" w:firstLineChars="0"/>
      <w:jc w:val="center"/>
      <w:rPr>
        <w:rFonts w:hint="default" w:ascii="Times New Roman" w:hAnsi="Times New Roman" w:cs="Times New Roman"/>
        <w:sz w:val="21"/>
        <w:szCs w:val="22"/>
      </w:rPr>
    </w:pPr>
    <w:r>
      <w:rPr>
        <w:sz w:val="21"/>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265FDE">
                          <w:pPr>
                            <w:pStyle w:val="43"/>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ToCZg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M0V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ToCZgzAgAAYwQAAA4AAAAAAAAAAQAgAAAAHwEAAGRycy9lMm9Eb2MueG1sUEsF&#10;BgAAAAAGAAYAWQEAAMQFAAAAAA==&#10;">
              <v:fill on="f" focussize="0,0"/>
              <v:stroke on="f" weight="0.5pt"/>
              <v:imagedata o:title=""/>
              <o:lock v:ext="edit" aspectratio="f"/>
              <v:textbox inset="0mm,0mm,0mm,0mm" style="mso-fit-shape-to-text:t;">
                <w:txbxContent>
                  <w:p w14:paraId="2F265FDE">
                    <w:pPr>
                      <w:pStyle w:val="43"/>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79F6D">
    <w:pPr>
      <w:pStyle w:val="43"/>
      <w:spacing w:beforeLines="0" w:afterLines="0"/>
      <w:ind w:right="360" w:firstLine="360"/>
      <w:jc w:val="center"/>
      <w:rPr>
        <w:rFonts w:hint="default"/>
        <w:sz w:val="1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783DEE">
    <w:pPr>
      <w:pStyle w:val="4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47A844">
    <w:pPr>
      <w:pStyle w:val="43"/>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844519">
    <w:pPr>
      <w:pStyle w:val="4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00"/>
      </w:pPr>
      <w:r>
        <w:separator/>
      </w:r>
    </w:p>
  </w:footnote>
  <w:footnote w:type="continuationSeparator" w:id="1">
    <w:p>
      <w:pPr>
        <w:spacing w:line="360" w:lineRule="auto"/>
        <w:ind w:firstLine="40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8F06BD">
    <w:pPr>
      <w:pStyle w:val="44"/>
      <w:pBdr>
        <w:bottom w:val="none" w:color="auto" w:sz="0" w:space="0"/>
      </w:pBdr>
      <w:ind w:firstLine="36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EF374F">
    <w:pPr>
      <w:pStyle w:val="44"/>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AD567B">
    <w:pPr>
      <w:pStyle w:val="44"/>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5A7BD4">
    <w:pPr>
      <w:pStyle w:val="44"/>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37A2864"/>
    <w:multiLevelType w:val="singleLevel"/>
    <w:tmpl w:val="937A2864"/>
    <w:lvl w:ilvl="0" w:tentative="0">
      <w:start w:val="5"/>
      <w:numFmt w:val="chineseCounting"/>
      <w:suff w:val="nothing"/>
      <w:lvlText w:val="%1、"/>
      <w:lvlJc w:val="left"/>
      <w:rPr>
        <w:rFonts w:hint="eastAsia"/>
      </w:rPr>
    </w:lvl>
  </w:abstractNum>
  <w:abstractNum w:abstractNumId="1">
    <w:nsid w:val="FFFFFF89"/>
    <w:multiLevelType w:val="singleLevel"/>
    <w:tmpl w:val="FFFFFF89"/>
    <w:lvl w:ilvl="0" w:tentative="0">
      <w:start w:val="1"/>
      <w:numFmt w:val="bullet"/>
      <w:pStyle w:val="28"/>
      <w:lvlText w:val=""/>
      <w:lvlJc w:val="left"/>
      <w:pPr>
        <w:tabs>
          <w:tab w:val="left" w:pos="360"/>
        </w:tabs>
        <w:ind w:left="360" w:hanging="360"/>
      </w:pPr>
      <w:rPr>
        <w:rFonts w:hint="default" w:ascii="Wingdings" w:hAnsi="Wingdings"/>
      </w:rPr>
    </w:lvl>
  </w:abstractNum>
  <w:abstractNum w:abstractNumId="2">
    <w:nsid w:val="436671C8"/>
    <w:multiLevelType w:val="singleLevel"/>
    <w:tmpl w:val="436671C8"/>
    <w:lvl w:ilvl="0" w:tentative="0">
      <w:start w:val="1"/>
      <w:numFmt w:val="bullet"/>
      <w:pStyle w:val="39"/>
      <w:lvlText w:val=""/>
      <w:lvlJc w:val="left"/>
      <w:pPr>
        <w:tabs>
          <w:tab w:val="left" w:pos="2040"/>
        </w:tabs>
        <w:ind w:left="2040" w:hanging="360"/>
      </w:pPr>
      <w:rPr>
        <w:rFonts w:hint="default" w:ascii="Wingdings" w:hAnsi="Wingdings"/>
      </w:rPr>
    </w:lvl>
  </w:abstractNum>
  <w:abstractNum w:abstractNumId="3">
    <w:nsid w:val="4FCA4C51"/>
    <w:multiLevelType w:val="multilevel"/>
    <w:tmpl w:val="4FCA4C51"/>
    <w:lvl w:ilvl="0" w:tentative="0">
      <w:start w:val="1"/>
      <w:numFmt w:val="decimal"/>
      <w:pStyle w:val="221"/>
      <w:lvlText w:val="（%1）"/>
      <w:lvlJc w:val="left"/>
      <w:pPr>
        <w:tabs>
          <w:tab w:val="left" w:pos="720"/>
        </w:tabs>
        <w:ind w:left="720" w:hanging="720"/>
      </w:pPr>
      <w:rPr>
        <w:rFonts w:hint="default"/>
      </w:rPr>
    </w:lvl>
    <w:lvl w:ilvl="1" w:tentative="0">
      <w:start w:val="1"/>
      <w:numFmt w:val="lowerLetter"/>
      <w:lvlText w:val="%2)"/>
      <w:lvlJc w:val="left"/>
      <w:pPr>
        <w:tabs>
          <w:tab w:val="left" w:pos="1372"/>
        </w:tabs>
        <w:ind w:left="1372" w:hanging="420"/>
      </w:pPr>
    </w:lvl>
    <w:lvl w:ilvl="2" w:tentative="0">
      <w:start w:val="1"/>
      <w:numFmt w:val="lowerRoman"/>
      <w:lvlText w:val="%3."/>
      <w:lvlJc w:val="right"/>
      <w:pPr>
        <w:tabs>
          <w:tab w:val="left" w:pos="1792"/>
        </w:tabs>
        <w:ind w:left="1792" w:hanging="420"/>
      </w:pPr>
    </w:lvl>
    <w:lvl w:ilvl="3" w:tentative="0">
      <w:start w:val="1"/>
      <w:numFmt w:val="decimal"/>
      <w:lvlText w:val="%4."/>
      <w:lvlJc w:val="left"/>
      <w:pPr>
        <w:tabs>
          <w:tab w:val="left" w:pos="2212"/>
        </w:tabs>
        <w:ind w:left="2212" w:hanging="420"/>
      </w:pPr>
    </w:lvl>
    <w:lvl w:ilvl="4" w:tentative="0">
      <w:start w:val="1"/>
      <w:numFmt w:val="lowerLetter"/>
      <w:lvlText w:val="%5)"/>
      <w:lvlJc w:val="left"/>
      <w:pPr>
        <w:tabs>
          <w:tab w:val="left" w:pos="2632"/>
        </w:tabs>
        <w:ind w:left="2632" w:hanging="420"/>
      </w:pPr>
    </w:lvl>
    <w:lvl w:ilvl="5" w:tentative="0">
      <w:start w:val="1"/>
      <w:numFmt w:val="lowerRoman"/>
      <w:lvlText w:val="%6."/>
      <w:lvlJc w:val="right"/>
      <w:pPr>
        <w:tabs>
          <w:tab w:val="left" w:pos="3052"/>
        </w:tabs>
        <w:ind w:left="3052" w:hanging="420"/>
      </w:pPr>
    </w:lvl>
    <w:lvl w:ilvl="6" w:tentative="0">
      <w:start w:val="1"/>
      <w:numFmt w:val="decimal"/>
      <w:lvlText w:val="%7."/>
      <w:lvlJc w:val="left"/>
      <w:pPr>
        <w:tabs>
          <w:tab w:val="left" w:pos="3472"/>
        </w:tabs>
        <w:ind w:left="3472" w:hanging="420"/>
      </w:pPr>
    </w:lvl>
    <w:lvl w:ilvl="7" w:tentative="0">
      <w:start w:val="1"/>
      <w:numFmt w:val="lowerLetter"/>
      <w:lvlText w:val="%8)"/>
      <w:lvlJc w:val="left"/>
      <w:pPr>
        <w:tabs>
          <w:tab w:val="left" w:pos="3892"/>
        </w:tabs>
        <w:ind w:left="3892" w:hanging="420"/>
      </w:pPr>
    </w:lvl>
    <w:lvl w:ilvl="8" w:tentative="0">
      <w:start w:val="1"/>
      <w:numFmt w:val="lowerRoman"/>
      <w:lvlText w:val="%9."/>
      <w:lvlJc w:val="right"/>
      <w:pPr>
        <w:tabs>
          <w:tab w:val="left" w:pos="4312"/>
        </w:tabs>
        <w:ind w:left="4312" w:hanging="420"/>
      </w:pPr>
    </w:lvl>
  </w:abstractNum>
  <w:abstractNum w:abstractNumId="4">
    <w:nsid w:val="516014A5"/>
    <w:multiLevelType w:val="singleLevel"/>
    <w:tmpl w:val="516014A5"/>
    <w:lvl w:ilvl="0" w:tentative="0">
      <w:start w:val="1"/>
      <w:numFmt w:val="japaneseCounting"/>
      <w:pStyle w:val="381"/>
      <w:lvlText w:val="%1、"/>
      <w:lvlJc w:val="left"/>
      <w:pPr>
        <w:tabs>
          <w:tab w:val="left" w:pos="570"/>
        </w:tabs>
        <w:ind w:left="570" w:hanging="570"/>
      </w:pPr>
      <w:rPr>
        <w:rFonts w:hint="eastAsia"/>
      </w:rPr>
    </w:lvl>
  </w:abstractNum>
  <w:abstractNum w:abstractNumId="5">
    <w:nsid w:val="52DF7ED5"/>
    <w:multiLevelType w:val="multilevel"/>
    <w:tmpl w:val="52DF7ED5"/>
    <w:lvl w:ilvl="0" w:tentative="0">
      <w:start w:val="1"/>
      <w:numFmt w:val="decimal"/>
      <w:pStyle w:val="6"/>
      <w:lvlText w:val="%1"/>
      <w:lvlJc w:val="left"/>
      <w:pPr>
        <w:tabs>
          <w:tab w:val="left" w:pos="432"/>
        </w:tabs>
        <w:ind w:left="432" w:hanging="432"/>
      </w:pPr>
    </w:lvl>
    <w:lvl w:ilvl="1" w:tentative="0">
      <w:start w:val="1"/>
      <w:numFmt w:val="decimal"/>
      <w:pStyle w:val="8"/>
      <w:lvlText w:val="%1.%2"/>
      <w:lvlJc w:val="left"/>
      <w:pPr>
        <w:tabs>
          <w:tab w:val="left" w:pos="576"/>
        </w:tabs>
        <w:ind w:left="576" w:hanging="576"/>
      </w:pPr>
    </w:lvl>
    <w:lvl w:ilvl="2" w:tentative="0">
      <w:start w:val="1"/>
      <w:numFmt w:val="decimal"/>
      <w:pStyle w:val="9"/>
      <w:lvlText w:val="%1.%2.%3"/>
      <w:lvlJc w:val="left"/>
      <w:pPr>
        <w:tabs>
          <w:tab w:val="left" w:pos="720"/>
        </w:tabs>
        <w:ind w:left="720" w:hanging="720"/>
      </w:pPr>
    </w:lvl>
    <w:lvl w:ilvl="3" w:tentative="0">
      <w:start w:val="1"/>
      <w:numFmt w:val="decimal"/>
      <w:pStyle w:val="10"/>
      <w:lvlText w:val="%1.%2.%3.%4"/>
      <w:lvlJc w:val="left"/>
      <w:pPr>
        <w:tabs>
          <w:tab w:val="left" w:pos="864"/>
        </w:tabs>
        <w:ind w:left="864" w:hanging="864"/>
      </w:pPr>
    </w:lvl>
    <w:lvl w:ilvl="4" w:tentative="0">
      <w:start w:val="1"/>
      <w:numFmt w:val="decimal"/>
      <w:pStyle w:val="11"/>
      <w:lvlText w:val="%1.%2.%3.%4.%5"/>
      <w:lvlJc w:val="left"/>
      <w:pPr>
        <w:tabs>
          <w:tab w:val="left" w:pos="1008"/>
        </w:tabs>
        <w:ind w:left="1008" w:hanging="1008"/>
      </w:pPr>
    </w:lvl>
    <w:lvl w:ilvl="5" w:tentative="0">
      <w:start w:val="1"/>
      <w:numFmt w:val="decimal"/>
      <w:pStyle w:val="13"/>
      <w:lvlText w:val="%1.%2.%3.%4.%5.%6"/>
      <w:lvlJc w:val="left"/>
      <w:pPr>
        <w:tabs>
          <w:tab w:val="left" w:pos="1152"/>
        </w:tabs>
        <w:ind w:left="1152" w:hanging="1152"/>
      </w:pPr>
    </w:lvl>
    <w:lvl w:ilvl="6" w:tentative="0">
      <w:start w:val="1"/>
      <w:numFmt w:val="decimal"/>
      <w:pStyle w:val="14"/>
      <w:lvlText w:val="%1.%2.%3.%4.%5.%6.%7"/>
      <w:lvlJc w:val="left"/>
      <w:pPr>
        <w:tabs>
          <w:tab w:val="left" w:pos="1296"/>
        </w:tabs>
        <w:ind w:left="1296" w:hanging="1296"/>
      </w:pPr>
    </w:lvl>
    <w:lvl w:ilvl="7" w:tentative="0">
      <w:start w:val="1"/>
      <w:numFmt w:val="decimal"/>
      <w:pStyle w:val="15"/>
      <w:lvlText w:val="%1.%2.%3.%4.%5.%6.%7.%8"/>
      <w:lvlJc w:val="left"/>
      <w:pPr>
        <w:tabs>
          <w:tab w:val="left" w:pos="1440"/>
        </w:tabs>
        <w:ind w:left="1440" w:hanging="1440"/>
      </w:pPr>
    </w:lvl>
    <w:lvl w:ilvl="8" w:tentative="0">
      <w:start w:val="1"/>
      <w:numFmt w:val="decimal"/>
      <w:pStyle w:val="16"/>
      <w:lvlText w:val="%1.%2.%3.%4.%5.%6.%7.%8.%9"/>
      <w:lvlJc w:val="left"/>
      <w:pPr>
        <w:tabs>
          <w:tab w:val="left" w:pos="1584"/>
        </w:tabs>
        <w:ind w:left="1584" w:hanging="1584"/>
      </w:pPr>
    </w:lvl>
  </w:abstractNum>
  <w:abstractNum w:abstractNumId="6">
    <w:nsid w:val="713A82EE"/>
    <w:multiLevelType w:val="singleLevel"/>
    <w:tmpl w:val="713A82EE"/>
    <w:lvl w:ilvl="0" w:tentative="0">
      <w:start w:val="1"/>
      <w:numFmt w:val="bullet"/>
      <w:pStyle w:val="22"/>
      <w:lvlText w:val=""/>
      <w:lvlJc w:val="left"/>
      <w:pPr>
        <w:tabs>
          <w:tab w:val="left" w:pos="780"/>
        </w:tabs>
        <w:ind w:left="780" w:hanging="360"/>
      </w:pPr>
      <w:rPr>
        <w:rFonts w:hint="default" w:ascii="Wingdings" w:hAnsi="Wingdings"/>
      </w:rPr>
    </w:lvl>
  </w:abstractNum>
  <w:abstractNum w:abstractNumId="7">
    <w:nsid w:val="7B953FCC"/>
    <w:multiLevelType w:val="singleLevel"/>
    <w:tmpl w:val="7B953FCC"/>
    <w:lvl w:ilvl="0" w:tentative="0">
      <w:start w:val="1"/>
      <w:numFmt w:val="decimal"/>
      <w:suff w:val="nothing"/>
      <w:lvlText w:val="%1、"/>
      <w:lvlJc w:val="left"/>
    </w:lvl>
  </w:abstractNum>
  <w:num w:numId="1">
    <w:abstractNumId w:val="5"/>
  </w:num>
  <w:num w:numId="2">
    <w:abstractNumId w:val="6"/>
  </w:num>
  <w:num w:numId="3">
    <w:abstractNumId w:val="1"/>
  </w:num>
  <w:num w:numId="4">
    <w:abstractNumId w:val="2"/>
  </w:num>
  <w:num w:numId="5">
    <w:abstractNumId w:val="3"/>
  </w:num>
  <w:num w:numId="6">
    <w:abstractNumId w:val="4"/>
  </w:num>
  <w:num w:numId="7">
    <w:abstractNumId w:val="7"/>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0"/>
  <w:bordersDoNotSurroundFooter w:val="0"/>
  <w:gutterAtTop/>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5"/>
  <w:hyphenationZone w:val="36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CTIVE" w:val="鹿泉表.doc"/>
    <w:docVar w:name="commondata" w:val="eyJoZGlkIjoiOWQ1MDgzMzNjZWJkYjhlZjY1MDBiMTI0NTFlY2U0ZDgifQ=="/>
    <w:docVar w:name="VTBOLDON" w:val="0"/>
    <w:docVar w:name="VTCASE" w:val="4"/>
    <w:docVar w:name="VTCommandPending" w:val="NONE"/>
    <w:docVar w:name="VTCurMacroFlags$" w:val="NNNN"/>
    <w:docVar w:name="VTDictating" w:val="TRUE"/>
    <w:docVar w:name="VTINIT" w:val="1"/>
    <w:docVar w:name="VTITALICON" w:val="0"/>
    <w:docVar w:name="VTUNDERLINEON" w:val="0"/>
    <w:docVar w:name="VTypeCAPFlag$" w:val="FALSE"/>
    <w:docVar w:name="VTypeJoinDigitFlag$" w:val="FALSE"/>
    <w:docVar w:name="VTypeLCFlag$" w:val="FALSE"/>
    <w:docVar w:name="VTypeNoSpaceFlag$" w:val="TRUE"/>
    <w:docVar w:name="VTypeSpaceFlag$" w:val="FALSE"/>
    <w:docVar w:name="VTypeUCFlag$" w:val="FALSE"/>
  </w:docVars>
  <w:rsids>
    <w:rsidRoot w:val="00172A27"/>
    <w:rsid w:val="00000565"/>
    <w:rsid w:val="00000D08"/>
    <w:rsid w:val="00000D09"/>
    <w:rsid w:val="00001343"/>
    <w:rsid w:val="0000142F"/>
    <w:rsid w:val="00001592"/>
    <w:rsid w:val="00001C05"/>
    <w:rsid w:val="000031BF"/>
    <w:rsid w:val="00004013"/>
    <w:rsid w:val="00004365"/>
    <w:rsid w:val="00004720"/>
    <w:rsid w:val="00004B0B"/>
    <w:rsid w:val="00004B3A"/>
    <w:rsid w:val="00004E3E"/>
    <w:rsid w:val="000054C0"/>
    <w:rsid w:val="000059EC"/>
    <w:rsid w:val="00005D44"/>
    <w:rsid w:val="00005D91"/>
    <w:rsid w:val="000067C2"/>
    <w:rsid w:val="00007293"/>
    <w:rsid w:val="000077D7"/>
    <w:rsid w:val="00007A81"/>
    <w:rsid w:val="00010A63"/>
    <w:rsid w:val="00010DFA"/>
    <w:rsid w:val="00010F40"/>
    <w:rsid w:val="00010F73"/>
    <w:rsid w:val="00011360"/>
    <w:rsid w:val="00011779"/>
    <w:rsid w:val="0001186D"/>
    <w:rsid w:val="00012DF2"/>
    <w:rsid w:val="00013D00"/>
    <w:rsid w:val="00014125"/>
    <w:rsid w:val="000142BC"/>
    <w:rsid w:val="0001565C"/>
    <w:rsid w:val="00016268"/>
    <w:rsid w:val="000164A8"/>
    <w:rsid w:val="000166CB"/>
    <w:rsid w:val="00016A9C"/>
    <w:rsid w:val="00017A98"/>
    <w:rsid w:val="00017C12"/>
    <w:rsid w:val="00017FDB"/>
    <w:rsid w:val="00020B44"/>
    <w:rsid w:val="00020D27"/>
    <w:rsid w:val="00020DF1"/>
    <w:rsid w:val="00021111"/>
    <w:rsid w:val="0002283C"/>
    <w:rsid w:val="00022CC2"/>
    <w:rsid w:val="00022F3A"/>
    <w:rsid w:val="00023141"/>
    <w:rsid w:val="00023163"/>
    <w:rsid w:val="000234D4"/>
    <w:rsid w:val="000235C0"/>
    <w:rsid w:val="0002466F"/>
    <w:rsid w:val="000246D9"/>
    <w:rsid w:val="00024A04"/>
    <w:rsid w:val="00024B16"/>
    <w:rsid w:val="0002514B"/>
    <w:rsid w:val="000251E3"/>
    <w:rsid w:val="00025599"/>
    <w:rsid w:val="000256EB"/>
    <w:rsid w:val="00025A41"/>
    <w:rsid w:val="00025AB0"/>
    <w:rsid w:val="0002611D"/>
    <w:rsid w:val="00026BF7"/>
    <w:rsid w:val="00026C8F"/>
    <w:rsid w:val="0002725A"/>
    <w:rsid w:val="000272A4"/>
    <w:rsid w:val="00030F02"/>
    <w:rsid w:val="0003101A"/>
    <w:rsid w:val="000318A3"/>
    <w:rsid w:val="00031CC7"/>
    <w:rsid w:val="00031FA3"/>
    <w:rsid w:val="0003248E"/>
    <w:rsid w:val="00032C30"/>
    <w:rsid w:val="00032D10"/>
    <w:rsid w:val="00032F99"/>
    <w:rsid w:val="000330D2"/>
    <w:rsid w:val="00033470"/>
    <w:rsid w:val="0003348A"/>
    <w:rsid w:val="00034711"/>
    <w:rsid w:val="00034C38"/>
    <w:rsid w:val="00035285"/>
    <w:rsid w:val="00035688"/>
    <w:rsid w:val="00035F72"/>
    <w:rsid w:val="000364D8"/>
    <w:rsid w:val="00036A1C"/>
    <w:rsid w:val="000372C0"/>
    <w:rsid w:val="00037AB8"/>
    <w:rsid w:val="00037EA8"/>
    <w:rsid w:val="000405FE"/>
    <w:rsid w:val="00040BB0"/>
    <w:rsid w:val="00041306"/>
    <w:rsid w:val="000416A6"/>
    <w:rsid w:val="0004184E"/>
    <w:rsid w:val="00041BDD"/>
    <w:rsid w:val="000421F8"/>
    <w:rsid w:val="000422CC"/>
    <w:rsid w:val="00042358"/>
    <w:rsid w:val="00042ECF"/>
    <w:rsid w:val="0004303A"/>
    <w:rsid w:val="000431DA"/>
    <w:rsid w:val="00043592"/>
    <w:rsid w:val="00043C0E"/>
    <w:rsid w:val="000447A7"/>
    <w:rsid w:val="00044DC8"/>
    <w:rsid w:val="0004545E"/>
    <w:rsid w:val="00046337"/>
    <w:rsid w:val="00046A62"/>
    <w:rsid w:val="00046CB8"/>
    <w:rsid w:val="00046DD2"/>
    <w:rsid w:val="0004712F"/>
    <w:rsid w:val="00047224"/>
    <w:rsid w:val="000472BE"/>
    <w:rsid w:val="00047652"/>
    <w:rsid w:val="00047CE8"/>
    <w:rsid w:val="00050215"/>
    <w:rsid w:val="00050796"/>
    <w:rsid w:val="00050B5B"/>
    <w:rsid w:val="00050F21"/>
    <w:rsid w:val="00051019"/>
    <w:rsid w:val="000511BC"/>
    <w:rsid w:val="0005142F"/>
    <w:rsid w:val="00051833"/>
    <w:rsid w:val="00052C0F"/>
    <w:rsid w:val="00052F90"/>
    <w:rsid w:val="0005305E"/>
    <w:rsid w:val="00053F4E"/>
    <w:rsid w:val="000545D4"/>
    <w:rsid w:val="00054990"/>
    <w:rsid w:val="00055948"/>
    <w:rsid w:val="00055E72"/>
    <w:rsid w:val="00057086"/>
    <w:rsid w:val="00057B9F"/>
    <w:rsid w:val="000600A7"/>
    <w:rsid w:val="00060731"/>
    <w:rsid w:val="00060D1D"/>
    <w:rsid w:val="00060DFF"/>
    <w:rsid w:val="000614BF"/>
    <w:rsid w:val="00061773"/>
    <w:rsid w:val="00061853"/>
    <w:rsid w:val="00061FF7"/>
    <w:rsid w:val="00062067"/>
    <w:rsid w:val="00062714"/>
    <w:rsid w:val="00062BAF"/>
    <w:rsid w:val="00063750"/>
    <w:rsid w:val="00063B60"/>
    <w:rsid w:val="00064EA9"/>
    <w:rsid w:val="00064EFD"/>
    <w:rsid w:val="00065DB2"/>
    <w:rsid w:val="00065E9C"/>
    <w:rsid w:val="000664F4"/>
    <w:rsid w:val="00066A0A"/>
    <w:rsid w:val="00066B49"/>
    <w:rsid w:val="000679F9"/>
    <w:rsid w:val="00067FF9"/>
    <w:rsid w:val="000702FF"/>
    <w:rsid w:val="00071413"/>
    <w:rsid w:val="000715FB"/>
    <w:rsid w:val="000719C0"/>
    <w:rsid w:val="00071D16"/>
    <w:rsid w:val="00071D6E"/>
    <w:rsid w:val="00071EC4"/>
    <w:rsid w:val="00071F82"/>
    <w:rsid w:val="000732FC"/>
    <w:rsid w:val="000733FB"/>
    <w:rsid w:val="000738A9"/>
    <w:rsid w:val="00073A60"/>
    <w:rsid w:val="00073FD0"/>
    <w:rsid w:val="00074135"/>
    <w:rsid w:val="000744CF"/>
    <w:rsid w:val="0007459A"/>
    <w:rsid w:val="00074C7C"/>
    <w:rsid w:val="000751CE"/>
    <w:rsid w:val="00075C27"/>
    <w:rsid w:val="00077A12"/>
    <w:rsid w:val="00077BE1"/>
    <w:rsid w:val="00077D92"/>
    <w:rsid w:val="00080090"/>
    <w:rsid w:val="00080267"/>
    <w:rsid w:val="000803E0"/>
    <w:rsid w:val="000805DF"/>
    <w:rsid w:val="000805E3"/>
    <w:rsid w:val="0008077D"/>
    <w:rsid w:val="0008147D"/>
    <w:rsid w:val="000815DB"/>
    <w:rsid w:val="000816E2"/>
    <w:rsid w:val="0008174F"/>
    <w:rsid w:val="00081BE8"/>
    <w:rsid w:val="00081D79"/>
    <w:rsid w:val="00081F7B"/>
    <w:rsid w:val="000822FC"/>
    <w:rsid w:val="00082489"/>
    <w:rsid w:val="00082708"/>
    <w:rsid w:val="0008340B"/>
    <w:rsid w:val="00083D36"/>
    <w:rsid w:val="00083FCC"/>
    <w:rsid w:val="000841BC"/>
    <w:rsid w:val="0008425B"/>
    <w:rsid w:val="00085058"/>
    <w:rsid w:val="00085698"/>
    <w:rsid w:val="000860E5"/>
    <w:rsid w:val="000862D8"/>
    <w:rsid w:val="000866DC"/>
    <w:rsid w:val="00086C05"/>
    <w:rsid w:val="0008716A"/>
    <w:rsid w:val="00087979"/>
    <w:rsid w:val="000900D3"/>
    <w:rsid w:val="00090884"/>
    <w:rsid w:val="00090F36"/>
    <w:rsid w:val="00090F77"/>
    <w:rsid w:val="0009108C"/>
    <w:rsid w:val="000910C4"/>
    <w:rsid w:val="00091668"/>
    <w:rsid w:val="000918D3"/>
    <w:rsid w:val="00091E0A"/>
    <w:rsid w:val="00091E22"/>
    <w:rsid w:val="00092359"/>
    <w:rsid w:val="000935CC"/>
    <w:rsid w:val="00093751"/>
    <w:rsid w:val="000937E6"/>
    <w:rsid w:val="000938B6"/>
    <w:rsid w:val="00093A5B"/>
    <w:rsid w:val="0009424F"/>
    <w:rsid w:val="0009438E"/>
    <w:rsid w:val="000943CB"/>
    <w:rsid w:val="0009460F"/>
    <w:rsid w:val="000946C9"/>
    <w:rsid w:val="000958DB"/>
    <w:rsid w:val="00095A85"/>
    <w:rsid w:val="00096023"/>
    <w:rsid w:val="00096574"/>
    <w:rsid w:val="0009688B"/>
    <w:rsid w:val="00097A41"/>
    <w:rsid w:val="00097EC4"/>
    <w:rsid w:val="00097FDB"/>
    <w:rsid w:val="000A023D"/>
    <w:rsid w:val="000A03BF"/>
    <w:rsid w:val="000A09B6"/>
    <w:rsid w:val="000A09C8"/>
    <w:rsid w:val="000A0A53"/>
    <w:rsid w:val="000A0AF5"/>
    <w:rsid w:val="000A0C27"/>
    <w:rsid w:val="000A0C4E"/>
    <w:rsid w:val="000A0DEA"/>
    <w:rsid w:val="000A135D"/>
    <w:rsid w:val="000A25ED"/>
    <w:rsid w:val="000A4055"/>
    <w:rsid w:val="000A445C"/>
    <w:rsid w:val="000A4713"/>
    <w:rsid w:val="000A505A"/>
    <w:rsid w:val="000A515E"/>
    <w:rsid w:val="000A5301"/>
    <w:rsid w:val="000A67DE"/>
    <w:rsid w:val="000A6814"/>
    <w:rsid w:val="000B0278"/>
    <w:rsid w:val="000B0BFF"/>
    <w:rsid w:val="000B220C"/>
    <w:rsid w:val="000B2247"/>
    <w:rsid w:val="000B24B3"/>
    <w:rsid w:val="000B2D45"/>
    <w:rsid w:val="000B2DFD"/>
    <w:rsid w:val="000B30C1"/>
    <w:rsid w:val="000B3179"/>
    <w:rsid w:val="000B324E"/>
    <w:rsid w:val="000B32F2"/>
    <w:rsid w:val="000B3E2F"/>
    <w:rsid w:val="000B42CD"/>
    <w:rsid w:val="000B4359"/>
    <w:rsid w:val="000B4417"/>
    <w:rsid w:val="000B4F98"/>
    <w:rsid w:val="000B5602"/>
    <w:rsid w:val="000B76A7"/>
    <w:rsid w:val="000B7737"/>
    <w:rsid w:val="000C112B"/>
    <w:rsid w:val="000C13FC"/>
    <w:rsid w:val="000C1A32"/>
    <w:rsid w:val="000C1CB2"/>
    <w:rsid w:val="000C2200"/>
    <w:rsid w:val="000C29BD"/>
    <w:rsid w:val="000C2E24"/>
    <w:rsid w:val="000C300B"/>
    <w:rsid w:val="000C3460"/>
    <w:rsid w:val="000C39C2"/>
    <w:rsid w:val="000C3B73"/>
    <w:rsid w:val="000C3C91"/>
    <w:rsid w:val="000C423A"/>
    <w:rsid w:val="000C4685"/>
    <w:rsid w:val="000C498D"/>
    <w:rsid w:val="000C54EC"/>
    <w:rsid w:val="000C5689"/>
    <w:rsid w:val="000C5F3E"/>
    <w:rsid w:val="000C7082"/>
    <w:rsid w:val="000C75E2"/>
    <w:rsid w:val="000C7710"/>
    <w:rsid w:val="000C7726"/>
    <w:rsid w:val="000C7EC5"/>
    <w:rsid w:val="000D0742"/>
    <w:rsid w:val="000D08EE"/>
    <w:rsid w:val="000D167F"/>
    <w:rsid w:val="000D1D2E"/>
    <w:rsid w:val="000D1DCF"/>
    <w:rsid w:val="000D248C"/>
    <w:rsid w:val="000D2678"/>
    <w:rsid w:val="000D2B0D"/>
    <w:rsid w:val="000D2D07"/>
    <w:rsid w:val="000D3FBE"/>
    <w:rsid w:val="000D4208"/>
    <w:rsid w:val="000D4872"/>
    <w:rsid w:val="000D4FC3"/>
    <w:rsid w:val="000D62B5"/>
    <w:rsid w:val="000D62B7"/>
    <w:rsid w:val="000D630C"/>
    <w:rsid w:val="000D6F86"/>
    <w:rsid w:val="000D6FBF"/>
    <w:rsid w:val="000D74A1"/>
    <w:rsid w:val="000D7701"/>
    <w:rsid w:val="000D7705"/>
    <w:rsid w:val="000D78FB"/>
    <w:rsid w:val="000D7A85"/>
    <w:rsid w:val="000D7C90"/>
    <w:rsid w:val="000E0199"/>
    <w:rsid w:val="000E0484"/>
    <w:rsid w:val="000E06BD"/>
    <w:rsid w:val="000E09AE"/>
    <w:rsid w:val="000E16B3"/>
    <w:rsid w:val="000E17F8"/>
    <w:rsid w:val="000E1A6C"/>
    <w:rsid w:val="000E23D4"/>
    <w:rsid w:val="000E3328"/>
    <w:rsid w:val="000E369B"/>
    <w:rsid w:val="000E36E4"/>
    <w:rsid w:val="000E3C61"/>
    <w:rsid w:val="000E3CE9"/>
    <w:rsid w:val="000E4778"/>
    <w:rsid w:val="000E521B"/>
    <w:rsid w:val="000E5429"/>
    <w:rsid w:val="000E59D5"/>
    <w:rsid w:val="000E5C5E"/>
    <w:rsid w:val="000E5E49"/>
    <w:rsid w:val="000E6107"/>
    <w:rsid w:val="000E6B6A"/>
    <w:rsid w:val="000E7387"/>
    <w:rsid w:val="000E77D5"/>
    <w:rsid w:val="000E7D6A"/>
    <w:rsid w:val="000F051B"/>
    <w:rsid w:val="000F06D0"/>
    <w:rsid w:val="000F0E52"/>
    <w:rsid w:val="000F10B8"/>
    <w:rsid w:val="000F154B"/>
    <w:rsid w:val="000F2122"/>
    <w:rsid w:val="000F28A5"/>
    <w:rsid w:val="000F2EF0"/>
    <w:rsid w:val="000F4555"/>
    <w:rsid w:val="000F46AD"/>
    <w:rsid w:val="000F474F"/>
    <w:rsid w:val="000F56B8"/>
    <w:rsid w:val="000F58F7"/>
    <w:rsid w:val="000F7717"/>
    <w:rsid w:val="000F7C26"/>
    <w:rsid w:val="001001CC"/>
    <w:rsid w:val="0010027F"/>
    <w:rsid w:val="00100355"/>
    <w:rsid w:val="001006B9"/>
    <w:rsid w:val="00100746"/>
    <w:rsid w:val="0010094C"/>
    <w:rsid w:val="00100F84"/>
    <w:rsid w:val="0010102D"/>
    <w:rsid w:val="00101092"/>
    <w:rsid w:val="001015AA"/>
    <w:rsid w:val="001016EC"/>
    <w:rsid w:val="00101D3E"/>
    <w:rsid w:val="00102557"/>
    <w:rsid w:val="001029EF"/>
    <w:rsid w:val="00103C94"/>
    <w:rsid w:val="001047AF"/>
    <w:rsid w:val="00105148"/>
    <w:rsid w:val="001057EE"/>
    <w:rsid w:val="00105845"/>
    <w:rsid w:val="001059D2"/>
    <w:rsid w:val="00106682"/>
    <w:rsid w:val="00106A25"/>
    <w:rsid w:val="00106B67"/>
    <w:rsid w:val="001070FB"/>
    <w:rsid w:val="0010725D"/>
    <w:rsid w:val="001073F1"/>
    <w:rsid w:val="001078BF"/>
    <w:rsid w:val="001079BC"/>
    <w:rsid w:val="00107E91"/>
    <w:rsid w:val="00107FDC"/>
    <w:rsid w:val="0011016C"/>
    <w:rsid w:val="001109F3"/>
    <w:rsid w:val="00111183"/>
    <w:rsid w:val="00111552"/>
    <w:rsid w:val="001117B1"/>
    <w:rsid w:val="00111891"/>
    <w:rsid w:val="0011204B"/>
    <w:rsid w:val="001123DC"/>
    <w:rsid w:val="001135D4"/>
    <w:rsid w:val="001141E0"/>
    <w:rsid w:val="00114705"/>
    <w:rsid w:val="0011499B"/>
    <w:rsid w:val="00114C2D"/>
    <w:rsid w:val="0011571B"/>
    <w:rsid w:val="001158AF"/>
    <w:rsid w:val="00115AC3"/>
    <w:rsid w:val="00116770"/>
    <w:rsid w:val="00116DDA"/>
    <w:rsid w:val="00116EF5"/>
    <w:rsid w:val="001170FD"/>
    <w:rsid w:val="00117409"/>
    <w:rsid w:val="00117762"/>
    <w:rsid w:val="00117795"/>
    <w:rsid w:val="00117F5F"/>
    <w:rsid w:val="00120131"/>
    <w:rsid w:val="00121F72"/>
    <w:rsid w:val="00122473"/>
    <w:rsid w:val="00122F2B"/>
    <w:rsid w:val="001231C4"/>
    <w:rsid w:val="00123289"/>
    <w:rsid w:val="00123338"/>
    <w:rsid w:val="00123942"/>
    <w:rsid w:val="00123C8E"/>
    <w:rsid w:val="00123ED3"/>
    <w:rsid w:val="001243C5"/>
    <w:rsid w:val="001245FF"/>
    <w:rsid w:val="00124B4D"/>
    <w:rsid w:val="00124F62"/>
    <w:rsid w:val="001250B6"/>
    <w:rsid w:val="0012554D"/>
    <w:rsid w:val="00125861"/>
    <w:rsid w:val="00125867"/>
    <w:rsid w:val="00125DF5"/>
    <w:rsid w:val="001261BB"/>
    <w:rsid w:val="00126626"/>
    <w:rsid w:val="00126BC0"/>
    <w:rsid w:val="00130457"/>
    <w:rsid w:val="001309CE"/>
    <w:rsid w:val="001313C0"/>
    <w:rsid w:val="001313C1"/>
    <w:rsid w:val="001315D4"/>
    <w:rsid w:val="00131CD8"/>
    <w:rsid w:val="00132A8C"/>
    <w:rsid w:val="001337D8"/>
    <w:rsid w:val="001337F1"/>
    <w:rsid w:val="00133B80"/>
    <w:rsid w:val="00133B95"/>
    <w:rsid w:val="001342A3"/>
    <w:rsid w:val="00134865"/>
    <w:rsid w:val="001349FD"/>
    <w:rsid w:val="00135975"/>
    <w:rsid w:val="00135E24"/>
    <w:rsid w:val="0013604F"/>
    <w:rsid w:val="00136606"/>
    <w:rsid w:val="00136668"/>
    <w:rsid w:val="001377B5"/>
    <w:rsid w:val="00137843"/>
    <w:rsid w:val="00137B0C"/>
    <w:rsid w:val="00137FF1"/>
    <w:rsid w:val="00140E7E"/>
    <w:rsid w:val="001410D2"/>
    <w:rsid w:val="00141721"/>
    <w:rsid w:val="00141879"/>
    <w:rsid w:val="00141A68"/>
    <w:rsid w:val="00141BB2"/>
    <w:rsid w:val="00143349"/>
    <w:rsid w:val="001436E6"/>
    <w:rsid w:val="00143781"/>
    <w:rsid w:val="00143946"/>
    <w:rsid w:val="00143A20"/>
    <w:rsid w:val="00143F7E"/>
    <w:rsid w:val="00144530"/>
    <w:rsid w:val="00144B84"/>
    <w:rsid w:val="00144EE4"/>
    <w:rsid w:val="00144FF9"/>
    <w:rsid w:val="00145250"/>
    <w:rsid w:val="00145531"/>
    <w:rsid w:val="00145588"/>
    <w:rsid w:val="00145922"/>
    <w:rsid w:val="00147227"/>
    <w:rsid w:val="00147C21"/>
    <w:rsid w:val="00150344"/>
    <w:rsid w:val="001504E6"/>
    <w:rsid w:val="00150EA9"/>
    <w:rsid w:val="00151B8E"/>
    <w:rsid w:val="00152A6D"/>
    <w:rsid w:val="00152DF2"/>
    <w:rsid w:val="00152E3D"/>
    <w:rsid w:val="00152F44"/>
    <w:rsid w:val="001532FA"/>
    <w:rsid w:val="00153B61"/>
    <w:rsid w:val="0015432B"/>
    <w:rsid w:val="00154824"/>
    <w:rsid w:val="001552F4"/>
    <w:rsid w:val="00155314"/>
    <w:rsid w:val="00155862"/>
    <w:rsid w:val="00156A40"/>
    <w:rsid w:val="00156F45"/>
    <w:rsid w:val="001572C0"/>
    <w:rsid w:val="00157578"/>
    <w:rsid w:val="0016006A"/>
    <w:rsid w:val="0016013F"/>
    <w:rsid w:val="00160366"/>
    <w:rsid w:val="0016039C"/>
    <w:rsid w:val="0016084A"/>
    <w:rsid w:val="00160F8C"/>
    <w:rsid w:val="0016118D"/>
    <w:rsid w:val="001614F1"/>
    <w:rsid w:val="00161F4A"/>
    <w:rsid w:val="001620D0"/>
    <w:rsid w:val="001638FD"/>
    <w:rsid w:val="00163AF3"/>
    <w:rsid w:val="00163D83"/>
    <w:rsid w:val="001649C2"/>
    <w:rsid w:val="001649C7"/>
    <w:rsid w:val="00164C59"/>
    <w:rsid w:val="00165D78"/>
    <w:rsid w:val="001661C3"/>
    <w:rsid w:val="00166503"/>
    <w:rsid w:val="001667B9"/>
    <w:rsid w:val="00166F60"/>
    <w:rsid w:val="001671A5"/>
    <w:rsid w:val="001671D2"/>
    <w:rsid w:val="00167692"/>
    <w:rsid w:val="001702C1"/>
    <w:rsid w:val="00170A44"/>
    <w:rsid w:val="00170D83"/>
    <w:rsid w:val="00170FDD"/>
    <w:rsid w:val="00171211"/>
    <w:rsid w:val="001714B0"/>
    <w:rsid w:val="00171665"/>
    <w:rsid w:val="00171A36"/>
    <w:rsid w:val="00171AE5"/>
    <w:rsid w:val="00172027"/>
    <w:rsid w:val="00172226"/>
    <w:rsid w:val="001724C1"/>
    <w:rsid w:val="001725C2"/>
    <w:rsid w:val="00172612"/>
    <w:rsid w:val="00172709"/>
    <w:rsid w:val="00172719"/>
    <w:rsid w:val="00172AE5"/>
    <w:rsid w:val="001731AF"/>
    <w:rsid w:val="00173429"/>
    <w:rsid w:val="001734C0"/>
    <w:rsid w:val="00173BA2"/>
    <w:rsid w:val="00173EC0"/>
    <w:rsid w:val="00174A22"/>
    <w:rsid w:val="00174AE4"/>
    <w:rsid w:val="00174BB3"/>
    <w:rsid w:val="00175301"/>
    <w:rsid w:val="00175526"/>
    <w:rsid w:val="00175618"/>
    <w:rsid w:val="00175788"/>
    <w:rsid w:val="00175D8D"/>
    <w:rsid w:val="00175FF6"/>
    <w:rsid w:val="001760B6"/>
    <w:rsid w:val="001762AB"/>
    <w:rsid w:val="00176727"/>
    <w:rsid w:val="00176AE6"/>
    <w:rsid w:val="00176D72"/>
    <w:rsid w:val="00176E99"/>
    <w:rsid w:val="00177097"/>
    <w:rsid w:val="0017734A"/>
    <w:rsid w:val="00177352"/>
    <w:rsid w:val="00177CED"/>
    <w:rsid w:val="0018078F"/>
    <w:rsid w:val="00180950"/>
    <w:rsid w:val="001818E0"/>
    <w:rsid w:val="00181A97"/>
    <w:rsid w:val="00182916"/>
    <w:rsid w:val="00182D0F"/>
    <w:rsid w:val="001830A5"/>
    <w:rsid w:val="001834DE"/>
    <w:rsid w:val="001837D2"/>
    <w:rsid w:val="00183E2D"/>
    <w:rsid w:val="00183EFC"/>
    <w:rsid w:val="001843BC"/>
    <w:rsid w:val="00184F13"/>
    <w:rsid w:val="001854C7"/>
    <w:rsid w:val="0018554C"/>
    <w:rsid w:val="001855BF"/>
    <w:rsid w:val="00185D41"/>
    <w:rsid w:val="001862B5"/>
    <w:rsid w:val="0018681B"/>
    <w:rsid w:val="0018687C"/>
    <w:rsid w:val="00187FE1"/>
    <w:rsid w:val="00190418"/>
    <w:rsid w:val="00190617"/>
    <w:rsid w:val="0019069B"/>
    <w:rsid w:val="00191590"/>
    <w:rsid w:val="00191B1E"/>
    <w:rsid w:val="00192071"/>
    <w:rsid w:val="00192FA3"/>
    <w:rsid w:val="001932B8"/>
    <w:rsid w:val="00193B06"/>
    <w:rsid w:val="00194A65"/>
    <w:rsid w:val="00194AAA"/>
    <w:rsid w:val="00194E5E"/>
    <w:rsid w:val="00195379"/>
    <w:rsid w:val="001953D2"/>
    <w:rsid w:val="001966E3"/>
    <w:rsid w:val="001969CC"/>
    <w:rsid w:val="00196B5B"/>
    <w:rsid w:val="00196DED"/>
    <w:rsid w:val="00196F2A"/>
    <w:rsid w:val="001972C3"/>
    <w:rsid w:val="0019731B"/>
    <w:rsid w:val="001976DB"/>
    <w:rsid w:val="00197773"/>
    <w:rsid w:val="001978FE"/>
    <w:rsid w:val="001A0687"/>
    <w:rsid w:val="001A0B0E"/>
    <w:rsid w:val="001A1072"/>
    <w:rsid w:val="001A1148"/>
    <w:rsid w:val="001A313F"/>
    <w:rsid w:val="001A3141"/>
    <w:rsid w:val="001A321E"/>
    <w:rsid w:val="001A34B8"/>
    <w:rsid w:val="001A3D9B"/>
    <w:rsid w:val="001A416B"/>
    <w:rsid w:val="001A42A8"/>
    <w:rsid w:val="001A4655"/>
    <w:rsid w:val="001A4AD8"/>
    <w:rsid w:val="001A4DBF"/>
    <w:rsid w:val="001A582E"/>
    <w:rsid w:val="001A58D2"/>
    <w:rsid w:val="001A5F5E"/>
    <w:rsid w:val="001A63B0"/>
    <w:rsid w:val="001A64BD"/>
    <w:rsid w:val="001A786C"/>
    <w:rsid w:val="001B037F"/>
    <w:rsid w:val="001B08DD"/>
    <w:rsid w:val="001B17BB"/>
    <w:rsid w:val="001B23C6"/>
    <w:rsid w:val="001B32DF"/>
    <w:rsid w:val="001B3431"/>
    <w:rsid w:val="001B34E3"/>
    <w:rsid w:val="001B3BC6"/>
    <w:rsid w:val="001B3C44"/>
    <w:rsid w:val="001B3D43"/>
    <w:rsid w:val="001B417D"/>
    <w:rsid w:val="001B4441"/>
    <w:rsid w:val="001B4AA6"/>
    <w:rsid w:val="001B4AF7"/>
    <w:rsid w:val="001B5289"/>
    <w:rsid w:val="001B5296"/>
    <w:rsid w:val="001B5557"/>
    <w:rsid w:val="001B5A3E"/>
    <w:rsid w:val="001B6224"/>
    <w:rsid w:val="001B6784"/>
    <w:rsid w:val="001B719B"/>
    <w:rsid w:val="001B76DC"/>
    <w:rsid w:val="001C0341"/>
    <w:rsid w:val="001C06DC"/>
    <w:rsid w:val="001C0E93"/>
    <w:rsid w:val="001C0ECF"/>
    <w:rsid w:val="001C1689"/>
    <w:rsid w:val="001C176F"/>
    <w:rsid w:val="001C1E4F"/>
    <w:rsid w:val="001C1F0C"/>
    <w:rsid w:val="001C216E"/>
    <w:rsid w:val="001C23E2"/>
    <w:rsid w:val="001C2C32"/>
    <w:rsid w:val="001C32FB"/>
    <w:rsid w:val="001C3E34"/>
    <w:rsid w:val="001C416B"/>
    <w:rsid w:val="001C41E1"/>
    <w:rsid w:val="001C4D1A"/>
    <w:rsid w:val="001C5F1E"/>
    <w:rsid w:val="001C65A4"/>
    <w:rsid w:val="001C678E"/>
    <w:rsid w:val="001C6C21"/>
    <w:rsid w:val="001C6C6A"/>
    <w:rsid w:val="001C6C7F"/>
    <w:rsid w:val="001C7465"/>
    <w:rsid w:val="001C7FCB"/>
    <w:rsid w:val="001D0400"/>
    <w:rsid w:val="001D0B7F"/>
    <w:rsid w:val="001D0F75"/>
    <w:rsid w:val="001D1374"/>
    <w:rsid w:val="001D1441"/>
    <w:rsid w:val="001D1854"/>
    <w:rsid w:val="001D18A9"/>
    <w:rsid w:val="001D27AA"/>
    <w:rsid w:val="001D2B77"/>
    <w:rsid w:val="001D3235"/>
    <w:rsid w:val="001D4B03"/>
    <w:rsid w:val="001D5216"/>
    <w:rsid w:val="001D528C"/>
    <w:rsid w:val="001D6784"/>
    <w:rsid w:val="001D696B"/>
    <w:rsid w:val="001D6B57"/>
    <w:rsid w:val="001D72D8"/>
    <w:rsid w:val="001D7640"/>
    <w:rsid w:val="001D79DE"/>
    <w:rsid w:val="001D7FE7"/>
    <w:rsid w:val="001E1565"/>
    <w:rsid w:val="001E17B0"/>
    <w:rsid w:val="001E19BA"/>
    <w:rsid w:val="001E251B"/>
    <w:rsid w:val="001E2A7E"/>
    <w:rsid w:val="001E312B"/>
    <w:rsid w:val="001E364A"/>
    <w:rsid w:val="001E41A0"/>
    <w:rsid w:val="001E51C6"/>
    <w:rsid w:val="001E58BB"/>
    <w:rsid w:val="001E67D8"/>
    <w:rsid w:val="001E6A9D"/>
    <w:rsid w:val="001E6FA7"/>
    <w:rsid w:val="001E72AB"/>
    <w:rsid w:val="001E7329"/>
    <w:rsid w:val="001E7B69"/>
    <w:rsid w:val="001F04F3"/>
    <w:rsid w:val="001F0DAD"/>
    <w:rsid w:val="001F1D27"/>
    <w:rsid w:val="001F211D"/>
    <w:rsid w:val="001F2351"/>
    <w:rsid w:val="001F29A3"/>
    <w:rsid w:val="001F2A33"/>
    <w:rsid w:val="001F3062"/>
    <w:rsid w:val="001F3194"/>
    <w:rsid w:val="001F374A"/>
    <w:rsid w:val="001F4179"/>
    <w:rsid w:val="001F5487"/>
    <w:rsid w:val="001F5FEF"/>
    <w:rsid w:val="001F624A"/>
    <w:rsid w:val="001F6B4B"/>
    <w:rsid w:val="001F7F6F"/>
    <w:rsid w:val="002006CE"/>
    <w:rsid w:val="00200A9A"/>
    <w:rsid w:val="00200FEA"/>
    <w:rsid w:val="00201C47"/>
    <w:rsid w:val="0020289B"/>
    <w:rsid w:val="00203008"/>
    <w:rsid w:val="002032D2"/>
    <w:rsid w:val="00203569"/>
    <w:rsid w:val="002037F4"/>
    <w:rsid w:val="00203904"/>
    <w:rsid w:val="002041A8"/>
    <w:rsid w:val="002044A6"/>
    <w:rsid w:val="00204899"/>
    <w:rsid w:val="002057AC"/>
    <w:rsid w:val="00205F02"/>
    <w:rsid w:val="00206541"/>
    <w:rsid w:val="002068FD"/>
    <w:rsid w:val="00206AE9"/>
    <w:rsid w:val="002071F8"/>
    <w:rsid w:val="00207380"/>
    <w:rsid w:val="00207EAA"/>
    <w:rsid w:val="00210335"/>
    <w:rsid w:val="002106A7"/>
    <w:rsid w:val="002108AA"/>
    <w:rsid w:val="00210CA2"/>
    <w:rsid w:val="00211CD8"/>
    <w:rsid w:val="0021200F"/>
    <w:rsid w:val="0021248F"/>
    <w:rsid w:val="0021321D"/>
    <w:rsid w:val="0021339E"/>
    <w:rsid w:val="002137A9"/>
    <w:rsid w:val="00213852"/>
    <w:rsid w:val="00213AA1"/>
    <w:rsid w:val="0021451E"/>
    <w:rsid w:val="00214AF9"/>
    <w:rsid w:val="00214C22"/>
    <w:rsid w:val="002154CC"/>
    <w:rsid w:val="00215630"/>
    <w:rsid w:val="00215A4C"/>
    <w:rsid w:val="00215B33"/>
    <w:rsid w:val="00215BC3"/>
    <w:rsid w:val="002162B5"/>
    <w:rsid w:val="002167A4"/>
    <w:rsid w:val="00216904"/>
    <w:rsid w:val="002205CB"/>
    <w:rsid w:val="0022087B"/>
    <w:rsid w:val="0022146E"/>
    <w:rsid w:val="0022214B"/>
    <w:rsid w:val="002221EB"/>
    <w:rsid w:val="002223B7"/>
    <w:rsid w:val="00222F97"/>
    <w:rsid w:val="0022384C"/>
    <w:rsid w:val="002239EA"/>
    <w:rsid w:val="002241DB"/>
    <w:rsid w:val="0022427A"/>
    <w:rsid w:val="0022584E"/>
    <w:rsid w:val="00226260"/>
    <w:rsid w:val="002263AA"/>
    <w:rsid w:val="00226699"/>
    <w:rsid w:val="00226835"/>
    <w:rsid w:val="0022776C"/>
    <w:rsid w:val="00227DCA"/>
    <w:rsid w:val="00227EC8"/>
    <w:rsid w:val="002302A3"/>
    <w:rsid w:val="002318BB"/>
    <w:rsid w:val="00231F73"/>
    <w:rsid w:val="0023213D"/>
    <w:rsid w:val="00232CF7"/>
    <w:rsid w:val="00233BC2"/>
    <w:rsid w:val="00233CB9"/>
    <w:rsid w:val="00233D20"/>
    <w:rsid w:val="002340E1"/>
    <w:rsid w:val="002342FA"/>
    <w:rsid w:val="00234398"/>
    <w:rsid w:val="002347D9"/>
    <w:rsid w:val="00234B7C"/>
    <w:rsid w:val="00234DF1"/>
    <w:rsid w:val="00234ECD"/>
    <w:rsid w:val="0023539F"/>
    <w:rsid w:val="002370E3"/>
    <w:rsid w:val="002371B7"/>
    <w:rsid w:val="00237279"/>
    <w:rsid w:val="0023799D"/>
    <w:rsid w:val="00237BF9"/>
    <w:rsid w:val="00237CB8"/>
    <w:rsid w:val="0024086B"/>
    <w:rsid w:val="00240A40"/>
    <w:rsid w:val="00240CF5"/>
    <w:rsid w:val="002410AE"/>
    <w:rsid w:val="002414C2"/>
    <w:rsid w:val="0024177C"/>
    <w:rsid w:val="002417A6"/>
    <w:rsid w:val="0024249D"/>
    <w:rsid w:val="00242901"/>
    <w:rsid w:val="00243064"/>
    <w:rsid w:val="0024310A"/>
    <w:rsid w:val="0024338E"/>
    <w:rsid w:val="00243467"/>
    <w:rsid w:val="00243764"/>
    <w:rsid w:val="00243C12"/>
    <w:rsid w:val="0024450A"/>
    <w:rsid w:val="00245472"/>
    <w:rsid w:val="002455C1"/>
    <w:rsid w:val="00245628"/>
    <w:rsid w:val="00245893"/>
    <w:rsid w:val="00245C0E"/>
    <w:rsid w:val="002465E6"/>
    <w:rsid w:val="00247065"/>
    <w:rsid w:val="00247389"/>
    <w:rsid w:val="00247698"/>
    <w:rsid w:val="0024776B"/>
    <w:rsid w:val="00247C40"/>
    <w:rsid w:val="00250CF8"/>
    <w:rsid w:val="00250D6F"/>
    <w:rsid w:val="00250F69"/>
    <w:rsid w:val="00251165"/>
    <w:rsid w:val="002523EB"/>
    <w:rsid w:val="002527E4"/>
    <w:rsid w:val="00252825"/>
    <w:rsid w:val="0025379B"/>
    <w:rsid w:val="002537F1"/>
    <w:rsid w:val="00253994"/>
    <w:rsid w:val="00253EF7"/>
    <w:rsid w:val="002541E7"/>
    <w:rsid w:val="0025426D"/>
    <w:rsid w:val="00254AFA"/>
    <w:rsid w:val="00254F84"/>
    <w:rsid w:val="002550FF"/>
    <w:rsid w:val="002568AA"/>
    <w:rsid w:val="00256C49"/>
    <w:rsid w:val="00256E1F"/>
    <w:rsid w:val="00256F54"/>
    <w:rsid w:val="00257304"/>
    <w:rsid w:val="00257BBF"/>
    <w:rsid w:val="00257E02"/>
    <w:rsid w:val="002603EA"/>
    <w:rsid w:val="00260422"/>
    <w:rsid w:val="002609EB"/>
    <w:rsid w:val="00260C6E"/>
    <w:rsid w:val="0026130D"/>
    <w:rsid w:val="00262AF6"/>
    <w:rsid w:val="00262BD9"/>
    <w:rsid w:val="0026365D"/>
    <w:rsid w:val="002638D2"/>
    <w:rsid w:val="00263ED3"/>
    <w:rsid w:val="002641AA"/>
    <w:rsid w:val="002643E4"/>
    <w:rsid w:val="00264436"/>
    <w:rsid w:val="0026463F"/>
    <w:rsid w:val="002648CE"/>
    <w:rsid w:val="0026495C"/>
    <w:rsid w:val="00265551"/>
    <w:rsid w:val="00265879"/>
    <w:rsid w:val="0026599B"/>
    <w:rsid w:val="00266025"/>
    <w:rsid w:val="00266420"/>
    <w:rsid w:val="00266C0B"/>
    <w:rsid w:val="002677A2"/>
    <w:rsid w:val="00270200"/>
    <w:rsid w:val="002706B1"/>
    <w:rsid w:val="002707EB"/>
    <w:rsid w:val="00270B0F"/>
    <w:rsid w:val="00270C46"/>
    <w:rsid w:val="00271327"/>
    <w:rsid w:val="0027158C"/>
    <w:rsid w:val="0027196F"/>
    <w:rsid w:val="00271B2F"/>
    <w:rsid w:val="002725FA"/>
    <w:rsid w:val="002727E7"/>
    <w:rsid w:val="002729BC"/>
    <w:rsid w:val="00272DFF"/>
    <w:rsid w:val="00273248"/>
    <w:rsid w:val="002736C4"/>
    <w:rsid w:val="00273955"/>
    <w:rsid w:val="00273A03"/>
    <w:rsid w:val="002743BA"/>
    <w:rsid w:val="002743C5"/>
    <w:rsid w:val="00274ABB"/>
    <w:rsid w:val="002759F7"/>
    <w:rsid w:val="00276353"/>
    <w:rsid w:val="002769B3"/>
    <w:rsid w:val="00276BAD"/>
    <w:rsid w:val="0027742B"/>
    <w:rsid w:val="00277B87"/>
    <w:rsid w:val="00277BD6"/>
    <w:rsid w:val="002802A1"/>
    <w:rsid w:val="00280A39"/>
    <w:rsid w:val="00280BB2"/>
    <w:rsid w:val="00281D1D"/>
    <w:rsid w:val="00281FE3"/>
    <w:rsid w:val="002821D8"/>
    <w:rsid w:val="002822DA"/>
    <w:rsid w:val="0028279D"/>
    <w:rsid w:val="002827AE"/>
    <w:rsid w:val="00282A6B"/>
    <w:rsid w:val="0028397A"/>
    <w:rsid w:val="00283C78"/>
    <w:rsid w:val="00283D60"/>
    <w:rsid w:val="0028485C"/>
    <w:rsid w:val="00284A77"/>
    <w:rsid w:val="002858A4"/>
    <w:rsid w:val="00285C45"/>
    <w:rsid w:val="00285E08"/>
    <w:rsid w:val="00285F03"/>
    <w:rsid w:val="00286641"/>
    <w:rsid w:val="00286BCC"/>
    <w:rsid w:val="00286FE9"/>
    <w:rsid w:val="00287691"/>
    <w:rsid w:val="00287DAF"/>
    <w:rsid w:val="00290018"/>
    <w:rsid w:val="0029077D"/>
    <w:rsid w:val="002907C2"/>
    <w:rsid w:val="00290B9D"/>
    <w:rsid w:val="00290C46"/>
    <w:rsid w:val="00290F98"/>
    <w:rsid w:val="00292FBD"/>
    <w:rsid w:val="00293BA6"/>
    <w:rsid w:val="00294224"/>
    <w:rsid w:val="002942C3"/>
    <w:rsid w:val="002947AC"/>
    <w:rsid w:val="00294950"/>
    <w:rsid w:val="00294D9D"/>
    <w:rsid w:val="002963F8"/>
    <w:rsid w:val="002972AF"/>
    <w:rsid w:val="002974E6"/>
    <w:rsid w:val="002979CA"/>
    <w:rsid w:val="002979EC"/>
    <w:rsid w:val="00297AD5"/>
    <w:rsid w:val="002A0080"/>
    <w:rsid w:val="002A08BB"/>
    <w:rsid w:val="002A0B1F"/>
    <w:rsid w:val="002A1034"/>
    <w:rsid w:val="002A12BA"/>
    <w:rsid w:val="002A1F7E"/>
    <w:rsid w:val="002A2AE0"/>
    <w:rsid w:val="002A2D22"/>
    <w:rsid w:val="002A2D3D"/>
    <w:rsid w:val="002A36BF"/>
    <w:rsid w:val="002A3B99"/>
    <w:rsid w:val="002A42B9"/>
    <w:rsid w:val="002A430F"/>
    <w:rsid w:val="002A476F"/>
    <w:rsid w:val="002A49E9"/>
    <w:rsid w:val="002A4FD2"/>
    <w:rsid w:val="002A50CE"/>
    <w:rsid w:val="002A5606"/>
    <w:rsid w:val="002A560B"/>
    <w:rsid w:val="002A5868"/>
    <w:rsid w:val="002A6175"/>
    <w:rsid w:val="002A661A"/>
    <w:rsid w:val="002A723E"/>
    <w:rsid w:val="002A7241"/>
    <w:rsid w:val="002A7342"/>
    <w:rsid w:val="002A7490"/>
    <w:rsid w:val="002A7511"/>
    <w:rsid w:val="002B03F3"/>
    <w:rsid w:val="002B052D"/>
    <w:rsid w:val="002B09E8"/>
    <w:rsid w:val="002B1B97"/>
    <w:rsid w:val="002B1BE2"/>
    <w:rsid w:val="002B1CED"/>
    <w:rsid w:val="002B2CD6"/>
    <w:rsid w:val="002B3100"/>
    <w:rsid w:val="002B35AD"/>
    <w:rsid w:val="002B37DF"/>
    <w:rsid w:val="002B3EC3"/>
    <w:rsid w:val="002B4458"/>
    <w:rsid w:val="002B4934"/>
    <w:rsid w:val="002B4C0B"/>
    <w:rsid w:val="002B50E1"/>
    <w:rsid w:val="002B5D05"/>
    <w:rsid w:val="002B5EA8"/>
    <w:rsid w:val="002B6ADD"/>
    <w:rsid w:val="002B6AED"/>
    <w:rsid w:val="002B77CE"/>
    <w:rsid w:val="002B79F9"/>
    <w:rsid w:val="002B7B82"/>
    <w:rsid w:val="002B7E74"/>
    <w:rsid w:val="002C04B3"/>
    <w:rsid w:val="002C0A41"/>
    <w:rsid w:val="002C0B56"/>
    <w:rsid w:val="002C10B2"/>
    <w:rsid w:val="002C11BB"/>
    <w:rsid w:val="002C11DD"/>
    <w:rsid w:val="002C229E"/>
    <w:rsid w:val="002C22D0"/>
    <w:rsid w:val="002C281F"/>
    <w:rsid w:val="002C2ED5"/>
    <w:rsid w:val="002C3C60"/>
    <w:rsid w:val="002C4719"/>
    <w:rsid w:val="002C5278"/>
    <w:rsid w:val="002C5536"/>
    <w:rsid w:val="002C6706"/>
    <w:rsid w:val="002C6AB9"/>
    <w:rsid w:val="002C6AD9"/>
    <w:rsid w:val="002C7328"/>
    <w:rsid w:val="002C78BC"/>
    <w:rsid w:val="002C7A7F"/>
    <w:rsid w:val="002D0C7F"/>
    <w:rsid w:val="002D0F7E"/>
    <w:rsid w:val="002D1160"/>
    <w:rsid w:val="002D1163"/>
    <w:rsid w:val="002D1F70"/>
    <w:rsid w:val="002D1FCD"/>
    <w:rsid w:val="002D2134"/>
    <w:rsid w:val="002D23CD"/>
    <w:rsid w:val="002D2410"/>
    <w:rsid w:val="002D28EB"/>
    <w:rsid w:val="002D33E7"/>
    <w:rsid w:val="002D447C"/>
    <w:rsid w:val="002D4841"/>
    <w:rsid w:val="002D4AB8"/>
    <w:rsid w:val="002D508E"/>
    <w:rsid w:val="002D59E1"/>
    <w:rsid w:val="002D5D5D"/>
    <w:rsid w:val="002D610E"/>
    <w:rsid w:val="002D708D"/>
    <w:rsid w:val="002D7679"/>
    <w:rsid w:val="002D7804"/>
    <w:rsid w:val="002D7902"/>
    <w:rsid w:val="002D79C5"/>
    <w:rsid w:val="002E030F"/>
    <w:rsid w:val="002E1BD4"/>
    <w:rsid w:val="002E20FD"/>
    <w:rsid w:val="002E262F"/>
    <w:rsid w:val="002E27EC"/>
    <w:rsid w:val="002E2A6B"/>
    <w:rsid w:val="002E3147"/>
    <w:rsid w:val="002E3BA9"/>
    <w:rsid w:val="002E3D1F"/>
    <w:rsid w:val="002E40AC"/>
    <w:rsid w:val="002E41AF"/>
    <w:rsid w:val="002E4BAF"/>
    <w:rsid w:val="002E516F"/>
    <w:rsid w:val="002E518B"/>
    <w:rsid w:val="002E623B"/>
    <w:rsid w:val="002E6413"/>
    <w:rsid w:val="002E6892"/>
    <w:rsid w:val="002E6FE3"/>
    <w:rsid w:val="002F0B71"/>
    <w:rsid w:val="002F0EA6"/>
    <w:rsid w:val="002F153B"/>
    <w:rsid w:val="002F1826"/>
    <w:rsid w:val="002F1E32"/>
    <w:rsid w:val="002F22F8"/>
    <w:rsid w:val="002F242E"/>
    <w:rsid w:val="002F26E0"/>
    <w:rsid w:val="002F2773"/>
    <w:rsid w:val="002F27BC"/>
    <w:rsid w:val="002F2863"/>
    <w:rsid w:val="002F2F43"/>
    <w:rsid w:val="002F30DF"/>
    <w:rsid w:val="002F3533"/>
    <w:rsid w:val="002F36FF"/>
    <w:rsid w:val="002F38A4"/>
    <w:rsid w:val="002F3CC9"/>
    <w:rsid w:val="002F4C05"/>
    <w:rsid w:val="002F5571"/>
    <w:rsid w:val="002F5AE9"/>
    <w:rsid w:val="002F5C37"/>
    <w:rsid w:val="002F688B"/>
    <w:rsid w:val="002F6A64"/>
    <w:rsid w:val="002F6B96"/>
    <w:rsid w:val="002F6C48"/>
    <w:rsid w:val="002F77D4"/>
    <w:rsid w:val="003000E0"/>
    <w:rsid w:val="003009D3"/>
    <w:rsid w:val="00300DB3"/>
    <w:rsid w:val="003011F9"/>
    <w:rsid w:val="00301D97"/>
    <w:rsid w:val="00301E61"/>
    <w:rsid w:val="00302BA0"/>
    <w:rsid w:val="00303156"/>
    <w:rsid w:val="0030398E"/>
    <w:rsid w:val="003040FF"/>
    <w:rsid w:val="003042A2"/>
    <w:rsid w:val="00304866"/>
    <w:rsid w:val="0030487D"/>
    <w:rsid w:val="003048C0"/>
    <w:rsid w:val="003048FC"/>
    <w:rsid w:val="00305427"/>
    <w:rsid w:val="00305D39"/>
    <w:rsid w:val="003069ED"/>
    <w:rsid w:val="00306C3F"/>
    <w:rsid w:val="00306ED0"/>
    <w:rsid w:val="00307718"/>
    <w:rsid w:val="00307DBA"/>
    <w:rsid w:val="0031015A"/>
    <w:rsid w:val="003105C6"/>
    <w:rsid w:val="00310C64"/>
    <w:rsid w:val="00310E99"/>
    <w:rsid w:val="003110BB"/>
    <w:rsid w:val="00311740"/>
    <w:rsid w:val="00311D25"/>
    <w:rsid w:val="00312E2B"/>
    <w:rsid w:val="00312F9C"/>
    <w:rsid w:val="00313180"/>
    <w:rsid w:val="00313585"/>
    <w:rsid w:val="003136C8"/>
    <w:rsid w:val="00313D57"/>
    <w:rsid w:val="00314314"/>
    <w:rsid w:val="00314607"/>
    <w:rsid w:val="0031470F"/>
    <w:rsid w:val="00314E66"/>
    <w:rsid w:val="00315ADE"/>
    <w:rsid w:val="00315C48"/>
    <w:rsid w:val="003164A5"/>
    <w:rsid w:val="0031671F"/>
    <w:rsid w:val="0031693E"/>
    <w:rsid w:val="00317252"/>
    <w:rsid w:val="003172F4"/>
    <w:rsid w:val="00317389"/>
    <w:rsid w:val="003179D9"/>
    <w:rsid w:val="00317B7C"/>
    <w:rsid w:val="00320BE3"/>
    <w:rsid w:val="0032188E"/>
    <w:rsid w:val="00321AB0"/>
    <w:rsid w:val="0032203B"/>
    <w:rsid w:val="003220C1"/>
    <w:rsid w:val="00322127"/>
    <w:rsid w:val="00322956"/>
    <w:rsid w:val="00322EA8"/>
    <w:rsid w:val="00322FB0"/>
    <w:rsid w:val="003237FE"/>
    <w:rsid w:val="00323AE5"/>
    <w:rsid w:val="00323C0F"/>
    <w:rsid w:val="00323E17"/>
    <w:rsid w:val="00324977"/>
    <w:rsid w:val="00326527"/>
    <w:rsid w:val="00326D32"/>
    <w:rsid w:val="0032706B"/>
    <w:rsid w:val="00327919"/>
    <w:rsid w:val="00327F64"/>
    <w:rsid w:val="0033019F"/>
    <w:rsid w:val="0033074A"/>
    <w:rsid w:val="00330C03"/>
    <w:rsid w:val="00330D22"/>
    <w:rsid w:val="00330F18"/>
    <w:rsid w:val="00331391"/>
    <w:rsid w:val="003328FE"/>
    <w:rsid w:val="003339A2"/>
    <w:rsid w:val="00333CC8"/>
    <w:rsid w:val="003340CC"/>
    <w:rsid w:val="00334C74"/>
    <w:rsid w:val="00335916"/>
    <w:rsid w:val="00335C6E"/>
    <w:rsid w:val="00336386"/>
    <w:rsid w:val="00336BC4"/>
    <w:rsid w:val="00336E44"/>
    <w:rsid w:val="00336F19"/>
    <w:rsid w:val="00337092"/>
    <w:rsid w:val="003373BF"/>
    <w:rsid w:val="00337572"/>
    <w:rsid w:val="00337B9C"/>
    <w:rsid w:val="00337EDA"/>
    <w:rsid w:val="003402E8"/>
    <w:rsid w:val="003403EF"/>
    <w:rsid w:val="0034074F"/>
    <w:rsid w:val="00340D6A"/>
    <w:rsid w:val="00341B72"/>
    <w:rsid w:val="0034240B"/>
    <w:rsid w:val="003429F2"/>
    <w:rsid w:val="0034347F"/>
    <w:rsid w:val="0034395F"/>
    <w:rsid w:val="00343982"/>
    <w:rsid w:val="003439F9"/>
    <w:rsid w:val="0034442D"/>
    <w:rsid w:val="00344612"/>
    <w:rsid w:val="003446A6"/>
    <w:rsid w:val="00344940"/>
    <w:rsid w:val="003461B0"/>
    <w:rsid w:val="00346577"/>
    <w:rsid w:val="00347071"/>
    <w:rsid w:val="00347260"/>
    <w:rsid w:val="003475CE"/>
    <w:rsid w:val="00350051"/>
    <w:rsid w:val="00350A09"/>
    <w:rsid w:val="003513CB"/>
    <w:rsid w:val="00352054"/>
    <w:rsid w:val="0035255D"/>
    <w:rsid w:val="003528E7"/>
    <w:rsid w:val="00353348"/>
    <w:rsid w:val="00353FF2"/>
    <w:rsid w:val="003541FE"/>
    <w:rsid w:val="00354449"/>
    <w:rsid w:val="003551A6"/>
    <w:rsid w:val="00355200"/>
    <w:rsid w:val="00355B17"/>
    <w:rsid w:val="00355F65"/>
    <w:rsid w:val="003561E8"/>
    <w:rsid w:val="0035624F"/>
    <w:rsid w:val="003566C7"/>
    <w:rsid w:val="00356C81"/>
    <w:rsid w:val="0035708B"/>
    <w:rsid w:val="0035720F"/>
    <w:rsid w:val="0035782A"/>
    <w:rsid w:val="00357A09"/>
    <w:rsid w:val="00357CE5"/>
    <w:rsid w:val="003600F2"/>
    <w:rsid w:val="0036066F"/>
    <w:rsid w:val="00360B61"/>
    <w:rsid w:val="00360BB9"/>
    <w:rsid w:val="00361037"/>
    <w:rsid w:val="00361AC2"/>
    <w:rsid w:val="00361B0F"/>
    <w:rsid w:val="00361BD4"/>
    <w:rsid w:val="003623B5"/>
    <w:rsid w:val="0036256E"/>
    <w:rsid w:val="003630EC"/>
    <w:rsid w:val="0036317B"/>
    <w:rsid w:val="00363325"/>
    <w:rsid w:val="003636D3"/>
    <w:rsid w:val="00363AFC"/>
    <w:rsid w:val="0036408F"/>
    <w:rsid w:val="0036435C"/>
    <w:rsid w:val="003646E4"/>
    <w:rsid w:val="003649B6"/>
    <w:rsid w:val="00364A7D"/>
    <w:rsid w:val="003650F1"/>
    <w:rsid w:val="0036600B"/>
    <w:rsid w:val="00366211"/>
    <w:rsid w:val="003664DD"/>
    <w:rsid w:val="00366676"/>
    <w:rsid w:val="003667CE"/>
    <w:rsid w:val="0036696E"/>
    <w:rsid w:val="00366D34"/>
    <w:rsid w:val="00367399"/>
    <w:rsid w:val="00370110"/>
    <w:rsid w:val="00370573"/>
    <w:rsid w:val="00370D76"/>
    <w:rsid w:val="003712E0"/>
    <w:rsid w:val="00371306"/>
    <w:rsid w:val="00371A78"/>
    <w:rsid w:val="00371AB6"/>
    <w:rsid w:val="00371B75"/>
    <w:rsid w:val="00371BC3"/>
    <w:rsid w:val="0037244E"/>
    <w:rsid w:val="00373E46"/>
    <w:rsid w:val="0037458E"/>
    <w:rsid w:val="00374EB8"/>
    <w:rsid w:val="00375052"/>
    <w:rsid w:val="00375505"/>
    <w:rsid w:val="00376402"/>
    <w:rsid w:val="00376D41"/>
    <w:rsid w:val="00376E3C"/>
    <w:rsid w:val="003803F9"/>
    <w:rsid w:val="0038073F"/>
    <w:rsid w:val="00381B83"/>
    <w:rsid w:val="003825E1"/>
    <w:rsid w:val="00382FB4"/>
    <w:rsid w:val="003845C8"/>
    <w:rsid w:val="00384E52"/>
    <w:rsid w:val="00384EE7"/>
    <w:rsid w:val="0038515C"/>
    <w:rsid w:val="003856BD"/>
    <w:rsid w:val="00387358"/>
    <w:rsid w:val="003879A2"/>
    <w:rsid w:val="00387A4D"/>
    <w:rsid w:val="00387E18"/>
    <w:rsid w:val="00390152"/>
    <w:rsid w:val="00390869"/>
    <w:rsid w:val="00390911"/>
    <w:rsid w:val="00390D69"/>
    <w:rsid w:val="00390DE6"/>
    <w:rsid w:val="00391514"/>
    <w:rsid w:val="003915E5"/>
    <w:rsid w:val="0039174D"/>
    <w:rsid w:val="003921C5"/>
    <w:rsid w:val="003922F8"/>
    <w:rsid w:val="00392394"/>
    <w:rsid w:val="00392877"/>
    <w:rsid w:val="0039297C"/>
    <w:rsid w:val="00392E11"/>
    <w:rsid w:val="00392FF0"/>
    <w:rsid w:val="0039330E"/>
    <w:rsid w:val="00393AF5"/>
    <w:rsid w:val="00393FA3"/>
    <w:rsid w:val="00394893"/>
    <w:rsid w:val="00394C75"/>
    <w:rsid w:val="003953B7"/>
    <w:rsid w:val="003953DD"/>
    <w:rsid w:val="00396F5F"/>
    <w:rsid w:val="00397037"/>
    <w:rsid w:val="00397262"/>
    <w:rsid w:val="00397A78"/>
    <w:rsid w:val="003A00F2"/>
    <w:rsid w:val="003A0362"/>
    <w:rsid w:val="003A0A3A"/>
    <w:rsid w:val="003A1083"/>
    <w:rsid w:val="003A1140"/>
    <w:rsid w:val="003A1278"/>
    <w:rsid w:val="003A1883"/>
    <w:rsid w:val="003A1909"/>
    <w:rsid w:val="003A1FE1"/>
    <w:rsid w:val="003A255B"/>
    <w:rsid w:val="003A2E74"/>
    <w:rsid w:val="003A2FC5"/>
    <w:rsid w:val="003A347E"/>
    <w:rsid w:val="003A3661"/>
    <w:rsid w:val="003A38EF"/>
    <w:rsid w:val="003A3D5D"/>
    <w:rsid w:val="003A3E0A"/>
    <w:rsid w:val="003A3F28"/>
    <w:rsid w:val="003A3FFD"/>
    <w:rsid w:val="003A47D9"/>
    <w:rsid w:val="003A486C"/>
    <w:rsid w:val="003A4DDB"/>
    <w:rsid w:val="003A548C"/>
    <w:rsid w:val="003A54DF"/>
    <w:rsid w:val="003A57BF"/>
    <w:rsid w:val="003A6673"/>
    <w:rsid w:val="003A6746"/>
    <w:rsid w:val="003A7386"/>
    <w:rsid w:val="003A742C"/>
    <w:rsid w:val="003A7473"/>
    <w:rsid w:val="003A79C5"/>
    <w:rsid w:val="003A7B80"/>
    <w:rsid w:val="003A7C84"/>
    <w:rsid w:val="003B0117"/>
    <w:rsid w:val="003B0E5E"/>
    <w:rsid w:val="003B1331"/>
    <w:rsid w:val="003B13C2"/>
    <w:rsid w:val="003B2403"/>
    <w:rsid w:val="003B2F75"/>
    <w:rsid w:val="003B31B3"/>
    <w:rsid w:val="003B3591"/>
    <w:rsid w:val="003B479A"/>
    <w:rsid w:val="003B4E71"/>
    <w:rsid w:val="003B4F25"/>
    <w:rsid w:val="003B64F3"/>
    <w:rsid w:val="003B6D80"/>
    <w:rsid w:val="003B72D7"/>
    <w:rsid w:val="003C078C"/>
    <w:rsid w:val="003C09D4"/>
    <w:rsid w:val="003C1A65"/>
    <w:rsid w:val="003C1C16"/>
    <w:rsid w:val="003C1C1D"/>
    <w:rsid w:val="003C240E"/>
    <w:rsid w:val="003C2814"/>
    <w:rsid w:val="003C2E29"/>
    <w:rsid w:val="003C317E"/>
    <w:rsid w:val="003C31F9"/>
    <w:rsid w:val="003C3755"/>
    <w:rsid w:val="003C3A23"/>
    <w:rsid w:val="003C44C2"/>
    <w:rsid w:val="003C4A5C"/>
    <w:rsid w:val="003C53D2"/>
    <w:rsid w:val="003C5509"/>
    <w:rsid w:val="003C5952"/>
    <w:rsid w:val="003C5EA8"/>
    <w:rsid w:val="003C623E"/>
    <w:rsid w:val="003C637E"/>
    <w:rsid w:val="003C70E1"/>
    <w:rsid w:val="003C7443"/>
    <w:rsid w:val="003C784B"/>
    <w:rsid w:val="003C7AAE"/>
    <w:rsid w:val="003C7BCD"/>
    <w:rsid w:val="003D080D"/>
    <w:rsid w:val="003D0A17"/>
    <w:rsid w:val="003D1AA4"/>
    <w:rsid w:val="003D1C38"/>
    <w:rsid w:val="003D2079"/>
    <w:rsid w:val="003D21B2"/>
    <w:rsid w:val="003D2456"/>
    <w:rsid w:val="003D27B9"/>
    <w:rsid w:val="003D2BFB"/>
    <w:rsid w:val="003D2D4A"/>
    <w:rsid w:val="003D31D9"/>
    <w:rsid w:val="003D36C3"/>
    <w:rsid w:val="003D37AE"/>
    <w:rsid w:val="003D3AAD"/>
    <w:rsid w:val="003D3BE6"/>
    <w:rsid w:val="003D4553"/>
    <w:rsid w:val="003D4754"/>
    <w:rsid w:val="003D4A81"/>
    <w:rsid w:val="003D4BC2"/>
    <w:rsid w:val="003D4DCD"/>
    <w:rsid w:val="003D4FDF"/>
    <w:rsid w:val="003D5051"/>
    <w:rsid w:val="003D5AC2"/>
    <w:rsid w:val="003D5DA5"/>
    <w:rsid w:val="003D5FC7"/>
    <w:rsid w:val="003D6B05"/>
    <w:rsid w:val="003D6D4F"/>
    <w:rsid w:val="003D72EC"/>
    <w:rsid w:val="003D7601"/>
    <w:rsid w:val="003D7CC2"/>
    <w:rsid w:val="003D7E04"/>
    <w:rsid w:val="003E0240"/>
    <w:rsid w:val="003E0DBB"/>
    <w:rsid w:val="003E1175"/>
    <w:rsid w:val="003E12B2"/>
    <w:rsid w:val="003E21A5"/>
    <w:rsid w:val="003E2358"/>
    <w:rsid w:val="003E275C"/>
    <w:rsid w:val="003E2F4E"/>
    <w:rsid w:val="003E2F8E"/>
    <w:rsid w:val="003E37E1"/>
    <w:rsid w:val="003E3DC1"/>
    <w:rsid w:val="003E4148"/>
    <w:rsid w:val="003E514C"/>
    <w:rsid w:val="003E606B"/>
    <w:rsid w:val="003E62B3"/>
    <w:rsid w:val="003E66E7"/>
    <w:rsid w:val="003E770E"/>
    <w:rsid w:val="003E7AB2"/>
    <w:rsid w:val="003F0471"/>
    <w:rsid w:val="003F048A"/>
    <w:rsid w:val="003F05EA"/>
    <w:rsid w:val="003F07E2"/>
    <w:rsid w:val="003F09AD"/>
    <w:rsid w:val="003F18FF"/>
    <w:rsid w:val="003F23CE"/>
    <w:rsid w:val="003F2431"/>
    <w:rsid w:val="003F244E"/>
    <w:rsid w:val="003F2458"/>
    <w:rsid w:val="003F2BDE"/>
    <w:rsid w:val="003F37A3"/>
    <w:rsid w:val="003F390D"/>
    <w:rsid w:val="003F3C33"/>
    <w:rsid w:val="003F65A3"/>
    <w:rsid w:val="003F6EA4"/>
    <w:rsid w:val="003F70AE"/>
    <w:rsid w:val="003F77CC"/>
    <w:rsid w:val="003F79D8"/>
    <w:rsid w:val="00400373"/>
    <w:rsid w:val="00400B91"/>
    <w:rsid w:val="00401401"/>
    <w:rsid w:val="00401CC7"/>
    <w:rsid w:val="00401F4E"/>
    <w:rsid w:val="0040211D"/>
    <w:rsid w:val="0040212D"/>
    <w:rsid w:val="0040235D"/>
    <w:rsid w:val="00403004"/>
    <w:rsid w:val="00403618"/>
    <w:rsid w:val="004036F5"/>
    <w:rsid w:val="00403D95"/>
    <w:rsid w:val="00404420"/>
    <w:rsid w:val="00404877"/>
    <w:rsid w:val="004049BE"/>
    <w:rsid w:val="00404F0A"/>
    <w:rsid w:val="00406272"/>
    <w:rsid w:val="004065E9"/>
    <w:rsid w:val="004068A8"/>
    <w:rsid w:val="00406926"/>
    <w:rsid w:val="0040730C"/>
    <w:rsid w:val="00407377"/>
    <w:rsid w:val="00407817"/>
    <w:rsid w:val="004101B9"/>
    <w:rsid w:val="00410AEA"/>
    <w:rsid w:val="00411014"/>
    <w:rsid w:val="00411525"/>
    <w:rsid w:val="004115F8"/>
    <w:rsid w:val="00411721"/>
    <w:rsid w:val="00411EAC"/>
    <w:rsid w:val="00412347"/>
    <w:rsid w:val="004124CB"/>
    <w:rsid w:val="004125AB"/>
    <w:rsid w:val="00412D78"/>
    <w:rsid w:val="00412FAC"/>
    <w:rsid w:val="0041376E"/>
    <w:rsid w:val="00413B48"/>
    <w:rsid w:val="00413EDB"/>
    <w:rsid w:val="00414126"/>
    <w:rsid w:val="00414291"/>
    <w:rsid w:val="004142BB"/>
    <w:rsid w:val="004146B5"/>
    <w:rsid w:val="004146C6"/>
    <w:rsid w:val="0041489A"/>
    <w:rsid w:val="0041509F"/>
    <w:rsid w:val="004169FB"/>
    <w:rsid w:val="00416B48"/>
    <w:rsid w:val="00416BF4"/>
    <w:rsid w:val="00416F19"/>
    <w:rsid w:val="0042020C"/>
    <w:rsid w:val="0042082A"/>
    <w:rsid w:val="00420E69"/>
    <w:rsid w:val="00421265"/>
    <w:rsid w:val="00421436"/>
    <w:rsid w:val="0042174D"/>
    <w:rsid w:val="004217FB"/>
    <w:rsid w:val="0042200B"/>
    <w:rsid w:val="00422051"/>
    <w:rsid w:val="004224D4"/>
    <w:rsid w:val="004224DF"/>
    <w:rsid w:val="00422519"/>
    <w:rsid w:val="00423AD5"/>
    <w:rsid w:val="00423D31"/>
    <w:rsid w:val="00424E06"/>
    <w:rsid w:val="00425AD1"/>
    <w:rsid w:val="00426169"/>
    <w:rsid w:val="00426829"/>
    <w:rsid w:val="00426BD3"/>
    <w:rsid w:val="00427599"/>
    <w:rsid w:val="004277B3"/>
    <w:rsid w:val="00427D5D"/>
    <w:rsid w:val="00427EF4"/>
    <w:rsid w:val="004300BC"/>
    <w:rsid w:val="004304F5"/>
    <w:rsid w:val="004308DF"/>
    <w:rsid w:val="00430EFE"/>
    <w:rsid w:val="00430F06"/>
    <w:rsid w:val="004314ED"/>
    <w:rsid w:val="004315D2"/>
    <w:rsid w:val="00431912"/>
    <w:rsid w:val="00432395"/>
    <w:rsid w:val="00432C3D"/>
    <w:rsid w:val="00432E36"/>
    <w:rsid w:val="00432EE0"/>
    <w:rsid w:val="00432F97"/>
    <w:rsid w:val="0043316A"/>
    <w:rsid w:val="00433A4C"/>
    <w:rsid w:val="00434704"/>
    <w:rsid w:val="00434CB6"/>
    <w:rsid w:val="00434DD9"/>
    <w:rsid w:val="004352B8"/>
    <w:rsid w:val="00435930"/>
    <w:rsid w:val="00436250"/>
    <w:rsid w:val="004365B8"/>
    <w:rsid w:val="004366DC"/>
    <w:rsid w:val="0043718D"/>
    <w:rsid w:val="00437776"/>
    <w:rsid w:val="00437B41"/>
    <w:rsid w:val="00437DDA"/>
    <w:rsid w:val="0044080C"/>
    <w:rsid w:val="00440A49"/>
    <w:rsid w:val="00440AAA"/>
    <w:rsid w:val="004414E5"/>
    <w:rsid w:val="00441986"/>
    <w:rsid w:val="00442713"/>
    <w:rsid w:val="0044358F"/>
    <w:rsid w:val="00444538"/>
    <w:rsid w:val="004447C3"/>
    <w:rsid w:val="00444D0C"/>
    <w:rsid w:val="00444DEE"/>
    <w:rsid w:val="00445764"/>
    <w:rsid w:val="004457BD"/>
    <w:rsid w:val="00445A27"/>
    <w:rsid w:val="00445CFE"/>
    <w:rsid w:val="0044603A"/>
    <w:rsid w:val="0044615C"/>
    <w:rsid w:val="00446264"/>
    <w:rsid w:val="00446776"/>
    <w:rsid w:val="00446AE2"/>
    <w:rsid w:val="00447526"/>
    <w:rsid w:val="00450746"/>
    <w:rsid w:val="00450C18"/>
    <w:rsid w:val="00450D05"/>
    <w:rsid w:val="0045113E"/>
    <w:rsid w:val="004523F2"/>
    <w:rsid w:val="004525B5"/>
    <w:rsid w:val="004539B1"/>
    <w:rsid w:val="00453A93"/>
    <w:rsid w:val="00453D3C"/>
    <w:rsid w:val="00454111"/>
    <w:rsid w:val="00454C4D"/>
    <w:rsid w:val="00455DD7"/>
    <w:rsid w:val="004564ED"/>
    <w:rsid w:val="00456636"/>
    <w:rsid w:val="00457037"/>
    <w:rsid w:val="004576C5"/>
    <w:rsid w:val="00457843"/>
    <w:rsid w:val="00460AF0"/>
    <w:rsid w:val="00460FB9"/>
    <w:rsid w:val="004611F0"/>
    <w:rsid w:val="00461AD9"/>
    <w:rsid w:val="00461EBB"/>
    <w:rsid w:val="00462312"/>
    <w:rsid w:val="00462BA9"/>
    <w:rsid w:val="004634D5"/>
    <w:rsid w:val="00463839"/>
    <w:rsid w:val="004638BF"/>
    <w:rsid w:val="00463C55"/>
    <w:rsid w:val="00463DEB"/>
    <w:rsid w:val="004640D2"/>
    <w:rsid w:val="004641A6"/>
    <w:rsid w:val="0046429D"/>
    <w:rsid w:val="0046440D"/>
    <w:rsid w:val="00464B52"/>
    <w:rsid w:val="00464E94"/>
    <w:rsid w:val="0046539D"/>
    <w:rsid w:val="004653CF"/>
    <w:rsid w:val="0046558F"/>
    <w:rsid w:val="00465866"/>
    <w:rsid w:val="00465936"/>
    <w:rsid w:val="00465DE6"/>
    <w:rsid w:val="0046620C"/>
    <w:rsid w:val="00466680"/>
    <w:rsid w:val="00466E5E"/>
    <w:rsid w:val="0046743F"/>
    <w:rsid w:val="00467A3E"/>
    <w:rsid w:val="00467DE4"/>
    <w:rsid w:val="004703D3"/>
    <w:rsid w:val="00470787"/>
    <w:rsid w:val="00471477"/>
    <w:rsid w:val="00471C77"/>
    <w:rsid w:val="00471D08"/>
    <w:rsid w:val="00471E64"/>
    <w:rsid w:val="00471F27"/>
    <w:rsid w:val="00471F5A"/>
    <w:rsid w:val="004720E5"/>
    <w:rsid w:val="0047229F"/>
    <w:rsid w:val="00473DD1"/>
    <w:rsid w:val="00474C45"/>
    <w:rsid w:val="00474E7C"/>
    <w:rsid w:val="0047520E"/>
    <w:rsid w:val="00476917"/>
    <w:rsid w:val="00477623"/>
    <w:rsid w:val="00477E12"/>
    <w:rsid w:val="00477EF4"/>
    <w:rsid w:val="0048023B"/>
    <w:rsid w:val="0048056D"/>
    <w:rsid w:val="00480672"/>
    <w:rsid w:val="004819C6"/>
    <w:rsid w:val="004821F0"/>
    <w:rsid w:val="00482AA7"/>
    <w:rsid w:val="004834D4"/>
    <w:rsid w:val="00484571"/>
    <w:rsid w:val="00484AE4"/>
    <w:rsid w:val="004850D3"/>
    <w:rsid w:val="00485645"/>
    <w:rsid w:val="004856F9"/>
    <w:rsid w:val="004857B7"/>
    <w:rsid w:val="00486045"/>
    <w:rsid w:val="004861D2"/>
    <w:rsid w:val="004862B6"/>
    <w:rsid w:val="004865CF"/>
    <w:rsid w:val="00486BAD"/>
    <w:rsid w:val="00486DD0"/>
    <w:rsid w:val="00487490"/>
    <w:rsid w:val="00487598"/>
    <w:rsid w:val="00487761"/>
    <w:rsid w:val="00487BEE"/>
    <w:rsid w:val="00487EA0"/>
    <w:rsid w:val="00490614"/>
    <w:rsid w:val="00490F9E"/>
    <w:rsid w:val="00491E91"/>
    <w:rsid w:val="0049280E"/>
    <w:rsid w:val="00493277"/>
    <w:rsid w:val="0049381D"/>
    <w:rsid w:val="00493CA4"/>
    <w:rsid w:val="00493E69"/>
    <w:rsid w:val="0049426D"/>
    <w:rsid w:val="0049489E"/>
    <w:rsid w:val="00495277"/>
    <w:rsid w:val="004952D2"/>
    <w:rsid w:val="004954F4"/>
    <w:rsid w:val="00495728"/>
    <w:rsid w:val="0049588B"/>
    <w:rsid w:val="00495988"/>
    <w:rsid w:val="00495BC4"/>
    <w:rsid w:val="00496612"/>
    <w:rsid w:val="00496D00"/>
    <w:rsid w:val="004A0723"/>
    <w:rsid w:val="004A077D"/>
    <w:rsid w:val="004A0D6B"/>
    <w:rsid w:val="004A138D"/>
    <w:rsid w:val="004A29C3"/>
    <w:rsid w:val="004A2CEB"/>
    <w:rsid w:val="004A2FB9"/>
    <w:rsid w:val="004A3AD3"/>
    <w:rsid w:val="004A40DC"/>
    <w:rsid w:val="004A4330"/>
    <w:rsid w:val="004A44AF"/>
    <w:rsid w:val="004A53D8"/>
    <w:rsid w:val="004A5649"/>
    <w:rsid w:val="004A580A"/>
    <w:rsid w:val="004A6CC7"/>
    <w:rsid w:val="004A7397"/>
    <w:rsid w:val="004A75BC"/>
    <w:rsid w:val="004A762F"/>
    <w:rsid w:val="004A7FE5"/>
    <w:rsid w:val="004B01A6"/>
    <w:rsid w:val="004B0421"/>
    <w:rsid w:val="004B0522"/>
    <w:rsid w:val="004B05A2"/>
    <w:rsid w:val="004B0BAC"/>
    <w:rsid w:val="004B106C"/>
    <w:rsid w:val="004B13A5"/>
    <w:rsid w:val="004B1982"/>
    <w:rsid w:val="004B1D63"/>
    <w:rsid w:val="004B2C46"/>
    <w:rsid w:val="004B2DD4"/>
    <w:rsid w:val="004B307B"/>
    <w:rsid w:val="004B318C"/>
    <w:rsid w:val="004B31F7"/>
    <w:rsid w:val="004B324C"/>
    <w:rsid w:val="004B34E5"/>
    <w:rsid w:val="004B3C64"/>
    <w:rsid w:val="004B3DEF"/>
    <w:rsid w:val="004B3F5A"/>
    <w:rsid w:val="004B40B5"/>
    <w:rsid w:val="004B48CF"/>
    <w:rsid w:val="004B4E09"/>
    <w:rsid w:val="004B56A8"/>
    <w:rsid w:val="004B5981"/>
    <w:rsid w:val="004B5D13"/>
    <w:rsid w:val="004B5D6E"/>
    <w:rsid w:val="004B6F52"/>
    <w:rsid w:val="004B7205"/>
    <w:rsid w:val="004B7231"/>
    <w:rsid w:val="004B76EF"/>
    <w:rsid w:val="004C0266"/>
    <w:rsid w:val="004C07DE"/>
    <w:rsid w:val="004C1012"/>
    <w:rsid w:val="004C1CBB"/>
    <w:rsid w:val="004C21F3"/>
    <w:rsid w:val="004C2918"/>
    <w:rsid w:val="004C33D7"/>
    <w:rsid w:val="004C38A6"/>
    <w:rsid w:val="004C4002"/>
    <w:rsid w:val="004C400A"/>
    <w:rsid w:val="004C4AA5"/>
    <w:rsid w:val="004C4CBD"/>
    <w:rsid w:val="004C4E11"/>
    <w:rsid w:val="004C4FC3"/>
    <w:rsid w:val="004C50C4"/>
    <w:rsid w:val="004C5699"/>
    <w:rsid w:val="004C5B52"/>
    <w:rsid w:val="004C5C49"/>
    <w:rsid w:val="004C62F1"/>
    <w:rsid w:val="004C67AC"/>
    <w:rsid w:val="004C6D2F"/>
    <w:rsid w:val="004C6F6F"/>
    <w:rsid w:val="004C74A8"/>
    <w:rsid w:val="004C773C"/>
    <w:rsid w:val="004C7CAA"/>
    <w:rsid w:val="004D01FD"/>
    <w:rsid w:val="004D0739"/>
    <w:rsid w:val="004D105B"/>
    <w:rsid w:val="004D1FDD"/>
    <w:rsid w:val="004D2520"/>
    <w:rsid w:val="004D2897"/>
    <w:rsid w:val="004D3CD9"/>
    <w:rsid w:val="004D5820"/>
    <w:rsid w:val="004D5D3E"/>
    <w:rsid w:val="004D62BD"/>
    <w:rsid w:val="004D6899"/>
    <w:rsid w:val="004D706D"/>
    <w:rsid w:val="004D745B"/>
    <w:rsid w:val="004D7801"/>
    <w:rsid w:val="004D7BF8"/>
    <w:rsid w:val="004D7E9B"/>
    <w:rsid w:val="004E063B"/>
    <w:rsid w:val="004E0D01"/>
    <w:rsid w:val="004E1116"/>
    <w:rsid w:val="004E13C4"/>
    <w:rsid w:val="004E1862"/>
    <w:rsid w:val="004E18DF"/>
    <w:rsid w:val="004E25F9"/>
    <w:rsid w:val="004E2953"/>
    <w:rsid w:val="004E2B16"/>
    <w:rsid w:val="004E2D2A"/>
    <w:rsid w:val="004E2D4C"/>
    <w:rsid w:val="004E36E2"/>
    <w:rsid w:val="004E3A66"/>
    <w:rsid w:val="004E44EF"/>
    <w:rsid w:val="004E505B"/>
    <w:rsid w:val="004E5242"/>
    <w:rsid w:val="004E545A"/>
    <w:rsid w:val="004E5923"/>
    <w:rsid w:val="004E6127"/>
    <w:rsid w:val="004E6506"/>
    <w:rsid w:val="004E6985"/>
    <w:rsid w:val="004E6DF2"/>
    <w:rsid w:val="004E784C"/>
    <w:rsid w:val="004E7DA3"/>
    <w:rsid w:val="004E7FF4"/>
    <w:rsid w:val="004F0659"/>
    <w:rsid w:val="004F07B7"/>
    <w:rsid w:val="004F177F"/>
    <w:rsid w:val="004F19FB"/>
    <w:rsid w:val="004F2613"/>
    <w:rsid w:val="004F27CB"/>
    <w:rsid w:val="004F3B21"/>
    <w:rsid w:val="004F3C8A"/>
    <w:rsid w:val="004F3CB2"/>
    <w:rsid w:val="004F4397"/>
    <w:rsid w:val="004F43D3"/>
    <w:rsid w:val="004F4952"/>
    <w:rsid w:val="004F4A63"/>
    <w:rsid w:val="004F4F6A"/>
    <w:rsid w:val="004F6194"/>
    <w:rsid w:val="004F6710"/>
    <w:rsid w:val="004F6C4C"/>
    <w:rsid w:val="004F7135"/>
    <w:rsid w:val="004F74BE"/>
    <w:rsid w:val="004F7999"/>
    <w:rsid w:val="004F7FBA"/>
    <w:rsid w:val="00500596"/>
    <w:rsid w:val="00500919"/>
    <w:rsid w:val="00500B0D"/>
    <w:rsid w:val="00503A90"/>
    <w:rsid w:val="005042A7"/>
    <w:rsid w:val="00504B6F"/>
    <w:rsid w:val="00504ECB"/>
    <w:rsid w:val="00504EDA"/>
    <w:rsid w:val="00504FC0"/>
    <w:rsid w:val="0050616F"/>
    <w:rsid w:val="0050632F"/>
    <w:rsid w:val="005063ED"/>
    <w:rsid w:val="0050654C"/>
    <w:rsid w:val="005065F3"/>
    <w:rsid w:val="005067BB"/>
    <w:rsid w:val="00506CEA"/>
    <w:rsid w:val="00506F14"/>
    <w:rsid w:val="005076A4"/>
    <w:rsid w:val="00507C55"/>
    <w:rsid w:val="005101AE"/>
    <w:rsid w:val="005110FA"/>
    <w:rsid w:val="0051111C"/>
    <w:rsid w:val="00512266"/>
    <w:rsid w:val="005129EB"/>
    <w:rsid w:val="0051348C"/>
    <w:rsid w:val="00513846"/>
    <w:rsid w:val="00513904"/>
    <w:rsid w:val="00513DB8"/>
    <w:rsid w:val="00513E67"/>
    <w:rsid w:val="005148FB"/>
    <w:rsid w:val="00514FC1"/>
    <w:rsid w:val="00516F9A"/>
    <w:rsid w:val="00517400"/>
    <w:rsid w:val="0051773D"/>
    <w:rsid w:val="00520519"/>
    <w:rsid w:val="0052105F"/>
    <w:rsid w:val="0052157E"/>
    <w:rsid w:val="005216E1"/>
    <w:rsid w:val="00521DBA"/>
    <w:rsid w:val="005223B5"/>
    <w:rsid w:val="005226D9"/>
    <w:rsid w:val="00522A72"/>
    <w:rsid w:val="00522DCD"/>
    <w:rsid w:val="00522DDB"/>
    <w:rsid w:val="00522FCD"/>
    <w:rsid w:val="005234A9"/>
    <w:rsid w:val="00523581"/>
    <w:rsid w:val="00523BA1"/>
    <w:rsid w:val="00523FBC"/>
    <w:rsid w:val="005249C8"/>
    <w:rsid w:val="00524B08"/>
    <w:rsid w:val="00524CBD"/>
    <w:rsid w:val="00524F73"/>
    <w:rsid w:val="0052564D"/>
    <w:rsid w:val="005256FC"/>
    <w:rsid w:val="00525A38"/>
    <w:rsid w:val="00525C7D"/>
    <w:rsid w:val="00526493"/>
    <w:rsid w:val="00527324"/>
    <w:rsid w:val="0052738D"/>
    <w:rsid w:val="005276E8"/>
    <w:rsid w:val="00527719"/>
    <w:rsid w:val="00527A30"/>
    <w:rsid w:val="00527B4B"/>
    <w:rsid w:val="00527CFE"/>
    <w:rsid w:val="00527D4F"/>
    <w:rsid w:val="005307BA"/>
    <w:rsid w:val="00530C15"/>
    <w:rsid w:val="0053139C"/>
    <w:rsid w:val="00531941"/>
    <w:rsid w:val="005319D6"/>
    <w:rsid w:val="00531E4B"/>
    <w:rsid w:val="0053250B"/>
    <w:rsid w:val="00532DB2"/>
    <w:rsid w:val="00533303"/>
    <w:rsid w:val="00533AA2"/>
    <w:rsid w:val="005342EE"/>
    <w:rsid w:val="00534B91"/>
    <w:rsid w:val="00534E26"/>
    <w:rsid w:val="0053541A"/>
    <w:rsid w:val="005357AF"/>
    <w:rsid w:val="00535952"/>
    <w:rsid w:val="00535997"/>
    <w:rsid w:val="00535B3A"/>
    <w:rsid w:val="00535C77"/>
    <w:rsid w:val="0053639A"/>
    <w:rsid w:val="00536E78"/>
    <w:rsid w:val="0053763A"/>
    <w:rsid w:val="005377C5"/>
    <w:rsid w:val="00537B99"/>
    <w:rsid w:val="00537BE4"/>
    <w:rsid w:val="00537D14"/>
    <w:rsid w:val="00537F26"/>
    <w:rsid w:val="00537FB6"/>
    <w:rsid w:val="00541705"/>
    <w:rsid w:val="0054298B"/>
    <w:rsid w:val="005431E6"/>
    <w:rsid w:val="00543304"/>
    <w:rsid w:val="00543523"/>
    <w:rsid w:val="00543526"/>
    <w:rsid w:val="00543620"/>
    <w:rsid w:val="00543AE6"/>
    <w:rsid w:val="00543C42"/>
    <w:rsid w:val="00544127"/>
    <w:rsid w:val="00544C6E"/>
    <w:rsid w:val="00544D6B"/>
    <w:rsid w:val="00544EAB"/>
    <w:rsid w:val="005458FF"/>
    <w:rsid w:val="005464B7"/>
    <w:rsid w:val="0054716F"/>
    <w:rsid w:val="005474D5"/>
    <w:rsid w:val="00547898"/>
    <w:rsid w:val="00547D42"/>
    <w:rsid w:val="00550789"/>
    <w:rsid w:val="00550B3C"/>
    <w:rsid w:val="00550EF7"/>
    <w:rsid w:val="005514B2"/>
    <w:rsid w:val="00551AA4"/>
    <w:rsid w:val="00551F33"/>
    <w:rsid w:val="005526B3"/>
    <w:rsid w:val="00552AAF"/>
    <w:rsid w:val="00552FF6"/>
    <w:rsid w:val="00553883"/>
    <w:rsid w:val="00553AF9"/>
    <w:rsid w:val="00553E39"/>
    <w:rsid w:val="00554563"/>
    <w:rsid w:val="00554A51"/>
    <w:rsid w:val="00555410"/>
    <w:rsid w:val="005559BD"/>
    <w:rsid w:val="00557116"/>
    <w:rsid w:val="0055731B"/>
    <w:rsid w:val="005578AA"/>
    <w:rsid w:val="00557AA0"/>
    <w:rsid w:val="00557B64"/>
    <w:rsid w:val="0056022D"/>
    <w:rsid w:val="00560524"/>
    <w:rsid w:val="005609AB"/>
    <w:rsid w:val="00560BB0"/>
    <w:rsid w:val="00561246"/>
    <w:rsid w:val="00561327"/>
    <w:rsid w:val="005613F8"/>
    <w:rsid w:val="00561531"/>
    <w:rsid w:val="00561632"/>
    <w:rsid w:val="00561648"/>
    <w:rsid w:val="0056180A"/>
    <w:rsid w:val="00561AB6"/>
    <w:rsid w:val="00562165"/>
    <w:rsid w:val="00562552"/>
    <w:rsid w:val="00562E8D"/>
    <w:rsid w:val="00562FCC"/>
    <w:rsid w:val="005632B6"/>
    <w:rsid w:val="00563F9A"/>
    <w:rsid w:val="00564042"/>
    <w:rsid w:val="00564454"/>
    <w:rsid w:val="0056462A"/>
    <w:rsid w:val="00565514"/>
    <w:rsid w:val="00565674"/>
    <w:rsid w:val="005656F6"/>
    <w:rsid w:val="00565BC5"/>
    <w:rsid w:val="00565F61"/>
    <w:rsid w:val="00566023"/>
    <w:rsid w:val="0056631A"/>
    <w:rsid w:val="00566D56"/>
    <w:rsid w:val="00567B56"/>
    <w:rsid w:val="00567DA0"/>
    <w:rsid w:val="00567F96"/>
    <w:rsid w:val="005702C3"/>
    <w:rsid w:val="005705AE"/>
    <w:rsid w:val="00570BC7"/>
    <w:rsid w:val="00570E3F"/>
    <w:rsid w:val="00570EC8"/>
    <w:rsid w:val="0057109E"/>
    <w:rsid w:val="00571363"/>
    <w:rsid w:val="005719BE"/>
    <w:rsid w:val="00571F2F"/>
    <w:rsid w:val="00573279"/>
    <w:rsid w:val="0057343D"/>
    <w:rsid w:val="005745DD"/>
    <w:rsid w:val="00574F06"/>
    <w:rsid w:val="005756F2"/>
    <w:rsid w:val="00575712"/>
    <w:rsid w:val="00575811"/>
    <w:rsid w:val="00575960"/>
    <w:rsid w:val="00575F81"/>
    <w:rsid w:val="0057605C"/>
    <w:rsid w:val="0057624D"/>
    <w:rsid w:val="00576294"/>
    <w:rsid w:val="00576E4F"/>
    <w:rsid w:val="00576FE6"/>
    <w:rsid w:val="005771F5"/>
    <w:rsid w:val="005774C2"/>
    <w:rsid w:val="00580088"/>
    <w:rsid w:val="005803D7"/>
    <w:rsid w:val="005818F5"/>
    <w:rsid w:val="00581AD0"/>
    <w:rsid w:val="00581AE9"/>
    <w:rsid w:val="00582370"/>
    <w:rsid w:val="00582B91"/>
    <w:rsid w:val="00582E64"/>
    <w:rsid w:val="00583569"/>
    <w:rsid w:val="0058357F"/>
    <w:rsid w:val="00583869"/>
    <w:rsid w:val="00583F42"/>
    <w:rsid w:val="00584D89"/>
    <w:rsid w:val="00585921"/>
    <w:rsid w:val="00585A6E"/>
    <w:rsid w:val="00585BA0"/>
    <w:rsid w:val="00585CF2"/>
    <w:rsid w:val="00585D29"/>
    <w:rsid w:val="0058648F"/>
    <w:rsid w:val="005866DC"/>
    <w:rsid w:val="00586998"/>
    <w:rsid w:val="00586CEC"/>
    <w:rsid w:val="00586D57"/>
    <w:rsid w:val="00586FEC"/>
    <w:rsid w:val="00587BC5"/>
    <w:rsid w:val="00587EDA"/>
    <w:rsid w:val="0059003A"/>
    <w:rsid w:val="00590076"/>
    <w:rsid w:val="005901F8"/>
    <w:rsid w:val="005905F4"/>
    <w:rsid w:val="00590B76"/>
    <w:rsid w:val="00591DC5"/>
    <w:rsid w:val="0059205D"/>
    <w:rsid w:val="0059380C"/>
    <w:rsid w:val="00593AAC"/>
    <w:rsid w:val="00593AEA"/>
    <w:rsid w:val="00593F30"/>
    <w:rsid w:val="00594C01"/>
    <w:rsid w:val="00596813"/>
    <w:rsid w:val="00596A3F"/>
    <w:rsid w:val="00596D21"/>
    <w:rsid w:val="00596F01"/>
    <w:rsid w:val="005979CB"/>
    <w:rsid w:val="00597C19"/>
    <w:rsid w:val="005A00D8"/>
    <w:rsid w:val="005A0158"/>
    <w:rsid w:val="005A02F0"/>
    <w:rsid w:val="005A1041"/>
    <w:rsid w:val="005A1306"/>
    <w:rsid w:val="005A276D"/>
    <w:rsid w:val="005A3009"/>
    <w:rsid w:val="005A31DE"/>
    <w:rsid w:val="005A352B"/>
    <w:rsid w:val="005A36D7"/>
    <w:rsid w:val="005A415A"/>
    <w:rsid w:val="005A428E"/>
    <w:rsid w:val="005A515A"/>
    <w:rsid w:val="005A523B"/>
    <w:rsid w:val="005A59B6"/>
    <w:rsid w:val="005A6077"/>
    <w:rsid w:val="005A66E4"/>
    <w:rsid w:val="005A7161"/>
    <w:rsid w:val="005A7188"/>
    <w:rsid w:val="005A7573"/>
    <w:rsid w:val="005A7D18"/>
    <w:rsid w:val="005B060F"/>
    <w:rsid w:val="005B08AC"/>
    <w:rsid w:val="005B0A49"/>
    <w:rsid w:val="005B0BB1"/>
    <w:rsid w:val="005B0D4E"/>
    <w:rsid w:val="005B10F7"/>
    <w:rsid w:val="005B1562"/>
    <w:rsid w:val="005B1D70"/>
    <w:rsid w:val="005B23FD"/>
    <w:rsid w:val="005B256C"/>
    <w:rsid w:val="005B30EF"/>
    <w:rsid w:val="005B3CC8"/>
    <w:rsid w:val="005B4088"/>
    <w:rsid w:val="005B43C4"/>
    <w:rsid w:val="005B4984"/>
    <w:rsid w:val="005B4A42"/>
    <w:rsid w:val="005B4AD8"/>
    <w:rsid w:val="005B4E2C"/>
    <w:rsid w:val="005B4F74"/>
    <w:rsid w:val="005B5AAB"/>
    <w:rsid w:val="005B6121"/>
    <w:rsid w:val="005B6FCD"/>
    <w:rsid w:val="005B7AEF"/>
    <w:rsid w:val="005C04AF"/>
    <w:rsid w:val="005C0518"/>
    <w:rsid w:val="005C1BD9"/>
    <w:rsid w:val="005C2214"/>
    <w:rsid w:val="005C2AD5"/>
    <w:rsid w:val="005C2E2A"/>
    <w:rsid w:val="005C2EE1"/>
    <w:rsid w:val="005C331F"/>
    <w:rsid w:val="005C34C3"/>
    <w:rsid w:val="005C3C61"/>
    <w:rsid w:val="005C3DA5"/>
    <w:rsid w:val="005C41DA"/>
    <w:rsid w:val="005C4497"/>
    <w:rsid w:val="005C4532"/>
    <w:rsid w:val="005C4CDB"/>
    <w:rsid w:val="005C5055"/>
    <w:rsid w:val="005C5066"/>
    <w:rsid w:val="005C5231"/>
    <w:rsid w:val="005C53C0"/>
    <w:rsid w:val="005C58AD"/>
    <w:rsid w:val="005C58FC"/>
    <w:rsid w:val="005C5927"/>
    <w:rsid w:val="005C6CF8"/>
    <w:rsid w:val="005C6F42"/>
    <w:rsid w:val="005C7053"/>
    <w:rsid w:val="005C7255"/>
    <w:rsid w:val="005C768D"/>
    <w:rsid w:val="005D0893"/>
    <w:rsid w:val="005D0DBA"/>
    <w:rsid w:val="005D180A"/>
    <w:rsid w:val="005D185E"/>
    <w:rsid w:val="005D1995"/>
    <w:rsid w:val="005D1A07"/>
    <w:rsid w:val="005D2079"/>
    <w:rsid w:val="005D219A"/>
    <w:rsid w:val="005D25AF"/>
    <w:rsid w:val="005D2836"/>
    <w:rsid w:val="005D28F0"/>
    <w:rsid w:val="005D2DB7"/>
    <w:rsid w:val="005D4152"/>
    <w:rsid w:val="005D4353"/>
    <w:rsid w:val="005D4D26"/>
    <w:rsid w:val="005D5409"/>
    <w:rsid w:val="005D554C"/>
    <w:rsid w:val="005D5D7E"/>
    <w:rsid w:val="005D66CE"/>
    <w:rsid w:val="005D6826"/>
    <w:rsid w:val="005D6D3C"/>
    <w:rsid w:val="005D7C2C"/>
    <w:rsid w:val="005D7F50"/>
    <w:rsid w:val="005E08A3"/>
    <w:rsid w:val="005E0DB5"/>
    <w:rsid w:val="005E13EC"/>
    <w:rsid w:val="005E25B0"/>
    <w:rsid w:val="005E28AC"/>
    <w:rsid w:val="005E2A52"/>
    <w:rsid w:val="005E300F"/>
    <w:rsid w:val="005E3350"/>
    <w:rsid w:val="005E3431"/>
    <w:rsid w:val="005E3C18"/>
    <w:rsid w:val="005E482A"/>
    <w:rsid w:val="005E49FA"/>
    <w:rsid w:val="005E5367"/>
    <w:rsid w:val="005E547E"/>
    <w:rsid w:val="005E6033"/>
    <w:rsid w:val="005E6093"/>
    <w:rsid w:val="005E60E1"/>
    <w:rsid w:val="005E611E"/>
    <w:rsid w:val="005E6189"/>
    <w:rsid w:val="005E634A"/>
    <w:rsid w:val="005E66E1"/>
    <w:rsid w:val="005E756E"/>
    <w:rsid w:val="005E7DB7"/>
    <w:rsid w:val="005E7DE9"/>
    <w:rsid w:val="005F0722"/>
    <w:rsid w:val="005F09C8"/>
    <w:rsid w:val="005F1024"/>
    <w:rsid w:val="005F1B0A"/>
    <w:rsid w:val="005F1CFC"/>
    <w:rsid w:val="005F1D1E"/>
    <w:rsid w:val="005F1F5C"/>
    <w:rsid w:val="005F246B"/>
    <w:rsid w:val="005F2D16"/>
    <w:rsid w:val="005F31F2"/>
    <w:rsid w:val="005F365B"/>
    <w:rsid w:val="005F3D30"/>
    <w:rsid w:val="005F3F48"/>
    <w:rsid w:val="005F427F"/>
    <w:rsid w:val="005F42C0"/>
    <w:rsid w:val="005F481F"/>
    <w:rsid w:val="005F4F74"/>
    <w:rsid w:val="005F536A"/>
    <w:rsid w:val="005F5DE4"/>
    <w:rsid w:val="005F668A"/>
    <w:rsid w:val="005F6A52"/>
    <w:rsid w:val="005F7926"/>
    <w:rsid w:val="005F7B6B"/>
    <w:rsid w:val="005F7DFC"/>
    <w:rsid w:val="0060001C"/>
    <w:rsid w:val="006005D1"/>
    <w:rsid w:val="00600B08"/>
    <w:rsid w:val="00600D40"/>
    <w:rsid w:val="00600F53"/>
    <w:rsid w:val="00601ADB"/>
    <w:rsid w:val="00601B25"/>
    <w:rsid w:val="00602F89"/>
    <w:rsid w:val="00603B94"/>
    <w:rsid w:val="00603CF1"/>
    <w:rsid w:val="00605664"/>
    <w:rsid w:val="00605E0A"/>
    <w:rsid w:val="00605E14"/>
    <w:rsid w:val="0060608F"/>
    <w:rsid w:val="00606109"/>
    <w:rsid w:val="0060618E"/>
    <w:rsid w:val="00606266"/>
    <w:rsid w:val="0060652E"/>
    <w:rsid w:val="00606929"/>
    <w:rsid w:val="006070E8"/>
    <w:rsid w:val="006102A0"/>
    <w:rsid w:val="006105DC"/>
    <w:rsid w:val="00610848"/>
    <w:rsid w:val="00611211"/>
    <w:rsid w:val="006112E8"/>
    <w:rsid w:val="0061152F"/>
    <w:rsid w:val="00611800"/>
    <w:rsid w:val="00611D98"/>
    <w:rsid w:val="0061210D"/>
    <w:rsid w:val="00613099"/>
    <w:rsid w:val="00613BBF"/>
    <w:rsid w:val="006142F8"/>
    <w:rsid w:val="0061440E"/>
    <w:rsid w:val="00614BD2"/>
    <w:rsid w:val="00614CA1"/>
    <w:rsid w:val="00615BC4"/>
    <w:rsid w:val="00617980"/>
    <w:rsid w:val="006200BC"/>
    <w:rsid w:val="00620471"/>
    <w:rsid w:val="00620504"/>
    <w:rsid w:val="0062087A"/>
    <w:rsid w:val="0062096B"/>
    <w:rsid w:val="00620F0E"/>
    <w:rsid w:val="006210EA"/>
    <w:rsid w:val="006222C3"/>
    <w:rsid w:val="00622AC0"/>
    <w:rsid w:val="0062326B"/>
    <w:rsid w:val="006240EB"/>
    <w:rsid w:val="00624E97"/>
    <w:rsid w:val="00625203"/>
    <w:rsid w:val="006253A7"/>
    <w:rsid w:val="00625744"/>
    <w:rsid w:val="00625D12"/>
    <w:rsid w:val="00626346"/>
    <w:rsid w:val="00626837"/>
    <w:rsid w:val="0062685F"/>
    <w:rsid w:val="00626BD2"/>
    <w:rsid w:val="006271BE"/>
    <w:rsid w:val="0062739F"/>
    <w:rsid w:val="006279A6"/>
    <w:rsid w:val="00630168"/>
    <w:rsid w:val="006319D3"/>
    <w:rsid w:val="00631BC1"/>
    <w:rsid w:val="0063284A"/>
    <w:rsid w:val="00632C40"/>
    <w:rsid w:val="006330CA"/>
    <w:rsid w:val="00633369"/>
    <w:rsid w:val="00633A91"/>
    <w:rsid w:val="00633D44"/>
    <w:rsid w:val="00633D96"/>
    <w:rsid w:val="00633EA4"/>
    <w:rsid w:val="00633F1D"/>
    <w:rsid w:val="00633FDC"/>
    <w:rsid w:val="00633FE8"/>
    <w:rsid w:val="00634914"/>
    <w:rsid w:val="00634A04"/>
    <w:rsid w:val="00634F83"/>
    <w:rsid w:val="006354AD"/>
    <w:rsid w:val="0063551F"/>
    <w:rsid w:val="006357F3"/>
    <w:rsid w:val="006359CE"/>
    <w:rsid w:val="00635C13"/>
    <w:rsid w:val="00636140"/>
    <w:rsid w:val="0063748A"/>
    <w:rsid w:val="0063774A"/>
    <w:rsid w:val="00637F6B"/>
    <w:rsid w:val="00637FBD"/>
    <w:rsid w:val="0064028B"/>
    <w:rsid w:val="00640305"/>
    <w:rsid w:val="006410F6"/>
    <w:rsid w:val="006425EA"/>
    <w:rsid w:val="00642729"/>
    <w:rsid w:val="0064347A"/>
    <w:rsid w:val="006436B3"/>
    <w:rsid w:val="0064419A"/>
    <w:rsid w:val="006441DA"/>
    <w:rsid w:val="00644DCA"/>
    <w:rsid w:val="00645300"/>
    <w:rsid w:val="0064530C"/>
    <w:rsid w:val="00645D32"/>
    <w:rsid w:val="00646795"/>
    <w:rsid w:val="006475AE"/>
    <w:rsid w:val="006477DE"/>
    <w:rsid w:val="00647918"/>
    <w:rsid w:val="006504AD"/>
    <w:rsid w:val="006507D0"/>
    <w:rsid w:val="00650A3C"/>
    <w:rsid w:val="00650DFD"/>
    <w:rsid w:val="00650ED9"/>
    <w:rsid w:val="00651A12"/>
    <w:rsid w:val="00651F34"/>
    <w:rsid w:val="006521B7"/>
    <w:rsid w:val="00652328"/>
    <w:rsid w:val="006528E3"/>
    <w:rsid w:val="00652E3D"/>
    <w:rsid w:val="0065317E"/>
    <w:rsid w:val="0065373C"/>
    <w:rsid w:val="006540AE"/>
    <w:rsid w:val="00654953"/>
    <w:rsid w:val="00654AD2"/>
    <w:rsid w:val="00654D52"/>
    <w:rsid w:val="0065510A"/>
    <w:rsid w:val="00655BA5"/>
    <w:rsid w:val="00655E0F"/>
    <w:rsid w:val="00656BCB"/>
    <w:rsid w:val="00660A7B"/>
    <w:rsid w:val="0066148C"/>
    <w:rsid w:val="0066172C"/>
    <w:rsid w:val="0066212E"/>
    <w:rsid w:val="00662951"/>
    <w:rsid w:val="0066316B"/>
    <w:rsid w:val="0066406C"/>
    <w:rsid w:val="006648F2"/>
    <w:rsid w:val="00664BC0"/>
    <w:rsid w:val="00665040"/>
    <w:rsid w:val="0066538C"/>
    <w:rsid w:val="00665517"/>
    <w:rsid w:val="006657FB"/>
    <w:rsid w:val="00665BCA"/>
    <w:rsid w:val="00665BCC"/>
    <w:rsid w:val="00666226"/>
    <w:rsid w:val="0066633E"/>
    <w:rsid w:val="00666DE8"/>
    <w:rsid w:val="0066747D"/>
    <w:rsid w:val="00667BF9"/>
    <w:rsid w:val="00667D85"/>
    <w:rsid w:val="0067076E"/>
    <w:rsid w:val="006707E4"/>
    <w:rsid w:val="006713DA"/>
    <w:rsid w:val="00671507"/>
    <w:rsid w:val="006716C1"/>
    <w:rsid w:val="00671749"/>
    <w:rsid w:val="006719E9"/>
    <w:rsid w:val="00673137"/>
    <w:rsid w:val="00673519"/>
    <w:rsid w:val="00673705"/>
    <w:rsid w:val="006737F3"/>
    <w:rsid w:val="00673A65"/>
    <w:rsid w:val="00673BB9"/>
    <w:rsid w:val="006740F0"/>
    <w:rsid w:val="00674B79"/>
    <w:rsid w:val="00675D69"/>
    <w:rsid w:val="0067690C"/>
    <w:rsid w:val="00677656"/>
    <w:rsid w:val="0067793F"/>
    <w:rsid w:val="00680123"/>
    <w:rsid w:val="0068075C"/>
    <w:rsid w:val="00680D99"/>
    <w:rsid w:val="0068142E"/>
    <w:rsid w:val="00681D5E"/>
    <w:rsid w:val="00681F16"/>
    <w:rsid w:val="00681F24"/>
    <w:rsid w:val="00681F5C"/>
    <w:rsid w:val="0068229F"/>
    <w:rsid w:val="00682416"/>
    <w:rsid w:val="0068271B"/>
    <w:rsid w:val="00682845"/>
    <w:rsid w:val="00683A1C"/>
    <w:rsid w:val="00683F32"/>
    <w:rsid w:val="006840E0"/>
    <w:rsid w:val="0068416B"/>
    <w:rsid w:val="00684234"/>
    <w:rsid w:val="0068499B"/>
    <w:rsid w:val="00684C55"/>
    <w:rsid w:val="0068578B"/>
    <w:rsid w:val="00685EC2"/>
    <w:rsid w:val="006864AE"/>
    <w:rsid w:val="0068669D"/>
    <w:rsid w:val="0069013A"/>
    <w:rsid w:val="0069044A"/>
    <w:rsid w:val="0069063E"/>
    <w:rsid w:val="006906EE"/>
    <w:rsid w:val="006915F1"/>
    <w:rsid w:val="00691911"/>
    <w:rsid w:val="0069191C"/>
    <w:rsid w:val="00692C11"/>
    <w:rsid w:val="00692C6A"/>
    <w:rsid w:val="00692E1A"/>
    <w:rsid w:val="006931B1"/>
    <w:rsid w:val="00693980"/>
    <w:rsid w:val="00693BF4"/>
    <w:rsid w:val="00694161"/>
    <w:rsid w:val="00694C69"/>
    <w:rsid w:val="00694D22"/>
    <w:rsid w:val="00695722"/>
    <w:rsid w:val="006959B2"/>
    <w:rsid w:val="00695B64"/>
    <w:rsid w:val="0069621F"/>
    <w:rsid w:val="0069623B"/>
    <w:rsid w:val="00696B62"/>
    <w:rsid w:val="0069704E"/>
    <w:rsid w:val="00697250"/>
    <w:rsid w:val="0069753A"/>
    <w:rsid w:val="0069754D"/>
    <w:rsid w:val="006A045C"/>
    <w:rsid w:val="006A0740"/>
    <w:rsid w:val="006A07DA"/>
    <w:rsid w:val="006A0E01"/>
    <w:rsid w:val="006A0E95"/>
    <w:rsid w:val="006A0F65"/>
    <w:rsid w:val="006A158E"/>
    <w:rsid w:val="006A17E4"/>
    <w:rsid w:val="006A18E5"/>
    <w:rsid w:val="006A2243"/>
    <w:rsid w:val="006A27DA"/>
    <w:rsid w:val="006A2A4B"/>
    <w:rsid w:val="006A2F22"/>
    <w:rsid w:val="006A2F52"/>
    <w:rsid w:val="006A309A"/>
    <w:rsid w:val="006A30E2"/>
    <w:rsid w:val="006A3516"/>
    <w:rsid w:val="006A3605"/>
    <w:rsid w:val="006A3B1C"/>
    <w:rsid w:val="006A43A7"/>
    <w:rsid w:val="006A4DD7"/>
    <w:rsid w:val="006A4E32"/>
    <w:rsid w:val="006A5B26"/>
    <w:rsid w:val="006A5D79"/>
    <w:rsid w:val="006A5FD9"/>
    <w:rsid w:val="006A647B"/>
    <w:rsid w:val="006A64C9"/>
    <w:rsid w:val="006A6720"/>
    <w:rsid w:val="006A70BD"/>
    <w:rsid w:val="006A766E"/>
    <w:rsid w:val="006A76AA"/>
    <w:rsid w:val="006A7A0E"/>
    <w:rsid w:val="006A7E62"/>
    <w:rsid w:val="006A7EC1"/>
    <w:rsid w:val="006B02EB"/>
    <w:rsid w:val="006B0880"/>
    <w:rsid w:val="006B0BAF"/>
    <w:rsid w:val="006B0CF3"/>
    <w:rsid w:val="006B1352"/>
    <w:rsid w:val="006B1397"/>
    <w:rsid w:val="006B1C8E"/>
    <w:rsid w:val="006B1CB9"/>
    <w:rsid w:val="006B1CBC"/>
    <w:rsid w:val="006B258E"/>
    <w:rsid w:val="006B2738"/>
    <w:rsid w:val="006B2EEE"/>
    <w:rsid w:val="006B3118"/>
    <w:rsid w:val="006B38D4"/>
    <w:rsid w:val="006B3924"/>
    <w:rsid w:val="006B41AF"/>
    <w:rsid w:val="006B4ECC"/>
    <w:rsid w:val="006B4F38"/>
    <w:rsid w:val="006B5051"/>
    <w:rsid w:val="006B5C8C"/>
    <w:rsid w:val="006B6573"/>
    <w:rsid w:val="006B65DE"/>
    <w:rsid w:val="006B69AC"/>
    <w:rsid w:val="006C00F1"/>
    <w:rsid w:val="006C0354"/>
    <w:rsid w:val="006C03A8"/>
    <w:rsid w:val="006C0C0F"/>
    <w:rsid w:val="006C143A"/>
    <w:rsid w:val="006C162B"/>
    <w:rsid w:val="006C2668"/>
    <w:rsid w:val="006C2CAF"/>
    <w:rsid w:val="006C2E12"/>
    <w:rsid w:val="006C3603"/>
    <w:rsid w:val="006C3BB7"/>
    <w:rsid w:val="006C3F44"/>
    <w:rsid w:val="006C4A6F"/>
    <w:rsid w:val="006C4DE3"/>
    <w:rsid w:val="006C4FE2"/>
    <w:rsid w:val="006C532A"/>
    <w:rsid w:val="006C6495"/>
    <w:rsid w:val="006C67B4"/>
    <w:rsid w:val="006C67FF"/>
    <w:rsid w:val="006C6B60"/>
    <w:rsid w:val="006C6ED1"/>
    <w:rsid w:val="006C761D"/>
    <w:rsid w:val="006C7676"/>
    <w:rsid w:val="006C7A17"/>
    <w:rsid w:val="006C7DC7"/>
    <w:rsid w:val="006D023E"/>
    <w:rsid w:val="006D06EB"/>
    <w:rsid w:val="006D08A1"/>
    <w:rsid w:val="006D0D15"/>
    <w:rsid w:val="006D0EDF"/>
    <w:rsid w:val="006D17A5"/>
    <w:rsid w:val="006D199D"/>
    <w:rsid w:val="006D1BEC"/>
    <w:rsid w:val="006D1F24"/>
    <w:rsid w:val="006D1FB3"/>
    <w:rsid w:val="006D2014"/>
    <w:rsid w:val="006D22B7"/>
    <w:rsid w:val="006D25F3"/>
    <w:rsid w:val="006D291D"/>
    <w:rsid w:val="006D2B0E"/>
    <w:rsid w:val="006D2B93"/>
    <w:rsid w:val="006D2E42"/>
    <w:rsid w:val="006D38AF"/>
    <w:rsid w:val="006D3DA8"/>
    <w:rsid w:val="006D419F"/>
    <w:rsid w:val="006D4259"/>
    <w:rsid w:val="006D455D"/>
    <w:rsid w:val="006D5C91"/>
    <w:rsid w:val="006D6E8E"/>
    <w:rsid w:val="006D6EB6"/>
    <w:rsid w:val="006D7011"/>
    <w:rsid w:val="006D78EE"/>
    <w:rsid w:val="006E0717"/>
    <w:rsid w:val="006E0A06"/>
    <w:rsid w:val="006E1038"/>
    <w:rsid w:val="006E19A0"/>
    <w:rsid w:val="006E1D00"/>
    <w:rsid w:val="006E1EA7"/>
    <w:rsid w:val="006E22B0"/>
    <w:rsid w:val="006E276E"/>
    <w:rsid w:val="006E2C6F"/>
    <w:rsid w:val="006E34A0"/>
    <w:rsid w:val="006E395C"/>
    <w:rsid w:val="006E3BE1"/>
    <w:rsid w:val="006E3D46"/>
    <w:rsid w:val="006E3D9F"/>
    <w:rsid w:val="006E4009"/>
    <w:rsid w:val="006E4879"/>
    <w:rsid w:val="006E4C3E"/>
    <w:rsid w:val="006E588E"/>
    <w:rsid w:val="006E5FD7"/>
    <w:rsid w:val="006E7CC0"/>
    <w:rsid w:val="006E7DDC"/>
    <w:rsid w:val="006E7F8D"/>
    <w:rsid w:val="006F0896"/>
    <w:rsid w:val="006F0A79"/>
    <w:rsid w:val="006F1FE8"/>
    <w:rsid w:val="006F20B0"/>
    <w:rsid w:val="006F2CD1"/>
    <w:rsid w:val="006F41D7"/>
    <w:rsid w:val="006F4829"/>
    <w:rsid w:val="006F4B75"/>
    <w:rsid w:val="006F4CAB"/>
    <w:rsid w:val="006F5E69"/>
    <w:rsid w:val="006F61D2"/>
    <w:rsid w:val="006F6975"/>
    <w:rsid w:val="006F6B16"/>
    <w:rsid w:val="006F6BD4"/>
    <w:rsid w:val="006F6C5C"/>
    <w:rsid w:val="006F704C"/>
    <w:rsid w:val="006F74EC"/>
    <w:rsid w:val="006F7A0C"/>
    <w:rsid w:val="00700173"/>
    <w:rsid w:val="00700887"/>
    <w:rsid w:val="007015E2"/>
    <w:rsid w:val="00701E1F"/>
    <w:rsid w:val="00702861"/>
    <w:rsid w:val="0070288F"/>
    <w:rsid w:val="00702D96"/>
    <w:rsid w:val="00704FA1"/>
    <w:rsid w:val="00704FE0"/>
    <w:rsid w:val="00705144"/>
    <w:rsid w:val="007056E3"/>
    <w:rsid w:val="007056F9"/>
    <w:rsid w:val="00705E48"/>
    <w:rsid w:val="0070621F"/>
    <w:rsid w:val="0070635F"/>
    <w:rsid w:val="00706CA2"/>
    <w:rsid w:val="007070E7"/>
    <w:rsid w:val="007071DE"/>
    <w:rsid w:val="00707AA0"/>
    <w:rsid w:val="007101A0"/>
    <w:rsid w:val="0071031F"/>
    <w:rsid w:val="007103D4"/>
    <w:rsid w:val="00711B51"/>
    <w:rsid w:val="00712A69"/>
    <w:rsid w:val="00712D34"/>
    <w:rsid w:val="00713525"/>
    <w:rsid w:val="0071385D"/>
    <w:rsid w:val="00713D42"/>
    <w:rsid w:val="00714004"/>
    <w:rsid w:val="00714F4C"/>
    <w:rsid w:val="007150D1"/>
    <w:rsid w:val="007160BF"/>
    <w:rsid w:val="007163AA"/>
    <w:rsid w:val="007166D2"/>
    <w:rsid w:val="00716894"/>
    <w:rsid w:val="007168E7"/>
    <w:rsid w:val="007169AF"/>
    <w:rsid w:val="00716F6E"/>
    <w:rsid w:val="00716F7C"/>
    <w:rsid w:val="0071715D"/>
    <w:rsid w:val="007171F1"/>
    <w:rsid w:val="00717272"/>
    <w:rsid w:val="00717705"/>
    <w:rsid w:val="00717847"/>
    <w:rsid w:val="007203C5"/>
    <w:rsid w:val="007206BD"/>
    <w:rsid w:val="00720804"/>
    <w:rsid w:val="00720DC0"/>
    <w:rsid w:val="00721581"/>
    <w:rsid w:val="007216E8"/>
    <w:rsid w:val="00721D52"/>
    <w:rsid w:val="00721DE2"/>
    <w:rsid w:val="00722405"/>
    <w:rsid w:val="007225B1"/>
    <w:rsid w:val="007228DB"/>
    <w:rsid w:val="0072312C"/>
    <w:rsid w:val="0072399D"/>
    <w:rsid w:val="007241DF"/>
    <w:rsid w:val="0072451B"/>
    <w:rsid w:val="00724755"/>
    <w:rsid w:val="007248CF"/>
    <w:rsid w:val="0072493F"/>
    <w:rsid w:val="00725043"/>
    <w:rsid w:val="00725239"/>
    <w:rsid w:val="00725646"/>
    <w:rsid w:val="00725A81"/>
    <w:rsid w:val="00726297"/>
    <w:rsid w:val="00726698"/>
    <w:rsid w:val="007270F3"/>
    <w:rsid w:val="00730353"/>
    <w:rsid w:val="0073062A"/>
    <w:rsid w:val="00731484"/>
    <w:rsid w:val="0073159B"/>
    <w:rsid w:val="007317BA"/>
    <w:rsid w:val="0073292E"/>
    <w:rsid w:val="00732A08"/>
    <w:rsid w:val="00732C5B"/>
    <w:rsid w:val="00733028"/>
    <w:rsid w:val="007335F7"/>
    <w:rsid w:val="00733800"/>
    <w:rsid w:val="00733FA6"/>
    <w:rsid w:val="00734B19"/>
    <w:rsid w:val="00734EAF"/>
    <w:rsid w:val="00735E0D"/>
    <w:rsid w:val="0073606C"/>
    <w:rsid w:val="0073684C"/>
    <w:rsid w:val="007371F0"/>
    <w:rsid w:val="0073746B"/>
    <w:rsid w:val="00737CB5"/>
    <w:rsid w:val="00737DD7"/>
    <w:rsid w:val="00740C83"/>
    <w:rsid w:val="00741267"/>
    <w:rsid w:val="0074164F"/>
    <w:rsid w:val="007419B1"/>
    <w:rsid w:val="00741B95"/>
    <w:rsid w:val="00741CFE"/>
    <w:rsid w:val="00741E6D"/>
    <w:rsid w:val="00742446"/>
    <w:rsid w:val="00742668"/>
    <w:rsid w:val="00743199"/>
    <w:rsid w:val="00743373"/>
    <w:rsid w:val="00743A26"/>
    <w:rsid w:val="00744BE6"/>
    <w:rsid w:val="00744EE0"/>
    <w:rsid w:val="0074543D"/>
    <w:rsid w:val="0074582E"/>
    <w:rsid w:val="00745BBB"/>
    <w:rsid w:val="0074634B"/>
    <w:rsid w:val="00746372"/>
    <w:rsid w:val="00746940"/>
    <w:rsid w:val="007469B9"/>
    <w:rsid w:val="00746B20"/>
    <w:rsid w:val="007470E1"/>
    <w:rsid w:val="00747132"/>
    <w:rsid w:val="00747A2A"/>
    <w:rsid w:val="00747C6F"/>
    <w:rsid w:val="00750149"/>
    <w:rsid w:val="0075020B"/>
    <w:rsid w:val="00750478"/>
    <w:rsid w:val="00750779"/>
    <w:rsid w:val="00751113"/>
    <w:rsid w:val="007515A3"/>
    <w:rsid w:val="0075192B"/>
    <w:rsid w:val="00751B4B"/>
    <w:rsid w:val="00752837"/>
    <w:rsid w:val="007530E7"/>
    <w:rsid w:val="00754505"/>
    <w:rsid w:val="00755260"/>
    <w:rsid w:val="00755E70"/>
    <w:rsid w:val="007560E5"/>
    <w:rsid w:val="00756B13"/>
    <w:rsid w:val="0075728B"/>
    <w:rsid w:val="00757D1E"/>
    <w:rsid w:val="0076012D"/>
    <w:rsid w:val="007601C9"/>
    <w:rsid w:val="0076092D"/>
    <w:rsid w:val="007609FE"/>
    <w:rsid w:val="00760D24"/>
    <w:rsid w:val="00760E47"/>
    <w:rsid w:val="0076206A"/>
    <w:rsid w:val="00763453"/>
    <w:rsid w:val="007634B9"/>
    <w:rsid w:val="007638C9"/>
    <w:rsid w:val="00763EBC"/>
    <w:rsid w:val="00764F2F"/>
    <w:rsid w:val="00765223"/>
    <w:rsid w:val="007657EC"/>
    <w:rsid w:val="00765A35"/>
    <w:rsid w:val="007662B0"/>
    <w:rsid w:val="0076674A"/>
    <w:rsid w:val="00766CF1"/>
    <w:rsid w:val="007679BA"/>
    <w:rsid w:val="00767F2E"/>
    <w:rsid w:val="00770B2F"/>
    <w:rsid w:val="00770E7F"/>
    <w:rsid w:val="00771811"/>
    <w:rsid w:val="00772340"/>
    <w:rsid w:val="007723A5"/>
    <w:rsid w:val="0077254C"/>
    <w:rsid w:val="0077263B"/>
    <w:rsid w:val="00772A15"/>
    <w:rsid w:val="00773A9E"/>
    <w:rsid w:val="007743C2"/>
    <w:rsid w:val="00774696"/>
    <w:rsid w:val="0077470C"/>
    <w:rsid w:val="007748DB"/>
    <w:rsid w:val="00774F9E"/>
    <w:rsid w:val="00774FA2"/>
    <w:rsid w:val="007750DD"/>
    <w:rsid w:val="007753E5"/>
    <w:rsid w:val="007758BB"/>
    <w:rsid w:val="00775A02"/>
    <w:rsid w:val="0077613F"/>
    <w:rsid w:val="00776545"/>
    <w:rsid w:val="00776A2A"/>
    <w:rsid w:val="0077712A"/>
    <w:rsid w:val="0077767B"/>
    <w:rsid w:val="00777F94"/>
    <w:rsid w:val="00777FB7"/>
    <w:rsid w:val="007802B7"/>
    <w:rsid w:val="00780ED3"/>
    <w:rsid w:val="00780FAA"/>
    <w:rsid w:val="00781B12"/>
    <w:rsid w:val="00781D7A"/>
    <w:rsid w:val="00782A9A"/>
    <w:rsid w:val="00782D51"/>
    <w:rsid w:val="00782D7F"/>
    <w:rsid w:val="00782F95"/>
    <w:rsid w:val="007832A2"/>
    <w:rsid w:val="00783387"/>
    <w:rsid w:val="0078381C"/>
    <w:rsid w:val="00783FB3"/>
    <w:rsid w:val="00784006"/>
    <w:rsid w:val="007841F6"/>
    <w:rsid w:val="00784841"/>
    <w:rsid w:val="007850EC"/>
    <w:rsid w:val="00785D68"/>
    <w:rsid w:val="00787052"/>
    <w:rsid w:val="007871DC"/>
    <w:rsid w:val="00790386"/>
    <w:rsid w:val="00790548"/>
    <w:rsid w:val="00790562"/>
    <w:rsid w:val="00790D62"/>
    <w:rsid w:val="00791307"/>
    <w:rsid w:val="00791700"/>
    <w:rsid w:val="0079220F"/>
    <w:rsid w:val="0079250C"/>
    <w:rsid w:val="0079272D"/>
    <w:rsid w:val="00792946"/>
    <w:rsid w:val="00792998"/>
    <w:rsid w:val="00792A5A"/>
    <w:rsid w:val="00792C12"/>
    <w:rsid w:val="00792F62"/>
    <w:rsid w:val="0079304E"/>
    <w:rsid w:val="007930F8"/>
    <w:rsid w:val="00793548"/>
    <w:rsid w:val="007944FC"/>
    <w:rsid w:val="00794593"/>
    <w:rsid w:val="007949F0"/>
    <w:rsid w:val="00794F17"/>
    <w:rsid w:val="00795068"/>
    <w:rsid w:val="00795A17"/>
    <w:rsid w:val="0079613D"/>
    <w:rsid w:val="00796F21"/>
    <w:rsid w:val="00797DE9"/>
    <w:rsid w:val="007A1015"/>
    <w:rsid w:val="007A1240"/>
    <w:rsid w:val="007A1C38"/>
    <w:rsid w:val="007A23C8"/>
    <w:rsid w:val="007A2971"/>
    <w:rsid w:val="007A29BA"/>
    <w:rsid w:val="007A3271"/>
    <w:rsid w:val="007A3D0F"/>
    <w:rsid w:val="007A559E"/>
    <w:rsid w:val="007A5721"/>
    <w:rsid w:val="007A590E"/>
    <w:rsid w:val="007A6679"/>
    <w:rsid w:val="007A695C"/>
    <w:rsid w:val="007A7A73"/>
    <w:rsid w:val="007B0486"/>
    <w:rsid w:val="007B0715"/>
    <w:rsid w:val="007B0871"/>
    <w:rsid w:val="007B0B7D"/>
    <w:rsid w:val="007B0CA7"/>
    <w:rsid w:val="007B0D2D"/>
    <w:rsid w:val="007B0F70"/>
    <w:rsid w:val="007B1D41"/>
    <w:rsid w:val="007B2E5D"/>
    <w:rsid w:val="007B330D"/>
    <w:rsid w:val="007B3D53"/>
    <w:rsid w:val="007B404C"/>
    <w:rsid w:val="007B4147"/>
    <w:rsid w:val="007B4504"/>
    <w:rsid w:val="007B450C"/>
    <w:rsid w:val="007B5C46"/>
    <w:rsid w:val="007B68F5"/>
    <w:rsid w:val="007B6D53"/>
    <w:rsid w:val="007B7714"/>
    <w:rsid w:val="007B7B8F"/>
    <w:rsid w:val="007C0322"/>
    <w:rsid w:val="007C03BB"/>
    <w:rsid w:val="007C05B2"/>
    <w:rsid w:val="007C1997"/>
    <w:rsid w:val="007C1EF6"/>
    <w:rsid w:val="007C2D93"/>
    <w:rsid w:val="007C35B3"/>
    <w:rsid w:val="007C4A03"/>
    <w:rsid w:val="007C58C0"/>
    <w:rsid w:val="007C5D75"/>
    <w:rsid w:val="007C5FE2"/>
    <w:rsid w:val="007C6765"/>
    <w:rsid w:val="007C7710"/>
    <w:rsid w:val="007D017E"/>
    <w:rsid w:val="007D0513"/>
    <w:rsid w:val="007D0B9C"/>
    <w:rsid w:val="007D0F5C"/>
    <w:rsid w:val="007D1083"/>
    <w:rsid w:val="007D15A2"/>
    <w:rsid w:val="007D16F1"/>
    <w:rsid w:val="007D1B5B"/>
    <w:rsid w:val="007D21D8"/>
    <w:rsid w:val="007D263B"/>
    <w:rsid w:val="007D2C16"/>
    <w:rsid w:val="007D310D"/>
    <w:rsid w:val="007D3214"/>
    <w:rsid w:val="007D3892"/>
    <w:rsid w:val="007D3B34"/>
    <w:rsid w:val="007D3BF0"/>
    <w:rsid w:val="007D3DCA"/>
    <w:rsid w:val="007D4B9D"/>
    <w:rsid w:val="007D5206"/>
    <w:rsid w:val="007D5437"/>
    <w:rsid w:val="007D5679"/>
    <w:rsid w:val="007D5751"/>
    <w:rsid w:val="007D5BB1"/>
    <w:rsid w:val="007D5E76"/>
    <w:rsid w:val="007D5F18"/>
    <w:rsid w:val="007D6629"/>
    <w:rsid w:val="007D6630"/>
    <w:rsid w:val="007D6968"/>
    <w:rsid w:val="007D76C2"/>
    <w:rsid w:val="007D7D01"/>
    <w:rsid w:val="007E085E"/>
    <w:rsid w:val="007E0C9F"/>
    <w:rsid w:val="007E146A"/>
    <w:rsid w:val="007E15A5"/>
    <w:rsid w:val="007E1928"/>
    <w:rsid w:val="007E1E27"/>
    <w:rsid w:val="007E23C1"/>
    <w:rsid w:val="007E2641"/>
    <w:rsid w:val="007E2B9E"/>
    <w:rsid w:val="007E2D72"/>
    <w:rsid w:val="007E327D"/>
    <w:rsid w:val="007E35C9"/>
    <w:rsid w:val="007E3BB9"/>
    <w:rsid w:val="007E3E01"/>
    <w:rsid w:val="007E3E65"/>
    <w:rsid w:val="007E43E0"/>
    <w:rsid w:val="007E47B7"/>
    <w:rsid w:val="007E497C"/>
    <w:rsid w:val="007E4ADF"/>
    <w:rsid w:val="007E4C14"/>
    <w:rsid w:val="007E5C17"/>
    <w:rsid w:val="007E66A5"/>
    <w:rsid w:val="007E6D1A"/>
    <w:rsid w:val="007E7319"/>
    <w:rsid w:val="007E7689"/>
    <w:rsid w:val="007E7991"/>
    <w:rsid w:val="007E7B41"/>
    <w:rsid w:val="007E7D2A"/>
    <w:rsid w:val="007E7D4F"/>
    <w:rsid w:val="007E7FD5"/>
    <w:rsid w:val="007F081E"/>
    <w:rsid w:val="007F17F7"/>
    <w:rsid w:val="007F1801"/>
    <w:rsid w:val="007F202F"/>
    <w:rsid w:val="007F2136"/>
    <w:rsid w:val="007F2384"/>
    <w:rsid w:val="007F2ED7"/>
    <w:rsid w:val="007F3A80"/>
    <w:rsid w:val="007F3AD3"/>
    <w:rsid w:val="007F3AD9"/>
    <w:rsid w:val="007F3F24"/>
    <w:rsid w:val="007F4C0F"/>
    <w:rsid w:val="007F5044"/>
    <w:rsid w:val="007F5274"/>
    <w:rsid w:val="007F5E0F"/>
    <w:rsid w:val="007F744A"/>
    <w:rsid w:val="008000EF"/>
    <w:rsid w:val="00800934"/>
    <w:rsid w:val="00800EA2"/>
    <w:rsid w:val="00801040"/>
    <w:rsid w:val="008012F9"/>
    <w:rsid w:val="00801747"/>
    <w:rsid w:val="00801D4D"/>
    <w:rsid w:val="00802025"/>
    <w:rsid w:val="0080254E"/>
    <w:rsid w:val="00802A44"/>
    <w:rsid w:val="00802ABE"/>
    <w:rsid w:val="00802B2B"/>
    <w:rsid w:val="00803458"/>
    <w:rsid w:val="00803703"/>
    <w:rsid w:val="008046DA"/>
    <w:rsid w:val="00804FB6"/>
    <w:rsid w:val="008053E4"/>
    <w:rsid w:val="008059B8"/>
    <w:rsid w:val="00806544"/>
    <w:rsid w:val="008067E1"/>
    <w:rsid w:val="00806A93"/>
    <w:rsid w:val="00806E99"/>
    <w:rsid w:val="008070B1"/>
    <w:rsid w:val="008072A2"/>
    <w:rsid w:val="00807471"/>
    <w:rsid w:val="008077D9"/>
    <w:rsid w:val="00807CB7"/>
    <w:rsid w:val="008102D5"/>
    <w:rsid w:val="00810820"/>
    <w:rsid w:val="008110A2"/>
    <w:rsid w:val="008114FE"/>
    <w:rsid w:val="008120D5"/>
    <w:rsid w:val="008122B8"/>
    <w:rsid w:val="00812A0C"/>
    <w:rsid w:val="00813169"/>
    <w:rsid w:val="0081324C"/>
    <w:rsid w:val="00813B47"/>
    <w:rsid w:val="00815442"/>
    <w:rsid w:val="00815BCA"/>
    <w:rsid w:val="00815C83"/>
    <w:rsid w:val="00816682"/>
    <w:rsid w:val="00816757"/>
    <w:rsid w:val="008170B8"/>
    <w:rsid w:val="008174CD"/>
    <w:rsid w:val="008179A8"/>
    <w:rsid w:val="00817A20"/>
    <w:rsid w:val="00817FC2"/>
    <w:rsid w:val="00820473"/>
    <w:rsid w:val="00820573"/>
    <w:rsid w:val="00820A84"/>
    <w:rsid w:val="00821176"/>
    <w:rsid w:val="00821847"/>
    <w:rsid w:val="0082189D"/>
    <w:rsid w:val="00821B04"/>
    <w:rsid w:val="00821CDA"/>
    <w:rsid w:val="00822538"/>
    <w:rsid w:val="00822E81"/>
    <w:rsid w:val="00822F4A"/>
    <w:rsid w:val="00823133"/>
    <w:rsid w:val="008234D5"/>
    <w:rsid w:val="0082361E"/>
    <w:rsid w:val="008240E6"/>
    <w:rsid w:val="008249AE"/>
    <w:rsid w:val="00824AA5"/>
    <w:rsid w:val="00825BFA"/>
    <w:rsid w:val="0082653A"/>
    <w:rsid w:val="008269B1"/>
    <w:rsid w:val="008276F2"/>
    <w:rsid w:val="0082789D"/>
    <w:rsid w:val="008278B4"/>
    <w:rsid w:val="00827D44"/>
    <w:rsid w:val="00827DEB"/>
    <w:rsid w:val="00827DED"/>
    <w:rsid w:val="00830127"/>
    <w:rsid w:val="008301F2"/>
    <w:rsid w:val="00830B9F"/>
    <w:rsid w:val="00830BC7"/>
    <w:rsid w:val="00830BE6"/>
    <w:rsid w:val="00830FAC"/>
    <w:rsid w:val="008316B7"/>
    <w:rsid w:val="0083174D"/>
    <w:rsid w:val="00831836"/>
    <w:rsid w:val="00831CCC"/>
    <w:rsid w:val="0083241C"/>
    <w:rsid w:val="00832B9A"/>
    <w:rsid w:val="008331E6"/>
    <w:rsid w:val="0083393D"/>
    <w:rsid w:val="008339D4"/>
    <w:rsid w:val="00834125"/>
    <w:rsid w:val="00834D6D"/>
    <w:rsid w:val="00835A99"/>
    <w:rsid w:val="00835F2C"/>
    <w:rsid w:val="00836046"/>
    <w:rsid w:val="008368B5"/>
    <w:rsid w:val="008371B5"/>
    <w:rsid w:val="00837411"/>
    <w:rsid w:val="008375D5"/>
    <w:rsid w:val="008379E8"/>
    <w:rsid w:val="00837FD3"/>
    <w:rsid w:val="00840916"/>
    <w:rsid w:val="00841458"/>
    <w:rsid w:val="008418F5"/>
    <w:rsid w:val="00841924"/>
    <w:rsid w:val="00841D3B"/>
    <w:rsid w:val="008424C1"/>
    <w:rsid w:val="0084294E"/>
    <w:rsid w:val="00842964"/>
    <w:rsid w:val="00843029"/>
    <w:rsid w:val="00843649"/>
    <w:rsid w:val="008436B4"/>
    <w:rsid w:val="00844D02"/>
    <w:rsid w:val="00844FC5"/>
    <w:rsid w:val="00845FF8"/>
    <w:rsid w:val="00846467"/>
    <w:rsid w:val="00846509"/>
    <w:rsid w:val="00846BF2"/>
    <w:rsid w:val="00847107"/>
    <w:rsid w:val="00847475"/>
    <w:rsid w:val="00847711"/>
    <w:rsid w:val="00850421"/>
    <w:rsid w:val="00850496"/>
    <w:rsid w:val="00850BA8"/>
    <w:rsid w:val="00850D4A"/>
    <w:rsid w:val="00850D4D"/>
    <w:rsid w:val="00851155"/>
    <w:rsid w:val="00852539"/>
    <w:rsid w:val="0085332D"/>
    <w:rsid w:val="00853954"/>
    <w:rsid w:val="00853D56"/>
    <w:rsid w:val="00853F87"/>
    <w:rsid w:val="008547EB"/>
    <w:rsid w:val="00854A33"/>
    <w:rsid w:val="008552CD"/>
    <w:rsid w:val="00855B36"/>
    <w:rsid w:val="00855D3C"/>
    <w:rsid w:val="0085606E"/>
    <w:rsid w:val="0085609E"/>
    <w:rsid w:val="00856259"/>
    <w:rsid w:val="0085666C"/>
    <w:rsid w:val="0085733D"/>
    <w:rsid w:val="008574AD"/>
    <w:rsid w:val="00857A42"/>
    <w:rsid w:val="00860FF9"/>
    <w:rsid w:val="00861CE0"/>
    <w:rsid w:val="008623C1"/>
    <w:rsid w:val="00862E33"/>
    <w:rsid w:val="00862ECD"/>
    <w:rsid w:val="00863175"/>
    <w:rsid w:val="008632E9"/>
    <w:rsid w:val="0086332A"/>
    <w:rsid w:val="0086393A"/>
    <w:rsid w:val="00863EDC"/>
    <w:rsid w:val="00864106"/>
    <w:rsid w:val="00864314"/>
    <w:rsid w:val="00864622"/>
    <w:rsid w:val="0086464F"/>
    <w:rsid w:val="00864AF0"/>
    <w:rsid w:val="00864CB0"/>
    <w:rsid w:val="00865157"/>
    <w:rsid w:val="0086570B"/>
    <w:rsid w:val="0086584A"/>
    <w:rsid w:val="00865A02"/>
    <w:rsid w:val="00866211"/>
    <w:rsid w:val="00866EBD"/>
    <w:rsid w:val="00866F4D"/>
    <w:rsid w:val="008670DC"/>
    <w:rsid w:val="008671FE"/>
    <w:rsid w:val="008700CB"/>
    <w:rsid w:val="00870124"/>
    <w:rsid w:val="00870526"/>
    <w:rsid w:val="008708E1"/>
    <w:rsid w:val="008713E8"/>
    <w:rsid w:val="00871B26"/>
    <w:rsid w:val="008733E4"/>
    <w:rsid w:val="008748B0"/>
    <w:rsid w:val="008756D8"/>
    <w:rsid w:val="008759A1"/>
    <w:rsid w:val="00875B12"/>
    <w:rsid w:val="00881806"/>
    <w:rsid w:val="00882DD0"/>
    <w:rsid w:val="00883358"/>
    <w:rsid w:val="00883BDC"/>
    <w:rsid w:val="008843A5"/>
    <w:rsid w:val="00884483"/>
    <w:rsid w:val="0088452E"/>
    <w:rsid w:val="00884818"/>
    <w:rsid w:val="00884994"/>
    <w:rsid w:val="008855B4"/>
    <w:rsid w:val="00885885"/>
    <w:rsid w:val="0088626F"/>
    <w:rsid w:val="008863AD"/>
    <w:rsid w:val="00886D8D"/>
    <w:rsid w:val="00887235"/>
    <w:rsid w:val="0088729C"/>
    <w:rsid w:val="008874FE"/>
    <w:rsid w:val="008877A2"/>
    <w:rsid w:val="00887844"/>
    <w:rsid w:val="00887860"/>
    <w:rsid w:val="00887889"/>
    <w:rsid w:val="00890AAD"/>
    <w:rsid w:val="008914FE"/>
    <w:rsid w:val="008919D7"/>
    <w:rsid w:val="00891C92"/>
    <w:rsid w:val="00891DDB"/>
    <w:rsid w:val="00892192"/>
    <w:rsid w:val="008924DB"/>
    <w:rsid w:val="0089399E"/>
    <w:rsid w:val="0089443C"/>
    <w:rsid w:val="0089444F"/>
    <w:rsid w:val="00894BE2"/>
    <w:rsid w:val="00894D53"/>
    <w:rsid w:val="0089504B"/>
    <w:rsid w:val="00895D17"/>
    <w:rsid w:val="008960D0"/>
    <w:rsid w:val="00896707"/>
    <w:rsid w:val="0089682C"/>
    <w:rsid w:val="008970F2"/>
    <w:rsid w:val="00897735"/>
    <w:rsid w:val="008A02B5"/>
    <w:rsid w:val="008A07E2"/>
    <w:rsid w:val="008A1B06"/>
    <w:rsid w:val="008A1C80"/>
    <w:rsid w:val="008A1DE6"/>
    <w:rsid w:val="008A1E54"/>
    <w:rsid w:val="008A206D"/>
    <w:rsid w:val="008A20E2"/>
    <w:rsid w:val="008A2748"/>
    <w:rsid w:val="008A284B"/>
    <w:rsid w:val="008A2904"/>
    <w:rsid w:val="008A2AB6"/>
    <w:rsid w:val="008A36FA"/>
    <w:rsid w:val="008A3C9A"/>
    <w:rsid w:val="008A3E43"/>
    <w:rsid w:val="008A48B0"/>
    <w:rsid w:val="008A4AB9"/>
    <w:rsid w:val="008A4AE0"/>
    <w:rsid w:val="008A4D8D"/>
    <w:rsid w:val="008A5049"/>
    <w:rsid w:val="008A5E5E"/>
    <w:rsid w:val="008A5E69"/>
    <w:rsid w:val="008A63DF"/>
    <w:rsid w:val="008A6B25"/>
    <w:rsid w:val="008A6E1B"/>
    <w:rsid w:val="008A73D8"/>
    <w:rsid w:val="008A7B6A"/>
    <w:rsid w:val="008A7D44"/>
    <w:rsid w:val="008A7FD7"/>
    <w:rsid w:val="008B0070"/>
    <w:rsid w:val="008B02E6"/>
    <w:rsid w:val="008B11CA"/>
    <w:rsid w:val="008B123C"/>
    <w:rsid w:val="008B1623"/>
    <w:rsid w:val="008B3001"/>
    <w:rsid w:val="008B34A3"/>
    <w:rsid w:val="008B3E80"/>
    <w:rsid w:val="008B5223"/>
    <w:rsid w:val="008B5BC8"/>
    <w:rsid w:val="008B5DC1"/>
    <w:rsid w:val="008B5FA8"/>
    <w:rsid w:val="008B7AB0"/>
    <w:rsid w:val="008C0B6A"/>
    <w:rsid w:val="008C0E0E"/>
    <w:rsid w:val="008C1929"/>
    <w:rsid w:val="008C219C"/>
    <w:rsid w:val="008C2D35"/>
    <w:rsid w:val="008C3672"/>
    <w:rsid w:val="008C3A81"/>
    <w:rsid w:val="008C40E4"/>
    <w:rsid w:val="008C4120"/>
    <w:rsid w:val="008C439F"/>
    <w:rsid w:val="008C521D"/>
    <w:rsid w:val="008C5A06"/>
    <w:rsid w:val="008C5E37"/>
    <w:rsid w:val="008C6217"/>
    <w:rsid w:val="008C65FE"/>
    <w:rsid w:val="008C6C21"/>
    <w:rsid w:val="008C6E35"/>
    <w:rsid w:val="008C70F9"/>
    <w:rsid w:val="008C7B05"/>
    <w:rsid w:val="008C7DBB"/>
    <w:rsid w:val="008C7E14"/>
    <w:rsid w:val="008D032D"/>
    <w:rsid w:val="008D08FF"/>
    <w:rsid w:val="008D0AA7"/>
    <w:rsid w:val="008D0D8A"/>
    <w:rsid w:val="008D1961"/>
    <w:rsid w:val="008D1E88"/>
    <w:rsid w:val="008D2AFA"/>
    <w:rsid w:val="008D3001"/>
    <w:rsid w:val="008D3029"/>
    <w:rsid w:val="008D31C3"/>
    <w:rsid w:val="008D3BDB"/>
    <w:rsid w:val="008D4026"/>
    <w:rsid w:val="008D4DFD"/>
    <w:rsid w:val="008D516A"/>
    <w:rsid w:val="008D5877"/>
    <w:rsid w:val="008D5A81"/>
    <w:rsid w:val="008D5CD4"/>
    <w:rsid w:val="008D5D43"/>
    <w:rsid w:val="008D637A"/>
    <w:rsid w:val="008D66C1"/>
    <w:rsid w:val="008D678E"/>
    <w:rsid w:val="008D7056"/>
    <w:rsid w:val="008D719A"/>
    <w:rsid w:val="008D7B4C"/>
    <w:rsid w:val="008D7F75"/>
    <w:rsid w:val="008E04AC"/>
    <w:rsid w:val="008E04B2"/>
    <w:rsid w:val="008E1007"/>
    <w:rsid w:val="008E18DD"/>
    <w:rsid w:val="008E1AD5"/>
    <w:rsid w:val="008E21B8"/>
    <w:rsid w:val="008E22E7"/>
    <w:rsid w:val="008E2D1C"/>
    <w:rsid w:val="008E3587"/>
    <w:rsid w:val="008E3F7D"/>
    <w:rsid w:val="008E423F"/>
    <w:rsid w:val="008E4440"/>
    <w:rsid w:val="008E46E3"/>
    <w:rsid w:val="008E4D44"/>
    <w:rsid w:val="008E4F65"/>
    <w:rsid w:val="008E51E5"/>
    <w:rsid w:val="008E6240"/>
    <w:rsid w:val="008E62FB"/>
    <w:rsid w:val="008E6341"/>
    <w:rsid w:val="008E6550"/>
    <w:rsid w:val="008E65EC"/>
    <w:rsid w:val="008E6817"/>
    <w:rsid w:val="008E6CBA"/>
    <w:rsid w:val="008E6D6F"/>
    <w:rsid w:val="008E6F47"/>
    <w:rsid w:val="008E718A"/>
    <w:rsid w:val="008E7560"/>
    <w:rsid w:val="008E75B3"/>
    <w:rsid w:val="008F0111"/>
    <w:rsid w:val="008F041B"/>
    <w:rsid w:val="008F0499"/>
    <w:rsid w:val="008F0ECE"/>
    <w:rsid w:val="008F1407"/>
    <w:rsid w:val="008F1F09"/>
    <w:rsid w:val="008F2846"/>
    <w:rsid w:val="008F2B4F"/>
    <w:rsid w:val="008F2CD6"/>
    <w:rsid w:val="008F3B49"/>
    <w:rsid w:val="008F3B73"/>
    <w:rsid w:val="008F3C78"/>
    <w:rsid w:val="008F4136"/>
    <w:rsid w:val="008F4137"/>
    <w:rsid w:val="008F455D"/>
    <w:rsid w:val="008F50BE"/>
    <w:rsid w:val="008F5540"/>
    <w:rsid w:val="008F5766"/>
    <w:rsid w:val="008F5996"/>
    <w:rsid w:val="008F5A62"/>
    <w:rsid w:val="008F5B7C"/>
    <w:rsid w:val="008F5C10"/>
    <w:rsid w:val="008F5F54"/>
    <w:rsid w:val="008F63AA"/>
    <w:rsid w:val="008F64C8"/>
    <w:rsid w:val="008F69A0"/>
    <w:rsid w:val="008F70A4"/>
    <w:rsid w:val="008F767E"/>
    <w:rsid w:val="008F7908"/>
    <w:rsid w:val="008F7CCE"/>
    <w:rsid w:val="008F7D59"/>
    <w:rsid w:val="00902889"/>
    <w:rsid w:val="00902F9D"/>
    <w:rsid w:val="009030E8"/>
    <w:rsid w:val="00903158"/>
    <w:rsid w:val="00903FDE"/>
    <w:rsid w:val="009041CE"/>
    <w:rsid w:val="009042CA"/>
    <w:rsid w:val="009048DC"/>
    <w:rsid w:val="009049D8"/>
    <w:rsid w:val="00904D22"/>
    <w:rsid w:val="00904D64"/>
    <w:rsid w:val="00905738"/>
    <w:rsid w:val="0090593E"/>
    <w:rsid w:val="00905B4E"/>
    <w:rsid w:val="00905BE4"/>
    <w:rsid w:val="00905E13"/>
    <w:rsid w:val="00905F6D"/>
    <w:rsid w:val="0090606C"/>
    <w:rsid w:val="00906786"/>
    <w:rsid w:val="009069EF"/>
    <w:rsid w:val="00907335"/>
    <w:rsid w:val="009076F6"/>
    <w:rsid w:val="00907B08"/>
    <w:rsid w:val="0091044B"/>
    <w:rsid w:val="00910634"/>
    <w:rsid w:val="009109A2"/>
    <w:rsid w:val="0091145A"/>
    <w:rsid w:val="00911B12"/>
    <w:rsid w:val="00911B28"/>
    <w:rsid w:val="009120C2"/>
    <w:rsid w:val="0091220F"/>
    <w:rsid w:val="00912AEC"/>
    <w:rsid w:val="00912BD3"/>
    <w:rsid w:val="0091308B"/>
    <w:rsid w:val="009133B7"/>
    <w:rsid w:val="00913857"/>
    <w:rsid w:val="00913EFD"/>
    <w:rsid w:val="009149CF"/>
    <w:rsid w:val="00914C20"/>
    <w:rsid w:val="009153FA"/>
    <w:rsid w:val="00915572"/>
    <w:rsid w:val="009157B8"/>
    <w:rsid w:val="00915A25"/>
    <w:rsid w:val="00915CCE"/>
    <w:rsid w:val="00916078"/>
    <w:rsid w:val="0091624A"/>
    <w:rsid w:val="00916406"/>
    <w:rsid w:val="00917A53"/>
    <w:rsid w:val="00920374"/>
    <w:rsid w:val="00920A92"/>
    <w:rsid w:val="00921558"/>
    <w:rsid w:val="00921C22"/>
    <w:rsid w:val="00922084"/>
    <w:rsid w:val="00923D38"/>
    <w:rsid w:val="00924BA0"/>
    <w:rsid w:val="00924C79"/>
    <w:rsid w:val="009250D6"/>
    <w:rsid w:val="0092545A"/>
    <w:rsid w:val="0092550F"/>
    <w:rsid w:val="00925935"/>
    <w:rsid w:val="00925AAC"/>
    <w:rsid w:val="00925ACC"/>
    <w:rsid w:val="00925CB9"/>
    <w:rsid w:val="009267B9"/>
    <w:rsid w:val="00926A2A"/>
    <w:rsid w:val="00926BA9"/>
    <w:rsid w:val="00926D59"/>
    <w:rsid w:val="0092705C"/>
    <w:rsid w:val="0093074F"/>
    <w:rsid w:val="009309DD"/>
    <w:rsid w:val="00930B7E"/>
    <w:rsid w:val="009310EF"/>
    <w:rsid w:val="009318CD"/>
    <w:rsid w:val="0093289B"/>
    <w:rsid w:val="00932EAA"/>
    <w:rsid w:val="00933062"/>
    <w:rsid w:val="00933A6E"/>
    <w:rsid w:val="00933EEE"/>
    <w:rsid w:val="00934513"/>
    <w:rsid w:val="00934790"/>
    <w:rsid w:val="0093491A"/>
    <w:rsid w:val="0093497B"/>
    <w:rsid w:val="009351AE"/>
    <w:rsid w:val="009351DF"/>
    <w:rsid w:val="00935DA0"/>
    <w:rsid w:val="009365CA"/>
    <w:rsid w:val="009368FB"/>
    <w:rsid w:val="009371D6"/>
    <w:rsid w:val="00941A0D"/>
    <w:rsid w:val="00941AC7"/>
    <w:rsid w:val="00941CA7"/>
    <w:rsid w:val="00941CCA"/>
    <w:rsid w:val="00942A5F"/>
    <w:rsid w:val="00942ADE"/>
    <w:rsid w:val="00942E85"/>
    <w:rsid w:val="00942E8F"/>
    <w:rsid w:val="00943B6E"/>
    <w:rsid w:val="00943F7B"/>
    <w:rsid w:val="00944368"/>
    <w:rsid w:val="009449D5"/>
    <w:rsid w:val="00944D28"/>
    <w:rsid w:val="00944D4F"/>
    <w:rsid w:val="0094589D"/>
    <w:rsid w:val="00945E9B"/>
    <w:rsid w:val="00945F4E"/>
    <w:rsid w:val="009466E5"/>
    <w:rsid w:val="00946AAE"/>
    <w:rsid w:val="00946C71"/>
    <w:rsid w:val="00946E0D"/>
    <w:rsid w:val="00947331"/>
    <w:rsid w:val="009476EB"/>
    <w:rsid w:val="00947F7E"/>
    <w:rsid w:val="00950B89"/>
    <w:rsid w:val="00950EDE"/>
    <w:rsid w:val="00951069"/>
    <w:rsid w:val="0095147A"/>
    <w:rsid w:val="00951C7A"/>
    <w:rsid w:val="00951D8E"/>
    <w:rsid w:val="00951FEE"/>
    <w:rsid w:val="0095213A"/>
    <w:rsid w:val="009523F1"/>
    <w:rsid w:val="00952EBA"/>
    <w:rsid w:val="009530B6"/>
    <w:rsid w:val="009537CD"/>
    <w:rsid w:val="00954A96"/>
    <w:rsid w:val="00954D7D"/>
    <w:rsid w:val="009561D5"/>
    <w:rsid w:val="0095643C"/>
    <w:rsid w:val="009564AA"/>
    <w:rsid w:val="009579CC"/>
    <w:rsid w:val="00957ABD"/>
    <w:rsid w:val="00957BBB"/>
    <w:rsid w:val="00957C87"/>
    <w:rsid w:val="0096044D"/>
    <w:rsid w:val="00960539"/>
    <w:rsid w:val="00960E3A"/>
    <w:rsid w:val="009623BB"/>
    <w:rsid w:val="009623D7"/>
    <w:rsid w:val="0096263C"/>
    <w:rsid w:val="0096290C"/>
    <w:rsid w:val="00962A5E"/>
    <w:rsid w:val="00962E70"/>
    <w:rsid w:val="009637B2"/>
    <w:rsid w:val="00963B02"/>
    <w:rsid w:val="00964A50"/>
    <w:rsid w:val="00964A9E"/>
    <w:rsid w:val="009654AD"/>
    <w:rsid w:val="00965978"/>
    <w:rsid w:val="009664EC"/>
    <w:rsid w:val="0096705C"/>
    <w:rsid w:val="009677B8"/>
    <w:rsid w:val="0096796E"/>
    <w:rsid w:val="009679E4"/>
    <w:rsid w:val="009700D8"/>
    <w:rsid w:val="00970352"/>
    <w:rsid w:val="00970CC2"/>
    <w:rsid w:val="009710B1"/>
    <w:rsid w:val="00971EA4"/>
    <w:rsid w:val="009736AE"/>
    <w:rsid w:val="009741BF"/>
    <w:rsid w:val="0097462B"/>
    <w:rsid w:val="009747E1"/>
    <w:rsid w:val="0097496A"/>
    <w:rsid w:val="00974B4B"/>
    <w:rsid w:val="009756EE"/>
    <w:rsid w:val="00975E1C"/>
    <w:rsid w:val="00975EB1"/>
    <w:rsid w:val="0097662E"/>
    <w:rsid w:val="00976A8A"/>
    <w:rsid w:val="00976AA7"/>
    <w:rsid w:val="00977431"/>
    <w:rsid w:val="00977916"/>
    <w:rsid w:val="00977F40"/>
    <w:rsid w:val="0098035C"/>
    <w:rsid w:val="009808A4"/>
    <w:rsid w:val="00980E80"/>
    <w:rsid w:val="00981942"/>
    <w:rsid w:val="0098201D"/>
    <w:rsid w:val="00982490"/>
    <w:rsid w:val="009824DF"/>
    <w:rsid w:val="0098392B"/>
    <w:rsid w:val="00983BC8"/>
    <w:rsid w:val="00983FA5"/>
    <w:rsid w:val="0098423B"/>
    <w:rsid w:val="00984C82"/>
    <w:rsid w:val="00984F08"/>
    <w:rsid w:val="00984F5D"/>
    <w:rsid w:val="009855B1"/>
    <w:rsid w:val="00985856"/>
    <w:rsid w:val="00985CE1"/>
    <w:rsid w:val="00986322"/>
    <w:rsid w:val="0098795D"/>
    <w:rsid w:val="009900F7"/>
    <w:rsid w:val="0099024A"/>
    <w:rsid w:val="00990DA3"/>
    <w:rsid w:val="00991444"/>
    <w:rsid w:val="0099146D"/>
    <w:rsid w:val="00991787"/>
    <w:rsid w:val="009917D1"/>
    <w:rsid w:val="00991C1D"/>
    <w:rsid w:val="00992780"/>
    <w:rsid w:val="00992A82"/>
    <w:rsid w:val="00992E5C"/>
    <w:rsid w:val="00992EE8"/>
    <w:rsid w:val="009935FD"/>
    <w:rsid w:val="00994399"/>
    <w:rsid w:val="0099476E"/>
    <w:rsid w:val="00994E03"/>
    <w:rsid w:val="009955D7"/>
    <w:rsid w:val="009956E8"/>
    <w:rsid w:val="00995856"/>
    <w:rsid w:val="009958F6"/>
    <w:rsid w:val="00995955"/>
    <w:rsid w:val="00996351"/>
    <w:rsid w:val="00996A2D"/>
    <w:rsid w:val="00996B05"/>
    <w:rsid w:val="009972B0"/>
    <w:rsid w:val="00997F14"/>
    <w:rsid w:val="009A00B4"/>
    <w:rsid w:val="009A027C"/>
    <w:rsid w:val="009A04E1"/>
    <w:rsid w:val="009A0CF3"/>
    <w:rsid w:val="009A1DF0"/>
    <w:rsid w:val="009A1E5E"/>
    <w:rsid w:val="009A29F2"/>
    <w:rsid w:val="009A2CD8"/>
    <w:rsid w:val="009A3993"/>
    <w:rsid w:val="009A3BDC"/>
    <w:rsid w:val="009A4BBD"/>
    <w:rsid w:val="009A4E48"/>
    <w:rsid w:val="009A579C"/>
    <w:rsid w:val="009A5BFD"/>
    <w:rsid w:val="009A5FC1"/>
    <w:rsid w:val="009A608B"/>
    <w:rsid w:val="009A6345"/>
    <w:rsid w:val="009A77F6"/>
    <w:rsid w:val="009A7E82"/>
    <w:rsid w:val="009B0014"/>
    <w:rsid w:val="009B01CF"/>
    <w:rsid w:val="009B0598"/>
    <w:rsid w:val="009B05B5"/>
    <w:rsid w:val="009B0785"/>
    <w:rsid w:val="009B0A8D"/>
    <w:rsid w:val="009B182C"/>
    <w:rsid w:val="009B1987"/>
    <w:rsid w:val="009B1D41"/>
    <w:rsid w:val="009B1D90"/>
    <w:rsid w:val="009B1EAD"/>
    <w:rsid w:val="009B1F3D"/>
    <w:rsid w:val="009B245B"/>
    <w:rsid w:val="009B26CB"/>
    <w:rsid w:val="009B29C6"/>
    <w:rsid w:val="009B2E44"/>
    <w:rsid w:val="009B31DE"/>
    <w:rsid w:val="009B3565"/>
    <w:rsid w:val="009B3DEB"/>
    <w:rsid w:val="009B4274"/>
    <w:rsid w:val="009B46E0"/>
    <w:rsid w:val="009B4717"/>
    <w:rsid w:val="009B4747"/>
    <w:rsid w:val="009B4B78"/>
    <w:rsid w:val="009B4BA3"/>
    <w:rsid w:val="009B55B9"/>
    <w:rsid w:val="009B5A26"/>
    <w:rsid w:val="009B6036"/>
    <w:rsid w:val="009B61CB"/>
    <w:rsid w:val="009B627D"/>
    <w:rsid w:val="009B6552"/>
    <w:rsid w:val="009B675B"/>
    <w:rsid w:val="009B6EFB"/>
    <w:rsid w:val="009B7031"/>
    <w:rsid w:val="009B7526"/>
    <w:rsid w:val="009B764F"/>
    <w:rsid w:val="009C0525"/>
    <w:rsid w:val="009C0564"/>
    <w:rsid w:val="009C1281"/>
    <w:rsid w:val="009C16E4"/>
    <w:rsid w:val="009C178A"/>
    <w:rsid w:val="009C1853"/>
    <w:rsid w:val="009C29FD"/>
    <w:rsid w:val="009C305C"/>
    <w:rsid w:val="009C32B7"/>
    <w:rsid w:val="009C37AC"/>
    <w:rsid w:val="009C41C4"/>
    <w:rsid w:val="009C4C9C"/>
    <w:rsid w:val="009C5081"/>
    <w:rsid w:val="009C5C87"/>
    <w:rsid w:val="009C6FD8"/>
    <w:rsid w:val="009C7D5A"/>
    <w:rsid w:val="009C7DB3"/>
    <w:rsid w:val="009D07ED"/>
    <w:rsid w:val="009D0CB5"/>
    <w:rsid w:val="009D0D2C"/>
    <w:rsid w:val="009D0E0D"/>
    <w:rsid w:val="009D0F6B"/>
    <w:rsid w:val="009D0FFA"/>
    <w:rsid w:val="009D10A1"/>
    <w:rsid w:val="009D1AFF"/>
    <w:rsid w:val="009D1B64"/>
    <w:rsid w:val="009D1B81"/>
    <w:rsid w:val="009D20BE"/>
    <w:rsid w:val="009D26CA"/>
    <w:rsid w:val="009D27A3"/>
    <w:rsid w:val="009D3262"/>
    <w:rsid w:val="009D3D23"/>
    <w:rsid w:val="009D3E86"/>
    <w:rsid w:val="009D3F88"/>
    <w:rsid w:val="009D40AF"/>
    <w:rsid w:val="009D4471"/>
    <w:rsid w:val="009D546C"/>
    <w:rsid w:val="009D5D37"/>
    <w:rsid w:val="009D5E43"/>
    <w:rsid w:val="009D6251"/>
    <w:rsid w:val="009D63EF"/>
    <w:rsid w:val="009D657E"/>
    <w:rsid w:val="009D6689"/>
    <w:rsid w:val="009D6B66"/>
    <w:rsid w:val="009D6DE2"/>
    <w:rsid w:val="009D7016"/>
    <w:rsid w:val="009D73C6"/>
    <w:rsid w:val="009D77E5"/>
    <w:rsid w:val="009D7B93"/>
    <w:rsid w:val="009D7DA3"/>
    <w:rsid w:val="009E0216"/>
    <w:rsid w:val="009E09E1"/>
    <w:rsid w:val="009E0D93"/>
    <w:rsid w:val="009E132F"/>
    <w:rsid w:val="009E17BE"/>
    <w:rsid w:val="009E17F4"/>
    <w:rsid w:val="009E1825"/>
    <w:rsid w:val="009E2621"/>
    <w:rsid w:val="009E28D3"/>
    <w:rsid w:val="009E37AC"/>
    <w:rsid w:val="009E3B24"/>
    <w:rsid w:val="009E3BAE"/>
    <w:rsid w:val="009E3D89"/>
    <w:rsid w:val="009E3F30"/>
    <w:rsid w:val="009E46B9"/>
    <w:rsid w:val="009E584A"/>
    <w:rsid w:val="009E58F7"/>
    <w:rsid w:val="009E5C3D"/>
    <w:rsid w:val="009E6D08"/>
    <w:rsid w:val="009E74FF"/>
    <w:rsid w:val="009E77D8"/>
    <w:rsid w:val="009E7E34"/>
    <w:rsid w:val="009F005A"/>
    <w:rsid w:val="009F0607"/>
    <w:rsid w:val="009F0735"/>
    <w:rsid w:val="009F09C9"/>
    <w:rsid w:val="009F0E80"/>
    <w:rsid w:val="009F130B"/>
    <w:rsid w:val="009F1A7E"/>
    <w:rsid w:val="009F2456"/>
    <w:rsid w:val="009F2A05"/>
    <w:rsid w:val="009F32F5"/>
    <w:rsid w:val="009F38AA"/>
    <w:rsid w:val="009F3ECA"/>
    <w:rsid w:val="009F4D35"/>
    <w:rsid w:val="009F4DC3"/>
    <w:rsid w:val="009F53B7"/>
    <w:rsid w:val="009F5A18"/>
    <w:rsid w:val="009F5BD1"/>
    <w:rsid w:val="009F6094"/>
    <w:rsid w:val="009F644F"/>
    <w:rsid w:val="009F6E29"/>
    <w:rsid w:val="009F7257"/>
    <w:rsid w:val="009F739B"/>
    <w:rsid w:val="009F7784"/>
    <w:rsid w:val="009F7B90"/>
    <w:rsid w:val="009F7BEE"/>
    <w:rsid w:val="00A00AB2"/>
    <w:rsid w:val="00A00B49"/>
    <w:rsid w:val="00A0114A"/>
    <w:rsid w:val="00A018FD"/>
    <w:rsid w:val="00A01E45"/>
    <w:rsid w:val="00A02167"/>
    <w:rsid w:val="00A03199"/>
    <w:rsid w:val="00A03767"/>
    <w:rsid w:val="00A03AE2"/>
    <w:rsid w:val="00A03BB5"/>
    <w:rsid w:val="00A0443A"/>
    <w:rsid w:val="00A05448"/>
    <w:rsid w:val="00A05BBF"/>
    <w:rsid w:val="00A05E66"/>
    <w:rsid w:val="00A06E05"/>
    <w:rsid w:val="00A07032"/>
    <w:rsid w:val="00A075AB"/>
    <w:rsid w:val="00A0796A"/>
    <w:rsid w:val="00A07EDD"/>
    <w:rsid w:val="00A101C4"/>
    <w:rsid w:val="00A10427"/>
    <w:rsid w:val="00A1077B"/>
    <w:rsid w:val="00A108AB"/>
    <w:rsid w:val="00A114FC"/>
    <w:rsid w:val="00A1161F"/>
    <w:rsid w:val="00A11889"/>
    <w:rsid w:val="00A12020"/>
    <w:rsid w:val="00A122A1"/>
    <w:rsid w:val="00A131EF"/>
    <w:rsid w:val="00A13470"/>
    <w:rsid w:val="00A141EB"/>
    <w:rsid w:val="00A1451A"/>
    <w:rsid w:val="00A146BE"/>
    <w:rsid w:val="00A149E7"/>
    <w:rsid w:val="00A14CF9"/>
    <w:rsid w:val="00A15042"/>
    <w:rsid w:val="00A15CAB"/>
    <w:rsid w:val="00A1653F"/>
    <w:rsid w:val="00A1672C"/>
    <w:rsid w:val="00A1674E"/>
    <w:rsid w:val="00A16FF2"/>
    <w:rsid w:val="00A17642"/>
    <w:rsid w:val="00A200CD"/>
    <w:rsid w:val="00A20157"/>
    <w:rsid w:val="00A206C8"/>
    <w:rsid w:val="00A216D4"/>
    <w:rsid w:val="00A21886"/>
    <w:rsid w:val="00A21FA0"/>
    <w:rsid w:val="00A22535"/>
    <w:rsid w:val="00A22801"/>
    <w:rsid w:val="00A22F8E"/>
    <w:rsid w:val="00A23264"/>
    <w:rsid w:val="00A23591"/>
    <w:rsid w:val="00A23865"/>
    <w:rsid w:val="00A23B8F"/>
    <w:rsid w:val="00A23E12"/>
    <w:rsid w:val="00A23E3C"/>
    <w:rsid w:val="00A23F6C"/>
    <w:rsid w:val="00A241F3"/>
    <w:rsid w:val="00A24797"/>
    <w:rsid w:val="00A24BC5"/>
    <w:rsid w:val="00A25982"/>
    <w:rsid w:val="00A262E0"/>
    <w:rsid w:val="00A265E8"/>
    <w:rsid w:val="00A267E9"/>
    <w:rsid w:val="00A268B9"/>
    <w:rsid w:val="00A26F78"/>
    <w:rsid w:val="00A26FBD"/>
    <w:rsid w:val="00A272F7"/>
    <w:rsid w:val="00A305CA"/>
    <w:rsid w:val="00A30D7A"/>
    <w:rsid w:val="00A3148D"/>
    <w:rsid w:val="00A31B5B"/>
    <w:rsid w:val="00A31B81"/>
    <w:rsid w:val="00A32211"/>
    <w:rsid w:val="00A325FE"/>
    <w:rsid w:val="00A32F3E"/>
    <w:rsid w:val="00A3356F"/>
    <w:rsid w:val="00A34543"/>
    <w:rsid w:val="00A34586"/>
    <w:rsid w:val="00A34E32"/>
    <w:rsid w:val="00A354C3"/>
    <w:rsid w:val="00A35515"/>
    <w:rsid w:val="00A355D4"/>
    <w:rsid w:val="00A35671"/>
    <w:rsid w:val="00A35F93"/>
    <w:rsid w:val="00A3619D"/>
    <w:rsid w:val="00A3667C"/>
    <w:rsid w:val="00A36735"/>
    <w:rsid w:val="00A369C9"/>
    <w:rsid w:val="00A36FAB"/>
    <w:rsid w:val="00A375FB"/>
    <w:rsid w:val="00A37726"/>
    <w:rsid w:val="00A37779"/>
    <w:rsid w:val="00A37EAD"/>
    <w:rsid w:val="00A4030A"/>
    <w:rsid w:val="00A40497"/>
    <w:rsid w:val="00A405C0"/>
    <w:rsid w:val="00A4174F"/>
    <w:rsid w:val="00A42195"/>
    <w:rsid w:val="00A43A10"/>
    <w:rsid w:val="00A43B0F"/>
    <w:rsid w:val="00A43D26"/>
    <w:rsid w:val="00A44077"/>
    <w:rsid w:val="00A441CB"/>
    <w:rsid w:val="00A44333"/>
    <w:rsid w:val="00A44416"/>
    <w:rsid w:val="00A44560"/>
    <w:rsid w:val="00A44937"/>
    <w:rsid w:val="00A44A29"/>
    <w:rsid w:val="00A44B08"/>
    <w:rsid w:val="00A4517E"/>
    <w:rsid w:val="00A452E5"/>
    <w:rsid w:val="00A4560F"/>
    <w:rsid w:val="00A45687"/>
    <w:rsid w:val="00A45D69"/>
    <w:rsid w:val="00A50337"/>
    <w:rsid w:val="00A503F5"/>
    <w:rsid w:val="00A517FF"/>
    <w:rsid w:val="00A51851"/>
    <w:rsid w:val="00A51E0C"/>
    <w:rsid w:val="00A52350"/>
    <w:rsid w:val="00A523D3"/>
    <w:rsid w:val="00A52515"/>
    <w:rsid w:val="00A532CF"/>
    <w:rsid w:val="00A53684"/>
    <w:rsid w:val="00A539EF"/>
    <w:rsid w:val="00A540D7"/>
    <w:rsid w:val="00A54119"/>
    <w:rsid w:val="00A546E1"/>
    <w:rsid w:val="00A54F68"/>
    <w:rsid w:val="00A553A1"/>
    <w:rsid w:val="00A558DD"/>
    <w:rsid w:val="00A558FD"/>
    <w:rsid w:val="00A55FA7"/>
    <w:rsid w:val="00A56A7B"/>
    <w:rsid w:val="00A573DE"/>
    <w:rsid w:val="00A574C1"/>
    <w:rsid w:val="00A575EC"/>
    <w:rsid w:val="00A5778C"/>
    <w:rsid w:val="00A578FD"/>
    <w:rsid w:val="00A57CB5"/>
    <w:rsid w:val="00A6029C"/>
    <w:rsid w:val="00A614CE"/>
    <w:rsid w:val="00A618C1"/>
    <w:rsid w:val="00A61AED"/>
    <w:rsid w:val="00A61DD7"/>
    <w:rsid w:val="00A620C9"/>
    <w:rsid w:val="00A62161"/>
    <w:rsid w:val="00A6242B"/>
    <w:rsid w:val="00A630D0"/>
    <w:rsid w:val="00A63D1E"/>
    <w:rsid w:val="00A64520"/>
    <w:rsid w:val="00A64A11"/>
    <w:rsid w:val="00A64A29"/>
    <w:rsid w:val="00A65269"/>
    <w:rsid w:val="00A65414"/>
    <w:rsid w:val="00A664C4"/>
    <w:rsid w:val="00A66B64"/>
    <w:rsid w:val="00A66D16"/>
    <w:rsid w:val="00A66DD0"/>
    <w:rsid w:val="00A670BB"/>
    <w:rsid w:val="00A674F1"/>
    <w:rsid w:val="00A67876"/>
    <w:rsid w:val="00A67965"/>
    <w:rsid w:val="00A7091E"/>
    <w:rsid w:val="00A70DED"/>
    <w:rsid w:val="00A70E79"/>
    <w:rsid w:val="00A70EC9"/>
    <w:rsid w:val="00A71436"/>
    <w:rsid w:val="00A718EC"/>
    <w:rsid w:val="00A73EC2"/>
    <w:rsid w:val="00A73EFD"/>
    <w:rsid w:val="00A743E3"/>
    <w:rsid w:val="00A74576"/>
    <w:rsid w:val="00A745AD"/>
    <w:rsid w:val="00A74A5D"/>
    <w:rsid w:val="00A74B3A"/>
    <w:rsid w:val="00A74CBD"/>
    <w:rsid w:val="00A7599F"/>
    <w:rsid w:val="00A75FE4"/>
    <w:rsid w:val="00A767E8"/>
    <w:rsid w:val="00A769A0"/>
    <w:rsid w:val="00A775F4"/>
    <w:rsid w:val="00A778DA"/>
    <w:rsid w:val="00A77926"/>
    <w:rsid w:val="00A77993"/>
    <w:rsid w:val="00A805D8"/>
    <w:rsid w:val="00A8063E"/>
    <w:rsid w:val="00A808A4"/>
    <w:rsid w:val="00A80AB9"/>
    <w:rsid w:val="00A80B0D"/>
    <w:rsid w:val="00A814B4"/>
    <w:rsid w:val="00A814C7"/>
    <w:rsid w:val="00A81B64"/>
    <w:rsid w:val="00A81F2A"/>
    <w:rsid w:val="00A8208C"/>
    <w:rsid w:val="00A820B0"/>
    <w:rsid w:val="00A826A1"/>
    <w:rsid w:val="00A826D7"/>
    <w:rsid w:val="00A82C32"/>
    <w:rsid w:val="00A830E7"/>
    <w:rsid w:val="00A83A7D"/>
    <w:rsid w:val="00A84234"/>
    <w:rsid w:val="00A856E1"/>
    <w:rsid w:val="00A8587F"/>
    <w:rsid w:val="00A85CBE"/>
    <w:rsid w:val="00A86095"/>
    <w:rsid w:val="00A86460"/>
    <w:rsid w:val="00A86733"/>
    <w:rsid w:val="00A86D6C"/>
    <w:rsid w:val="00A87289"/>
    <w:rsid w:val="00A878E2"/>
    <w:rsid w:val="00A90466"/>
    <w:rsid w:val="00A90FFC"/>
    <w:rsid w:val="00A9132B"/>
    <w:rsid w:val="00A91386"/>
    <w:rsid w:val="00A91C2F"/>
    <w:rsid w:val="00A91D85"/>
    <w:rsid w:val="00A91EE3"/>
    <w:rsid w:val="00A92599"/>
    <w:rsid w:val="00A93524"/>
    <w:rsid w:val="00A93880"/>
    <w:rsid w:val="00A9397C"/>
    <w:rsid w:val="00A941E4"/>
    <w:rsid w:val="00A944AF"/>
    <w:rsid w:val="00A94546"/>
    <w:rsid w:val="00A94F2D"/>
    <w:rsid w:val="00A94FF0"/>
    <w:rsid w:val="00A95166"/>
    <w:rsid w:val="00A9554B"/>
    <w:rsid w:val="00A9593C"/>
    <w:rsid w:val="00A9594A"/>
    <w:rsid w:val="00A96BB8"/>
    <w:rsid w:val="00A97005"/>
    <w:rsid w:val="00A975AD"/>
    <w:rsid w:val="00A976CB"/>
    <w:rsid w:val="00A9798E"/>
    <w:rsid w:val="00AA07D9"/>
    <w:rsid w:val="00AA0C9B"/>
    <w:rsid w:val="00AA0F98"/>
    <w:rsid w:val="00AA14BB"/>
    <w:rsid w:val="00AA197E"/>
    <w:rsid w:val="00AA1E64"/>
    <w:rsid w:val="00AA27FA"/>
    <w:rsid w:val="00AA2A5B"/>
    <w:rsid w:val="00AA3270"/>
    <w:rsid w:val="00AA46F6"/>
    <w:rsid w:val="00AA4815"/>
    <w:rsid w:val="00AA4A52"/>
    <w:rsid w:val="00AA4DE1"/>
    <w:rsid w:val="00AA55EF"/>
    <w:rsid w:val="00AA6062"/>
    <w:rsid w:val="00AA614B"/>
    <w:rsid w:val="00AA6A44"/>
    <w:rsid w:val="00AA6EE4"/>
    <w:rsid w:val="00AA7046"/>
    <w:rsid w:val="00AA74C5"/>
    <w:rsid w:val="00AA78CB"/>
    <w:rsid w:val="00AA7983"/>
    <w:rsid w:val="00AA7CBF"/>
    <w:rsid w:val="00AB016D"/>
    <w:rsid w:val="00AB0686"/>
    <w:rsid w:val="00AB133D"/>
    <w:rsid w:val="00AB1738"/>
    <w:rsid w:val="00AB1BBD"/>
    <w:rsid w:val="00AB238F"/>
    <w:rsid w:val="00AB3196"/>
    <w:rsid w:val="00AB36C7"/>
    <w:rsid w:val="00AB41B5"/>
    <w:rsid w:val="00AB465C"/>
    <w:rsid w:val="00AB506E"/>
    <w:rsid w:val="00AB5135"/>
    <w:rsid w:val="00AB541C"/>
    <w:rsid w:val="00AB5A3D"/>
    <w:rsid w:val="00AB5C0D"/>
    <w:rsid w:val="00AB5CF3"/>
    <w:rsid w:val="00AB698B"/>
    <w:rsid w:val="00AB6BCD"/>
    <w:rsid w:val="00AB6D42"/>
    <w:rsid w:val="00AB6DCC"/>
    <w:rsid w:val="00AB6EB1"/>
    <w:rsid w:val="00AB720D"/>
    <w:rsid w:val="00AB73A7"/>
    <w:rsid w:val="00AB75E3"/>
    <w:rsid w:val="00AB7875"/>
    <w:rsid w:val="00AB7DCF"/>
    <w:rsid w:val="00AB7E4A"/>
    <w:rsid w:val="00AC13FD"/>
    <w:rsid w:val="00AC1AA0"/>
    <w:rsid w:val="00AC2504"/>
    <w:rsid w:val="00AC36B7"/>
    <w:rsid w:val="00AC395C"/>
    <w:rsid w:val="00AC3B4D"/>
    <w:rsid w:val="00AC40E5"/>
    <w:rsid w:val="00AC554E"/>
    <w:rsid w:val="00AC5B0A"/>
    <w:rsid w:val="00AC670B"/>
    <w:rsid w:val="00AC6AB0"/>
    <w:rsid w:val="00AC76D0"/>
    <w:rsid w:val="00AC7C08"/>
    <w:rsid w:val="00AD02BB"/>
    <w:rsid w:val="00AD046F"/>
    <w:rsid w:val="00AD0D96"/>
    <w:rsid w:val="00AD126E"/>
    <w:rsid w:val="00AD1882"/>
    <w:rsid w:val="00AD18A4"/>
    <w:rsid w:val="00AD1F99"/>
    <w:rsid w:val="00AD2523"/>
    <w:rsid w:val="00AD2878"/>
    <w:rsid w:val="00AD2DD1"/>
    <w:rsid w:val="00AD2E49"/>
    <w:rsid w:val="00AD3352"/>
    <w:rsid w:val="00AD3578"/>
    <w:rsid w:val="00AD37C0"/>
    <w:rsid w:val="00AD4A42"/>
    <w:rsid w:val="00AD4E16"/>
    <w:rsid w:val="00AD5117"/>
    <w:rsid w:val="00AD55E5"/>
    <w:rsid w:val="00AD5951"/>
    <w:rsid w:val="00AD5EC4"/>
    <w:rsid w:val="00AD6728"/>
    <w:rsid w:val="00AD699D"/>
    <w:rsid w:val="00AD69DF"/>
    <w:rsid w:val="00AD6B93"/>
    <w:rsid w:val="00AD7997"/>
    <w:rsid w:val="00AD7F4F"/>
    <w:rsid w:val="00AE0979"/>
    <w:rsid w:val="00AE11CB"/>
    <w:rsid w:val="00AE142A"/>
    <w:rsid w:val="00AE27BB"/>
    <w:rsid w:val="00AE2A9D"/>
    <w:rsid w:val="00AE2B01"/>
    <w:rsid w:val="00AE39D5"/>
    <w:rsid w:val="00AE48E4"/>
    <w:rsid w:val="00AE4A05"/>
    <w:rsid w:val="00AE61BE"/>
    <w:rsid w:val="00AE6F3A"/>
    <w:rsid w:val="00AE705D"/>
    <w:rsid w:val="00AE793A"/>
    <w:rsid w:val="00AE7BFD"/>
    <w:rsid w:val="00AF011B"/>
    <w:rsid w:val="00AF02E2"/>
    <w:rsid w:val="00AF0AA9"/>
    <w:rsid w:val="00AF0D30"/>
    <w:rsid w:val="00AF1944"/>
    <w:rsid w:val="00AF22FF"/>
    <w:rsid w:val="00AF2D1E"/>
    <w:rsid w:val="00AF315B"/>
    <w:rsid w:val="00AF3486"/>
    <w:rsid w:val="00AF34E9"/>
    <w:rsid w:val="00AF4387"/>
    <w:rsid w:val="00AF4EA4"/>
    <w:rsid w:val="00AF51EF"/>
    <w:rsid w:val="00AF5ED4"/>
    <w:rsid w:val="00AF6282"/>
    <w:rsid w:val="00AF644E"/>
    <w:rsid w:val="00AF65F3"/>
    <w:rsid w:val="00AF6F14"/>
    <w:rsid w:val="00AF704D"/>
    <w:rsid w:val="00AF7568"/>
    <w:rsid w:val="00B01397"/>
    <w:rsid w:val="00B019BD"/>
    <w:rsid w:val="00B019CB"/>
    <w:rsid w:val="00B01D68"/>
    <w:rsid w:val="00B021B2"/>
    <w:rsid w:val="00B02A91"/>
    <w:rsid w:val="00B03016"/>
    <w:rsid w:val="00B0342C"/>
    <w:rsid w:val="00B034FE"/>
    <w:rsid w:val="00B03680"/>
    <w:rsid w:val="00B03833"/>
    <w:rsid w:val="00B045F7"/>
    <w:rsid w:val="00B05AB9"/>
    <w:rsid w:val="00B06143"/>
    <w:rsid w:val="00B069A1"/>
    <w:rsid w:val="00B06B95"/>
    <w:rsid w:val="00B06D15"/>
    <w:rsid w:val="00B06D87"/>
    <w:rsid w:val="00B07527"/>
    <w:rsid w:val="00B1015C"/>
    <w:rsid w:val="00B106F5"/>
    <w:rsid w:val="00B10712"/>
    <w:rsid w:val="00B10A6C"/>
    <w:rsid w:val="00B115DB"/>
    <w:rsid w:val="00B12532"/>
    <w:rsid w:val="00B13215"/>
    <w:rsid w:val="00B137E6"/>
    <w:rsid w:val="00B13CCB"/>
    <w:rsid w:val="00B13ECA"/>
    <w:rsid w:val="00B16E55"/>
    <w:rsid w:val="00B16ED6"/>
    <w:rsid w:val="00B17035"/>
    <w:rsid w:val="00B17356"/>
    <w:rsid w:val="00B173B3"/>
    <w:rsid w:val="00B17532"/>
    <w:rsid w:val="00B20C5C"/>
    <w:rsid w:val="00B20DD9"/>
    <w:rsid w:val="00B20EA5"/>
    <w:rsid w:val="00B21336"/>
    <w:rsid w:val="00B21F04"/>
    <w:rsid w:val="00B230AD"/>
    <w:rsid w:val="00B2384A"/>
    <w:rsid w:val="00B25B7F"/>
    <w:rsid w:val="00B25D7C"/>
    <w:rsid w:val="00B25DBF"/>
    <w:rsid w:val="00B2616E"/>
    <w:rsid w:val="00B269A8"/>
    <w:rsid w:val="00B26EF0"/>
    <w:rsid w:val="00B304DA"/>
    <w:rsid w:val="00B31172"/>
    <w:rsid w:val="00B31333"/>
    <w:rsid w:val="00B31A4A"/>
    <w:rsid w:val="00B32211"/>
    <w:rsid w:val="00B329C6"/>
    <w:rsid w:val="00B32D41"/>
    <w:rsid w:val="00B32DB0"/>
    <w:rsid w:val="00B3368E"/>
    <w:rsid w:val="00B3379E"/>
    <w:rsid w:val="00B3385A"/>
    <w:rsid w:val="00B33B13"/>
    <w:rsid w:val="00B33F9D"/>
    <w:rsid w:val="00B3400F"/>
    <w:rsid w:val="00B34204"/>
    <w:rsid w:val="00B3454B"/>
    <w:rsid w:val="00B34A02"/>
    <w:rsid w:val="00B34D0C"/>
    <w:rsid w:val="00B35550"/>
    <w:rsid w:val="00B365B7"/>
    <w:rsid w:val="00B3699B"/>
    <w:rsid w:val="00B369B3"/>
    <w:rsid w:val="00B36E97"/>
    <w:rsid w:val="00B40471"/>
    <w:rsid w:val="00B40E00"/>
    <w:rsid w:val="00B4117D"/>
    <w:rsid w:val="00B41675"/>
    <w:rsid w:val="00B418AD"/>
    <w:rsid w:val="00B4236E"/>
    <w:rsid w:val="00B42A5C"/>
    <w:rsid w:val="00B42E52"/>
    <w:rsid w:val="00B42F3D"/>
    <w:rsid w:val="00B42F89"/>
    <w:rsid w:val="00B43507"/>
    <w:rsid w:val="00B4400A"/>
    <w:rsid w:val="00B44487"/>
    <w:rsid w:val="00B44598"/>
    <w:rsid w:val="00B4506E"/>
    <w:rsid w:val="00B45101"/>
    <w:rsid w:val="00B46487"/>
    <w:rsid w:val="00B46505"/>
    <w:rsid w:val="00B47291"/>
    <w:rsid w:val="00B477F6"/>
    <w:rsid w:val="00B47A62"/>
    <w:rsid w:val="00B5058C"/>
    <w:rsid w:val="00B50933"/>
    <w:rsid w:val="00B50A07"/>
    <w:rsid w:val="00B50CC9"/>
    <w:rsid w:val="00B50FE7"/>
    <w:rsid w:val="00B51387"/>
    <w:rsid w:val="00B51C7D"/>
    <w:rsid w:val="00B51D09"/>
    <w:rsid w:val="00B51E96"/>
    <w:rsid w:val="00B52615"/>
    <w:rsid w:val="00B530C1"/>
    <w:rsid w:val="00B5327C"/>
    <w:rsid w:val="00B53A36"/>
    <w:rsid w:val="00B53A8F"/>
    <w:rsid w:val="00B541B6"/>
    <w:rsid w:val="00B54605"/>
    <w:rsid w:val="00B547C8"/>
    <w:rsid w:val="00B547E5"/>
    <w:rsid w:val="00B54C98"/>
    <w:rsid w:val="00B557EF"/>
    <w:rsid w:val="00B5590A"/>
    <w:rsid w:val="00B55C18"/>
    <w:rsid w:val="00B55EE4"/>
    <w:rsid w:val="00B564EF"/>
    <w:rsid w:val="00B56724"/>
    <w:rsid w:val="00B56A6A"/>
    <w:rsid w:val="00B56C16"/>
    <w:rsid w:val="00B600BC"/>
    <w:rsid w:val="00B603C2"/>
    <w:rsid w:val="00B60CA8"/>
    <w:rsid w:val="00B6194D"/>
    <w:rsid w:val="00B621AF"/>
    <w:rsid w:val="00B62463"/>
    <w:rsid w:val="00B634F4"/>
    <w:rsid w:val="00B636CE"/>
    <w:rsid w:val="00B6435A"/>
    <w:rsid w:val="00B644B1"/>
    <w:rsid w:val="00B644D8"/>
    <w:rsid w:val="00B654A8"/>
    <w:rsid w:val="00B656F2"/>
    <w:rsid w:val="00B66574"/>
    <w:rsid w:val="00B66693"/>
    <w:rsid w:val="00B6739C"/>
    <w:rsid w:val="00B67882"/>
    <w:rsid w:val="00B70D0C"/>
    <w:rsid w:val="00B719A0"/>
    <w:rsid w:val="00B71E03"/>
    <w:rsid w:val="00B72A4E"/>
    <w:rsid w:val="00B731EC"/>
    <w:rsid w:val="00B733F0"/>
    <w:rsid w:val="00B74019"/>
    <w:rsid w:val="00B74A67"/>
    <w:rsid w:val="00B74B67"/>
    <w:rsid w:val="00B75051"/>
    <w:rsid w:val="00B750DF"/>
    <w:rsid w:val="00B75E12"/>
    <w:rsid w:val="00B77081"/>
    <w:rsid w:val="00B7733D"/>
    <w:rsid w:val="00B7779B"/>
    <w:rsid w:val="00B802DB"/>
    <w:rsid w:val="00B810F1"/>
    <w:rsid w:val="00B82302"/>
    <w:rsid w:val="00B825AB"/>
    <w:rsid w:val="00B826A6"/>
    <w:rsid w:val="00B82B9F"/>
    <w:rsid w:val="00B834FF"/>
    <w:rsid w:val="00B84941"/>
    <w:rsid w:val="00B84E67"/>
    <w:rsid w:val="00B852AB"/>
    <w:rsid w:val="00B856E6"/>
    <w:rsid w:val="00B85E8C"/>
    <w:rsid w:val="00B86FAE"/>
    <w:rsid w:val="00B87901"/>
    <w:rsid w:val="00B87AA6"/>
    <w:rsid w:val="00B87AD0"/>
    <w:rsid w:val="00B9032D"/>
    <w:rsid w:val="00B9076C"/>
    <w:rsid w:val="00B9076E"/>
    <w:rsid w:val="00B908CC"/>
    <w:rsid w:val="00B90AA5"/>
    <w:rsid w:val="00B918B5"/>
    <w:rsid w:val="00B918DA"/>
    <w:rsid w:val="00B92747"/>
    <w:rsid w:val="00B92816"/>
    <w:rsid w:val="00B929B9"/>
    <w:rsid w:val="00B92C3A"/>
    <w:rsid w:val="00B934CF"/>
    <w:rsid w:val="00B94451"/>
    <w:rsid w:val="00B94B53"/>
    <w:rsid w:val="00B951B9"/>
    <w:rsid w:val="00B956E4"/>
    <w:rsid w:val="00B95C04"/>
    <w:rsid w:val="00B9603E"/>
    <w:rsid w:val="00B96675"/>
    <w:rsid w:val="00B977B7"/>
    <w:rsid w:val="00B978A0"/>
    <w:rsid w:val="00BA00CA"/>
    <w:rsid w:val="00BA03A1"/>
    <w:rsid w:val="00BA13F1"/>
    <w:rsid w:val="00BA1693"/>
    <w:rsid w:val="00BA2829"/>
    <w:rsid w:val="00BA29AD"/>
    <w:rsid w:val="00BA315F"/>
    <w:rsid w:val="00BA320B"/>
    <w:rsid w:val="00BA3253"/>
    <w:rsid w:val="00BA38B9"/>
    <w:rsid w:val="00BA3A5A"/>
    <w:rsid w:val="00BA3B31"/>
    <w:rsid w:val="00BA4320"/>
    <w:rsid w:val="00BA4439"/>
    <w:rsid w:val="00BA44BC"/>
    <w:rsid w:val="00BA45C8"/>
    <w:rsid w:val="00BA4AEA"/>
    <w:rsid w:val="00BA5157"/>
    <w:rsid w:val="00BA5560"/>
    <w:rsid w:val="00BA5FE7"/>
    <w:rsid w:val="00BA62FA"/>
    <w:rsid w:val="00BA7340"/>
    <w:rsid w:val="00BA73C2"/>
    <w:rsid w:val="00BA743C"/>
    <w:rsid w:val="00BA7698"/>
    <w:rsid w:val="00BA769E"/>
    <w:rsid w:val="00BA77ED"/>
    <w:rsid w:val="00BA7AC6"/>
    <w:rsid w:val="00BB00E1"/>
    <w:rsid w:val="00BB08AE"/>
    <w:rsid w:val="00BB1155"/>
    <w:rsid w:val="00BB19FD"/>
    <w:rsid w:val="00BB1C49"/>
    <w:rsid w:val="00BB201B"/>
    <w:rsid w:val="00BB20E1"/>
    <w:rsid w:val="00BB22D4"/>
    <w:rsid w:val="00BB25C2"/>
    <w:rsid w:val="00BB25E1"/>
    <w:rsid w:val="00BB2AB1"/>
    <w:rsid w:val="00BB3258"/>
    <w:rsid w:val="00BB39D8"/>
    <w:rsid w:val="00BB3E98"/>
    <w:rsid w:val="00BB40C8"/>
    <w:rsid w:val="00BB431A"/>
    <w:rsid w:val="00BB4868"/>
    <w:rsid w:val="00BB682C"/>
    <w:rsid w:val="00BB6E22"/>
    <w:rsid w:val="00BC01AF"/>
    <w:rsid w:val="00BC039D"/>
    <w:rsid w:val="00BC0B64"/>
    <w:rsid w:val="00BC0E2E"/>
    <w:rsid w:val="00BC13E6"/>
    <w:rsid w:val="00BC16B5"/>
    <w:rsid w:val="00BC1A30"/>
    <w:rsid w:val="00BC32A6"/>
    <w:rsid w:val="00BC3499"/>
    <w:rsid w:val="00BC3C3A"/>
    <w:rsid w:val="00BC3EC2"/>
    <w:rsid w:val="00BC462F"/>
    <w:rsid w:val="00BC47A7"/>
    <w:rsid w:val="00BC4C3A"/>
    <w:rsid w:val="00BC4D1F"/>
    <w:rsid w:val="00BC52F8"/>
    <w:rsid w:val="00BC55DD"/>
    <w:rsid w:val="00BC5BE9"/>
    <w:rsid w:val="00BC6259"/>
    <w:rsid w:val="00BC6461"/>
    <w:rsid w:val="00BC71B5"/>
    <w:rsid w:val="00BC72AB"/>
    <w:rsid w:val="00BC757B"/>
    <w:rsid w:val="00BC79DA"/>
    <w:rsid w:val="00BC7DC6"/>
    <w:rsid w:val="00BC7E07"/>
    <w:rsid w:val="00BD0C83"/>
    <w:rsid w:val="00BD0DB2"/>
    <w:rsid w:val="00BD0F4E"/>
    <w:rsid w:val="00BD1167"/>
    <w:rsid w:val="00BD1506"/>
    <w:rsid w:val="00BD1978"/>
    <w:rsid w:val="00BD1BA8"/>
    <w:rsid w:val="00BD1BEB"/>
    <w:rsid w:val="00BD2A70"/>
    <w:rsid w:val="00BD2B33"/>
    <w:rsid w:val="00BD2D62"/>
    <w:rsid w:val="00BD3349"/>
    <w:rsid w:val="00BD33A7"/>
    <w:rsid w:val="00BD3BFF"/>
    <w:rsid w:val="00BD3E63"/>
    <w:rsid w:val="00BD5579"/>
    <w:rsid w:val="00BD57D6"/>
    <w:rsid w:val="00BD5994"/>
    <w:rsid w:val="00BD59B7"/>
    <w:rsid w:val="00BD6112"/>
    <w:rsid w:val="00BD6E0F"/>
    <w:rsid w:val="00BD6EEC"/>
    <w:rsid w:val="00BD701B"/>
    <w:rsid w:val="00BD7407"/>
    <w:rsid w:val="00BD7CFB"/>
    <w:rsid w:val="00BD7F07"/>
    <w:rsid w:val="00BD7FDA"/>
    <w:rsid w:val="00BE05C8"/>
    <w:rsid w:val="00BE0A8A"/>
    <w:rsid w:val="00BE0B6A"/>
    <w:rsid w:val="00BE0D78"/>
    <w:rsid w:val="00BE15ED"/>
    <w:rsid w:val="00BE18B6"/>
    <w:rsid w:val="00BE1A12"/>
    <w:rsid w:val="00BE215A"/>
    <w:rsid w:val="00BE2BD4"/>
    <w:rsid w:val="00BE3720"/>
    <w:rsid w:val="00BE3903"/>
    <w:rsid w:val="00BE4F1F"/>
    <w:rsid w:val="00BE523D"/>
    <w:rsid w:val="00BE538E"/>
    <w:rsid w:val="00BE56D9"/>
    <w:rsid w:val="00BE5861"/>
    <w:rsid w:val="00BE5F9D"/>
    <w:rsid w:val="00BE6505"/>
    <w:rsid w:val="00BE6D0F"/>
    <w:rsid w:val="00BE727E"/>
    <w:rsid w:val="00BE727F"/>
    <w:rsid w:val="00BE7641"/>
    <w:rsid w:val="00BE7BEC"/>
    <w:rsid w:val="00BE7F98"/>
    <w:rsid w:val="00BF0B67"/>
    <w:rsid w:val="00BF0F9B"/>
    <w:rsid w:val="00BF1C6F"/>
    <w:rsid w:val="00BF226E"/>
    <w:rsid w:val="00BF2326"/>
    <w:rsid w:val="00BF298F"/>
    <w:rsid w:val="00BF2B59"/>
    <w:rsid w:val="00BF2D7B"/>
    <w:rsid w:val="00BF37A8"/>
    <w:rsid w:val="00BF3880"/>
    <w:rsid w:val="00BF395A"/>
    <w:rsid w:val="00BF48AB"/>
    <w:rsid w:val="00BF4E3F"/>
    <w:rsid w:val="00BF4F51"/>
    <w:rsid w:val="00BF57E0"/>
    <w:rsid w:val="00BF6FD8"/>
    <w:rsid w:val="00C00EAA"/>
    <w:rsid w:val="00C017A0"/>
    <w:rsid w:val="00C018FB"/>
    <w:rsid w:val="00C02320"/>
    <w:rsid w:val="00C02D8A"/>
    <w:rsid w:val="00C02FAB"/>
    <w:rsid w:val="00C0322A"/>
    <w:rsid w:val="00C033D7"/>
    <w:rsid w:val="00C03AB9"/>
    <w:rsid w:val="00C04796"/>
    <w:rsid w:val="00C0516E"/>
    <w:rsid w:val="00C05374"/>
    <w:rsid w:val="00C054EC"/>
    <w:rsid w:val="00C05680"/>
    <w:rsid w:val="00C057D8"/>
    <w:rsid w:val="00C05F78"/>
    <w:rsid w:val="00C05FCF"/>
    <w:rsid w:val="00C0685E"/>
    <w:rsid w:val="00C06AAB"/>
    <w:rsid w:val="00C06BC2"/>
    <w:rsid w:val="00C06DE6"/>
    <w:rsid w:val="00C07414"/>
    <w:rsid w:val="00C07924"/>
    <w:rsid w:val="00C07E5E"/>
    <w:rsid w:val="00C101F4"/>
    <w:rsid w:val="00C10754"/>
    <w:rsid w:val="00C11735"/>
    <w:rsid w:val="00C11D1F"/>
    <w:rsid w:val="00C121FE"/>
    <w:rsid w:val="00C12ECE"/>
    <w:rsid w:val="00C13184"/>
    <w:rsid w:val="00C1330D"/>
    <w:rsid w:val="00C13C04"/>
    <w:rsid w:val="00C1474D"/>
    <w:rsid w:val="00C1491A"/>
    <w:rsid w:val="00C14C94"/>
    <w:rsid w:val="00C15A2D"/>
    <w:rsid w:val="00C16166"/>
    <w:rsid w:val="00C16AFF"/>
    <w:rsid w:val="00C17113"/>
    <w:rsid w:val="00C17170"/>
    <w:rsid w:val="00C175A1"/>
    <w:rsid w:val="00C17C59"/>
    <w:rsid w:val="00C17CF3"/>
    <w:rsid w:val="00C17E53"/>
    <w:rsid w:val="00C17F9A"/>
    <w:rsid w:val="00C208D7"/>
    <w:rsid w:val="00C20DB9"/>
    <w:rsid w:val="00C211F0"/>
    <w:rsid w:val="00C21D05"/>
    <w:rsid w:val="00C2245E"/>
    <w:rsid w:val="00C22550"/>
    <w:rsid w:val="00C229DF"/>
    <w:rsid w:val="00C22C4A"/>
    <w:rsid w:val="00C22DCD"/>
    <w:rsid w:val="00C23026"/>
    <w:rsid w:val="00C23199"/>
    <w:rsid w:val="00C23458"/>
    <w:rsid w:val="00C234AC"/>
    <w:rsid w:val="00C23A9B"/>
    <w:rsid w:val="00C23C56"/>
    <w:rsid w:val="00C23C92"/>
    <w:rsid w:val="00C24149"/>
    <w:rsid w:val="00C24847"/>
    <w:rsid w:val="00C24BC8"/>
    <w:rsid w:val="00C254A3"/>
    <w:rsid w:val="00C2635E"/>
    <w:rsid w:val="00C265C4"/>
    <w:rsid w:val="00C27E9C"/>
    <w:rsid w:val="00C3040D"/>
    <w:rsid w:val="00C30901"/>
    <w:rsid w:val="00C30AC2"/>
    <w:rsid w:val="00C30E3B"/>
    <w:rsid w:val="00C31081"/>
    <w:rsid w:val="00C310ED"/>
    <w:rsid w:val="00C31190"/>
    <w:rsid w:val="00C31371"/>
    <w:rsid w:val="00C317B6"/>
    <w:rsid w:val="00C31D0D"/>
    <w:rsid w:val="00C3300A"/>
    <w:rsid w:val="00C331B3"/>
    <w:rsid w:val="00C33658"/>
    <w:rsid w:val="00C336B7"/>
    <w:rsid w:val="00C33722"/>
    <w:rsid w:val="00C33A18"/>
    <w:rsid w:val="00C341A8"/>
    <w:rsid w:val="00C34347"/>
    <w:rsid w:val="00C34397"/>
    <w:rsid w:val="00C35358"/>
    <w:rsid w:val="00C36691"/>
    <w:rsid w:val="00C36B23"/>
    <w:rsid w:val="00C372C9"/>
    <w:rsid w:val="00C37361"/>
    <w:rsid w:val="00C40E52"/>
    <w:rsid w:val="00C41071"/>
    <w:rsid w:val="00C41292"/>
    <w:rsid w:val="00C41864"/>
    <w:rsid w:val="00C41DAA"/>
    <w:rsid w:val="00C42D19"/>
    <w:rsid w:val="00C42D87"/>
    <w:rsid w:val="00C42FB3"/>
    <w:rsid w:val="00C4312A"/>
    <w:rsid w:val="00C43759"/>
    <w:rsid w:val="00C437F1"/>
    <w:rsid w:val="00C43FAD"/>
    <w:rsid w:val="00C441DB"/>
    <w:rsid w:val="00C442FE"/>
    <w:rsid w:val="00C445FC"/>
    <w:rsid w:val="00C44D03"/>
    <w:rsid w:val="00C44E21"/>
    <w:rsid w:val="00C4545E"/>
    <w:rsid w:val="00C46BE4"/>
    <w:rsid w:val="00C46F62"/>
    <w:rsid w:val="00C47434"/>
    <w:rsid w:val="00C50495"/>
    <w:rsid w:val="00C504AD"/>
    <w:rsid w:val="00C50D66"/>
    <w:rsid w:val="00C512F0"/>
    <w:rsid w:val="00C513A2"/>
    <w:rsid w:val="00C515AB"/>
    <w:rsid w:val="00C51812"/>
    <w:rsid w:val="00C5198C"/>
    <w:rsid w:val="00C51A25"/>
    <w:rsid w:val="00C51D0A"/>
    <w:rsid w:val="00C5217B"/>
    <w:rsid w:val="00C527AD"/>
    <w:rsid w:val="00C529B8"/>
    <w:rsid w:val="00C52D85"/>
    <w:rsid w:val="00C53228"/>
    <w:rsid w:val="00C53BE3"/>
    <w:rsid w:val="00C542F8"/>
    <w:rsid w:val="00C54C7F"/>
    <w:rsid w:val="00C55201"/>
    <w:rsid w:val="00C55468"/>
    <w:rsid w:val="00C56531"/>
    <w:rsid w:val="00C56947"/>
    <w:rsid w:val="00C56996"/>
    <w:rsid w:val="00C56B0E"/>
    <w:rsid w:val="00C56C08"/>
    <w:rsid w:val="00C56DA0"/>
    <w:rsid w:val="00C57005"/>
    <w:rsid w:val="00C57202"/>
    <w:rsid w:val="00C57274"/>
    <w:rsid w:val="00C60094"/>
    <w:rsid w:val="00C600B9"/>
    <w:rsid w:val="00C603BD"/>
    <w:rsid w:val="00C60DF8"/>
    <w:rsid w:val="00C612E8"/>
    <w:rsid w:val="00C61817"/>
    <w:rsid w:val="00C61A54"/>
    <w:rsid w:val="00C63164"/>
    <w:rsid w:val="00C63213"/>
    <w:rsid w:val="00C6335D"/>
    <w:rsid w:val="00C6420F"/>
    <w:rsid w:val="00C64E00"/>
    <w:rsid w:val="00C650F0"/>
    <w:rsid w:val="00C6519E"/>
    <w:rsid w:val="00C65A14"/>
    <w:rsid w:val="00C6612B"/>
    <w:rsid w:val="00C66639"/>
    <w:rsid w:val="00C66924"/>
    <w:rsid w:val="00C67174"/>
    <w:rsid w:val="00C67688"/>
    <w:rsid w:val="00C67822"/>
    <w:rsid w:val="00C67BD2"/>
    <w:rsid w:val="00C7025B"/>
    <w:rsid w:val="00C703D4"/>
    <w:rsid w:val="00C706CB"/>
    <w:rsid w:val="00C707D3"/>
    <w:rsid w:val="00C708D6"/>
    <w:rsid w:val="00C70B7F"/>
    <w:rsid w:val="00C70BFB"/>
    <w:rsid w:val="00C70F9F"/>
    <w:rsid w:val="00C7194A"/>
    <w:rsid w:val="00C71D23"/>
    <w:rsid w:val="00C71E78"/>
    <w:rsid w:val="00C71FD3"/>
    <w:rsid w:val="00C72B0E"/>
    <w:rsid w:val="00C733AF"/>
    <w:rsid w:val="00C73797"/>
    <w:rsid w:val="00C73842"/>
    <w:rsid w:val="00C73C66"/>
    <w:rsid w:val="00C73D53"/>
    <w:rsid w:val="00C73F19"/>
    <w:rsid w:val="00C7435E"/>
    <w:rsid w:val="00C74438"/>
    <w:rsid w:val="00C746E7"/>
    <w:rsid w:val="00C74A6D"/>
    <w:rsid w:val="00C74A8B"/>
    <w:rsid w:val="00C74EB7"/>
    <w:rsid w:val="00C75111"/>
    <w:rsid w:val="00C752AD"/>
    <w:rsid w:val="00C753B4"/>
    <w:rsid w:val="00C75729"/>
    <w:rsid w:val="00C76709"/>
    <w:rsid w:val="00C76CAE"/>
    <w:rsid w:val="00C76D35"/>
    <w:rsid w:val="00C7711F"/>
    <w:rsid w:val="00C779F8"/>
    <w:rsid w:val="00C77B24"/>
    <w:rsid w:val="00C80FB9"/>
    <w:rsid w:val="00C81665"/>
    <w:rsid w:val="00C81B69"/>
    <w:rsid w:val="00C82245"/>
    <w:rsid w:val="00C829C0"/>
    <w:rsid w:val="00C8346E"/>
    <w:rsid w:val="00C83D34"/>
    <w:rsid w:val="00C84A72"/>
    <w:rsid w:val="00C84D3E"/>
    <w:rsid w:val="00C8500B"/>
    <w:rsid w:val="00C85263"/>
    <w:rsid w:val="00C85637"/>
    <w:rsid w:val="00C8570D"/>
    <w:rsid w:val="00C8578F"/>
    <w:rsid w:val="00C857F4"/>
    <w:rsid w:val="00C85A8D"/>
    <w:rsid w:val="00C868B2"/>
    <w:rsid w:val="00C86B8F"/>
    <w:rsid w:val="00C86C5D"/>
    <w:rsid w:val="00C87324"/>
    <w:rsid w:val="00C877CC"/>
    <w:rsid w:val="00C8799E"/>
    <w:rsid w:val="00C87C69"/>
    <w:rsid w:val="00C90647"/>
    <w:rsid w:val="00C906B0"/>
    <w:rsid w:val="00C90762"/>
    <w:rsid w:val="00C90CAC"/>
    <w:rsid w:val="00C91171"/>
    <w:rsid w:val="00C913DA"/>
    <w:rsid w:val="00C9140F"/>
    <w:rsid w:val="00C91A48"/>
    <w:rsid w:val="00C92026"/>
    <w:rsid w:val="00C9237E"/>
    <w:rsid w:val="00C923CF"/>
    <w:rsid w:val="00C92414"/>
    <w:rsid w:val="00C925DE"/>
    <w:rsid w:val="00C925EB"/>
    <w:rsid w:val="00C92825"/>
    <w:rsid w:val="00C92E70"/>
    <w:rsid w:val="00C93175"/>
    <w:rsid w:val="00C933C3"/>
    <w:rsid w:val="00C937E2"/>
    <w:rsid w:val="00C93991"/>
    <w:rsid w:val="00C94393"/>
    <w:rsid w:val="00C94801"/>
    <w:rsid w:val="00C94FB9"/>
    <w:rsid w:val="00C950C4"/>
    <w:rsid w:val="00C9533C"/>
    <w:rsid w:val="00C953F2"/>
    <w:rsid w:val="00C95CCC"/>
    <w:rsid w:val="00C97047"/>
    <w:rsid w:val="00C9798F"/>
    <w:rsid w:val="00CA015E"/>
    <w:rsid w:val="00CA07DD"/>
    <w:rsid w:val="00CA1496"/>
    <w:rsid w:val="00CA2125"/>
    <w:rsid w:val="00CA2837"/>
    <w:rsid w:val="00CA2F13"/>
    <w:rsid w:val="00CA4184"/>
    <w:rsid w:val="00CA4ADD"/>
    <w:rsid w:val="00CA5540"/>
    <w:rsid w:val="00CA5876"/>
    <w:rsid w:val="00CA6B26"/>
    <w:rsid w:val="00CA6D1D"/>
    <w:rsid w:val="00CA6EB4"/>
    <w:rsid w:val="00CA7C70"/>
    <w:rsid w:val="00CA7EEA"/>
    <w:rsid w:val="00CB0104"/>
    <w:rsid w:val="00CB0298"/>
    <w:rsid w:val="00CB0582"/>
    <w:rsid w:val="00CB07F4"/>
    <w:rsid w:val="00CB0A3F"/>
    <w:rsid w:val="00CB0B56"/>
    <w:rsid w:val="00CB0D41"/>
    <w:rsid w:val="00CB11A2"/>
    <w:rsid w:val="00CB1C28"/>
    <w:rsid w:val="00CB2E0C"/>
    <w:rsid w:val="00CB2FB8"/>
    <w:rsid w:val="00CB331D"/>
    <w:rsid w:val="00CB3521"/>
    <w:rsid w:val="00CB51BD"/>
    <w:rsid w:val="00CB5AEC"/>
    <w:rsid w:val="00CB5F2A"/>
    <w:rsid w:val="00CB616A"/>
    <w:rsid w:val="00CB641A"/>
    <w:rsid w:val="00CB6CF1"/>
    <w:rsid w:val="00CB7008"/>
    <w:rsid w:val="00CB7211"/>
    <w:rsid w:val="00CB7548"/>
    <w:rsid w:val="00CB7702"/>
    <w:rsid w:val="00CB770D"/>
    <w:rsid w:val="00CC01FD"/>
    <w:rsid w:val="00CC088D"/>
    <w:rsid w:val="00CC09AA"/>
    <w:rsid w:val="00CC0A91"/>
    <w:rsid w:val="00CC0D0C"/>
    <w:rsid w:val="00CC1D6C"/>
    <w:rsid w:val="00CC246D"/>
    <w:rsid w:val="00CC25BC"/>
    <w:rsid w:val="00CC2F62"/>
    <w:rsid w:val="00CC307A"/>
    <w:rsid w:val="00CC33D9"/>
    <w:rsid w:val="00CC3BB0"/>
    <w:rsid w:val="00CC3C8A"/>
    <w:rsid w:val="00CC3E9B"/>
    <w:rsid w:val="00CC485A"/>
    <w:rsid w:val="00CC4869"/>
    <w:rsid w:val="00CC4D93"/>
    <w:rsid w:val="00CC523A"/>
    <w:rsid w:val="00CC5A8C"/>
    <w:rsid w:val="00CC5BAC"/>
    <w:rsid w:val="00CC61B9"/>
    <w:rsid w:val="00CC66FD"/>
    <w:rsid w:val="00CC67BE"/>
    <w:rsid w:val="00CC6F35"/>
    <w:rsid w:val="00CD06AB"/>
    <w:rsid w:val="00CD0CDD"/>
    <w:rsid w:val="00CD106C"/>
    <w:rsid w:val="00CD138C"/>
    <w:rsid w:val="00CD1C0C"/>
    <w:rsid w:val="00CD1FCC"/>
    <w:rsid w:val="00CD24BB"/>
    <w:rsid w:val="00CD3B09"/>
    <w:rsid w:val="00CD3E2C"/>
    <w:rsid w:val="00CD448A"/>
    <w:rsid w:val="00CD47A4"/>
    <w:rsid w:val="00CD497F"/>
    <w:rsid w:val="00CD4B7C"/>
    <w:rsid w:val="00CD4BF5"/>
    <w:rsid w:val="00CD557A"/>
    <w:rsid w:val="00CD57E8"/>
    <w:rsid w:val="00CD582E"/>
    <w:rsid w:val="00CD5CE4"/>
    <w:rsid w:val="00CD5D5F"/>
    <w:rsid w:val="00CD637E"/>
    <w:rsid w:val="00CD68A3"/>
    <w:rsid w:val="00CD6F05"/>
    <w:rsid w:val="00CD78D2"/>
    <w:rsid w:val="00CD79F1"/>
    <w:rsid w:val="00CE01C7"/>
    <w:rsid w:val="00CE044A"/>
    <w:rsid w:val="00CE0509"/>
    <w:rsid w:val="00CE0515"/>
    <w:rsid w:val="00CE0554"/>
    <w:rsid w:val="00CE06B5"/>
    <w:rsid w:val="00CE0AB3"/>
    <w:rsid w:val="00CE0CE0"/>
    <w:rsid w:val="00CE0F23"/>
    <w:rsid w:val="00CE1202"/>
    <w:rsid w:val="00CE1983"/>
    <w:rsid w:val="00CE1DFA"/>
    <w:rsid w:val="00CE224C"/>
    <w:rsid w:val="00CE2C11"/>
    <w:rsid w:val="00CE3265"/>
    <w:rsid w:val="00CE486A"/>
    <w:rsid w:val="00CE4F03"/>
    <w:rsid w:val="00CE5E6C"/>
    <w:rsid w:val="00CE623A"/>
    <w:rsid w:val="00CE63FC"/>
    <w:rsid w:val="00CE6B6A"/>
    <w:rsid w:val="00CE6CE1"/>
    <w:rsid w:val="00CE70DB"/>
    <w:rsid w:val="00CE7E99"/>
    <w:rsid w:val="00CF023E"/>
    <w:rsid w:val="00CF0406"/>
    <w:rsid w:val="00CF0657"/>
    <w:rsid w:val="00CF111A"/>
    <w:rsid w:val="00CF119E"/>
    <w:rsid w:val="00CF1425"/>
    <w:rsid w:val="00CF1532"/>
    <w:rsid w:val="00CF15F3"/>
    <w:rsid w:val="00CF188F"/>
    <w:rsid w:val="00CF1A1F"/>
    <w:rsid w:val="00CF1FE4"/>
    <w:rsid w:val="00CF2A40"/>
    <w:rsid w:val="00CF361D"/>
    <w:rsid w:val="00CF37DC"/>
    <w:rsid w:val="00CF3EB2"/>
    <w:rsid w:val="00CF657F"/>
    <w:rsid w:val="00CF6634"/>
    <w:rsid w:val="00CF67C0"/>
    <w:rsid w:val="00CF6837"/>
    <w:rsid w:val="00CF6A86"/>
    <w:rsid w:val="00CF7187"/>
    <w:rsid w:val="00CF7B93"/>
    <w:rsid w:val="00CF7D3E"/>
    <w:rsid w:val="00D0059B"/>
    <w:rsid w:val="00D006DD"/>
    <w:rsid w:val="00D0075D"/>
    <w:rsid w:val="00D00853"/>
    <w:rsid w:val="00D00EF3"/>
    <w:rsid w:val="00D0176D"/>
    <w:rsid w:val="00D01F84"/>
    <w:rsid w:val="00D01F9D"/>
    <w:rsid w:val="00D026DF"/>
    <w:rsid w:val="00D026ED"/>
    <w:rsid w:val="00D02808"/>
    <w:rsid w:val="00D029E5"/>
    <w:rsid w:val="00D02C89"/>
    <w:rsid w:val="00D034F6"/>
    <w:rsid w:val="00D03634"/>
    <w:rsid w:val="00D0467E"/>
    <w:rsid w:val="00D04BF8"/>
    <w:rsid w:val="00D0501A"/>
    <w:rsid w:val="00D05747"/>
    <w:rsid w:val="00D10D7B"/>
    <w:rsid w:val="00D11186"/>
    <w:rsid w:val="00D1136E"/>
    <w:rsid w:val="00D1175E"/>
    <w:rsid w:val="00D11873"/>
    <w:rsid w:val="00D11C0F"/>
    <w:rsid w:val="00D11FFF"/>
    <w:rsid w:val="00D12AF1"/>
    <w:rsid w:val="00D13413"/>
    <w:rsid w:val="00D136D0"/>
    <w:rsid w:val="00D1374A"/>
    <w:rsid w:val="00D13C23"/>
    <w:rsid w:val="00D13C85"/>
    <w:rsid w:val="00D13FA4"/>
    <w:rsid w:val="00D14B5D"/>
    <w:rsid w:val="00D16671"/>
    <w:rsid w:val="00D166D6"/>
    <w:rsid w:val="00D1759F"/>
    <w:rsid w:val="00D176D2"/>
    <w:rsid w:val="00D20294"/>
    <w:rsid w:val="00D214FB"/>
    <w:rsid w:val="00D2167A"/>
    <w:rsid w:val="00D2176D"/>
    <w:rsid w:val="00D22064"/>
    <w:rsid w:val="00D23685"/>
    <w:rsid w:val="00D23EB8"/>
    <w:rsid w:val="00D2429B"/>
    <w:rsid w:val="00D2433E"/>
    <w:rsid w:val="00D244A0"/>
    <w:rsid w:val="00D2454A"/>
    <w:rsid w:val="00D24B0B"/>
    <w:rsid w:val="00D24C47"/>
    <w:rsid w:val="00D25677"/>
    <w:rsid w:val="00D2620F"/>
    <w:rsid w:val="00D26360"/>
    <w:rsid w:val="00D268F9"/>
    <w:rsid w:val="00D26A1E"/>
    <w:rsid w:val="00D26D9F"/>
    <w:rsid w:val="00D277FB"/>
    <w:rsid w:val="00D27E08"/>
    <w:rsid w:val="00D3025C"/>
    <w:rsid w:val="00D3030C"/>
    <w:rsid w:val="00D306CB"/>
    <w:rsid w:val="00D3091F"/>
    <w:rsid w:val="00D30B95"/>
    <w:rsid w:val="00D30CAC"/>
    <w:rsid w:val="00D30DF0"/>
    <w:rsid w:val="00D31A9F"/>
    <w:rsid w:val="00D31BA3"/>
    <w:rsid w:val="00D31D6E"/>
    <w:rsid w:val="00D32224"/>
    <w:rsid w:val="00D3230E"/>
    <w:rsid w:val="00D324DB"/>
    <w:rsid w:val="00D32A01"/>
    <w:rsid w:val="00D33601"/>
    <w:rsid w:val="00D33B3F"/>
    <w:rsid w:val="00D33E1E"/>
    <w:rsid w:val="00D33FA6"/>
    <w:rsid w:val="00D340C6"/>
    <w:rsid w:val="00D34A4E"/>
    <w:rsid w:val="00D34B24"/>
    <w:rsid w:val="00D34CC3"/>
    <w:rsid w:val="00D353C8"/>
    <w:rsid w:val="00D35760"/>
    <w:rsid w:val="00D35C78"/>
    <w:rsid w:val="00D36027"/>
    <w:rsid w:val="00D372A7"/>
    <w:rsid w:val="00D37B76"/>
    <w:rsid w:val="00D37F0E"/>
    <w:rsid w:val="00D40247"/>
    <w:rsid w:val="00D40248"/>
    <w:rsid w:val="00D40324"/>
    <w:rsid w:val="00D414A6"/>
    <w:rsid w:val="00D418A2"/>
    <w:rsid w:val="00D42351"/>
    <w:rsid w:val="00D42418"/>
    <w:rsid w:val="00D42946"/>
    <w:rsid w:val="00D42AD0"/>
    <w:rsid w:val="00D43664"/>
    <w:rsid w:val="00D436C3"/>
    <w:rsid w:val="00D4461E"/>
    <w:rsid w:val="00D45383"/>
    <w:rsid w:val="00D457EC"/>
    <w:rsid w:val="00D45A85"/>
    <w:rsid w:val="00D463E6"/>
    <w:rsid w:val="00D4697C"/>
    <w:rsid w:val="00D46981"/>
    <w:rsid w:val="00D46DBF"/>
    <w:rsid w:val="00D470FF"/>
    <w:rsid w:val="00D47843"/>
    <w:rsid w:val="00D4792E"/>
    <w:rsid w:val="00D47BEE"/>
    <w:rsid w:val="00D47C4F"/>
    <w:rsid w:val="00D50931"/>
    <w:rsid w:val="00D50DE1"/>
    <w:rsid w:val="00D517B6"/>
    <w:rsid w:val="00D51A7A"/>
    <w:rsid w:val="00D51CA0"/>
    <w:rsid w:val="00D51E29"/>
    <w:rsid w:val="00D52194"/>
    <w:rsid w:val="00D52A30"/>
    <w:rsid w:val="00D52BBA"/>
    <w:rsid w:val="00D532B4"/>
    <w:rsid w:val="00D539CF"/>
    <w:rsid w:val="00D5415F"/>
    <w:rsid w:val="00D547B3"/>
    <w:rsid w:val="00D5487F"/>
    <w:rsid w:val="00D55753"/>
    <w:rsid w:val="00D5585F"/>
    <w:rsid w:val="00D55941"/>
    <w:rsid w:val="00D55EC6"/>
    <w:rsid w:val="00D566C0"/>
    <w:rsid w:val="00D56B21"/>
    <w:rsid w:val="00D572ED"/>
    <w:rsid w:val="00D57307"/>
    <w:rsid w:val="00D579D3"/>
    <w:rsid w:val="00D57B9F"/>
    <w:rsid w:val="00D57FC6"/>
    <w:rsid w:val="00D616DD"/>
    <w:rsid w:val="00D61965"/>
    <w:rsid w:val="00D622BE"/>
    <w:rsid w:val="00D62741"/>
    <w:rsid w:val="00D62A63"/>
    <w:rsid w:val="00D62F80"/>
    <w:rsid w:val="00D63004"/>
    <w:rsid w:val="00D6344C"/>
    <w:rsid w:val="00D644BE"/>
    <w:rsid w:val="00D64C6C"/>
    <w:rsid w:val="00D65C88"/>
    <w:rsid w:val="00D66CC9"/>
    <w:rsid w:val="00D670F6"/>
    <w:rsid w:val="00D67B04"/>
    <w:rsid w:val="00D7094A"/>
    <w:rsid w:val="00D711D8"/>
    <w:rsid w:val="00D71FC5"/>
    <w:rsid w:val="00D71FF1"/>
    <w:rsid w:val="00D72037"/>
    <w:rsid w:val="00D72719"/>
    <w:rsid w:val="00D731A3"/>
    <w:rsid w:val="00D74A6D"/>
    <w:rsid w:val="00D74B52"/>
    <w:rsid w:val="00D74B6F"/>
    <w:rsid w:val="00D753C0"/>
    <w:rsid w:val="00D7644A"/>
    <w:rsid w:val="00D76CC8"/>
    <w:rsid w:val="00D7756B"/>
    <w:rsid w:val="00D77749"/>
    <w:rsid w:val="00D803FF"/>
    <w:rsid w:val="00D80B2B"/>
    <w:rsid w:val="00D817A4"/>
    <w:rsid w:val="00D822A2"/>
    <w:rsid w:val="00D828C6"/>
    <w:rsid w:val="00D82DA4"/>
    <w:rsid w:val="00D83007"/>
    <w:rsid w:val="00D83CCE"/>
    <w:rsid w:val="00D83EA1"/>
    <w:rsid w:val="00D8400B"/>
    <w:rsid w:val="00D84A2F"/>
    <w:rsid w:val="00D84C84"/>
    <w:rsid w:val="00D84F4B"/>
    <w:rsid w:val="00D8531E"/>
    <w:rsid w:val="00D854E8"/>
    <w:rsid w:val="00D85D3B"/>
    <w:rsid w:val="00D8682A"/>
    <w:rsid w:val="00D878CA"/>
    <w:rsid w:val="00D87C78"/>
    <w:rsid w:val="00D908C8"/>
    <w:rsid w:val="00D90CDC"/>
    <w:rsid w:val="00D91778"/>
    <w:rsid w:val="00D91A69"/>
    <w:rsid w:val="00D91FFA"/>
    <w:rsid w:val="00D92DA3"/>
    <w:rsid w:val="00D9346D"/>
    <w:rsid w:val="00D95542"/>
    <w:rsid w:val="00D95641"/>
    <w:rsid w:val="00D9572E"/>
    <w:rsid w:val="00D95AB1"/>
    <w:rsid w:val="00D95F3A"/>
    <w:rsid w:val="00D96303"/>
    <w:rsid w:val="00DA0906"/>
    <w:rsid w:val="00DA096D"/>
    <w:rsid w:val="00DA0B76"/>
    <w:rsid w:val="00DA0BB4"/>
    <w:rsid w:val="00DA0F2A"/>
    <w:rsid w:val="00DA1106"/>
    <w:rsid w:val="00DA114B"/>
    <w:rsid w:val="00DA1574"/>
    <w:rsid w:val="00DA15FD"/>
    <w:rsid w:val="00DA1D49"/>
    <w:rsid w:val="00DA1FD7"/>
    <w:rsid w:val="00DA20DE"/>
    <w:rsid w:val="00DA298E"/>
    <w:rsid w:val="00DA2BCF"/>
    <w:rsid w:val="00DA2CBA"/>
    <w:rsid w:val="00DA2E5F"/>
    <w:rsid w:val="00DA32F9"/>
    <w:rsid w:val="00DA3439"/>
    <w:rsid w:val="00DA41D6"/>
    <w:rsid w:val="00DA43E5"/>
    <w:rsid w:val="00DA5181"/>
    <w:rsid w:val="00DA53E6"/>
    <w:rsid w:val="00DA5947"/>
    <w:rsid w:val="00DA5B0D"/>
    <w:rsid w:val="00DA6072"/>
    <w:rsid w:val="00DA6351"/>
    <w:rsid w:val="00DA64F0"/>
    <w:rsid w:val="00DA66E8"/>
    <w:rsid w:val="00DA699F"/>
    <w:rsid w:val="00DA6C91"/>
    <w:rsid w:val="00DA7624"/>
    <w:rsid w:val="00DA7B36"/>
    <w:rsid w:val="00DB075A"/>
    <w:rsid w:val="00DB0B8D"/>
    <w:rsid w:val="00DB111D"/>
    <w:rsid w:val="00DB11F6"/>
    <w:rsid w:val="00DB33FF"/>
    <w:rsid w:val="00DB355F"/>
    <w:rsid w:val="00DB3AE4"/>
    <w:rsid w:val="00DB44D8"/>
    <w:rsid w:val="00DB5272"/>
    <w:rsid w:val="00DB5A6C"/>
    <w:rsid w:val="00DB6634"/>
    <w:rsid w:val="00DB6679"/>
    <w:rsid w:val="00DB6A55"/>
    <w:rsid w:val="00DB6C3F"/>
    <w:rsid w:val="00DB7041"/>
    <w:rsid w:val="00DB71DC"/>
    <w:rsid w:val="00DB74D6"/>
    <w:rsid w:val="00DB75F7"/>
    <w:rsid w:val="00DB76BF"/>
    <w:rsid w:val="00DB7834"/>
    <w:rsid w:val="00DB7B76"/>
    <w:rsid w:val="00DB7CC1"/>
    <w:rsid w:val="00DB7D8A"/>
    <w:rsid w:val="00DC09F6"/>
    <w:rsid w:val="00DC0B1E"/>
    <w:rsid w:val="00DC139D"/>
    <w:rsid w:val="00DC173C"/>
    <w:rsid w:val="00DC1851"/>
    <w:rsid w:val="00DC18C4"/>
    <w:rsid w:val="00DC1E55"/>
    <w:rsid w:val="00DC224D"/>
    <w:rsid w:val="00DC237F"/>
    <w:rsid w:val="00DC24EC"/>
    <w:rsid w:val="00DC28D8"/>
    <w:rsid w:val="00DC296E"/>
    <w:rsid w:val="00DC2EBF"/>
    <w:rsid w:val="00DC2FAF"/>
    <w:rsid w:val="00DC3057"/>
    <w:rsid w:val="00DC33D7"/>
    <w:rsid w:val="00DC395B"/>
    <w:rsid w:val="00DC44B1"/>
    <w:rsid w:val="00DC655C"/>
    <w:rsid w:val="00DC6EBF"/>
    <w:rsid w:val="00DC7B4C"/>
    <w:rsid w:val="00DC7E01"/>
    <w:rsid w:val="00DD04B8"/>
    <w:rsid w:val="00DD1E30"/>
    <w:rsid w:val="00DD2270"/>
    <w:rsid w:val="00DD27FF"/>
    <w:rsid w:val="00DD2E7B"/>
    <w:rsid w:val="00DD34B9"/>
    <w:rsid w:val="00DD34D4"/>
    <w:rsid w:val="00DD34D5"/>
    <w:rsid w:val="00DD3EC1"/>
    <w:rsid w:val="00DD4156"/>
    <w:rsid w:val="00DD4913"/>
    <w:rsid w:val="00DD524E"/>
    <w:rsid w:val="00DD5569"/>
    <w:rsid w:val="00DD5715"/>
    <w:rsid w:val="00DD5A2F"/>
    <w:rsid w:val="00DD628E"/>
    <w:rsid w:val="00DD62D9"/>
    <w:rsid w:val="00DD63A1"/>
    <w:rsid w:val="00DD64CF"/>
    <w:rsid w:val="00DD67BC"/>
    <w:rsid w:val="00DD6D18"/>
    <w:rsid w:val="00DD6F4F"/>
    <w:rsid w:val="00DD71A9"/>
    <w:rsid w:val="00DD7CC4"/>
    <w:rsid w:val="00DE085C"/>
    <w:rsid w:val="00DE0AF0"/>
    <w:rsid w:val="00DE1CB9"/>
    <w:rsid w:val="00DE1D94"/>
    <w:rsid w:val="00DE20CF"/>
    <w:rsid w:val="00DE2B3A"/>
    <w:rsid w:val="00DE3003"/>
    <w:rsid w:val="00DE3141"/>
    <w:rsid w:val="00DE3ED1"/>
    <w:rsid w:val="00DE60F8"/>
    <w:rsid w:val="00DE633B"/>
    <w:rsid w:val="00DE64F8"/>
    <w:rsid w:val="00DE6808"/>
    <w:rsid w:val="00DE6A3C"/>
    <w:rsid w:val="00DE6C4B"/>
    <w:rsid w:val="00DE715E"/>
    <w:rsid w:val="00DE78BF"/>
    <w:rsid w:val="00DE7AA0"/>
    <w:rsid w:val="00DE7B62"/>
    <w:rsid w:val="00DF0887"/>
    <w:rsid w:val="00DF13FF"/>
    <w:rsid w:val="00DF14B4"/>
    <w:rsid w:val="00DF1A08"/>
    <w:rsid w:val="00DF262C"/>
    <w:rsid w:val="00DF2E0E"/>
    <w:rsid w:val="00DF3269"/>
    <w:rsid w:val="00DF3317"/>
    <w:rsid w:val="00DF36AC"/>
    <w:rsid w:val="00DF40B1"/>
    <w:rsid w:val="00DF480A"/>
    <w:rsid w:val="00DF4E86"/>
    <w:rsid w:val="00DF5344"/>
    <w:rsid w:val="00DF54F9"/>
    <w:rsid w:val="00DF5576"/>
    <w:rsid w:val="00DF5D39"/>
    <w:rsid w:val="00DF63E1"/>
    <w:rsid w:val="00DF70DF"/>
    <w:rsid w:val="00DF740F"/>
    <w:rsid w:val="00DF77A0"/>
    <w:rsid w:val="00DF7A78"/>
    <w:rsid w:val="00E00254"/>
    <w:rsid w:val="00E0062E"/>
    <w:rsid w:val="00E0082A"/>
    <w:rsid w:val="00E00A85"/>
    <w:rsid w:val="00E01008"/>
    <w:rsid w:val="00E010B9"/>
    <w:rsid w:val="00E011ED"/>
    <w:rsid w:val="00E012CC"/>
    <w:rsid w:val="00E02B1B"/>
    <w:rsid w:val="00E02EB1"/>
    <w:rsid w:val="00E0335A"/>
    <w:rsid w:val="00E03AB3"/>
    <w:rsid w:val="00E03BF6"/>
    <w:rsid w:val="00E03DEE"/>
    <w:rsid w:val="00E04246"/>
    <w:rsid w:val="00E046CF"/>
    <w:rsid w:val="00E049B1"/>
    <w:rsid w:val="00E049F7"/>
    <w:rsid w:val="00E04A9D"/>
    <w:rsid w:val="00E04B79"/>
    <w:rsid w:val="00E04BD9"/>
    <w:rsid w:val="00E04E38"/>
    <w:rsid w:val="00E055A3"/>
    <w:rsid w:val="00E05A97"/>
    <w:rsid w:val="00E05ADB"/>
    <w:rsid w:val="00E067B0"/>
    <w:rsid w:val="00E07168"/>
    <w:rsid w:val="00E07247"/>
    <w:rsid w:val="00E07268"/>
    <w:rsid w:val="00E07363"/>
    <w:rsid w:val="00E076DF"/>
    <w:rsid w:val="00E100F3"/>
    <w:rsid w:val="00E10DA3"/>
    <w:rsid w:val="00E11194"/>
    <w:rsid w:val="00E11EF0"/>
    <w:rsid w:val="00E12519"/>
    <w:rsid w:val="00E129F9"/>
    <w:rsid w:val="00E12BA6"/>
    <w:rsid w:val="00E12C8B"/>
    <w:rsid w:val="00E132B1"/>
    <w:rsid w:val="00E154F2"/>
    <w:rsid w:val="00E156CD"/>
    <w:rsid w:val="00E15C70"/>
    <w:rsid w:val="00E15EC2"/>
    <w:rsid w:val="00E15F54"/>
    <w:rsid w:val="00E16032"/>
    <w:rsid w:val="00E1666C"/>
    <w:rsid w:val="00E16776"/>
    <w:rsid w:val="00E168D7"/>
    <w:rsid w:val="00E16A0E"/>
    <w:rsid w:val="00E16E13"/>
    <w:rsid w:val="00E16EEE"/>
    <w:rsid w:val="00E1725F"/>
    <w:rsid w:val="00E1731E"/>
    <w:rsid w:val="00E17CE9"/>
    <w:rsid w:val="00E209A9"/>
    <w:rsid w:val="00E20D92"/>
    <w:rsid w:val="00E21FF1"/>
    <w:rsid w:val="00E22A14"/>
    <w:rsid w:val="00E22ACA"/>
    <w:rsid w:val="00E22DDD"/>
    <w:rsid w:val="00E236B0"/>
    <w:rsid w:val="00E239A8"/>
    <w:rsid w:val="00E23B56"/>
    <w:rsid w:val="00E23DF4"/>
    <w:rsid w:val="00E245EB"/>
    <w:rsid w:val="00E24681"/>
    <w:rsid w:val="00E24897"/>
    <w:rsid w:val="00E249ED"/>
    <w:rsid w:val="00E25611"/>
    <w:rsid w:val="00E25B92"/>
    <w:rsid w:val="00E25C40"/>
    <w:rsid w:val="00E271A9"/>
    <w:rsid w:val="00E2753C"/>
    <w:rsid w:val="00E27589"/>
    <w:rsid w:val="00E27E84"/>
    <w:rsid w:val="00E305DA"/>
    <w:rsid w:val="00E3063D"/>
    <w:rsid w:val="00E306D5"/>
    <w:rsid w:val="00E30DAA"/>
    <w:rsid w:val="00E31AC8"/>
    <w:rsid w:val="00E322D9"/>
    <w:rsid w:val="00E32A27"/>
    <w:rsid w:val="00E32DB5"/>
    <w:rsid w:val="00E32E16"/>
    <w:rsid w:val="00E330E7"/>
    <w:rsid w:val="00E331A6"/>
    <w:rsid w:val="00E3379D"/>
    <w:rsid w:val="00E337BB"/>
    <w:rsid w:val="00E35000"/>
    <w:rsid w:val="00E3565A"/>
    <w:rsid w:val="00E35899"/>
    <w:rsid w:val="00E35C28"/>
    <w:rsid w:val="00E36C5D"/>
    <w:rsid w:val="00E36E2E"/>
    <w:rsid w:val="00E371FE"/>
    <w:rsid w:val="00E37350"/>
    <w:rsid w:val="00E37C56"/>
    <w:rsid w:val="00E37E7A"/>
    <w:rsid w:val="00E40386"/>
    <w:rsid w:val="00E405E5"/>
    <w:rsid w:val="00E40880"/>
    <w:rsid w:val="00E40A96"/>
    <w:rsid w:val="00E4236C"/>
    <w:rsid w:val="00E42660"/>
    <w:rsid w:val="00E42755"/>
    <w:rsid w:val="00E42970"/>
    <w:rsid w:val="00E44A04"/>
    <w:rsid w:val="00E44A3B"/>
    <w:rsid w:val="00E44BFF"/>
    <w:rsid w:val="00E44E57"/>
    <w:rsid w:val="00E45033"/>
    <w:rsid w:val="00E451FD"/>
    <w:rsid w:val="00E453E1"/>
    <w:rsid w:val="00E454F2"/>
    <w:rsid w:val="00E459A8"/>
    <w:rsid w:val="00E45A8F"/>
    <w:rsid w:val="00E46A49"/>
    <w:rsid w:val="00E47794"/>
    <w:rsid w:val="00E47A60"/>
    <w:rsid w:val="00E47D3E"/>
    <w:rsid w:val="00E50D2C"/>
    <w:rsid w:val="00E52E78"/>
    <w:rsid w:val="00E531F7"/>
    <w:rsid w:val="00E53687"/>
    <w:rsid w:val="00E53C56"/>
    <w:rsid w:val="00E543DE"/>
    <w:rsid w:val="00E546AC"/>
    <w:rsid w:val="00E550E3"/>
    <w:rsid w:val="00E55183"/>
    <w:rsid w:val="00E553C9"/>
    <w:rsid w:val="00E55400"/>
    <w:rsid w:val="00E55A52"/>
    <w:rsid w:val="00E55C44"/>
    <w:rsid w:val="00E55EE6"/>
    <w:rsid w:val="00E5621E"/>
    <w:rsid w:val="00E56961"/>
    <w:rsid w:val="00E56D0F"/>
    <w:rsid w:val="00E570DA"/>
    <w:rsid w:val="00E57148"/>
    <w:rsid w:val="00E5779A"/>
    <w:rsid w:val="00E57E3A"/>
    <w:rsid w:val="00E57FA0"/>
    <w:rsid w:val="00E6018F"/>
    <w:rsid w:val="00E60E25"/>
    <w:rsid w:val="00E60FF9"/>
    <w:rsid w:val="00E611FA"/>
    <w:rsid w:val="00E61CB3"/>
    <w:rsid w:val="00E62053"/>
    <w:rsid w:val="00E6286E"/>
    <w:rsid w:val="00E62ACA"/>
    <w:rsid w:val="00E62C1C"/>
    <w:rsid w:val="00E63AC8"/>
    <w:rsid w:val="00E6486F"/>
    <w:rsid w:val="00E65328"/>
    <w:rsid w:val="00E65438"/>
    <w:rsid w:val="00E66393"/>
    <w:rsid w:val="00E663AF"/>
    <w:rsid w:val="00E66806"/>
    <w:rsid w:val="00E66A14"/>
    <w:rsid w:val="00E66A2B"/>
    <w:rsid w:val="00E66A85"/>
    <w:rsid w:val="00E66BD3"/>
    <w:rsid w:val="00E66DAC"/>
    <w:rsid w:val="00E67C10"/>
    <w:rsid w:val="00E70724"/>
    <w:rsid w:val="00E714A4"/>
    <w:rsid w:val="00E725AE"/>
    <w:rsid w:val="00E726CA"/>
    <w:rsid w:val="00E72FA7"/>
    <w:rsid w:val="00E7365C"/>
    <w:rsid w:val="00E73E30"/>
    <w:rsid w:val="00E73F05"/>
    <w:rsid w:val="00E73F18"/>
    <w:rsid w:val="00E74DB5"/>
    <w:rsid w:val="00E7556C"/>
    <w:rsid w:val="00E7569C"/>
    <w:rsid w:val="00E759AF"/>
    <w:rsid w:val="00E767BE"/>
    <w:rsid w:val="00E76835"/>
    <w:rsid w:val="00E76B4C"/>
    <w:rsid w:val="00E8059E"/>
    <w:rsid w:val="00E805B1"/>
    <w:rsid w:val="00E82798"/>
    <w:rsid w:val="00E82830"/>
    <w:rsid w:val="00E83424"/>
    <w:rsid w:val="00E83C94"/>
    <w:rsid w:val="00E84755"/>
    <w:rsid w:val="00E8535D"/>
    <w:rsid w:val="00E85613"/>
    <w:rsid w:val="00E8638D"/>
    <w:rsid w:val="00E86649"/>
    <w:rsid w:val="00E86F00"/>
    <w:rsid w:val="00E87335"/>
    <w:rsid w:val="00E87984"/>
    <w:rsid w:val="00E903BB"/>
    <w:rsid w:val="00E90715"/>
    <w:rsid w:val="00E90912"/>
    <w:rsid w:val="00E90EB9"/>
    <w:rsid w:val="00E91065"/>
    <w:rsid w:val="00E9123E"/>
    <w:rsid w:val="00E91CE1"/>
    <w:rsid w:val="00E92451"/>
    <w:rsid w:val="00E92714"/>
    <w:rsid w:val="00E93370"/>
    <w:rsid w:val="00E93BD4"/>
    <w:rsid w:val="00E93CAB"/>
    <w:rsid w:val="00E93EBB"/>
    <w:rsid w:val="00E94047"/>
    <w:rsid w:val="00E945AA"/>
    <w:rsid w:val="00E94EF2"/>
    <w:rsid w:val="00E95EA5"/>
    <w:rsid w:val="00E96BC9"/>
    <w:rsid w:val="00E96C6B"/>
    <w:rsid w:val="00E96E61"/>
    <w:rsid w:val="00E97532"/>
    <w:rsid w:val="00EA048A"/>
    <w:rsid w:val="00EA0637"/>
    <w:rsid w:val="00EA0FD0"/>
    <w:rsid w:val="00EA11FB"/>
    <w:rsid w:val="00EA1646"/>
    <w:rsid w:val="00EA1690"/>
    <w:rsid w:val="00EA1CC6"/>
    <w:rsid w:val="00EA1E0F"/>
    <w:rsid w:val="00EA2518"/>
    <w:rsid w:val="00EA2549"/>
    <w:rsid w:val="00EA260F"/>
    <w:rsid w:val="00EA2A16"/>
    <w:rsid w:val="00EA2D77"/>
    <w:rsid w:val="00EA2DC3"/>
    <w:rsid w:val="00EA3415"/>
    <w:rsid w:val="00EA3459"/>
    <w:rsid w:val="00EA3646"/>
    <w:rsid w:val="00EA3882"/>
    <w:rsid w:val="00EA42E8"/>
    <w:rsid w:val="00EA4CBD"/>
    <w:rsid w:val="00EA4D49"/>
    <w:rsid w:val="00EA503F"/>
    <w:rsid w:val="00EA52F7"/>
    <w:rsid w:val="00EA55E9"/>
    <w:rsid w:val="00EA56A0"/>
    <w:rsid w:val="00EA6282"/>
    <w:rsid w:val="00EA6847"/>
    <w:rsid w:val="00EA72A3"/>
    <w:rsid w:val="00EA74BA"/>
    <w:rsid w:val="00EA75CA"/>
    <w:rsid w:val="00EB05B9"/>
    <w:rsid w:val="00EB0BA8"/>
    <w:rsid w:val="00EB1677"/>
    <w:rsid w:val="00EB1867"/>
    <w:rsid w:val="00EB19A0"/>
    <w:rsid w:val="00EB1C2F"/>
    <w:rsid w:val="00EB1CFE"/>
    <w:rsid w:val="00EB2530"/>
    <w:rsid w:val="00EB2931"/>
    <w:rsid w:val="00EB2ED1"/>
    <w:rsid w:val="00EB3226"/>
    <w:rsid w:val="00EB3544"/>
    <w:rsid w:val="00EB372C"/>
    <w:rsid w:val="00EB3799"/>
    <w:rsid w:val="00EB4244"/>
    <w:rsid w:val="00EB51E6"/>
    <w:rsid w:val="00EB5258"/>
    <w:rsid w:val="00EB5611"/>
    <w:rsid w:val="00EB589D"/>
    <w:rsid w:val="00EB5AF4"/>
    <w:rsid w:val="00EB63AE"/>
    <w:rsid w:val="00EB65D6"/>
    <w:rsid w:val="00EB674B"/>
    <w:rsid w:val="00EB6CD6"/>
    <w:rsid w:val="00EB70EA"/>
    <w:rsid w:val="00EB787D"/>
    <w:rsid w:val="00EB7C96"/>
    <w:rsid w:val="00EB7D39"/>
    <w:rsid w:val="00EC008C"/>
    <w:rsid w:val="00EC023E"/>
    <w:rsid w:val="00EC0725"/>
    <w:rsid w:val="00EC096C"/>
    <w:rsid w:val="00EC1C15"/>
    <w:rsid w:val="00EC1C4F"/>
    <w:rsid w:val="00EC202C"/>
    <w:rsid w:val="00EC22FB"/>
    <w:rsid w:val="00EC2530"/>
    <w:rsid w:val="00EC2AA0"/>
    <w:rsid w:val="00EC2B63"/>
    <w:rsid w:val="00EC30C8"/>
    <w:rsid w:val="00EC30F5"/>
    <w:rsid w:val="00EC42C6"/>
    <w:rsid w:val="00EC4A06"/>
    <w:rsid w:val="00EC5247"/>
    <w:rsid w:val="00EC55A4"/>
    <w:rsid w:val="00EC5BE3"/>
    <w:rsid w:val="00EC632D"/>
    <w:rsid w:val="00EC6F8F"/>
    <w:rsid w:val="00EC7223"/>
    <w:rsid w:val="00EC773C"/>
    <w:rsid w:val="00EC7830"/>
    <w:rsid w:val="00EC7B16"/>
    <w:rsid w:val="00EC7C93"/>
    <w:rsid w:val="00ED0220"/>
    <w:rsid w:val="00ED03D4"/>
    <w:rsid w:val="00ED0930"/>
    <w:rsid w:val="00ED0D40"/>
    <w:rsid w:val="00ED0D58"/>
    <w:rsid w:val="00ED1DFF"/>
    <w:rsid w:val="00ED1E85"/>
    <w:rsid w:val="00ED2823"/>
    <w:rsid w:val="00ED2D3C"/>
    <w:rsid w:val="00ED2E58"/>
    <w:rsid w:val="00ED2ECC"/>
    <w:rsid w:val="00ED31F2"/>
    <w:rsid w:val="00ED357A"/>
    <w:rsid w:val="00ED3C55"/>
    <w:rsid w:val="00ED4B3F"/>
    <w:rsid w:val="00ED4C13"/>
    <w:rsid w:val="00ED52B4"/>
    <w:rsid w:val="00ED535E"/>
    <w:rsid w:val="00ED6032"/>
    <w:rsid w:val="00ED6F7F"/>
    <w:rsid w:val="00ED7454"/>
    <w:rsid w:val="00ED75FA"/>
    <w:rsid w:val="00ED761C"/>
    <w:rsid w:val="00ED7E9C"/>
    <w:rsid w:val="00EE0195"/>
    <w:rsid w:val="00EE024E"/>
    <w:rsid w:val="00EE088C"/>
    <w:rsid w:val="00EE0BF5"/>
    <w:rsid w:val="00EE0D1A"/>
    <w:rsid w:val="00EE11ED"/>
    <w:rsid w:val="00EE12DA"/>
    <w:rsid w:val="00EE1985"/>
    <w:rsid w:val="00EE1CF9"/>
    <w:rsid w:val="00EE3568"/>
    <w:rsid w:val="00EE43E8"/>
    <w:rsid w:val="00EE473B"/>
    <w:rsid w:val="00EE5380"/>
    <w:rsid w:val="00EE6318"/>
    <w:rsid w:val="00EE65AD"/>
    <w:rsid w:val="00EE676B"/>
    <w:rsid w:val="00EE748F"/>
    <w:rsid w:val="00EE78C4"/>
    <w:rsid w:val="00EE7D31"/>
    <w:rsid w:val="00EE7DE4"/>
    <w:rsid w:val="00EF0388"/>
    <w:rsid w:val="00EF0EB9"/>
    <w:rsid w:val="00EF1B80"/>
    <w:rsid w:val="00EF24BB"/>
    <w:rsid w:val="00EF298F"/>
    <w:rsid w:val="00EF2EA3"/>
    <w:rsid w:val="00EF3389"/>
    <w:rsid w:val="00EF37F2"/>
    <w:rsid w:val="00EF39E4"/>
    <w:rsid w:val="00EF4138"/>
    <w:rsid w:val="00EF4144"/>
    <w:rsid w:val="00EF49E7"/>
    <w:rsid w:val="00EF5931"/>
    <w:rsid w:val="00EF5A33"/>
    <w:rsid w:val="00EF60F5"/>
    <w:rsid w:val="00EF610E"/>
    <w:rsid w:val="00EF651D"/>
    <w:rsid w:val="00EF6988"/>
    <w:rsid w:val="00EF6A91"/>
    <w:rsid w:val="00EF73B6"/>
    <w:rsid w:val="00EF7540"/>
    <w:rsid w:val="00EF7894"/>
    <w:rsid w:val="00EF7896"/>
    <w:rsid w:val="00EF789B"/>
    <w:rsid w:val="00EF7C76"/>
    <w:rsid w:val="00EF7E6B"/>
    <w:rsid w:val="00F003A5"/>
    <w:rsid w:val="00F0051D"/>
    <w:rsid w:val="00F005D2"/>
    <w:rsid w:val="00F00727"/>
    <w:rsid w:val="00F0073A"/>
    <w:rsid w:val="00F009D4"/>
    <w:rsid w:val="00F00EA7"/>
    <w:rsid w:val="00F00F25"/>
    <w:rsid w:val="00F0104B"/>
    <w:rsid w:val="00F0106D"/>
    <w:rsid w:val="00F01569"/>
    <w:rsid w:val="00F01A23"/>
    <w:rsid w:val="00F01CC6"/>
    <w:rsid w:val="00F01F7B"/>
    <w:rsid w:val="00F0201B"/>
    <w:rsid w:val="00F0246D"/>
    <w:rsid w:val="00F02485"/>
    <w:rsid w:val="00F02D31"/>
    <w:rsid w:val="00F03051"/>
    <w:rsid w:val="00F0422B"/>
    <w:rsid w:val="00F0456F"/>
    <w:rsid w:val="00F04D42"/>
    <w:rsid w:val="00F05306"/>
    <w:rsid w:val="00F054C8"/>
    <w:rsid w:val="00F05745"/>
    <w:rsid w:val="00F05B44"/>
    <w:rsid w:val="00F05CD8"/>
    <w:rsid w:val="00F066B3"/>
    <w:rsid w:val="00F06A70"/>
    <w:rsid w:val="00F11449"/>
    <w:rsid w:val="00F115CB"/>
    <w:rsid w:val="00F126C1"/>
    <w:rsid w:val="00F12B87"/>
    <w:rsid w:val="00F13604"/>
    <w:rsid w:val="00F13E45"/>
    <w:rsid w:val="00F13E65"/>
    <w:rsid w:val="00F147AB"/>
    <w:rsid w:val="00F153C4"/>
    <w:rsid w:val="00F15CF9"/>
    <w:rsid w:val="00F16319"/>
    <w:rsid w:val="00F166B5"/>
    <w:rsid w:val="00F16EFA"/>
    <w:rsid w:val="00F1703B"/>
    <w:rsid w:val="00F17631"/>
    <w:rsid w:val="00F17936"/>
    <w:rsid w:val="00F2110A"/>
    <w:rsid w:val="00F21343"/>
    <w:rsid w:val="00F2168C"/>
    <w:rsid w:val="00F21BE5"/>
    <w:rsid w:val="00F21CAE"/>
    <w:rsid w:val="00F21D13"/>
    <w:rsid w:val="00F22B70"/>
    <w:rsid w:val="00F22C79"/>
    <w:rsid w:val="00F22E86"/>
    <w:rsid w:val="00F22FE2"/>
    <w:rsid w:val="00F23244"/>
    <w:rsid w:val="00F23A51"/>
    <w:rsid w:val="00F2415B"/>
    <w:rsid w:val="00F24A80"/>
    <w:rsid w:val="00F25502"/>
    <w:rsid w:val="00F2578B"/>
    <w:rsid w:val="00F258A3"/>
    <w:rsid w:val="00F262A2"/>
    <w:rsid w:val="00F26937"/>
    <w:rsid w:val="00F26B26"/>
    <w:rsid w:val="00F26E45"/>
    <w:rsid w:val="00F278B4"/>
    <w:rsid w:val="00F27AAB"/>
    <w:rsid w:val="00F27D8A"/>
    <w:rsid w:val="00F30631"/>
    <w:rsid w:val="00F312FD"/>
    <w:rsid w:val="00F3137B"/>
    <w:rsid w:val="00F3142E"/>
    <w:rsid w:val="00F31ACB"/>
    <w:rsid w:val="00F31DDC"/>
    <w:rsid w:val="00F3201B"/>
    <w:rsid w:val="00F32DBA"/>
    <w:rsid w:val="00F32F3F"/>
    <w:rsid w:val="00F336FF"/>
    <w:rsid w:val="00F353EA"/>
    <w:rsid w:val="00F354B8"/>
    <w:rsid w:val="00F35B2F"/>
    <w:rsid w:val="00F35BDC"/>
    <w:rsid w:val="00F36193"/>
    <w:rsid w:val="00F363E4"/>
    <w:rsid w:val="00F37686"/>
    <w:rsid w:val="00F37E3A"/>
    <w:rsid w:val="00F401AF"/>
    <w:rsid w:val="00F401C6"/>
    <w:rsid w:val="00F4064A"/>
    <w:rsid w:val="00F406AF"/>
    <w:rsid w:val="00F40DBA"/>
    <w:rsid w:val="00F42EC5"/>
    <w:rsid w:val="00F4345B"/>
    <w:rsid w:val="00F447D3"/>
    <w:rsid w:val="00F44E31"/>
    <w:rsid w:val="00F453EA"/>
    <w:rsid w:val="00F46DC0"/>
    <w:rsid w:val="00F477E8"/>
    <w:rsid w:val="00F4780B"/>
    <w:rsid w:val="00F501D6"/>
    <w:rsid w:val="00F504A3"/>
    <w:rsid w:val="00F50513"/>
    <w:rsid w:val="00F505BC"/>
    <w:rsid w:val="00F5073E"/>
    <w:rsid w:val="00F507AB"/>
    <w:rsid w:val="00F5169F"/>
    <w:rsid w:val="00F52084"/>
    <w:rsid w:val="00F52124"/>
    <w:rsid w:val="00F52E63"/>
    <w:rsid w:val="00F530A3"/>
    <w:rsid w:val="00F531F1"/>
    <w:rsid w:val="00F531F9"/>
    <w:rsid w:val="00F538F4"/>
    <w:rsid w:val="00F539C0"/>
    <w:rsid w:val="00F53E71"/>
    <w:rsid w:val="00F54139"/>
    <w:rsid w:val="00F544D7"/>
    <w:rsid w:val="00F54598"/>
    <w:rsid w:val="00F54A7C"/>
    <w:rsid w:val="00F5530A"/>
    <w:rsid w:val="00F55C78"/>
    <w:rsid w:val="00F561F4"/>
    <w:rsid w:val="00F562CF"/>
    <w:rsid w:val="00F5630A"/>
    <w:rsid w:val="00F56A18"/>
    <w:rsid w:val="00F57271"/>
    <w:rsid w:val="00F57FBF"/>
    <w:rsid w:val="00F60B61"/>
    <w:rsid w:val="00F61387"/>
    <w:rsid w:val="00F6186E"/>
    <w:rsid w:val="00F61B39"/>
    <w:rsid w:val="00F61DD9"/>
    <w:rsid w:val="00F61E25"/>
    <w:rsid w:val="00F633EE"/>
    <w:rsid w:val="00F63A35"/>
    <w:rsid w:val="00F63CA3"/>
    <w:rsid w:val="00F63F9C"/>
    <w:rsid w:val="00F64199"/>
    <w:rsid w:val="00F64D49"/>
    <w:rsid w:val="00F64F8F"/>
    <w:rsid w:val="00F65BE5"/>
    <w:rsid w:val="00F6659C"/>
    <w:rsid w:val="00F667F1"/>
    <w:rsid w:val="00F66B80"/>
    <w:rsid w:val="00F66D1B"/>
    <w:rsid w:val="00F670C6"/>
    <w:rsid w:val="00F70F81"/>
    <w:rsid w:val="00F72AD5"/>
    <w:rsid w:val="00F72B05"/>
    <w:rsid w:val="00F73556"/>
    <w:rsid w:val="00F735E4"/>
    <w:rsid w:val="00F7368E"/>
    <w:rsid w:val="00F73BCD"/>
    <w:rsid w:val="00F73D2E"/>
    <w:rsid w:val="00F74250"/>
    <w:rsid w:val="00F7490F"/>
    <w:rsid w:val="00F74AA6"/>
    <w:rsid w:val="00F75022"/>
    <w:rsid w:val="00F75A8F"/>
    <w:rsid w:val="00F76116"/>
    <w:rsid w:val="00F762BE"/>
    <w:rsid w:val="00F7681C"/>
    <w:rsid w:val="00F77D3D"/>
    <w:rsid w:val="00F80DD1"/>
    <w:rsid w:val="00F81503"/>
    <w:rsid w:val="00F81689"/>
    <w:rsid w:val="00F81777"/>
    <w:rsid w:val="00F81A5D"/>
    <w:rsid w:val="00F81F5A"/>
    <w:rsid w:val="00F82466"/>
    <w:rsid w:val="00F826AF"/>
    <w:rsid w:val="00F83EF1"/>
    <w:rsid w:val="00F84014"/>
    <w:rsid w:val="00F840F9"/>
    <w:rsid w:val="00F8417C"/>
    <w:rsid w:val="00F85A45"/>
    <w:rsid w:val="00F85B60"/>
    <w:rsid w:val="00F85DB1"/>
    <w:rsid w:val="00F8600F"/>
    <w:rsid w:val="00F86119"/>
    <w:rsid w:val="00F863F9"/>
    <w:rsid w:val="00F86EF6"/>
    <w:rsid w:val="00F87352"/>
    <w:rsid w:val="00F87E9B"/>
    <w:rsid w:val="00F903D5"/>
    <w:rsid w:val="00F90B4D"/>
    <w:rsid w:val="00F90CA1"/>
    <w:rsid w:val="00F90DBC"/>
    <w:rsid w:val="00F91045"/>
    <w:rsid w:val="00F91A15"/>
    <w:rsid w:val="00F91C2C"/>
    <w:rsid w:val="00F91DA8"/>
    <w:rsid w:val="00F9209E"/>
    <w:rsid w:val="00F9257D"/>
    <w:rsid w:val="00F92711"/>
    <w:rsid w:val="00F92E6D"/>
    <w:rsid w:val="00F93B1C"/>
    <w:rsid w:val="00F93DEF"/>
    <w:rsid w:val="00F94720"/>
    <w:rsid w:val="00F94A43"/>
    <w:rsid w:val="00F94CB7"/>
    <w:rsid w:val="00F95106"/>
    <w:rsid w:val="00F95523"/>
    <w:rsid w:val="00F958FC"/>
    <w:rsid w:val="00F95BE3"/>
    <w:rsid w:val="00F95E33"/>
    <w:rsid w:val="00F964BE"/>
    <w:rsid w:val="00F96609"/>
    <w:rsid w:val="00F966B6"/>
    <w:rsid w:val="00F9740E"/>
    <w:rsid w:val="00F979DD"/>
    <w:rsid w:val="00FA16C1"/>
    <w:rsid w:val="00FA1DCE"/>
    <w:rsid w:val="00FA2351"/>
    <w:rsid w:val="00FA2A5E"/>
    <w:rsid w:val="00FA3296"/>
    <w:rsid w:val="00FA36DF"/>
    <w:rsid w:val="00FA373B"/>
    <w:rsid w:val="00FA3C6A"/>
    <w:rsid w:val="00FA4FE2"/>
    <w:rsid w:val="00FA50E3"/>
    <w:rsid w:val="00FA566A"/>
    <w:rsid w:val="00FA572B"/>
    <w:rsid w:val="00FA58E6"/>
    <w:rsid w:val="00FA6000"/>
    <w:rsid w:val="00FA630F"/>
    <w:rsid w:val="00FA649F"/>
    <w:rsid w:val="00FA6758"/>
    <w:rsid w:val="00FA6D12"/>
    <w:rsid w:val="00FA7631"/>
    <w:rsid w:val="00FA79A0"/>
    <w:rsid w:val="00FA7C01"/>
    <w:rsid w:val="00FA7E07"/>
    <w:rsid w:val="00FB011A"/>
    <w:rsid w:val="00FB0338"/>
    <w:rsid w:val="00FB04D2"/>
    <w:rsid w:val="00FB0BBA"/>
    <w:rsid w:val="00FB0DE8"/>
    <w:rsid w:val="00FB0E51"/>
    <w:rsid w:val="00FB1000"/>
    <w:rsid w:val="00FB2213"/>
    <w:rsid w:val="00FB2298"/>
    <w:rsid w:val="00FB24F3"/>
    <w:rsid w:val="00FB2719"/>
    <w:rsid w:val="00FB2946"/>
    <w:rsid w:val="00FB38A6"/>
    <w:rsid w:val="00FB3BA3"/>
    <w:rsid w:val="00FB3DE7"/>
    <w:rsid w:val="00FB439A"/>
    <w:rsid w:val="00FB446A"/>
    <w:rsid w:val="00FB46E3"/>
    <w:rsid w:val="00FB4D5E"/>
    <w:rsid w:val="00FB527A"/>
    <w:rsid w:val="00FB5324"/>
    <w:rsid w:val="00FB5335"/>
    <w:rsid w:val="00FB5C91"/>
    <w:rsid w:val="00FB6148"/>
    <w:rsid w:val="00FB632A"/>
    <w:rsid w:val="00FB6CAB"/>
    <w:rsid w:val="00FB7381"/>
    <w:rsid w:val="00FB763C"/>
    <w:rsid w:val="00FB77F8"/>
    <w:rsid w:val="00FB7DE1"/>
    <w:rsid w:val="00FC0A47"/>
    <w:rsid w:val="00FC1009"/>
    <w:rsid w:val="00FC127C"/>
    <w:rsid w:val="00FC192E"/>
    <w:rsid w:val="00FC1EFD"/>
    <w:rsid w:val="00FC1F4F"/>
    <w:rsid w:val="00FC2C35"/>
    <w:rsid w:val="00FC37F9"/>
    <w:rsid w:val="00FC4B68"/>
    <w:rsid w:val="00FC4BF7"/>
    <w:rsid w:val="00FC57BD"/>
    <w:rsid w:val="00FC5C56"/>
    <w:rsid w:val="00FC6CF1"/>
    <w:rsid w:val="00FC74F2"/>
    <w:rsid w:val="00FC76CE"/>
    <w:rsid w:val="00FC79EA"/>
    <w:rsid w:val="00FD0C6F"/>
    <w:rsid w:val="00FD0F0F"/>
    <w:rsid w:val="00FD1340"/>
    <w:rsid w:val="00FD15DB"/>
    <w:rsid w:val="00FD1800"/>
    <w:rsid w:val="00FD2493"/>
    <w:rsid w:val="00FD3C0A"/>
    <w:rsid w:val="00FD450B"/>
    <w:rsid w:val="00FD46F8"/>
    <w:rsid w:val="00FD485B"/>
    <w:rsid w:val="00FD578D"/>
    <w:rsid w:val="00FD5A1C"/>
    <w:rsid w:val="00FD651B"/>
    <w:rsid w:val="00FD6B42"/>
    <w:rsid w:val="00FD6BCD"/>
    <w:rsid w:val="00FD6D9D"/>
    <w:rsid w:val="00FD7472"/>
    <w:rsid w:val="00FD7836"/>
    <w:rsid w:val="00FD7BF2"/>
    <w:rsid w:val="00FD7DBD"/>
    <w:rsid w:val="00FE0020"/>
    <w:rsid w:val="00FE03D0"/>
    <w:rsid w:val="00FE0DAE"/>
    <w:rsid w:val="00FE0EAB"/>
    <w:rsid w:val="00FE1C9D"/>
    <w:rsid w:val="00FE2188"/>
    <w:rsid w:val="00FE25A0"/>
    <w:rsid w:val="00FE27E0"/>
    <w:rsid w:val="00FE2972"/>
    <w:rsid w:val="00FE2D25"/>
    <w:rsid w:val="00FE30A3"/>
    <w:rsid w:val="00FE3627"/>
    <w:rsid w:val="00FE38D9"/>
    <w:rsid w:val="00FE3A76"/>
    <w:rsid w:val="00FE3A79"/>
    <w:rsid w:val="00FE3C67"/>
    <w:rsid w:val="00FE4023"/>
    <w:rsid w:val="00FE41B2"/>
    <w:rsid w:val="00FE45C4"/>
    <w:rsid w:val="00FE5A24"/>
    <w:rsid w:val="00FE5B5B"/>
    <w:rsid w:val="00FE5B70"/>
    <w:rsid w:val="00FE60DD"/>
    <w:rsid w:val="00FE745E"/>
    <w:rsid w:val="00FE75A4"/>
    <w:rsid w:val="00FE75D5"/>
    <w:rsid w:val="00FE75E3"/>
    <w:rsid w:val="00FF082A"/>
    <w:rsid w:val="00FF15F0"/>
    <w:rsid w:val="00FF1DED"/>
    <w:rsid w:val="00FF336D"/>
    <w:rsid w:val="00FF3701"/>
    <w:rsid w:val="00FF3EEA"/>
    <w:rsid w:val="00FF5071"/>
    <w:rsid w:val="00FF5184"/>
    <w:rsid w:val="00FF54BB"/>
    <w:rsid w:val="00FF5600"/>
    <w:rsid w:val="00FF5F6B"/>
    <w:rsid w:val="00FF5F78"/>
    <w:rsid w:val="00FF6183"/>
    <w:rsid w:val="00FF6272"/>
    <w:rsid w:val="00FF63A0"/>
    <w:rsid w:val="00FF653D"/>
    <w:rsid w:val="00FF69A2"/>
    <w:rsid w:val="00FF6BE9"/>
    <w:rsid w:val="00FF6C5C"/>
    <w:rsid w:val="00FF710F"/>
    <w:rsid w:val="00FF7CEC"/>
    <w:rsid w:val="010655A2"/>
    <w:rsid w:val="010C4833"/>
    <w:rsid w:val="010C5E15"/>
    <w:rsid w:val="010E1EC8"/>
    <w:rsid w:val="010E7117"/>
    <w:rsid w:val="011473B7"/>
    <w:rsid w:val="01162FD7"/>
    <w:rsid w:val="01197F1F"/>
    <w:rsid w:val="011D2DDF"/>
    <w:rsid w:val="01217180"/>
    <w:rsid w:val="01247F61"/>
    <w:rsid w:val="012544D6"/>
    <w:rsid w:val="012B64AF"/>
    <w:rsid w:val="012F591E"/>
    <w:rsid w:val="01313179"/>
    <w:rsid w:val="0136417B"/>
    <w:rsid w:val="013A4168"/>
    <w:rsid w:val="013C16C2"/>
    <w:rsid w:val="013C4C9E"/>
    <w:rsid w:val="013C757C"/>
    <w:rsid w:val="013D45FE"/>
    <w:rsid w:val="014337F8"/>
    <w:rsid w:val="01444924"/>
    <w:rsid w:val="014E5113"/>
    <w:rsid w:val="014F1794"/>
    <w:rsid w:val="015123B9"/>
    <w:rsid w:val="01514515"/>
    <w:rsid w:val="01536538"/>
    <w:rsid w:val="01560FB4"/>
    <w:rsid w:val="01564BF5"/>
    <w:rsid w:val="015A5B7E"/>
    <w:rsid w:val="016B6AB5"/>
    <w:rsid w:val="0172589D"/>
    <w:rsid w:val="017370A1"/>
    <w:rsid w:val="017A1BCB"/>
    <w:rsid w:val="01895D19"/>
    <w:rsid w:val="019127B6"/>
    <w:rsid w:val="019A5CB0"/>
    <w:rsid w:val="019B51C5"/>
    <w:rsid w:val="019D73AC"/>
    <w:rsid w:val="01A17CBB"/>
    <w:rsid w:val="01A7022B"/>
    <w:rsid w:val="01A753AC"/>
    <w:rsid w:val="01B256A2"/>
    <w:rsid w:val="01BE20F2"/>
    <w:rsid w:val="01C1249C"/>
    <w:rsid w:val="01C36F66"/>
    <w:rsid w:val="01C81F50"/>
    <w:rsid w:val="01CC20DF"/>
    <w:rsid w:val="01D03A33"/>
    <w:rsid w:val="01D84888"/>
    <w:rsid w:val="01DF79CF"/>
    <w:rsid w:val="01E015AE"/>
    <w:rsid w:val="01E22BB5"/>
    <w:rsid w:val="01E23011"/>
    <w:rsid w:val="01E274B5"/>
    <w:rsid w:val="01E414B2"/>
    <w:rsid w:val="01E64624"/>
    <w:rsid w:val="01E70D5E"/>
    <w:rsid w:val="01E71506"/>
    <w:rsid w:val="01E80A81"/>
    <w:rsid w:val="01EA1CF7"/>
    <w:rsid w:val="01ED1BCF"/>
    <w:rsid w:val="01ED7E2C"/>
    <w:rsid w:val="01FE5434"/>
    <w:rsid w:val="0203289F"/>
    <w:rsid w:val="02034AEA"/>
    <w:rsid w:val="020923AA"/>
    <w:rsid w:val="021327A9"/>
    <w:rsid w:val="021963CC"/>
    <w:rsid w:val="02214D05"/>
    <w:rsid w:val="022A2464"/>
    <w:rsid w:val="022D3127"/>
    <w:rsid w:val="02370B76"/>
    <w:rsid w:val="023B2109"/>
    <w:rsid w:val="023C7EDE"/>
    <w:rsid w:val="023F5B23"/>
    <w:rsid w:val="02427F54"/>
    <w:rsid w:val="02482AAC"/>
    <w:rsid w:val="024A5CEF"/>
    <w:rsid w:val="024B505A"/>
    <w:rsid w:val="024C752C"/>
    <w:rsid w:val="024D7A39"/>
    <w:rsid w:val="025008C3"/>
    <w:rsid w:val="02531CA3"/>
    <w:rsid w:val="02586E32"/>
    <w:rsid w:val="02587777"/>
    <w:rsid w:val="02594EE7"/>
    <w:rsid w:val="02595EC2"/>
    <w:rsid w:val="025A55ED"/>
    <w:rsid w:val="025A67AA"/>
    <w:rsid w:val="025D13F2"/>
    <w:rsid w:val="02636518"/>
    <w:rsid w:val="026378A7"/>
    <w:rsid w:val="02655B0B"/>
    <w:rsid w:val="02661E94"/>
    <w:rsid w:val="026659F0"/>
    <w:rsid w:val="026825AB"/>
    <w:rsid w:val="026A0A78"/>
    <w:rsid w:val="026A38A3"/>
    <w:rsid w:val="02783624"/>
    <w:rsid w:val="027A7E4F"/>
    <w:rsid w:val="027C43DB"/>
    <w:rsid w:val="027D5F16"/>
    <w:rsid w:val="027F6AB2"/>
    <w:rsid w:val="02875FCF"/>
    <w:rsid w:val="028E5BCE"/>
    <w:rsid w:val="02927999"/>
    <w:rsid w:val="029354A3"/>
    <w:rsid w:val="029506A9"/>
    <w:rsid w:val="029A5C54"/>
    <w:rsid w:val="029C00F5"/>
    <w:rsid w:val="029C7664"/>
    <w:rsid w:val="02A36C44"/>
    <w:rsid w:val="02A429BD"/>
    <w:rsid w:val="02A50ACA"/>
    <w:rsid w:val="02AA666F"/>
    <w:rsid w:val="02AE3703"/>
    <w:rsid w:val="02B0310F"/>
    <w:rsid w:val="02B10F41"/>
    <w:rsid w:val="02B20026"/>
    <w:rsid w:val="02B2411F"/>
    <w:rsid w:val="02B726F0"/>
    <w:rsid w:val="02B9536E"/>
    <w:rsid w:val="02B96468"/>
    <w:rsid w:val="02C03FFB"/>
    <w:rsid w:val="02C46BBB"/>
    <w:rsid w:val="02C70EF5"/>
    <w:rsid w:val="02C92192"/>
    <w:rsid w:val="02C95F7F"/>
    <w:rsid w:val="02CD6385"/>
    <w:rsid w:val="02CE1C55"/>
    <w:rsid w:val="02D432A2"/>
    <w:rsid w:val="02D46DB3"/>
    <w:rsid w:val="02D74204"/>
    <w:rsid w:val="02D7536C"/>
    <w:rsid w:val="02E37041"/>
    <w:rsid w:val="02E64D83"/>
    <w:rsid w:val="02E67EE3"/>
    <w:rsid w:val="02E81B31"/>
    <w:rsid w:val="02ED5179"/>
    <w:rsid w:val="02EE269F"/>
    <w:rsid w:val="02EE6963"/>
    <w:rsid w:val="02F254D6"/>
    <w:rsid w:val="02F51C0E"/>
    <w:rsid w:val="02F70D3E"/>
    <w:rsid w:val="02F70F80"/>
    <w:rsid w:val="02F75787"/>
    <w:rsid w:val="02F76F90"/>
    <w:rsid w:val="02FB1C93"/>
    <w:rsid w:val="02FC7879"/>
    <w:rsid w:val="02FD7826"/>
    <w:rsid w:val="02FF58F8"/>
    <w:rsid w:val="02FF7BF3"/>
    <w:rsid w:val="03021B18"/>
    <w:rsid w:val="03032D3B"/>
    <w:rsid w:val="03086AA8"/>
    <w:rsid w:val="030C6716"/>
    <w:rsid w:val="030D0D1F"/>
    <w:rsid w:val="030E1CFE"/>
    <w:rsid w:val="0313159F"/>
    <w:rsid w:val="03161F29"/>
    <w:rsid w:val="031713E0"/>
    <w:rsid w:val="032A1D61"/>
    <w:rsid w:val="032D0B95"/>
    <w:rsid w:val="033A4664"/>
    <w:rsid w:val="033D09EE"/>
    <w:rsid w:val="033D1D5A"/>
    <w:rsid w:val="033E411E"/>
    <w:rsid w:val="03413483"/>
    <w:rsid w:val="0345308A"/>
    <w:rsid w:val="03457CFC"/>
    <w:rsid w:val="03497EEA"/>
    <w:rsid w:val="03504F95"/>
    <w:rsid w:val="03517DFF"/>
    <w:rsid w:val="03555A65"/>
    <w:rsid w:val="0356075F"/>
    <w:rsid w:val="03596314"/>
    <w:rsid w:val="035D1DA6"/>
    <w:rsid w:val="03600692"/>
    <w:rsid w:val="03611902"/>
    <w:rsid w:val="03620292"/>
    <w:rsid w:val="03682F88"/>
    <w:rsid w:val="036A59B4"/>
    <w:rsid w:val="036C1BDF"/>
    <w:rsid w:val="036D2DAF"/>
    <w:rsid w:val="036E3160"/>
    <w:rsid w:val="036E6138"/>
    <w:rsid w:val="036F4D79"/>
    <w:rsid w:val="03704429"/>
    <w:rsid w:val="03714FFD"/>
    <w:rsid w:val="03726A49"/>
    <w:rsid w:val="03771E7F"/>
    <w:rsid w:val="037807E5"/>
    <w:rsid w:val="037D3E51"/>
    <w:rsid w:val="037D68B4"/>
    <w:rsid w:val="03800D34"/>
    <w:rsid w:val="0380478A"/>
    <w:rsid w:val="03811236"/>
    <w:rsid w:val="038451B4"/>
    <w:rsid w:val="03915FAB"/>
    <w:rsid w:val="03956FFF"/>
    <w:rsid w:val="03A1498E"/>
    <w:rsid w:val="03AD61CE"/>
    <w:rsid w:val="03B4578D"/>
    <w:rsid w:val="03B46C2F"/>
    <w:rsid w:val="03B54872"/>
    <w:rsid w:val="03B95FF4"/>
    <w:rsid w:val="03C04AF7"/>
    <w:rsid w:val="03C3207F"/>
    <w:rsid w:val="03C86237"/>
    <w:rsid w:val="03C926DB"/>
    <w:rsid w:val="03CA1505"/>
    <w:rsid w:val="03D01228"/>
    <w:rsid w:val="03D047D4"/>
    <w:rsid w:val="03D24ED7"/>
    <w:rsid w:val="03D42EEA"/>
    <w:rsid w:val="03D45055"/>
    <w:rsid w:val="03D64E82"/>
    <w:rsid w:val="03D71CA5"/>
    <w:rsid w:val="03DB0759"/>
    <w:rsid w:val="03E249B3"/>
    <w:rsid w:val="03E7698E"/>
    <w:rsid w:val="03EA5586"/>
    <w:rsid w:val="03ED5320"/>
    <w:rsid w:val="03F375A3"/>
    <w:rsid w:val="03FB0462"/>
    <w:rsid w:val="03FC69E7"/>
    <w:rsid w:val="04052E66"/>
    <w:rsid w:val="0408579A"/>
    <w:rsid w:val="04094DCB"/>
    <w:rsid w:val="040F3F8E"/>
    <w:rsid w:val="0411576A"/>
    <w:rsid w:val="041678ED"/>
    <w:rsid w:val="04180066"/>
    <w:rsid w:val="041A739F"/>
    <w:rsid w:val="041F679F"/>
    <w:rsid w:val="042177DA"/>
    <w:rsid w:val="0428311F"/>
    <w:rsid w:val="04294D98"/>
    <w:rsid w:val="042B5674"/>
    <w:rsid w:val="04322C06"/>
    <w:rsid w:val="04331E37"/>
    <w:rsid w:val="043F73EC"/>
    <w:rsid w:val="04474684"/>
    <w:rsid w:val="044C50BA"/>
    <w:rsid w:val="044C6B8D"/>
    <w:rsid w:val="044E56F3"/>
    <w:rsid w:val="044F4B2D"/>
    <w:rsid w:val="04543492"/>
    <w:rsid w:val="045452B7"/>
    <w:rsid w:val="045B52FD"/>
    <w:rsid w:val="045E2E8F"/>
    <w:rsid w:val="046274B1"/>
    <w:rsid w:val="046643CE"/>
    <w:rsid w:val="04675E05"/>
    <w:rsid w:val="046B2FCB"/>
    <w:rsid w:val="046E3061"/>
    <w:rsid w:val="04776F42"/>
    <w:rsid w:val="047A2EB4"/>
    <w:rsid w:val="047A75C2"/>
    <w:rsid w:val="047F70DC"/>
    <w:rsid w:val="048546EA"/>
    <w:rsid w:val="04896C3C"/>
    <w:rsid w:val="048C621A"/>
    <w:rsid w:val="04914983"/>
    <w:rsid w:val="04925621"/>
    <w:rsid w:val="04926F71"/>
    <w:rsid w:val="0498616F"/>
    <w:rsid w:val="049A1E34"/>
    <w:rsid w:val="049B7C6E"/>
    <w:rsid w:val="049F30FC"/>
    <w:rsid w:val="049F3FAA"/>
    <w:rsid w:val="04A01E56"/>
    <w:rsid w:val="04A278F1"/>
    <w:rsid w:val="04AB6AAC"/>
    <w:rsid w:val="04AC6351"/>
    <w:rsid w:val="04AE4A43"/>
    <w:rsid w:val="04B00B69"/>
    <w:rsid w:val="04B05649"/>
    <w:rsid w:val="04B239DE"/>
    <w:rsid w:val="04B25D3B"/>
    <w:rsid w:val="04B67CC9"/>
    <w:rsid w:val="04B758B6"/>
    <w:rsid w:val="04B82F5C"/>
    <w:rsid w:val="04B84979"/>
    <w:rsid w:val="04BA327C"/>
    <w:rsid w:val="04BC223F"/>
    <w:rsid w:val="04C11413"/>
    <w:rsid w:val="04C904B8"/>
    <w:rsid w:val="04CA3EA4"/>
    <w:rsid w:val="04CD6FDD"/>
    <w:rsid w:val="04D779B9"/>
    <w:rsid w:val="04DA0918"/>
    <w:rsid w:val="04DA6C73"/>
    <w:rsid w:val="04E80538"/>
    <w:rsid w:val="04E87A8C"/>
    <w:rsid w:val="04EC5920"/>
    <w:rsid w:val="04EF43C3"/>
    <w:rsid w:val="04F45EC4"/>
    <w:rsid w:val="04F82B4C"/>
    <w:rsid w:val="04F92836"/>
    <w:rsid w:val="04FE01EF"/>
    <w:rsid w:val="04FE7F9F"/>
    <w:rsid w:val="05002D4B"/>
    <w:rsid w:val="05053A7B"/>
    <w:rsid w:val="050E50E5"/>
    <w:rsid w:val="05107E95"/>
    <w:rsid w:val="05130784"/>
    <w:rsid w:val="05137986"/>
    <w:rsid w:val="05143E2A"/>
    <w:rsid w:val="05160245"/>
    <w:rsid w:val="051D7970"/>
    <w:rsid w:val="051F34D6"/>
    <w:rsid w:val="05237566"/>
    <w:rsid w:val="052404FF"/>
    <w:rsid w:val="052971A9"/>
    <w:rsid w:val="052B0E21"/>
    <w:rsid w:val="0530126A"/>
    <w:rsid w:val="053116F6"/>
    <w:rsid w:val="053C0564"/>
    <w:rsid w:val="053D179E"/>
    <w:rsid w:val="054109E1"/>
    <w:rsid w:val="05412745"/>
    <w:rsid w:val="05413C63"/>
    <w:rsid w:val="05452235"/>
    <w:rsid w:val="054A1045"/>
    <w:rsid w:val="054C619E"/>
    <w:rsid w:val="054D52F2"/>
    <w:rsid w:val="054E51F4"/>
    <w:rsid w:val="055033F9"/>
    <w:rsid w:val="0552470E"/>
    <w:rsid w:val="05532946"/>
    <w:rsid w:val="0559153F"/>
    <w:rsid w:val="055C2EFE"/>
    <w:rsid w:val="055E2BE9"/>
    <w:rsid w:val="05675737"/>
    <w:rsid w:val="056900C2"/>
    <w:rsid w:val="056971B9"/>
    <w:rsid w:val="056C5A14"/>
    <w:rsid w:val="056F20A3"/>
    <w:rsid w:val="05704DC1"/>
    <w:rsid w:val="0571147B"/>
    <w:rsid w:val="05726F43"/>
    <w:rsid w:val="05734A91"/>
    <w:rsid w:val="057863D5"/>
    <w:rsid w:val="057E65B5"/>
    <w:rsid w:val="05815B77"/>
    <w:rsid w:val="05841259"/>
    <w:rsid w:val="05856AD5"/>
    <w:rsid w:val="05860AE5"/>
    <w:rsid w:val="058B39C0"/>
    <w:rsid w:val="05914E5F"/>
    <w:rsid w:val="059272BF"/>
    <w:rsid w:val="05942874"/>
    <w:rsid w:val="05943577"/>
    <w:rsid w:val="05950276"/>
    <w:rsid w:val="059565ED"/>
    <w:rsid w:val="05971933"/>
    <w:rsid w:val="0599715B"/>
    <w:rsid w:val="059B00A7"/>
    <w:rsid w:val="05A864A3"/>
    <w:rsid w:val="05AC73A1"/>
    <w:rsid w:val="05B33510"/>
    <w:rsid w:val="05B45DDF"/>
    <w:rsid w:val="05B9544F"/>
    <w:rsid w:val="05BA28F0"/>
    <w:rsid w:val="05BB5618"/>
    <w:rsid w:val="05BC1A61"/>
    <w:rsid w:val="05C9045F"/>
    <w:rsid w:val="05C943F5"/>
    <w:rsid w:val="05C96DAF"/>
    <w:rsid w:val="05CA5074"/>
    <w:rsid w:val="05CB2747"/>
    <w:rsid w:val="05CC3897"/>
    <w:rsid w:val="05CC6E57"/>
    <w:rsid w:val="05D0394B"/>
    <w:rsid w:val="05D11D1B"/>
    <w:rsid w:val="05D23F59"/>
    <w:rsid w:val="05D50813"/>
    <w:rsid w:val="05D60990"/>
    <w:rsid w:val="05DB04A3"/>
    <w:rsid w:val="05DB1181"/>
    <w:rsid w:val="05DD5A64"/>
    <w:rsid w:val="05E01F5E"/>
    <w:rsid w:val="05E160F2"/>
    <w:rsid w:val="05E51322"/>
    <w:rsid w:val="05EA4B8A"/>
    <w:rsid w:val="05EE4B35"/>
    <w:rsid w:val="05EE718F"/>
    <w:rsid w:val="05F51706"/>
    <w:rsid w:val="06025CBD"/>
    <w:rsid w:val="06031125"/>
    <w:rsid w:val="06127E24"/>
    <w:rsid w:val="0620047B"/>
    <w:rsid w:val="06252ACF"/>
    <w:rsid w:val="06253E14"/>
    <w:rsid w:val="06263CFB"/>
    <w:rsid w:val="062C1395"/>
    <w:rsid w:val="062C7D93"/>
    <w:rsid w:val="062D2926"/>
    <w:rsid w:val="062E62CB"/>
    <w:rsid w:val="06337F32"/>
    <w:rsid w:val="06386E82"/>
    <w:rsid w:val="063F6787"/>
    <w:rsid w:val="06425657"/>
    <w:rsid w:val="06440BA2"/>
    <w:rsid w:val="06464601"/>
    <w:rsid w:val="064740F6"/>
    <w:rsid w:val="064C7899"/>
    <w:rsid w:val="064E6EC7"/>
    <w:rsid w:val="06500E91"/>
    <w:rsid w:val="06507723"/>
    <w:rsid w:val="065C3A04"/>
    <w:rsid w:val="065D407D"/>
    <w:rsid w:val="065D710A"/>
    <w:rsid w:val="065F7CFB"/>
    <w:rsid w:val="06604181"/>
    <w:rsid w:val="06655CF8"/>
    <w:rsid w:val="066837AF"/>
    <w:rsid w:val="066971DF"/>
    <w:rsid w:val="066C1A43"/>
    <w:rsid w:val="0671705A"/>
    <w:rsid w:val="06781924"/>
    <w:rsid w:val="067972B8"/>
    <w:rsid w:val="067A0774"/>
    <w:rsid w:val="067B5672"/>
    <w:rsid w:val="067E7F8E"/>
    <w:rsid w:val="067F52D3"/>
    <w:rsid w:val="06823E88"/>
    <w:rsid w:val="068404DA"/>
    <w:rsid w:val="06894493"/>
    <w:rsid w:val="06895061"/>
    <w:rsid w:val="068A12B8"/>
    <w:rsid w:val="068D09B5"/>
    <w:rsid w:val="06921130"/>
    <w:rsid w:val="069355D3"/>
    <w:rsid w:val="06974442"/>
    <w:rsid w:val="069A035E"/>
    <w:rsid w:val="069D39AB"/>
    <w:rsid w:val="06A0349B"/>
    <w:rsid w:val="06A305A3"/>
    <w:rsid w:val="06A905A2"/>
    <w:rsid w:val="06AA5AEC"/>
    <w:rsid w:val="06AC0092"/>
    <w:rsid w:val="06B5386B"/>
    <w:rsid w:val="06B81950"/>
    <w:rsid w:val="06C16EB4"/>
    <w:rsid w:val="06C21663"/>
    <w:rsid w:val="06C51086"/>
    <w:rsid w:val="06C51E83"/>
    <w:rsid w:val="06D33B05"/>
    <w:rsid w:val="06D422A5"/>
    <w:rsid w:val="06DE24F0"/>
    <w:rsid w:val="06DF2215"/>
    <w:rsid w:val="06E06459"/>
    <w:rsid w:val="06E34014"/>
    <w:rsid w:val="06E54611"/>
    <w:rsid w:val="06E63FB9"/>
    <w:rsid w:val="06E672DF"/>
    <w:rsid w:val="06E710CA"/>
    <w:rsid w:val="06EB4A1E"/>
    <w:rsid w:val="06EB6E0C"/>
    <w:rsid w:val="06EE59D2"/>
    <w:rsid w:val="06F832D7"/>
    <w:rsid w:val="070659F4"/>
    <w:rsid w:val="07095027"/>
    <w:rsid w:val="070A64CF"/>
    <w:rsid w:val="070C2D9C"/>
    <w:rsid w:val="070F786C"/>
    <w:rsid w:val="07100975"/>
    <w:rsid w:val="07112BCD"/>
    <w:rsid w:val="07115D0D"/>
    <w:rsid w:val="07136746"/>
    <w:rsid w:val="07184F44"/>
    <w:rsid w:val="071E5DD5"/>
    <w:rsid w:val="0723095D"/>
    <w:rsid w:val="072639A0"/>
    <w:rsid w:val="0728596A"/>
    <w:rsid w:val="072E39C5"/>
    <w:rsid w:val="072E3AB0"/>
    <w:rsid w:val="07302726"/>
    <w:rsid w:val="07321270"/>
    <w:rsid w:val="07333876"/>
    <w:rsid w:val="07351E35"/>
    <w:rsid w:val="07373ABA"/>
    <w:rsid w:val="073B0A10"/>
    <w:rsid w:val="073F521F"/>
    <w:rsid w:val="074215EE"/>
    <w:rsid w:val="07423951"/>
    <w:rsid w:val="0747744F"/>
    <w:rsid w:val="074945AD"/>
    <w:rsid w:val="074B3407"/>
    <w:rsid w:val="074C305D"/>
    <w:rsid w:val="074C5418"/>
    <w:rsid w:val="074D53D1"/>
    <w:rsid w:val="07520C39"/>
    <w:rsid w:val="07580F8D"/>
    <w:rsid w:val="075C5DF3"/>
    <w:rsid w:val="076646E5"/>
    <w:rsid w:val="076A47B3"/>
    <w:rsid w:val="076C2663"/>
    <w:rsid w:val="076D15CF"/>
    <w:rsid w:val="076E794A"/>
    <w:rsid w:val="076F17EB"/>
    <w:rsid w:val="07787057"/>
    <w:rsid w:val="077A7E19"/>
    <w:rsid w:val="077E62B6"/>
    <w:rsid w:val="078723F4"/>
    <w:rsid w:val="078A03D3"/>
    <w:rsid w:val="078A0BDA"/>
    <w:rsid w:val="07917CAA"/>
    <w:rsid w:val="079263EB"/>
    <w:rsid w:val="079C3C62"/>
    <w:rsid w:val="079F2B35"/>
    <w:rsid w:val="07A34818"/>
    <w:rsid w:val="07AB18D9"/>
    <w:rsid w:val="07AE3B04"/>
    <w:rsid w:val="07AF7E3A"/>
    <w:rsid w:val="07B35625"/>
    <w:rsid w:val="07B627BD"/>
    <w:rsid w:val="07BA363D"/>
    <w:rsid w:val="07BD7B2C"/>
    <w:rsid w:val="07CB2327"/>
    <w:rsid w:val="07CB2F82"/>
    <w:rsid w:val="07CB35BD"/>
    <w:rsid w:val="07CB7104"/>
    <w:rsid w:val="07CB7F55"/>
    <w:rsid w:val="07CC279A"/>
    <w:rsid w:val="07CD6419"/>
    <w:rsid w:val="07D371FC"/>
    <w:rsid w:val="07D77390"/>
    <w:rsid w:val="07DB3861"/>
    <w:rsid w:val="07DB7818"/>
    <w:rsid w:val="07DC2DEC"/>
    <w:rsid w:val="07DC6755"/>
    <w:rsid w:val="07E102F6"/>
    <w:rsid w:val="07E5385B"/>
    <w:rsid w:val="07E57B14"/>
    <w:rsid w:val="07EA4131"/>
    <w:rsid w:val="07EC19EA"/>
    <w:rsid w:val="07EC4BEA"/>
    <w:rsid w:val="07F044FE"/>
    <w:rsid w:val="07F22232"/>
    <w:rsid w:val="07FB79E3"/>
    <w:rsid w:val="07FF37C7"/>
    <w:rsid w:val="07FF6A07"/>
    <w:rsid w:val="08031F33"/>
    <w:rsid w:val="0804125E"/>
    <w:rsid w:val="08055CAB"/>
    <w:rsid w:val="080C528C"/>
    <w:rsid w:val="080F2D79"/>
    <w:rsid w:val="080F4B40"/>
    <w:rsid w:val="0811670F"/>
    <w:rsid w:val="081355C5"/>
    <w:rsid w:val="08136C6A"/>
    <w:rsid w:val="08167EB9"/>
    <w:rsid w:val="081F1466"/>
    <w:rsid w:val="081F2D78"/>
    <w:rsid w:val="0821313F"/>
    <w:rsid w:val="082C6F4A"/>
    <w:rsid w:val="08300B52"/>
    <w:rsid w:val="083420ED"/>
    <w:rsid w:val="083742D5"/>
    <w:rsid w:val="08375F38"/>
    <w:rsid w:val="08387E2F"/>
    <w:rsid w:val="083B392E"/>
    <w:rsid w:val="083C3D76"/>
    <w:rsid w:val="083F02AA"/>
    <w:rsid w:val="08422A5C"/>
    <w:rsid w:val="0843070D"/>
    <w:rsid w:val="084367D4"/>
    <w:rsid w:val="08450FED"/>
    <w:rsid w:val="08470D95"/>
    <w:rsid w:val="084916D5"/>
    <w:rsid w:val="08493DEA"/>
    <w:rsid w:val="084D495D"/>
    <w:rsid w:val="084F6F27"/>
    <w:rsid w:val="08555999"/>
    <w:rsid w:val="08591B53"/>
    <w:rsid w:val="085D6D08"/>
    <w:rsid w:val="086048F4"/>
    <w:rsid w:val="08624C71"/>
    <w:rsid w:val="086403B7"/>
    <w:rsid w:val="08674270"/>
    <w:rsid w:val="086F6B33"/>
    <w:rsid w:val="08702D74"/>
    <w:rsid w:val="08716E9D"/>
    <w:rsid w:val="0873065E"/>
    <w:rsid w:val="087439FA"/>
    <w:rsid w:val="08770434"/>
    <w:rsid w:val="087B0B27"/>
    <w:rsid w:val="087D1A24"/>
    <w:rsid w:val="087D2B60"/>
    <w:rsid w:val="087D7F38"/>
    <w:rsid w:val="088017D6"/>
    <w:rsid w:val="088274F0"/>
    <w:rsid w:val="088616D2"/>
    <w:rsid w:val="08863997"/>
    <w:rsid w:val="088C3CD7"/>
    <w:rsid w:val="088F71BE"/>
    <w:rsid w:val="08901A19"/>
    <w:rsid w:val="08A54B1C"/>
    <w:rsid w:val="08A77C84"/>
    <w:rsid w:val="08AB32C0"/>
    <w:rsid w:val="08AC4379"/>
    <w:rsid w:val="08AC7AE2"/>
    <w:rsid w:val="08AD7070"/>
    <w:rsid w:val="08B14852"/>
    <w:rsid w:val="08B35707"/>
    <w:rsid w:val="08B610CC"/>
    <w:rsid w:val="08B835C3"/>
    <w:rsid w:val="08BA2889"/>
    <w:rsid w:val="08BC455B"/>
    <w:rsid w:val="08BD7E26"/>
    <w:rsid w:val="08BF5DD3"/>
    <w:rsid w:val="08C07B9C"/>
    <w:rsid w:val="08C87503"/>
    <w:rsid w:val="08CB2A51"/>
    <w:rsid w:val="08CB42A2"/>
    <w:rsid w:val="08D35D0E"/>
    <w:rsid w:val="08D51B22"/>
    <w:rsid w:val="08DB04DD"/>
    <w:rsid w:val="08DD33A1"/>
    <w:rsid w:val="08DF64FD"/>
    <w:rsid w:val="08E07B67"/>
    <w:rsid w:val="08E6788B"/>
    <w:rsid w:val="08E86BC6"/>
    <w:rsid w:val="08EC1F62"/>
    <w:rsid w:val="08F16230"/>
    <w:rsid w:val="08F9490C"/>
    <w:rsid w:val="08FD6983"/>
    <w:rsid w:val="08FE3EA0"/>
    <w:rsid w:val="09015A6D"/>
    <w:rsid w:val="09047D11"/>
    <w:rsid w:val="09073DD7"/>
    <w:rsid w:val="0913324E"/>
    <w:rsid w:val="09161F38"/>
    <w:rsid w:val="091740FD"/>
    <w:rsid w:val="09181DC4"/>
    <w:rsid w:val="09184496"/>
    <w:rsid w:val="091C32AD"/>
    <w:rsid w:val="092108C3"/>
    <w:rsid w:val="09243FFA"/>
    <w:rsid w:val="0930571C"/>
    <w:rsid w:val="09332F7E"/>
    <w:rsid w:val="09340F20"/>
    <w:rsid w:val="0935198D"/>
    <w:rsid w:val="09361CD1"/>
    <w:rsid w:val="09375024"/>
    <w:rsid w:val="094031C0"/>
    <w:rsid w:val="09436A8B"/>
    <w:rsid w:val="094E61B6"/>
    <w:rsid w:val="09553767"/>
    <w:rsid w:val="09553C00"/>
    <w:rsid w:val="09585588"/>
    <w:rsid w:val="095E0FA9"/>
    <w:rsid w:val="095E3DDF"/>
    <w:rsid w:val="096260F4"/>
    <w:rsid w:val="09660AE1"/>
    <w:rsid w:val="09694018"/>
    <w:rsid w:val="09727371"/>
    <w:rsid w:val="09727721"/>
    <w:rsid w:val="097955F8"/>
    <w:rsid w:val="097A4CF6"/>
    <w:rsid w:val="097D1B09"/>
    <w:rsid w:val="0988332F"/>
    <w:rsid w:val="098B0432"/>
    <w:rsid w:val="098C6A5E"/>
    <w:rsid w:val="098D41AA"/>
    <w:rsid w:val="09900EA2"/>
    <w:rsid w:val="099161F0"/>
    <w:rsid w:val="099176DC"/>
    <w:rsid w:val="099C5AD9"/>
    <w:rsid w:val="09A04B9B"/>
    <w:rsid w:val="09A2231E"/>
    <w:rsid w:val="09A41FE3"/>
    <w:rsid w:val="09A64889"/>
    <w:rsid w:val="09A757B5"/>
    <w:rsid w:val="09AF2373"/>
    <w:rsid w:val="09B2793D"/>
    <w:rsid w:val="09B47D1B"/>
    <w:rsid w:val="09B52145"/>
    <w:rsid w:val="09B71227"/>
    <w:rsid w:val="09B776D8"/>
    <w:rsid w:val="09BB5D90"/>
    <w:rsid w:val="09BC4A90"/>
    <w:rsid w:val="09BF0D4C"/>
    <w:rsid w:val="09C556F2"/>
    <w:rsid w:val="09CB4CD3"/>
    <w:rsid w:val="09D973F0"/>
    <w:rsid w:val="09DA2324"/>
    <w:rsid w:val="09DA648A"/>
    <w:rsid w:val="09E11B99"/>
    <w:rsid w:val="09ED115E"/>
    <w:rsid w:val="09ED73AC"/>
    <w:rsid w:val="09EE44F4"/>
    <w:rsid w:val="09F01C79"/>
    <w:rsid w:val="09F17A9A"/>
    <w:rsid w:val="09F43A4D"/>
    <w:rsid w:val="09F63640"/>
    <w:rsid w:val="09F746B0"/>
    <w:rsid w:val="09F74912"/>
    <w:rsid w:val="09FA1FB8"/>
    <w:rsid w:val="09FC5254"/>
    <w:rsid w:val="09FE5E97"/>
    <w:rsid w:val="0A0036AF"/>
    <w:rsid w:val="0A03074D"/>
    <w:rsid w:val="0A032C10"/>
    <w:rsid w:val="0A050D59"/>
    <w:rsid w:val="0A0A7361"/>
    <w:rsid w:val="0A0F2E11"/>
    <w:rsid w:val="0A107288"/>
    <w:rsid w:val="0A12645E"/>
    <w:rsid w:val="0A177FD0"/>
    <w:rsid w:val="0A19048D"/>
    <w:rsid w:val="0A1E5822"/>
    <w:rsid w:val="0A1F5B55"/>
    <w:rsid w:val="0A283ED3"/>
    <w:rsid w:val="0A29427D"/>
    <w:rsid w:val="0A296C7B"/>
    <w:rsid w:val="0A304C16"/>
    <w:rsid w:val="0A3609ED"/>
    <w:rsid w:val="0A3A468D"/>
    <w:rsid w:val="0A4267FB"/>
    <w:rsid w:val="0A44785A"/>
    <w:rsid w:val="0A447D9D"/>
    <w:rsid w:val="0A4925B9"/>
    <w:rsid w:val="0A4C1970"/>
    <w:rsid w:val="0A4C6118"/>
    <w:rsid w:val="0A56111F"/>
    <w:rsid w:val="0A595E3B"/>
    <w:rsid w:val="0A5B52BF"/>
    <w:rsid w:val="0A602141"/>
    <w:rsid w:val="0A634F0B"/>
    <w:rsid w:val="0A666A4A"/>
    <w:rsid w:val="0A6D1CFC"/>
    <w:rsid w:val="0A79472F"/>
    <w:rsid w:val="0A7B2255"/>
    <w:rsid w:val="0A8230C2"/>
    <w:rsid w:val="0A825391"/>
    <w:rsid w:val="0A834CAC"/>
    <w:rsid w:val="0A836C12"/>
    <w:rsid w:val="0A84735B"/>
    <w:rsid w:val="0A854E82"/>
    <w:rsid w:val="0A877BA6"/>
    <w:rsid w:val="0A8E622C"/>
    <w:rsid w:val="0A927099"/>
    <w:rsid w:val="0A986064"/>
    <w:rsid w:val="0A9A1E42"/>
    <w:rsid w:val="0A9A6AD3"/>
    <w:rsid w:val="0A9D436D"/>
    <w:rsid w:val="0AA36849"/>
    <w:rsid w:val="0AAA48E8"/>
    <w:rsid w:val="0AAA62E9"/>
    <w:rsid w:val="0AB2437D"/>
    <w:rsid w:val="0AB400F6"/>
    <w:rsid w:val="0AB51809"/>
    <w:rsid w:val="0AB606B8"/>
    <w:rsid w:val="0AB96D1E"/>
    <w:rsid w:val="0AB9722F"/>
    <w:rsid w:val="0ABF7FCA"/>
    <w:rsid w:val="0AC1167A"/>
    <w:rsid w:val="0AC75C53"/>
    <w:rsid w:val="0AC90BD0"/>
    <w:rsid w:val="0AD97B07"/>
    <w:rsid w:val="0AE01453"/>
    <w:rsid w:val="0AE147AE"/>
    <w:rsid w:val="0AE222D4"/>
    <w:rsid w:val="0AE44EE3"/>
    <w:rsid w:val="0AE4604C"/>
    <w:rsid w:val="0AE579E2"/>
    <w:rsid w:val="0AE814BE"/>
    <w:rsid w:val="0AEA0950"/>
    <w:rsid w:val="0AEB42C2"/>
    <w:rsid w:val="0AED1671"/>
    <w:rsid w:val="0AEE711F"/>
    <w:rsid w:val="0AF34CAE"/>
    <w:rsid w:val="0AF466FD"/>
    <w:rsid w:val="0AF67EFD"/>
    <w:rsid w:val="0AF85547"/>
    <w:rsid w:val="0AFB21D7"/>
    <w:rsid w:val="0AFD3FBB"/>
    <w:rsid w:val="0B042058"/>
    <w:rsid w:val="0B070EB3"/>
    <w:rsid w:val="0B094C47"/>
    <w:rsid w:val="0B097861"/>
    <w:rsid w:val="0B0A5387"/>
    <w:rsid w:val="0B0B2307"/>
    <w:rsid w:val="0B1174B2"/>
    <w:rsid w:val="0B1620F9"/>
    <w:rsid w:val="0B187AA4"/>
    <w:rsid w:val="0B204BAA"/>
    <w:rsid w:val="0B275F39"/>
    <w:rsid w:val="0B2822B8"/>
    <w:rsid w:val="0B286739"/>
    <w:rsid w:val="0B2B6A8C"/>
    <w:rsid w:val="0B33273B"/>
    <w:rsid w:val="0B332B30"/>
    <w:rsid w:val="0B352404"/>
    <w:rsid w:val="0B36617C"/>
    <w:rsid w:val="0B3A3EBE"/>
    <w:rsid w:val="0B44764E"/>
    <w:rsid w:val="0B470389"/>
    <w:rsid w:val="0B487F0C"/>
    <w:rsid w:val="0B4B60CB"/>
    <w:rsid w:val="0B4D1E43"/>
    <w:rsid w:val="0B4E34C6"/>
    <w:rsid w:val="0B5036E2"/>
    <w:rsid w:val="0B530F62"/>
    <w:rsid w:val="0B536EB0"/>
    <w:rsid w:val="0B537A86"/>
    <w:rsid w:val="0B5615F1"/>
    <w:rsid w:val="0B584344"/>
    <w:rsid w:val="0B5C0F00"/>
    <w:rsid w:val="0B5C2086"/>
    <w:rsid w:val="0B6149B5"/>
    <w:rsid w:val="0B627DB2"/>
    <w:rsid w:val="0B66511B"/>
    <w:rsid w:val="0B6B3B41"/>
    <w:rsid w:val="0B6E3B68"/>
    <w:rsid w:val="0B6F4E89"/>
    <w:rsid w:val="0B7024BF"/>
    <w:rsid w:val="0B732F2C"/>
    <w:rsid w:val="0B7A1EDF"/>
    <w:rsid w:val="0B7A7510"/>
    <w:rsid w:val="0B7C660F"/>
    <w:rsid w:val="0B7E626E"/>
    <w:rsid w:val="0B81787D"/>
    <w:rsid w:val="0B8A0CA7"/>
    <w:rsid w:val="0B8A58BE"/>
    <w:rsid w:val="0B8B5F47"/>
    <w:rsid w:val="0B945B79"/>
    <w:rsid w:val="0B990D37"/>
    <w:rsid w:val="0B9A0F0E"/>
    <w:rsid w:val="0B9E2DC7"/>
    <w:rsid w:val="0BA16188"/>
    <w:rsid w:val="0BA239E0"/>
    <w:rsid w:val="0BA43C34"/>
    <w:rsid w:val="0BA650B0"/>
    <w:rsid w:val="0BA80E28"/>
    <w:rsid w:val="0BAE0EE4"/>
    <w:rsid w:val="0BB04180"/>
    <w:rsid w:val="0BB1037C"/>
    <w:rsid w:val="0BB23908"/>
    <w:rsid w:val="0BB40E7E"/>
    <w:rsid w:val="0BBC0438"/>
    <w:rsid w:val="0BC14776"/>
    <w:rsid w:val="0BC92A33"/>
    <w:rsid w:val="0BC938DF"/>
    <w:rsid w:val="0BCA142C"/>
    <w:rsid w:val="0BCE2C80"/>
    <w:rsid w:val="0BD03F13"/>
    <w:rsid w:val="0BD240F7"/>
    <w:rsid w:val="0BD45F05"/>
    <w:rsid w:val="0BD72F55"/>
    <w:rsid w:val="0BD97DB6"/>
    <w:rsid w:val="0BE06CCA"/>
    <w:rsid w:val="0BE333E9"/>
    <w:rsid w:val="0BE45001"/>
    <w:rsid w:val="0BE827B0"/>
    <w:rsid w:val="0BED0F30"/>
    <w:rsid w:val="0BF05CF0"/>
    <w:rsid w:val="0BF805F4"/>
    <w:rsid w:val="0BF93961"/>
    <w:rsid w:val="0BFE313E"/>
    <w:rsid w:val="0BFE4EEC"/>
    <w:rsid w:val="0C0162A1"/>
    <w:rsid w:val="0C025941"/>
    <w:rsid w:val="0C032E93"/>
    <w:rsid w:val="0C040028"/>
    <w:rsid w:val="0C07297E"/>
    <w:rsid w:val="0C1042D4"/>
    <w:rsid w:val="0C1049D2"/>
    <w:rsid w:val="0C111F15"/>
    <w:rsid w:val="0C13779A"/>
    <w:rsid w:val="0C182A13"/>
    <w:rsid w:val="0C192E91"/>
    <w:rsid w:val="0C1B4A0E"/>
    <w:rsid w:val="0C223308"/>
    <w:rsid w:val="0C2465F4"/>
    <w:rsid w:val="0C2661F0"/>
    <w:rsid w:val="0C2C7CAB"/>
    <w:rsid w:val="0C397DF7"/>
    <w:rsid w:val="0C4035FC"/>
    <w:rsid w:val="0C4162C7"/>
    <w:rsid w:val="0C4274CE"/>
    <w:rsid w:val="0C451B1C"/>
    <w:rsid w:val="0C486A24"/>
    <w:rsid w:val="0C495D0A"/>
    <w:rsid w:val="0C4C5E4E"/>
    <w:rsid w:val="0C517711"/>
    <w:rsid w:val="0C5745FC"/>
    <w:rsid w:val="0C5B378E"/>
    <w:rsid w:val="0C5C352A"/>
    <w:rsid w:val="0C647D22"/>
    <w:rsid w:val="0C6531BD"/>
    <w:rsid w:val="0C684A5B"/>
    <w:rsid w:val="0C6A3E91"/>
    <w:rsid w:val="0C741865"/>
    <w:rsid w:val="0C7547DB"/>
    <w:rsid w:val="0C775126"/>
    <w:rsid w:val="0C796C68"/>
    <w:rsid w:val="0C7E4506"/>
    <w:rsid w:val="0C7F581C"/>
    <w:rsid w:val="0C86594B"/>
    <w:rsid w:val="0C871385"/>
    <w:rsid w:val="0C8729A9"/>
    <w:rsid w:val="0C884166"/>
    <w:rsid w:val="0C8C0749"/>
    <w:rsid w:val="0C8C49ED"/>
    <w:rsid w:val="0C8F5628"/>
    <w:rsid w:val="0C963376"/>
    <w:rsid w:val="0C98243D"/>
    <w:rsid w:val="0CA017AB"/>
    <w:rsid w:val="0CA0305B"/>
    <w:rsid w:val="0CA23025"/>
    <w:rsid w:val="0CA92763"/>
    <w:rsid w:val="0CAB26A7"/>
    <w:rsid w:val="0CAF041D"/>
    <w:rsid w:val="0CB00F0A"/>
    <w:rsid w:val="0CB14EC5"/>
    <w:rsid w:val="0CB619E7"/>
    <w:rsid w:val="0CBB102F"/>
    <w:rsid w:val="0CBB1A7F"/>
    <w:rsid w:val="0CC2416B"/>
    <w:rsid w:val="0CC35612"/>
    <w:rsid w:val="0CC35AA1"/>
    <w:rsid w:val="0CC45C9D"/>
    <w:rsid w:val="0CC53CB4"/>
    <w:rsid w:val="0CC60974"/>
    <w:rsid w:val="0CC66CDF"/>
    <w:rsid w:val="0CC779D3"/>
    <w:rsid w:val="0CD0485D"/>
    <w:rsid w:val="0CD60C01"/>
    <w:rsid w:val="0CD865B7"/>
    <w:rsid w:val="0CDC78B4"/>
    <w:rsid w:val="0CDD2BB2"/>
    <w:rsid w:val="0CE20369"/>
    <w:rsid w:val="0CE51C08"/>
    <w:rsid w:val="0CE71E24"/>
    <w:rsid w:val="0CE721BD"/>
    <w:rsid w:val="0CEF5C9B"/>
    <w:rsid w:val="0CF42BC9"/>
    <w:rsid w:val="0CF57F81"/>
    <w:rsid w:val="0D002EE5"/>
    <w:rsid w:val="0D0B0498"/>
    <w:rsid w:val="0D0C27F3"/>
    <w:rsid w:val="0D0E73B0"/>
    <w:rsid w:val="0D111318"/>
    <w:rsid w:val="0D135FD2"/>
    <w:rsid w:val="0D1E4C45"/>
    <w:rsid w:val="0D282E01"/>
    <w:rsid w:val="0D352B8F"/>
    <w:rsid w:val="0D42705A"/>
    <w:rsid w:val="0D487FD9"/>
    <w:rsid w:val="0D5017D5"/>
    <w:rsid w:val="0D513D18"/>
    <w:rsid w:val="0D535750"/>
    <w:rsid w:val="0D5C3E87"/>
    <w:rsid w:val="0D62510F"/>
    <w:rsid w:val="0D6410B7"/>
    <w:rsid w:val="0D683EEA"/>
    <w:rsid w:val="0D705975"/>
    <w:rsid w:val="0D7250DA"/>
    <w:rsid w:val="0D7A4A46"/>
    <w:rsid w:val="0D7C07BE"/>
    <w:rsid w:val="0D7D4536"/>
    <w:rsid w:val="0D7D62E4"/>
    <w:rsid w:val="0D7F1272"/>
    <w:rsid w:val="0D8148C5"/>
    <w:rsid w:val="0D826679"/>
    <w:rsid w:val="0D891ED6"/>
    <w:rsid w:val="0D8A27C9"/>
    <w:rsid w:val="0D910DA6"/>
    <w:rsid w:val="0DAC7225"/>
    <w:rsid w:val="0DB16A2D"/>
    <w:rsid w:val="0DB46D1A"/>
    <w:rsid w:val="0DB53D71"/>
    <w:rsid w:val="0DC3111C"/>
    <w:rsid w:val="0DC90CC3"/>
    <w:rsid w:val="0DD75640"/>
    <w:rsid w:val="0DD931E1"/>
    <w:rsid w:val="0DDA11F9"/>
    <w:rsid w:val="0DDA7292"/>
    <w:rsid w:val="0DDB50C1"/>
    <w:rsid w:val="0DDB5FB6"/>
    <w:rsid w:val="0DDC1A9C"/>
    <w:rsid w:val="0DE45ECB"/>
    <w:rsid w:val="0DED0DC4"/>
    <w:rsid w:val="0DED6FC6"/>
    <w:rsid w:val="0DEE7027"/>
    <w:rsid w:val="0DF32D67"/>
    <w:rsid w:val="0DFA54D1"/>
    <w:rsid w:val="0DFD5746"/>
    <w:rsid w:val="0DFD7024"/>
    <w:rsid w:val="0DFE3592"/>
    <w:rsid w:val="0DFE7425"/>
    <w:rsid w:val="0E025339"/>
    <w:rsid w:val="0E077452"/>
    <w:rsid w:val="0E0802A4"/>
    <w:rsid w:val="0E0F55DA"/>
    <w:rsid w:val="0E171172"/>
    <w:rsid w:val="0E1953C8"/>
    <w:rsid w:val="0E196D5C"/>
    <w:rsid w:val="0E197DBB"/>
    <w:rsid w:val="0E22412F"/>
    <w:rsid w:val="0E2C2971"/>
    <w:rsid w:val="0E2C470C"/>
    <w:rsid w:val="0E2D4982"/>
    <w:rsid w:val="0E3177FA"/>
    <w:rsid w:val="0E320E7D"/>
    <w:rsid w:val="0E361814"/>
    <w:rsid w:val="0E367D92"/>
    <w:rsid w:val="0E3A0FFE"/>
    <w:rsid w:val="0E3E3C8E"/>
    <w:rsid w:val="0E413685"/>
    <w:rsid w:val="0E415563"/>
    <w:rsid w:val="0E424B41"/>
    <w:rsid w:val="0E43752E"/>
    <w:rsid w:val="0E4438A9"/>
    <w:rsid w:val="0E4B5E44"/>
    <w:rsid w:val="0E4D0E02"/>
    <w:rsid w:val="0E5434E9"/>
    <w:rsid w:val="0E543F24"/>
    <w:rsid w:val="0E5854F8"/>
    <w:rsid w:val="0E5A03D3"/>
    <w:rsid w:val="0E601E8E"/>
    <w:rsid w:val="0E63197E"/>
    <w:rsid w:val="0E66796C"/>
    <w:rsid w:val="0E685187"/>
    <w:rsid w:val="0E695150"/>
    <w:rsid w:val="0E701FC8"/>
    <w:rsid w:val="0E70259C"/>
    <w:rsid w:val="0E724643"/>
    <w:rsid w:val="0E753B3C"/>
    <w:rsid w:val="0E78791B"/>
    <w:rsid w:val="0E7A3E54"/>
    <w:rsid w:val="0E7D1D9F"/>
    <w:rsid w:val="0E7E4193"/>
    <w:rsid w:val="0E813004"/>
    <w:rsid w:val="0E831AF7"/>
    <w:rsid w:val="0E837C69"/>
    <w:rsid w:val="0E881809"/>
    <w:rsid w:val="0E8924D6"/>
    <w:rsid w:val="0E8D04BE"/>
    <w:rsid w:val="0E8F3FDC"/>
    <w:rsid w:val="0E910299"/>
    <w:rsid w:val="0E912964"/>
    <w:rsid w:val="0E925500"/>
    <w:rsid w:val="0E983B28"/>
    <w:rsid w:val="0E9E08AC"/>
    <w:rsid w:val="0EA004DC"/>
    <w:rsid w:val="0EA24C55"/>
    <w:rsid w:val="0EA46D70"/>
    <w:rsid w:val="0EA512A6"/>
    <w:rsid w:val="0EA717DE"/>
    <w:rsid w:val="0EA96B35"/>
    <w:rsid w:val="0EAA2504"/>
    <w:rsid w:val="0EAE4B15"/>
    <w:rsid w:val="0EB421D9"/>
    <w:rsid w:val="0EB81736"/>
    <w:rsid w:val="0EBB3118"/>
    <w:rsid w:val="0EBF4B32"/>
    <w:rsid w:val="0EC3329A"/>
    <w:rsid w:val="0EC44CB6"/>
    <w:rsid w:val="0EC8618D"/>
    <w:rsid w:val="0ECC5C9F"/>
    <w:rsid w:val="0ECE1365"/>
    <w:rsid w:val="0ED74256"/>
    <w:rsid w:val="0EE17A34"/>
    <w:rsid w:val="0EE20F05"/>
    <w:rsid w:val="0EEB7DD1"/>
    <w:rsid w:val="0EEE0C9D"/>
    <w:rsid w:val="0EEF47EA"/>
    <w:rsid w:val="0EF361F7"/>
    <w:rsid w:val="0EF77BB1"/>
    <w:rsid w:val="0EF820C6"/>
    <w:rsid w:val="0EFA4488"/>
    <w:rsid w:val="0EFB3DC0"/>
    <w:rsid w:val="0EFE4AC2"/>
    <w:rsid w:val="0F037E9B"/>
    <w:rsid w:val="0F0942D3"/>
    <w:rsid w:val="0F0A1DF9"/>
    <w:rsid w:val="0F0A3BA7"/>
    <w:rsid w:val="0F0C48B1"/>
    <w:rsid w:val="0F0D5446"/>
    <w:rsid w:val="0F112C3E"/>
    <w:rsid w:val="0F130763"/>
    <w:rsid w:val="0F1862C4"/>
    <w:rsid w:val="0F1A20A8"/>
    <w:rsid w:val="0F224A6F"/>
    <w:rsid w:val="0F24110D"/>
    <w:rsid w:val="0F2A0B3D"/>
    <w:rsid w:val="0F2E5460"/>
    <w:rsid w:val="0F34443F"/>
    <w:rsid w:val="0F352B76"/>
    <w:rsid w:val="0F35777D"/>
    <w:rsid w:val="0F37270D"/>
    <w:rsid w:val="0F3A0931"/>
    <w:rsid w:val="0F3E035A"/>
    <w:rsid w:val="0F424AC8"/>
    <w:rsid w:val="0F442577"/>
    <w:rsid w:val="0F442BE5"/>
    <w:rsid w:val="0F451A0C"/>
    <w:rsid w:val="0F4A6DC9"/>
    <w:rsid w:val="0F4C3579"/>
    <w:rsid w:val="0F524584"/>
    <w:rsid w:val="0F5A58D6"/>
    <w:rsid w:val="0F610AF3"/>
    <w:rsid w:val="0F620C7C"/>
    <w:rsid w:val="0F6239E3"/>
    <w:rsid w:val="0F631CA0"/>
    <w:rsid w:val="0F66447A"/>
    <w:rsid w:val="0F6C776E"/>
    <w:rsid w:val="0F6E5F2E"/>
    <w:rsid w:val="0F7216F4"/>
    <w:rsid w:val="0F731487"/>
    <w:rsid w:val="0F736EAB"/>
    <w:rsid w:val="0F740F9F"/>
    <w:rsid w:val="0F7461CB"/>
    <w:rsid w:val="0F7704E1"/>
    <w:rsid w:val="0F7A6F7F"/>
    <w:rsid w:val="0F811198"/>
    <w:rsid w:val="0F8751F8"/>
    <w:rsid w:val="0F8B5782"/>
    <w:rsid w:val="0F965DE7"/>
    <w:rsid w:val="0F970A15"/>
    <w:rsid w:val="0F9713C9"/>
    <w:rsid w:val="0F9811B3"/>
    <w:rsid w:val="0F990661"/>
    <w:rsid w:val="0F9B3DE6"/>
    <w:rsid w:val="0FA62D17"/>
    <w:rsid w:val="0FA925CB"/>
    <w:rsid w:val="0FAD22C0"/>
    <w:rsid w:val="0FAE3F35"/>
    <w:rsid w:val="0FAF75C0"/>
    <w:rsid w:val="0FB01205"/>
    <w:rsid w:val="0FB119FD"/>
    <w:rsid w:val="0FB51878"/>
    <w:rsid w:val="0FC06CA8"/>
    <w:rsid w:val="0FC1242F"/>
    <w:rsid w:val="0FC4644C"/>
    <w:rsid w:val="0FC63F72"/>
    <w:rsid w:val="0FD4257E"/>
    <w:rsid w:val="0FD71154"/>
    <w:rsid w:val="0FDD727C"/>
    <w:rsid w:val="0FE2678F"/>
    <w:rsid w:val="0FE34E36"/>
    <w:rsid w:val="0FE77BCB"/>
    <w:rsid w:val="0FE8038D"/>
    <w:rsid w:val="0FEB106E"/>
    <w:rsid w:val="0FEB7BEE"/>
    <w:rsid w:val="0FF05948"/>
    <w:rsid w:val="0FFE370C"/>
    <w:rsid w:val="10003FE8"/>
    <w:rsid w:val="10022AD1"/>
    <w:rsid w:val="100336EE"/>
    <w:rsid w:val="10036214"/>
    <w:rsid w:val="10060813"/>
    <w:rsid w:val="10086DA2"/>
    <w:rsid w:val="10093E5F"/>
    <w:rsid w:val="100A01B3"/>
    <w:rsid w:val="10161A85"/>
    <w:rsid w:val="10174748"/>
    <w:rsid w:val="101B4089"/>
    <w:rsid w:val="101C3768"/>
    <w:rsid w:val="10223A1E"/>
    <w:rsid w:val="10255F4C"/>
    <w:rsid w:val="10262ED6"/>
    <w:rsid w:val="102846AC"/>
    <w:rsid w:val="102E50C5"/>
    <w:rsid w:val="10333B0E"/>
    <w:rsid w:val="1033402C"/>
    <w:rsid w:val="10360822"/>
    <w:rsid w:val="104979F8"/>
    <w:rsid w:val="104C32D2"/>
    <w:rsid w:val="10502AED"/>
    <w:rsid w:val="10597DA5"/>
    <w:rsid w:val="105C6B05"/>
    <w:rsid w:val="105F52B1"/>
    <w:rsid w:val="10614D1F"/>
    <w:rsid w:val="1063338F"/>
    <w:rsid w:val="10741FC3"/>
    <w:rsid w:val="10753829"/>
    <w:rsid w:val="1082046D"/>
    <w:rsid w:val="10843101"/>
    <w:rsid w:val="108604DA"/>
    <w:rsid w:val="108C6F6A"/>
    <w:rsid w:val="109D1729"/>
    <w:rsid w:val="109F3AAE"/>
    <w:rsid w:val="10A1752C"/>
    <w:rsid w:val="10AA3894"/>
    <w:rsid w:val="10AF2C58"/>
    <w:rsid w:val="10B169D0"/>
    <w:rsid w:val="10B212D4"/>
    <w:rsid w:val="10B43B65"/>
    <w:rsid w:val="10B65D95"/>
    <w:rsid w:val="10BB4431"/>
    <w:rsid w:val="10BE3641"/>
    <w:rsid w:val="10C07A34"/>
    <w:rsid w:val="10C154CB"/>
    <w:rsid w:val="10C16923"/>
    <w:rsid w:val="10C42989"/>
    <w:rsid w:val="10C8768C"/>
    <w:rsid w:val="10C9211B"/>
    <w:rsid w:val="10CA1840"/>
    <w:rsid w:val="10CC720C"/>
    <w:rsid w:val="10D34B99"/>
    <w:rsid w:val="10D35C8A"/>
    <w:rsid w:val="10DA2133"/>
    <w:rsid w:val="10DC05C5"/>
    <w:rsid w:val="10E13C2D"/>
    <w:rsid w:val="10E5667A"/>
    <w:rsid w:val="10E77058"/>
    <w:rsid w:val="10E866D0"/>
    <w:rsid w:val="10E943BC"/>
    <w:rsid w:val="10F32008"/>
    <w:rsid w:val="10F45EA3"/>
    <w:rsid w:val="10F55603"/>
    <w:rsid w:val="10F87E64"/>
    <w:rsid w:val="10FD39C4"/>
    <w:rsid w:val="10FE27ED"/>
    <w:rsid w:val="11103493"/>
    <w:rsid w:val="111533BB"/>
    <w:rsid w:val="1115453E"/>
    <w:rsid w:val="111643E8"/>
    <w:rsid w:val="11172BA0"/>
    <w:rsid w:val="11181EF9"/>
    <w:rsid w:val="111B7E54"/>
    <w:rsid w:val="111C6C40"/>
    <w:rsid w:val="11203944"/>
    <w:rsid w:val="112F1255"/>
    <w:rsid w:val="112F5479"/>
    <w:rsid w:val="11325878"/>
    <w:rsid w:val="113413B0"/>
    <w:rsid w:val="113A1E82"/>
    <w:rsid w:val="113B0990"/>
    <w:rsid w:val="113B180E"/>
    <w:rsid w:val="113E2021"/>
    <w:rsid w:val="1144102D"/>
    <w:rsid w:val="114710E3"/>
    <w:rsid w:val="11472D96"/>
    <w:rsid w:val="11496EC7"/>
    <w:rsid w:val="114E02A7"/>
    <w:rsid w:val="114F7F97"/>
    <w:rsid w:val="1150047D"/>
    <w:rsid w:val="11501060"/>
    <w:rsid w:val="115630D4"/>
    <w:rsid w:val="11584331"/>
    <w:rsid w:val="115E7D6B"/>
    <w:rsid w:val="116C44D7"/>
    <w:rsid w:val="116D4E8A"/>
    <w:rsid w:val="11747E3D"/>
    <w:rsid w:val="11776C44"/>
    <w:rsid w:val="117A233C"/>
    <w:rsid w:val="117A2F81"/>
    <w:rsid w:val="117A4195"/>
    <w:rsid w:val="117C72F4"/>
    <w:rsid w:val="117D552F"/>
    <w:rsid w:val="117E1AE5"/>
    <w:rsid w:val="117E4D5A"/>
    <w:rsid w:val="11816D22"/>
    <w:rsid w:val="11862280"/>
    <w:rsid w:val="11867012"/>
    <w:rsid w:val="118C67C1"/>
    <w:rsid w:val="118E7DEF"/>
    <w:rsid w:val="119239B4"/>
    <w:rsid w:val="11982945"/>
    <w:rsid w:val="119836EC"/>
    <w:rsid w:val="11991213"/>
    <w:rsid w:val="119A73D4"/>
    <w:rsid w:val="119D20C9"/>
    <w:rsid w:val="11A14B86"/>
    <w:rsid w:val="11A15150"/>
    <w:rsid w:val="11A15DB9"/>
    <w:rsid w:val="11A7741A"/>
    <w:rsid w:val="11A93B4C"/>
    <w:rsid w:val="11A97681"/>
    <w:rsid w:val="11B02DF2"/>
    <w:rsid w:val="11B13761"/>
    <w:rsid w:val="11B25E22"/>
    <w:rsid w:val="11B4370F"/>
    <w:rsid w:val="11B537AE"/>
    <w:rsid w:val="11BC4814"/>
    <w:rsid w:val="11BE2D96"/>
    <w:rsid w:val="11C24D4A"/>
    <w:rsid w:val="11C462AD"/>
    <w:rsid w:val="11C70CED"/>
    <w:rsid w:val="11C71EF5"/>
    <w:rsid w:val="11D317CE"/>
    <w:rsid w:val="11D54C50"/>
    <w:rsid w:val="11D725A8"/>
    <w:rsid w:val="11D75233"/>
    <w:rsid w:val="11DD37F5"/>
    <w:rsid w:val="11DE7416"/>
    <w:rsid w:val="11E546C5"/>
    <w:rsid w:val="11EE77B0"/>
    <w:rsid w:val="11F1323E"/>
    <w:rsid w:val="11F410DA"/>
    <w:rsid w:val="11F55CF3"/>
    <w:rsid w:val="11FC14C5"/>
    <w:rsid w:val="12035113"/>
    <w:rsid w:val="120B055F"/>
    <w:rsid w:val="120B5C96"/>
    <w:rsid w:val="1222745A"/>
    <w:rsid w:val="12237845"/>
    <w:rsid w:val="12274A70"/>
    <w:rsid w:val="122907E8"/>
    <w:rsid w:val="122B5C4E"/>
    <w:rsid w:val="122D02D9"/>
    <w:rsid w:val="12346D4B"/>
    <w:rsid w:val="123A5D4B"/>
    <w:rsid w:val="12401ECB"/>
    <w:rsid w:val="12413C2A"/>
    <w:rsid w:val="124861B0"/>
    <w:rsid w:val="124A6E51"/>
    <w:rsid w:val="12510646"/>
    <w:rsid w:val="125140AD"/>
    <w:rsid w:val="12533D0E"/>
    <w:rsid w:val="125517F0"/>
    <w:rsid w:val="125A2B81"/>
    <w:rsid w:val="125A6E9B"/>
    <w:rsid w:val="125D45F6"/>
    <w:rsid w:val="125E5BEB"/>
    <w:rsid w:val="1260443F"/>
    <w:rsid w:val="12614612"/>
    <w:rsid w:val="1262744D"/>
    <w:rsid w:val="12670F09"/>
    <w:rsid w:val="126A51FF"/>
    <w:rsid w:val="126D4B9C"/>
    <w:rsid w:val="126D5035"/>
    <w:rsid w:val="126E4812"/>
    <w:rsid w:val="126F716C"/>
    <w:rsid w:val="127661D6"/>
    <w:rsid w:val="12813286"/>
    <w:rsid w:val="128338A8"/>
    <w:rsid w:val="12891763"/>
    <w:rsid w:val="128B14A3"/>
    <w:rsid w:val="128C1DA1"/>
    <w:rsid w:val="128C562D"/>
    <w:rsid w:val="128F2D41"/>
    <w:rsid w:val="12974B2E"/>
    <w:rsid w:val="1299771C"/>
    <w:rsid w:val="129977F1"/>
    <w:rsid w:val="129B581C"/>
    <w:rsid w:val="129E4D32"/>
    <w:rsid w:val="12A15DBA"/>
    <w:rsid w:val="12A367ED"/>
    <w:rsid w:val="12A460C1"/>
    <w:rsid w:val="12A865B9"/>
    <w:rsid w:val="12A91049"/>
    <w:rsid w:val="12AB308D"/>
    <w:rsid w:val="12AD4425"/>
    <w:rsid w:val="12AE5A9E"/>
    <w:rsid w:val="12AE6DF8"/>
    <w:rsid w:val="12B0763F"/>
    <w:rsid w:val="12B91628"/>
    <w:rsid w:val="12BC2D2E"/>
    <w:rsid w:val="12C72A04"/>
    <w:rsid w:val="12CB482B"/>
    <w:rsid w:val="12CC039D"/>
    <w:rsid w:val="12CF115B"/>
    <w:rsid w:val="12D3486A"/>
    <w:rsid w:val="12D35EC6"/>
    <w:rsid w:val="12D652CD"/>
    <w:rsid w:val="12DE4BEB"/>
    <w:rsid w:val="12DF605B"/>
    <w:rsid w:val="12EA522B"/>
    <w:rsid w:val="12EB0F74"/>
    <w:rsid w:val="12EE1351"/>
    <w:rsid w:val="12EF65EB"/>
    <w:rsid w:val="12F15594"/>
    <w:rsid w:val="12F25A09"/>
    <w:rsid w:val="12F34CC6"/>
    <w:rsid w:val="12F40DF6"/>
    <w:rsid w:val="12F62DC0"/>
    <w:rsid w:val="12F7680B"/>
    <w:rsid w:val="12FD414F"/>
    <w:rsid w:val="13000FAB"/>
    <w:rsid w:val="13005187"/>
    <w:rsid w:val="13066F21"/>
    <w:rsid w:val="13086650"/>
    <w:rsid w:val="130A1E31"/>
    <w:rsid w:val="130C4747"/>
    <w:rsid w:val="130F25FB"/>
    <w:rsid w:val="13134068"/>
    <w:rsid w:val="131414E4"/>
    <w:rsid w:val="131A564D"/>
    <w:rsid w:val="1327408C"/>
    <w:rsid w:val="132D0263"/>
    <w:rsid w:val="132D27BC"/>
    <w:rsid w:val="132D74EF"/>
    <w:rsid w:val="13335897"/>
    <w:rsid w:val="13337596"/>
    <w:rsid w:val="133B1867"/>
    <w:rsid w:val="133C48DA"/>
    <w:rsid w:val="133C5AB0"/>
    <w:rsid w:val="133D65E1"/>
    <w:rsid w:val="13411DD0"/>
    <w:rsid w:val="134529F6"/>
    <w:rsid w:val="134876AF"/>
    <w:rsid w:val="134B355F"/>
    <w:rsid w:val="134B3913"/>
    <w:rsid w:val="134B6A44"/>
    <w:rsid w:val="134C0C32"/>
    <w:rsid w:val="13514CC2"/>
    <w:rsid w:val="13515FFF"/>
    <w:rsid w:val="1353553E"/>
    <w:rsid w:val="135950FD"/>
    <w:rsid w:val="135A73CD"/>
    <w:rsid w:val="135B2C24"/>
    <w:rsid w:val="135D476C"/>
    <w:rsid w:val="13653C4D"/>
    <w:rsid w:val="1370350F"/>
    <w:rsid w:val="13737F6D"/>
    <w:rsid w:val="137D411A"/>
    <w:rsid w:val="137F237F"/>
    <w:rsid w:val="1380555F"/>
    <w:rsid w:val="13826402"/>
    <w:rsid w:val="138528A8"/>
    <w:rsid w:val="13871C6A"/>
    <w:rsid w:val="1389559C"/>
    <w:rsid w:val="138965F6"/>
    <w:rsid w:val="13903213"/>
    <w:rsid w:val="13906D71"/>
    <w:rsid w:val="13976BA1"/>
    <w:rsid w:val="139B5470"/>
    <w:rsid w:val="139B7D64"/>
    <w:rsid w:val="13A248D1"/>
    <w:rsid w:val="13A34B19"/>
    <w:rsid w:val="13AB75EB"/>
    <w:rsid w:val="13B854B7"/>
    <w:rsid w:val="13BC4123"/>
    <w:rsid w:val="13BC6D9C"/>
    <w:rsid w:val="13BD743A"/>
    <w:rsid w:val="13C015DF"/>
    <w:rsid w:val="13C24DC1"/>
    <w:rsid w:val="13C331B2"/>
    <w:rsid w:val="13C46A1B"/>
    <w:rsid w:val="13C62793"/>
    <w:rsid w:val="13CA1363"/>
    <w:rsid w:val="13CC1D73"/>
    <w:rsid w:val="13D269E4"/>
    <w:rsid w:val="13D33102"/>
    <w:rsid w:val="13D37961"/>
    <w:rsid w:val="13D44784"/>
    <w:rsid w:val="13D50C28"/>
    <w:rsid w:val="13D86F0D"/>
    <w:rsid w:val="13DA0523"/>
    <w:rsid w:val="13ED35E2"/>
    <w:rsid w:val="13FF6AAB"/>
    <w:rsid w:val="14087FD8"/>
    <w:rsid w:val="14095C0F"/>
    <w:rsid w:val="140C000B"/>
    <w:rsid w:val="140F57D7"/>
    <w:rsid w:val="140F6944"/>
    <w:rsid w:val="14123C2A"/>
    <w:rsid w:val="14157276"/>
    <w:rsid w:val="14177669"/>
    <w:rsid w:val="141C4D94"/>
    <w:rsid w:val="14223741"/>
    <w:rsid w:val="1428142E"/>
    <w:rsid w:val="142D2C55"/>
    <w:rsid w:val="14305E5E"/>
    <w:rsid w:val="14333D94"/>
    <w:rsid w:val="14352380"/>
    <w:rsid w:val="14363D43"/>
    <w:rsid w:val="14370B51"/>
    <w:rsid w:val="143771ED"/>
    <w:rsid w:val="143C57C4"/>
    <w:rsid w:val="1441006B"/>
    <w:rsid w:val="144148A3"/>
    <w:rsid w:val="144F268D"/>
    <w:rsid w:val="14542C5A"/>
    <w:rsid w:val="145F36BD"/>
    <w:rsid w:val="1465262B"/>
    <w:rsid w:val="146567AF"/>
    <w:rsid w:val="146659C0"/>
    <w:rsid w:val="14681A9C"/>
    <w:rsid w:val="146A2B1E"/>
    <w:rsid w:val="146C7C56"/>
    <w:rsid w:val="147C5547"/>
    <w:rsid w:val="147D19E5"/>
    <w:rsid w:val="147D6A3B"/>
    <w:rsid w:val="148368D6"/>
    <w:rsid w:val="14855E4E"/>
    <w:rsid w:val="14856E13"/>
    <w:rsid w:val="148E3627"/>
    <w:rsid w:val="149564EC"/>
    <w:rsid w:val="14971D45"/>
    <w:rsid w:val="14A139DC"/>
    <w:rsid w:val="14A221DF"/>
    <w:rsid w:val="14A56438"/>
    <w:rsid w:val="14B17E67"/>
    <w:rsid w:val="14B720DC"/>
    <w:rsid w:val="14B95F6E"/>
    <w:rsid w:val="14BC262F"/>
    <w:rsid w:val="14BF71E2"/>
    <w:rsid w:val="14C07A90"/>
    <w:rsid w:val="14C35BA2"/>
    <w:rsid w:val="14C97064"/>
    <w:rsid w:val="14CC7FCE"/>
    <w:rsid w:val="14D53540"/>
    <w:rsid w:val="14D641CA"/>
    <w:rsid w:val="14D871B9"/>
    <w:rsid w:val="14E025AA"/>
    <w:rsid w:val="14E1225F"/>
    <w:rsid w:val="14ED1FA1"/>
    <w:rsid w:val="14F379B4"/>
    <w:rsid w:val="14F4128D"/>
    <w:rsid w:val="14F52906"/>
    <w:rsid w:val="14FA5CD1"/>
    <w:rsid w:val="15031D63"/>
    <w:rsid w:val="15096BAB"/>
    <w:rsid w:val="150A35BF"/>
    <w:rsid w:val="150A4B93"/>
    <w:rsid w:val="15122772"/>
    <w:rsid w:val="15127634"/>
    <w:rsid w:val="15150728"/>
    <w:rsid w:val="151E5593"/>
    <w:rsid w:val="15203B2C"/>
    <w:rsid w:val="15205ED3"/>
    <w:rsid w:val="15213D69"/>
    <w:rsid w:val="152322BC"/>
    <w:rsid w:val="15234C39"/>
    <w:rsid w:val="15274742"/>
    <w:rsid w:val="152A0AFF"/>
    <w:rsid w:val="152E6043"/>
    <w:rsid w:val="152F60EE"/>
    <w:rsid w:val="15333F1E"/>
    <w:rsid w:val="1543671D"/>
    <w:rsid w:val="15460A46"/>
    <w:rsid w:val="154949B8"/>
    <w:rsid w:val="155D5BBA"/>
    <w:rsid w:val="156231BA"/>
    <w:rsid w:val="156277FD"/>
    <w:rsid w:val="156649BE"/>
    <w:rsid w:val="1568787A"/>
    <w:rsid w:val="156D7BE8"/>
    <w:rsid w:val="15707BDA"/>
    <w:rsid w:val="15763D45"/>
    <w:rsid w:val="157B67D6"/>
    <w:rsid w:val="157D2774"/>
    <w:rsid w:val="1580424E"/>
    <w:rsid w:val="15840DEB"/>
    <w:rsid w:val="159032CC"/>
    <w:rsid w:val="15937B40"/>
    <w:rsid w:val="159601EA"/>
    <w:rsid w:val="15964CB5"/>
    <w:rsid w:val="15990F94"/>
    <w:rsid w:val="159B2338"/>
    <w:rsid w:val="159F14ED"/>
    <w:rsid w:val="15A5113D"/>
    <w:rsid w:val="15A77801"/>
    <w:rsid w:val="15AC7174"/>
    <w:rsid w:val="15AD234A"/>
    <w:rsid w:val="15AD657A"/>
    <w:rsid w:val="15B15BC6"/>
    <w:rsid w:val="15B66837"/>
    <w:rsid w:val="15B90CA2"/>
    <w:rsid w:val="15BF08B2"/>
    <w:rsid w:val="15C056E0"/>
    <w:rsid w:val="15CA22E2"/>
    <w:rsid w:val="15CB7611"/>
    <w:rsid w:val="15D51BBB"/>
    <w:rsid w:val="15D63471"/>
    <w:rsid w:val="15D656DB"/>
    <w:rsid w:val="15DC05DE"/>
    <w:rsid w:val="15E0481E"/>
    <w:rsid w:val="15E04F64"/>
    <w:rsid w:val="15EC529C"/>
    <w:rsid w:val="15ED1DCF"/>
    <w:rsid w:val="15F50D79"/>
    <w:rsid w:val="15F55CFA"/>
    <w:rsid w:val="16042570"/>
    <w:rsid w:val="16075903"/>
    <w:rsid w:val="160B5485"/>
    <w:rsid w:val="160B69DC"/>
    <w:rsid w:val="160E398C"/>
    <w:rsid w:val="16101FC1"/>
    <w:rsid w:val="1614577D"/>
    <w:rsid w:val="16161BB1"/>
    <w:rsid w:val="16175C4C"/>
    <w:rsid w:val="16176FAB"/>
    <w:rsid w:val="161A3688"/>
    <w:rsid w:val="16201386"/>
    <w:rsid w:val="162177EF"/>
    <w:rsid w:val="162C08A7"/>
    <w:rsid w:val="162E0AC3"/>
    <w:rsid w:val="1630509A"/>
    <w:rsid w:val="1632506C"/>
    <w:rsid w:val="16346B99"/>
    <w:rsid w:val="16402070"/>
    <w:rsid w:val="164107F7"/>
    <w:rsid w:val="1648631A"/>
    <w:rsid w:val="16492F37"/>
    <w:rsid w:val="16581CEC"/>
    <w:rsid w:val="165E0D18"/>
    <w:rsid w:val="1664081C"/>
    <w:rsid w:val="16680D41"/>
    <w:rsid w:val="166A64FD"/>
    <w:rsid w:val="166C1C81"/>
    <w:rsid w:val="166D66AD"/>
    <w:rsid w:val="16727562"/>
    <w:rsid w:val="167365DE"/>
    <w:rsid w:val="16773D8C"/>
    <w:rsid w:val="16776079"/>
    <w:rsid w:val="16793769"/>
    <w:rsid w:val="167A206F"/>
    <w:rsid w:val="167A5AB7"/>
    <w:rsid w:val="16805485"/>
    <w:rsid w:val="1680635B"/>
    <w:rsid w:val="16845BDB"/>
    <w:rsid w:val="168626AD"/>
    <w:rsid w:val="16883D70"/>
    <w:rsid w:val="168E1562"/>
    <w:rsid w:val="16980B9D"/>
    <w:rsid w:val="169836F6"/>
    <w:rsid w:val="169E0CBC"/>
    <w:rsid w:val="16A632DE"/>
    <w:rsid w:val="16AC6E23"/>
    <w:rsid w:val="16AD3796"/>
    <w:rsid w:val="16AF39B2"/>
    <w:rsid w:val="16B16DC1"/>
    <w:rsid w:val="16B34B25"/>
    <w:rsid w:val="16B430D6"/>
    <w:rsid w:val="16B816B4"/>
    <w:rsid w:val="16B833F8"/>
    <w:rsid w:val="16BE66D7"/>
    <w:rsid w:val="16C14830"/>
    <w:rsid w:val="16C34DA5"/>
    <w:rsid w:val="16C60CFC"/>
    <w:rsid w:val="16C96200"/>
    <w:rsid w:val="16CA0D4E"/>
    <w:rsid w:val="16E3365C"/>
    <w:rsid w:val="16E70B2F"/>
    <w:rsid w:val="16E83516"/>
    <w:rsid w:val="16EA17B8"/>
    <w:rsid w:val="16EC3D10"/>
    <w:rsid w:val="170309EB"/>
    <w:rsid w:val="170322FE"/>
    <w:rsid w:val="1703450A"/>
    <w:rsid w:val="170B3743"/>
    <w:rsid w:val="17136118"/>
    <w:rsid w:val="1715363F"/>
    <w:rsid w:val="171D4DF7"/>
    <w:rsid w:val="171F390A"/>
    <w:rsid w:val="172447C9"/>
    <w:rsid w:val="172C4927"/>
    <w:rsid w:val="172D17AE"/>
    <w:rsid w:val="17305119"/>
    <w:rsid w:val="173B401F"/>
    <w:rsid w:val="173D196F"/>
    <w:rsid w:val="17446912"/>
    <w:rsid w:val="1749763D"/>
    <w:rsid w:val="174B6D3D"/>
    <w:rsid w:val="174C2E7D"/>
    <w:rsid w:val="174C5427"/>
    <w:rsid w:val="175059FE"/>
    <w:rsid w:val="175C39C9"/>
    <w:rsid w:val="175D62EC"/>
    <w:rsid w:val="176654FF"/>
    <w:rsid w:val="17693379"/>
    <w:rsid w:val="176C06FA"/>
    <w:rsid w:val="177464DC"/>
    <w:rsid w:val="177974EB"/>
    <w:rsid w:val="177B7D38"/>
    <w:rsid w:val="177C0E74"/>
    <w:rsid w:val="178169D1"/>
    <w:rsid w:val="178501EB"/>
    <w:rsid w:val="17887D5F"/>
    <w:rsid w:val="178D35C8"/>
    <w:rsid w:val="17924201"/>
    <w:rsid w:val="179C3559"/>
    <w:rsid w:val="17A2248B"/>
    <w:rsid w:val="17A57733"/>
    <w:rsid w:val="17A76437"/>
    <w:rsid w:val="17AC6427"/>
    <w:rsid w:val="17AD0BA3"/>
    <w:rsid w:val="17AF4A72"/>
    <w:rsid w:val="17B42169"/>
    <w:rsid w:val="17B43E3E"/>
    <w:rsid w:val="17BA425F"/>
    <w:rsid w:val="17BB150F"/>
    <w:rsid w:val="17BB5D5F"/>
    <w:rsid w:val="17BB5E7B"/>
    <w:rsid w:val="17BB6387"/>
    <w:rsid w:val="17BF5F86"/>
    <w:rsid w:val="17C376E5"/>
    <w:rsid w:val="17C5117D"/>
    <w:rsid w:val="17C73BD5"/>
    <w:rsid w:val="17C95DAD"/>
    <w:rsid w:val="17CA3600"/>
    <w:rsid w:val="17D17958"/>
    <w:rsid w:val="17D217A4"/>
    <w:rsid w:val="17D4376B"/>
    <w:rsid w:val="17D47543"/>
    <w:rsid w:val="17D66B6B"/>
    <w:rsid w:val="17D66E61"/>
    <w:rsid w:val="17D912A0"/>
    <w:rsid w:val="17DB1E09"/>
    <w:rsid w:val="17DD3099"/>
    <w:rsid w:val="17DE186A"/>
    <w:rsid w:val="17DF2075"/>
    <w:rsid w:val="17E0108B"/>
    <w:rsid w:val="17E11B73"/>
    <w:rsid w:val="17E66F5B"/>
    <w:rsid w:val="17EA0E9B"/>
    <w:rsid w:val="17EA3661"/>
    <w:rsid w:val="17EE4028"/>
    <w:rsid w:val="17F13B56"/>
    <w:rsid w:val="17F92A0B"/>
    <w:rsid w:val="17FE0021"/>
    <w:rsid w:val="18025D64"/>
    <w:rsid w:val="18047D2E"/>
    <w:rsid w:val="18061A3F"/>
    <w:rsid w:val="1809704B"/>
    <w:rsid w:val="180B10BC"/>
    <w:rsid w:val="180C49DB"/>
    <w:rsid w:val="180D4EB4"/>
    <w:rsid w:val="180F4B76"/>
    <w:rsid w:val="181E2472"/>
    <w:rsid w:val="181E28F4"/>
    <w:rsid w:val="182504C7"/>
    <w:rsid w:val="182A0E16"/>
    <w:rsid w:val="182A1FB1"/>
    <w:rsid w:val="182B6AF0"/>
    <w:rsid w:val="182C755B"/>
    <w:rsid w:val="18410EE6"/>
    <w:rsid w:val="1841198E"/>
    <w:rsid w:val="18452F64"/>
    <w:rsid w:val="184D3F17"/>
    <w:rsid w:val="184E36D2"/>
    <w:rsid w:val="18502F73"/>
    <w:rsid w:val="18512713"/>
    <w:rsid w:val="18513268"/>
    <w:rsid w:val="185F36D5"/>
    <w:rsid w:val="18663B72"/>
    <w:rsid w:val="18716C5F"/>
    <w:rsid w:val="18747443"/>
    <w:rsid w:val="187511EB"/>
    <w:rsid w:val="18754787"/>
    <w:rsid w:val="187D188E"/>
    <w:rsid w:val="18865D14"/>
    <w:rsid w:val="18866995"/>
    <w:rsid w:val="18901CC5"/>
    <w:rsid w:val="18906382"/>
    <w:rsid w:val="189163A9"/>
    <w:rsid w:val="189346A9"/>
    <w:rsid w:val="189B46F2"/>
    <w:rsid w:val="189D220C"/>
    <w:rsid w:val="189F150D"/>
    <w:rsid w:val="18A30098"/>
    <w:rsid w:val="18A62B93"/>
    <w:rsid w:val="18AC2047"/>
    <w:rsid w:val="18AE1A47"/>
    <w:rsid w:val="18B17727"/>
    <w:rsid w:val="18B352B0"/>
    <w:rsid w:val="18BD6266"/>
    <w:rsid w:val="18C13529"/>
    <w:rsid w:val="18C305DA"/>
    <w:rsid w:val="18C63C94"/>
    <w:rsid w:val="18C905A3"/>
    <w:rsid w:val="18C911F6"/>
    <w:rsid w:val="18CE2AA5"/>
    <w:rsid w:val="18CE7215"/>
    <w:rsid w:val="18CE7C1B"/>
    <w:rsid w:val="18CF62F0"/>
    <w:rsid w:val="18D05E62"/>
    <w:rsid w:val="18D42982"/>
    <w:rsid w:val="18D55226"/>
    <w:rsid w:val="18DC619C"/>
    <w:rsid w:val="18E41886"/>
    <w:rsid w:val="18E44D0C"/>
    <w:rsid w:val="18EA4161"/>
    <w:rsid w:val="18EB0906"/>
    <w:rsid w:val="18FE27D3"/>
    <w:rsid w:val="18FF5AD2"/>
    <w:rsid w:val="190272DE"/>
    <w:rsid w:val="1904467F"/>
    <w:rsid w:val="190517BF"/>
    <w:rsid w:val="19063631"/>
    <w:rsid w:val="190951EE"/>
    <w:rsid w:val="1912647A"/>
    <w:rsid w:val="191621EF"/>
    <w:rsid w:val="19167C36"/>
    <w:rsid w:val="192B3098"/>
    <w:rsid w:val="19385BBD"/>
    <w:rsid w:val="19410B0E"/>
    <w:rsid w:val="19421036"/>
    <w:rsid w:val="19444ACC"/>
    <w:rsid w:val="19477EA8"/>
    <w:rsid w:val="1948117E"/>
    <w:rsid w:val="19527F63"/>
    <w:rsid w:val="19537948"/>
    <w:rsid w:val="19551092"/>
    <w:rsid w:val="195645B9"/>
    <w:rsid w:val="19593F7E"/>
    <w:rsid w:val="195F2D42"/>
    <w:rsid w:val="196034D6"/>
    <w:rsid w:val="1961295B"/>
    <w:rsid w:val="196158DC"/>
    <w:rsid w:val="19630A84"/>
    <w:rsid w:val="196338E0"/>
    <w:rsid w:val="19676753"/>
    <w:rsid w:val="196B2C33"/>
    <w:rsid w:val="1973286D"/>
    <w:rsid w:val="197420E6"/>
    <w:rsid w:val="19790993"/>
    <w:rsid w:val="197D16CC"/>
    <w:rsid w:val="19811A6C"/>
    <w:rsid w:val="19850EDC"/>
    <w:rsid w:val="19880C79"/>
    <w:rsid w:val="198A030D"/>
    <w:rsid w:val="198E4B82"/>
    <w:rsid w:val="19900BA8"/>
    <w:rsid w:val="199103F7"/>
    <w:rsid w:val="19941B4A"/>
    <w:rsid w:val="19960D84"/>
    <w:rsid w:val="19987519"/>
    <w:rsid w:val="19996473"/>
    <w:rsid w:val="199A1899"/>
    <w:rsid w:val="199A78B7"/>
    <w:rsid w:val="19A05E2F"/>
    <w:rsid w:val="19A30E80"/>
    <w:rsid w:val="19AC652B"/>
    <w:rsid w:val="19B5220A"/>
    <w:rsid w:val="19BB08C0"/>
    <w:rsid w:val="19BF24D1"/>
    <w:rsid w:val="19C31523"/>
    <w:rsid w:val="19C50B24"/>
    <w:rsid w:val="19C96DA9"/>
    <w:rsid w:val="19D05643"/>
    <w:rsid w:val="19D26DD3"/>
    <w:rsid w:val="19D276DF"/>
    <w:rsid w:val="19D35AD5"/>
    <w:rsid w:val="19D379B8"/>
    <w:rsid w:val="19D43BD5"/>
    <w:rsid w:val="19D91050"/>
    <w:rsid w:val="19DB061A"/>
    <w:rsid w:val="19DD25E4"/>
    <w:rsid w:val="19DD4FAE"/>
    <w:rsid w:val="19E043EA"/>
    <w:rsid w:val="19E45A28"/>
    <w:rsid w:val="19E605C7"/>
    <w:rsid w:val="19E818F1"/>
    <w:rsid w:val="19EA26FB"/>
    <w:rsid w:val="19EB7C61"/>
    <w:rsid w:val="19EE5AEC"/>
    <w:rsid w:val="19F26CD4"/>
    <w:rsid w:val="19F54CA5"/>
    <w:rsid w:val="19F77A9E"/>
    <w:rsid w:val="1A017590"/>
    <w:rsid w:val="1A02029D"/>
    <w:rsid w:val="1A0A3A4A"/>
    <w:rsid w:val="1A0C4C78"/>
    <w:rsid w:val="1A0F6EBC"/>
    <w:rsid w:val="1A136006"/>
    <w:rsid w:val="1A141D7E"/>
    <w:rsid w:val="1A163D48"/>
    <w:rsid w:val="1A1A67B3"/>
    <w:rsid w:val="1A1C14E1"/>
    <w:rsid w:val="1A1C3DB2"/>
    <w:rsid w:val="1A1C6AF7"/>
    <w:rsid w:val="1A217E24"/>
    <w:rsid w:val="1A271AB1"/>
    <w:rsid w:val="1A2964F9"/>
    <w:rsid w:val="1A2E6BB1"/>
    <w:rsid w:val="1A37041C"/>
    <w:rsid w:val="1A4268EB"/>
    <w:rsid w:val="1A495ECC"/>
    <w:rsid w:val="1A4A739A"/>
    <w:rsid w:val="1A4D27B1"/>
    <w:rsid w:val="1A4E5290"/>
    <w:rsid w:val="1A5D1977"/>
    <w:rsid w:val="1A5D54D3"/>
    <w:rsid w:val="1A5F736C"/>
    <w:rsid w:val="1A6049E8"/>
    <w:rsid w:val="1A62782B"/>
    <w:rsid w:val="1A6751A7"/>
    <w:rsid w:val="1A6A7BF0"/>
    <w:rsid w:val="1A6B4094"/>
    <w:rsid w:val="1A6C36F8"/>
    <w:rsid w:val="1A813B9E"/>
    <w:rsid w:val="1A8B6784"/>
    <w:rsid w:val="1A9C58C5"/>
    <w:rsid w:val="1A9D4B2C"/>
    <w:rsid w:val="1A9F4658"/>
    <w:rsid w:val="1AA22E12"/>
    <w:rsid w:val="1AA2584B"/>
    <w:rsid w:val="1AA83118"/>
    <w:rsid w:val="1AA97138"/>
    <w:rsid w:val="1AAC4E17"/>
    <w:rsid w:val="1AB23263"/>
    <w:rsid w:val="1AB53F6B"/>
    <w:rsid w:val="1AB84DFF"/>
    <w:rsid w:val="1ABA7E0E"/>
    <w:rsid w:val="1AC11F06"/>
    <w:rsid w:val="1AC45552"/>
    <w:rsid w:val="1AC824AD"/>
    <w:rsid w:val="1AC94917"/>
    <w:rsid w:val="1ACB4B33"/>
    <w:rsid w:val="1ACD2659"/>
    <w:rsid w:val="1ACF1ED8"/>
    <w:rsid w:val="1AD027E1"/>
    <w:rsid w:val="1AD12437"/>
    <w:rsid w:val="1AD55133"/>
    <w:rsid w:val="1AD82DAC"/>
    <w:rsid w:val="1AD95279"/>
    <w:rsid w:val="1ADB0E4F"/>
    <w:rsid w:val="1ADF0735"/>
    <w:rsid w:val="1AE07EA9"/>
    <w:rsid w:val="1AE14F6F"/>
    <w:rsid w:val="1AE16104"/>
    <w:rsid w:val="1AEC1D22"/>
    <w:rsid w:val="1AF47DF3"/>
    <w:rsid w:val="1AF773BC"/>
    <w:rsid w:val="1AF776D6"/>
    <w:rsid w:val="1AFD5F24"/>
    <w:rsid w:val="1AFF22F6"/>
    <w:rsid w:val="1B067F31"/>
    <w:rsid w:val="1B100797"/>
    <w:rsid w:val="1B1D2AAE"/>
    <w:rsid w:val="1B1E55CC"/>
    <w:rsid w:val="1B2304CB"/>
    <w:rsid w:val="1B276664"/>
    <w:rsid w:val="1B295128"/>
    <w:rsid w:val="1B2A1ECA"/>
    <w:rsid w:val="1B2B7D3D"/>
    <w:rsid w:val="1B2D759B"/>
    <w:rsid w:val="1B324BB2"/>
    <w:rsid w:val="1B3A6689"/>
    <w:rsid w:val="1B3B33B8"/>
    <w:rsid w:val="1B4006E4"/>
    <w:rsid w:val="1B4668DD"/>
    <w:rsid w:val="1B4B4085"/>
    <w:rsid w:val="1B4C6644"/>
    <w:rsid w:val="1B4F12C0"/>
    <w:rsid w:val="1B506DE6"/>
    <w:rsid w:val="1B577BEC"/>
    <w:rsid w:val="1B593EEC"/>
    <w:rsid w:val="1B5E7755"/>
    <w:rsid w:val="1B61557E"/>
    <w:rsid w:val="1B617245"/>
    <w:rsid w:val="1B642891"/>
    <w:rsid w:val="1B656570"/>
    <w:rsid w:val="1B68227C"/>
    <w:rsid w:val="1B682DA9"/>
    <w:rsid w:val="1B736848"/>
    <w:rsid w:val="1B772679"/>
    <w:rsid w:val="1B776A91"/>
    <w:rsid w:val="1B7927E1"/>
    <w:rsid w:val="1B7D7DE0"/>
    <w:rsid w:val="1B7E041E"/>
    <w:rsid w:val="1B801669"/>
    <w:rsid w:val="1B8E0192"/>
    <w:rsid w:val="1B913DC8"/>
    <w:rsid w:val="1B9803E1"/>
    <w:rsid w:val="1B9D585E"/>
    <w:rsid w:val="1B9E44C1"/>
    <w:rsid w:val="1BA41562"/>
    <w:rsid w:val="1BA77BA7"/>
    <w:rsid w:val="1BA84E74"/>
    <w:rsid w:val="1BAB20D6"/>
    <w:rsid w:val="1BAB2B82"/>
    <w:rsid w:val="1BAB763B"/>
    <w:rsid w:val="1BB31EFD"/>
    <w:rsid w:val="1BBB6955"/>
    <w:rsid w:val="1BBD41BA"/>
    <w:rsid w:val="1BC17CE4"/>
    <w:rsid w:val="1BC7354C"/>
    <w:rsid w:val="1BCC2FDE"/>
    <w:rsid w:val="1BCD0437"/>
    <w:rsid w:val="1BCD48DA"/>
    <w:rsid w:val="1BD21EF1"/>
    <w:rsid w:val="1BD27C70"/>
    <w:rsid w:val="1BDD5AFE"/>
    <w:rsid w:val="1BDF5C76"/>
    <w:rsid w:val="1BE629AC"/>
    <w:rsid w:val="1BE827C4"/>
    <w:rsid w:val="1BE85270"/>
    <w:rsid w:val="1BEB583C"/>
    <w:rsid w:val="1BF105C9"/>
    <w:rsid w:val="1BF33CE5"/>
    <w:rsid w:val="1BF72897"/>
    <w:rsid w:val="1BFB18C8"/>
    <w:rsid w:val="1C00302B"/>
    <w:rsid w:val="1C02398F"/>
    <w:rsid w:val="1C043805"/>
    <w:rsid w:val="1C073948"/>
    <w:rsid w:val="1C0A144D"/>
    <w:rsid w:val="1C113F74"/>
    <w:rsid w:val="1C1A6D7D"/>
    <w:rsid w:val="1C1E7EE3"/>
    <w:rsid w:val="1C235D18"/>
    <w:rsid w:val="1C250273"/>
    <w:rsid w:val="1C2A3ADB"/>
    <w:rsid w:val="1C2C07F7"/>
    <w:rsid w:val="1C326899"/>
    <w:rsid w:val="1C36422E"/>
    <w:rsid w:val="1C36598A"/>
    <w:rsid w:val="1C3B6EE0"/>
    <w:rsid w:val="1C3D6BFD"/>
    <w:rsid w:val="1C4637EC"/>
    <w:rsid w:val="1C534DE0"/>
    <w:rsid w:val="1C5D30C3"/>
    <w:rsid w:val="1C5E5533"/>
    <w:rsid w:val="1C6012B6"/>
    <w:rsid w:val="1C603786"/>
    <w:rsid w:val="1C633BEB"/>
    <w:rsid w:val="1C6C6AF9"/>
    <w:rsid w:val="1C6E1C1A"/>
    <w:rsid w:val="1C6E27E5"/>
    <w:rsid w:val="1C71170A"/>
    <w:rsid w:val="1C737230"/>
    <w:rsid w:val="1C7B708E"/>
    <w:rsid w:val="1C7C1FC3"/>
    <w:rsid w:val="1C8165C5"/>
    <w:rsid w:val="1C822364"/>
    <w:rsid w:val="1C830D76"/>
    <w:rsid w:val="1C8821EB"/>
    <w:rsid w:val="1C8A66C6"/>
    <w:rsid w:val="1C8B5435"/>
    <w:rsid w:val="1C8B7602"/>
    <w:rsid w:val="1C8F6A18"/>
    <w:rsid w:val="1C9176B6"/>
    <w:rsid w:val="1C944660"/>
    <w:rsid w:val="1C976366"/>
    <w:rsid w:val="1C9A6898"/>
    <w:rsid w:val="1C9D1D2C"/>
    <w:rsid w:val="1CA473E9"/>
    <w:rsid w:val="1CA50E12"/>
    <w:rsid w:val="1CA530A1"/>
    <w:rsid w:val="1CA8381A"/>
    <w:rsid w:val="1CAA4B64"/>
    <w:rsid w:val="1CAC0996"/>
    <w:rsid w:val="1CAD2DBB"/>
    <w:rsid w:val="1CB13A5F"/>
    <w:rsid w:val="1CB3159A"/>
    <w:rsid w:val="1CBD78B1"/>
    <w:rsid w:val="1CBE4CBE"/>
    <w:rsid w:val="1CC05D1F"/>
    <w:rsid w:val="1CC4203E"/>
    <w:rsid w:val="1CC67163"/>
    <w:rsid w:val="1CC6763C"/>
    <w:rsid w:val="1CCB6D47"/>
    <w:rsid w:val="1CCC4B92"/>
    <w:rsid w:val="1CCC5E2A"/>
    <w:rsid w:val="1CCE7826"/>
    <w:rsid w:val="1CD16B77"/>
    <w:rsid w:val="1CD4202A"/>
    <w:rsid w:val="1CD500B9"/>
    <w:rsid w:val="1CD63939"/>
    <w:rsid w:val="1CD65B5D"/>
    <w:rsid w:val="1CD759E4"/>
    <w:rsid w:val="1CD7649B"/>
    <w:rsid w:val="1CDE7F7F"/>
    <w:rsid w:val="1CDF0421"/>
    <w:rsid w:val="1CE16E3C"/>
    <w:rsid w:val="1CE70010"/>
    <w:rsid w:val="1CE86287"/>
    <w:rsid w:val="1CF5473F"/>
    <w:rsid w:val="1CF64DC7"/>
    <w:rsid w:val="1CFB0A17"/>
    <w:rsid w:val="1D05365A"/>
    <w:rsid w:val="1D085BCA"/>
    <w:rsid w:val="1D1233D7"/>
    <w:rsid w:val="1D125905"/>
    <w:rsid w:val="1D1435D8"/>
    <w:rsid w:val="1D16100D"/>
    <w:rsid w:val="1D193BA5"/>
    <w:rsid w:val="1D1A1832"/>
    <w:rsid w:val="1D1A76AB"/>
    <w:rsid w:val="1D1B5A7D"/>
    <w:rsid w:val="1D272E01"/>
    <w:rsid w:val="1D27757E"/>
    <w:rsid w:val="1D2B561A"/>
    <w:rsid w:val="1D325F37"/>
    <w:rsid w:val="1D336B90"/>
    <w:rsid w:val="1D3432F9"/>
    <w:rsid w:val="1D3D2706"/>
    <w:rsid w:val="1D491D3F"/>
    <w:rsid w:val="1D4A4435"/>
    <w:rsid w:val="1D4B4730"/>
    <w:rsid w:val="1D4D54FD"/>
    <w:rsid w:val="1D4F1A4B"/>
    <w:rsid w:val="1D4F40D1"/>
    <w:rsid w:val="1D5052F0"/>
    <w:rsid w:val="1D5232E9"/>
    <w:rsid w:val="1D540E0F"/>
    <w:rsid w:val="1D563A30"/>
    <w:rsid w:val="1D570900"/>
    <w:rsid w:val="1D590F68"/>
    <w:rsid w:val="1D5A3F4C"/>
    <w:rsid w:val="1D5C5F16"/>
    <w:rsid w:val="1D605385"/>
    <w:rsid w:val="1D6243F5"/>
    <w:rsid w:val="1D6B2A83"/>
    <w:rsid w:val="1D7273BA"/>
    <w:rsid w:val="1D7414B2"/>
    <w:rsid w:val="1D750D86"/>
    <w:rsid w:val="1D7909C3"/>
    <w:rsid w:val="1D794079"/>
    <w:rsid w:val="1D7A6072"/>
    <w:rsid w:val="1D813BCE"/>
    <w:rsid w:val="1D840FC9"/>
    <w:rsid w:val="1D8A2A83"/>
    <w:rsid w:val="1D8B132E"/>
    <w:rsid w:val="1D8D60CF"/>
    <w:rsid w:val="1D8F0099"/>
    <w:rsid w:val="1D912AAC"/>
    <w:rsid w:val="1D9965DA"/>
    <w:rsid w:val="1D996D39"/>
    <w:rsid w:val="1D9B3EA3"/>
    <w:rsid w:val="1D9C0D1C"/>
    <w:rsid w:val="1D9F51C4"/>
    <w:rsid w:val="1DA04055"/>
    <w:rsid w:val="1DAF6046"/>
    <w:rsid w:val="1DB21DE8"/>
    <w:rsid w:val="1DB52923"/>
    <w:rsid w:val="1DB6189F"/>
    <w:rsid w:val="1DB74A03"/>
    <w:rsid w:val="1DBB4A8B"/>
    <w:rsid w:val="1DBC69B5"/>
    <w:rsid w:val="1DBE3AEB"/>
    <w:rsid w:val="1DC01FF0"/>
    <w:rsid w:val="1DC35F95"/>
    <w:rsid w:val="1DC47F93"/>
    <w:rsid w:val="1DC730E3"/>
    <w:rsid w:val="1DCD6587"/>
    <w:rsid w:val="1DD0092D"/>
    <w:rsid w:val="1DD137B6"/>
    <w:rsid w:val="1DD64E3C"/>
    <w:rsid w:val="1DD70678"/>
    <w:rsid w:val="1DD76B92"/>
    <w:rsid w:val="1DDB1191"/>
    <w:rsid w:val="1DDB32DF"/>
    <w:rsid w:val="1DE45854"/>
    <w:rsid w:val="1DE87F9E"/>
    <w:rsid w:val="1DEA038E"/>
    <w:rsid w:val="1DEC3986"/>
    <w:rsid w:val="1DF429AD"/>
    <w:rsid w:val="1DF47EFC"/>
    <w:rsid w:val="1DF60118"/>
    <w:rsid w:val="1DF9138C"/>
    <w:rsid w:val="1DF92D37"/>
    <w:rsid w:val="1DFE3F47"/>
    <w:rsid w:val="1E003563"/>
    <w:rsid w:val="1E0077D6"/>
    <w:rsid w:val="1E0246BD"/>
    <w:rsid w:val="1E0345E3"/>
    <w:rsid w:val="1E062D21"/>
    <w:rsid w:val="1E08268C"/>
    <w:rsid w:val="1E0B2298"/>
    <w:rsid w:val="1E0C16EA"/>
    <w:rsid w:val="1E0D3161"/>
    <w:rsid w:val="1E1230B7"/>
    <w:rsid w:val="1E1962CE"/>
    <w:rsid w:val="1E1B4E7E"/>
    <w:rsid w:val="1E201C55"/>
    <w:rsid w:val="1E22401A"/>
    <w:rsid w:val="1E235BA9"/>
    <w:rsid w:val="1E286525"/>
    <w:rsid w:val="1E2A55E7"/>
    <w:rsid w:val="1E2C535C"/>
    <w:rsid w:val="1E2E11A7"/>
    <w:rsid w:val="1E33787C"/>
    <w:rsid w:val="1E360515"/>
    <w:rsid w:val="1E361E47"/>
    <w:rsid w:val="1E3C0899"/>
    <w:rsid w:val="1E4D6F06"/>
    <w:rsid w:val="1E566E09"/>
    <w:rsid w:val="1E586CAC"/>
    <w:rsid w:val="1E676920"/>
    <w:rsid w:val="1E6800C6"/>
    <w:rsid w:val="1E6A4A53"/>
    <w:rsid w:val="1E6E4153"/>
    <w:rsid w:val="1E6F44CA"/>
    <w:rsid w:val="1E6F65D4"/>
    <w:rsid w:val="1E73753A"/>
    <w:rsid w:val="1E794E7F"/>
    <w:rsid w:val="1E7C3E82"/>
    <w:rsid w:val="1E7C7082"/>
    <w:rsid w:val="1E875BF9"/>
    <w:rsid w:val="1E8C20AD"/>
    <w:rsid w:val="1E8F5E77"/>
    <w:rsid w:val="1E906DF8"/>
    <w:rsid w:val="1E92299B"/>
    <w:rsid w:val="1E923478"/>
    <w:rsid w:val="1EA13876"/>
    <w:rsid w:val="1EA863A9"/>
    <w:rsid w:val="1EAE0924"/>
    <w:rsid w:val="1EAE3989"/>
    <w:rsid w:val="1EAE454F"/>
    <w:rsid w:val="1EB352DE"/>
    <w:rsid w:val="1EB44A79"/>
    <w:rsid w:val="1EB454C1"/>
    <w:rsid w:val="1EB61240"/>
    <w:rsid w:val="1EBD0773"/>
    <w:rsid w:val="1EBD29E4"/>
    <w:rsid w:val="1EBD4EDF"/>
    <w:rsid w:val="1EBF675C"/>
    <w:rsid w:val="1EC20832"/>
    <w:rsid w:val="1EC41FC5"/>
    <w:rsid w:val="1EC5460A"/>
    <w:rsid w:val="1ECC43DD"/>
    <w:rsid w:val="1ED038BC"/>
    <w:rsid w:val="1ED07368"/>
    <w:rsid w:val="1ED1194C"/>
    <w:rsid w:val="1ED418F0"/>
    <w:rsid w:val="1ED7407C"/>
    <w:rsid w:val="1ED870BA"/>
    <w:rsid w:val="1EDC166C"/>
    <w:rsid w:val="1EDC60EE"/>
    <w:rsid w:val="1EE00481"/>
    <w:rsid w:val="1EE2582E"/>
    <w:rsid w:val="1EE85EF0"/>
    <w:rsid w:val="1EE95B8D"/>
    <w:rsid w:val="1EF414AC"/>
    <w:rsid w:val="1F032D2D"/>
    <w:rsid w:val="1F056602"/>
    <w:rsid w:val="1F066EA9"/>
    <w:rsid w:val="1F080558"/>
    <w:rsid w:val="1F0915B1"/>
    <w:rsid w:val="1F0B44EE"/>
    <w:rsid w:val="1F0B74D7"/>
    <w:rsid w:val="1F10520A"/>
    <w:rsid w:val="1F134CFA"/>
    <w:rsid w:val="1F151212"/>
    <w:rsid w:val="1F180273"/>
    <w:rsid w:val="1F1D204E"/>
    <w:rsid w:val="1F2046D2"/>
    <w:rsid w:val="1F205370"/>
    <w:rsid w:val="1F2418D2"/>
    <w:rsid w:val="1F286070"/>
    <w:rsid w:val="1F2C36C6"/>
    <w:rsid w:val="1F2E38E2"/>
    <w:rsid w:val="1F3A3E5A"/>
    <w:rsid w:val="1F3A6346"/>
    <w:rsid w:val="1F3D79EA"/>
    <w:rsid w:val="1F3E050A"/>
    <w:rsid w:val="1F3F789D"/>
    <w:rsid w:val="1F407AE5"/>
    <w:rsid w:val="1F4849A4"/>
    <w:rsid w:val="1F484A43"/>
    <w:rsid w:val="1F4B0CD1"/>
    <w:rsid w:val="1F4B7FF0"/>
    <w:rsid w:val="1F501AAA"/>
    <w:rsid w:val="1F5140AB"/>
    <w:rsid w:val="1F550012"/>
    <w:rsid w:val="1F597BAA"/>
    <w:rsid w:val="1F5F3A9B"/>
    <w:rsid w:val="1F696070"/>
    <w:rsid w:val="1F707A57"/>
    <w:rsid w:val="1F73636E"/>
    <w:rsid w:val="1F7C12ED"/>
    <w:rsid w:val="1F7C4BCB"/>
    <w:rsid w:val="1F7E2725"/>
    <w:rsid w:val="1F810CAA"/>
    <w:rsid w:val="1F873FC8"/>
    <w:rsid w:val="1F8C06C8"/>
    <w:rsid w:val="1F8E612F"/>
    <w:rsid w:val="1F972110"/>
    <w:rsid w:val="1F99167F"/>
    <w:rsid w:val="1F9B6D2D"/>
    <w:rsid w:val="1FA63478"/>
    <w:rsid w:val="1FAB0A74"/>
    <w:rsid w:val="1FAD008D"/>
    <w:rsid w:val="1FAF5DB9"/>
    <w:rsid w:val="1FB00FED"/>
    <w:rsid w:val="1FB0179E"/>
    <w:rsid w:val="1FB060A5"/>
    <w:rsid w:val="1FB5190D"/>
    <w:rsid w:val="1FBC4A4A"/>
    <w:rsid w:val="1FBE2331"/>
    <w:rsid w:val="1FBF1277"/>
    <w:rsid w:val="1FC02662"/>
    <w:rsid w:val="1FC263A6"/>
    <w:rsid w:val="1FC52FAD"/>
    <w:rsid w:val="1FC62AF6"/>
    <w:rsid w:val="1FC87893"/>
    <w:rsid w:val="1FCA45F9"/>
    <w:rsid w:val="1FCD6C57"/>
    <w:rsid w:val="1FCF1843"/>
    <w:rsid w:val="1FD153AD"/>
    <w:rsid w:val="1FD4688B"/>
    <w:rsid w:val="1FD9384E"/>
    <w:rsid w:val="1FDA0E9C"/>
    <w:rsid w:val="1FDA11B6"/>
    <w:rsid w:val="1FDA7216"/>
    <w:rsid w:val="1FDE70B6"/>
    <w:rsid w:val="1FE12702"/>
    <w:rsid w:val="1FE1689C"/>
    <w:rsid w:val="1FE22B7B"/>
    <w:rsid w:val="1FE3513C"/>
    <w:rsid w:val="1FE3647B"/>
    <w:rsid w:val="1FE51794"/>
    <w:rsid w:val="1FEA7AAD"/>
    <w:rsid w:val="1FED18E2"/>
    <w:rsid w:val="1FF44B54"/>
    <w:rsid w:val="1FF468DA"/>
    <w:rsid w:val="1FFC753C"/>
    <w:rsid w:val="1FFE5D4A"/>
    <w:rsid w:val="2007287E"/>
    <w:rsid w:val="200837FA"/>
    <w:rsid w:val="2014250D"/>
    <w:rsid w:val="201A5DDC"/>
    <w:rsid w:val="201C62F8"/>
    <w:rsid w:val="201E0CB3"/>
    <w:rsid w:val="2020147D"/>
    <w:rsid w:val="2021722B"/>
    <w:rsid w:val="2021761B"/>
    <w:rsid w:val="202A40A9"/>
    <w:rsid w:val="202C5EB3"/>
    <w:rsid w:val="202D3376"/>
    <w:rsid w:val="202E4274"/>
    <w:rsid w:val="20312395"/>
    <w:rsid w:val="20344F28"/>
    <w:rsid w:val="2034516F"/>
    <w:rsid w:val="203566B4"/>
    <w:rsid w:val="203C73EE"/>
    <w:rsid w:val="20471251"/>
    <w:rsid w:val="20483BFA"/>
    <w:rsid w:val="20487301"/>
    <w:rsid w:val="204C705C"/>
    <w:rsid w:val="20500B4A"/>
    <w:rsid w:val="20530084"/>
    <w:rsid w:val="206155F1"/>
    <w:rsid w:val="20626BAD"/>
    <w:rsid w:val="206362FE"/>
    <w:rsid w:val="20661F44"/>
    <w:rsid w:val="20721B65"/>
    <w:rsid w:val="20751465"/>
    <w:rsid w:val="20771F6B"/>
    <w:rsid w:val="207A1785"/>
    <w:rsid w:val="207A296E"/>
    <w:rsid w:val="207B39A0"/>
    <w:rsid w:val="207C5C65"/>
    <w:rsid w:val="2081248F"/>
    <w:rsid w:val="20826C4A"/>
    <w:rsid w:val="2089343F"/>
    <w:rsid w:val="20897CF7"/>
    <w:rsid w:val="208D1531"/>
    <w:rsid w:val="20902B53"/>
    <w:rsid w:val="20937578"/>
    <w:rsid w:val="20937EA1"/>
    <w:rsid w:val="20964AEE"/>
    <w:rsid w:val="20983EB6"/>
    <w:rsid w:val="209861AD"/>
    <w:rsid w:val="20987265"/>
    <w:rsid w:val="20987DD0"/>
    <w:rsid w:val="209958FD"/>
    <w:rsid w:val="20A0436C"/>
    <w:rsid w:val="20A04410"/>
    <w:rsid w:val="20A10E36"/>
    <w:rsid w:val="20A418DA"/>
    <w:rsid w:val="20A83439"/>
    <w:rsid w:val="20A84338"/>
    <w:rsid w:val="20AA14FA"/>
    <w:rsid w:val="20AB3B3A"/>
    <w:rsid w:val="20BF5498"/>
    <w:rsid w:val="20C26C3F"/>
    <w:rsid w:val="20C50ABF"/>
    <w:rsid w:val="20C718F8"/>
    <w:rsid w:val="20C84A01"/>
    <w:rsid w:val="20C91B14"/>
    <w:rsid w:val="20CA0A44"/>
    <w:rsid w:val="20CB5FE7"/>
    <w:rsid w:val="20D12DDC"/>
    <w:rsid w:val="20DA376C"/>
    <w:rsid w:val="20DD111C"/>
    <w:rsid w:val="20E93AA9"/>
    <w:rsid w:val="20EB0495"/>
    <w:rsid w:val="20EE4A28"/>
    <w:rsid w:val="20F06E0B"/>
    <w:rsid w:val="20F36B91"/>
    <w:rsid w:val="20F52F78"/>
    <w:rsid w:val="20F63F8C"/>
    <w:rsid w:val="21004E0A"/>
    <w:rsid w:val="2100717B"/>
    <w:rsid w:val="21030083"/>
    <w:rsid w:val="210775BE"/>
    <w:rsid w:val="210C5CAC"/>
    <w:rsid w:val="210E39CB"/>
    <w:rsid w:val="21162698"/>
    <w:rsid w:val="21174E62"/>
    <w:rsid w:val="21176DF9"/>
    <w:rsid w:val="211A0FDD"/>
    <w:rsid w:val="211D409C"/>
    <w:rsid w:val="212646A9"/>
    <w:rsid w:val="21287281"/>
    <w:rsid w:val="2129610F"/>
    <w:rsid w:val="212A1E87"/>
    <w:rsid w:val="212C2CC3"/>
    <w:rsid w:val="212E76D6"/>
    <w:rsid w:val="213041DB"/>
    <w:rsid w:val="213500A1"/>
    <w:rsid w:val="2137738E"/>
    <w:rsid w:val="21396848"/>
    <w:rsid w:val="214A44A5"/>
    <w:rsid w:val="214E273E"/>
    <w:rsid w:val="214F061E"/>
    <w:rsid w:val="2150195F"/>
    <w:rsid w:val="21544134"/>
    <w:rsid w:val="21562840"/>
    <w:rsid w:val="215A7A30"/>
    <w:rsid w:val="215D400B"/>
    <w:rsid w:val="215E585C"/>
    <w:rsid w:val="21625A2A"/>
    <w:rsid w:val="21630F87"/>
    <w:rsid w:val="216655B5"/>
    <w:rsid w:val="21690C01"/>
    <w:rsid w:val="216D6944"/>
    <w:rsid w:val="21714D2D"/>
    <w:rsid w:val="21725D08"/>
    <w:rsid w:val="217D645B"/>
    <w:rsid w:val="217F6677"/>
    <w:rsid w:val="21815F4B"/>
    <w:rsid w:val="21823A71"/>
    <w:rsid w:val="21857B26"/>
    <w:rsid w:val="2186530F"/>
    <w:rsid w:val="218B430E"/>
    <w:rsid w:val="218C3069"/>
    <w:rsid w:val="218F5AAC"/>
    <w:rsid w:val="219270DF"/>
    <w:rsid w:val="219E6AFD"/>
    <w:rsid w:val="21A45A1C"/>
    <w:rsid w:val="21A67A03"/>
    <w:rsid w:val="21A931FB"/>
    <w:rsid w:val="21AA01F4"/>
    <w:rsid w:val="21AB706F"/>
    <w:rsid w:val="21B04A82"/>
    <w:rsid w:val="21B36AD8"/>
    <w:rsid w:val="21B52099"/>
    <w:rsid w:val="21BC32B1"/>
    <w:rsid w:val="21C00D8A"/>
    <w:rsid w:val="21C24F10"/>
    <w:rsid w:val="21C526E4"/>
    <w:rsid w:val="21CB2A6E"/>
    <w:rsid w:val="21CE7AA5"/>
    <w:rsid w:val="21CF6601"/>
    <w:rsid w:val="21D17F00"/>
    <w:rsid w:val="21D201C6"/>
    <w:rsid w:val="21D34D91"/>
    <w:rsid w:val="21D41A4E"/>
    <w:rsid w:val="21D47FEE"/>
    <w:rsid w:val="21D50045"/>
    <w:rsid w:val="21D65868"/>
    <w:rsid w:val="21D75024"/>
    <w:rsid w:val="21DD49A5"/>
    <w:rsid w:val="21E87D78"/>
    <w:rsid w:val="21F26A25"/>
    <w:rsid w:val="21FA3CE5"/>
    <w:rsid w:val="21FA714E"/>
    <w:rsid w:val="21FB3F4F"/>
    <w:rsid w:val="21FD222B"/>
    <w:rsid w:val="21FF63D9"/>
    <w:rsid w:val="220050D4"/>
    <w:rsid w:val="22047779"/>
    <w:rsid w:val="220E499E"/>
    <w:rsid w:val="22140308"/>
    <w:rsid w:val="22154E03"/>
    <w:rsid w:val="22175F74"/>
    <w:rsid w:val="22183515"/>
    <w:rsid w:val="221F518B"/>
    <w:rsid w:val="22230DB0"/>
    <w:rsid w:val="222F2F4D"/>
    <w:rsid w:val="22354D5C"/>
    <w:rsid w:val="223607C4"/>
    <w:rsid w:val="223B07F0"/>
    <w:rsid w:val="223B3BE8"/>
    <w:rsid w:val="223C6A3A"/>
    <w:rsid w:val="223E3625"/>
    <w:rsid w:val="223F287C"/>
    <w:rsid w:val="224405F2"/>
    <w:rsid w:val="22476EDB"/>
    <w:rsid w:val="22487300"/>
    <w:rsid w:val="22495543"/>
    <w:rsid w:val="224D1F70"/>
    <w:rsid w:val="22514CF2"/>
    <w:rsid w:val="2254750D"/>
    <w:rsid w:val="225846EC"/>
    <w:rsid w:val="22592F53"/>
    <w:rsid w:val="225B1D0C"/>
    <w:rsid w:val="225C51D8"/>
    <w:rsid w:val="225F0322"/>
    <w:rsid w:val="22641EAC"/>
    <w:rsid w:val="22646871"/>
    <w:rsid w:val="226725FC"/>
    <w:rsid w:val="22680EB9"/>
    <w:rsid w:val="226B7ED1"/>
    <w:rsid w:val="22714212"/>
    <w:rsid w:val="2272042F"/>
    <w:rsid w:val="22781C87"/>
    <w:rsid w:val="22813D29"/>
    <w:rsid w:val="228201CD"/>
    <w:rsid w:val="228B23FB"/>
    <w:rsid w:val="228C118B"/>
    <w:rsid w:val="228E3A1D"/>
    <w:rsid w:val="229121BE"/>
    <w:rsid w:val="22941CAE"/>
    <w:rsid w:val="22995D86"/>
    <w:rsid w:val="229F35BC"/>
    <w:rsid w:val="22A15FF9"/>
    <w:rsid w:val="22A301D1"/>
    <w:rsid w:val="22A30E8E"/>
    <w:rsid w:val="22AC6FF8"/>
    <w:rsid w:val="22AE00D2"/>
    <w:rsid w:val="22B145D6"/>
    <w:rsid w:val="22B850EC"/>
    <w:rsid w:val="22BE5A5C"/>
    <w:rsid w:val="22C6581D"/>
    <w:rsid w:val="22C67200"/>
    <w:rsid w:val="22C957F6"/>
    <w:rsid w:val="22D467A7"/>
    <w:rsid w:val="22D97A71"/>
    <w:rsid w:val="22DD0716"/>
    <w:rsid w:val="22DD1132"/>
    <w:rsid w:val="22E03145"/>
    <w:rsid w:val="22E04635"/>
    <w:rsid w:val="22E13D3C"/>
    <w:rsid w:val="22E455CE"/>
    <w:rsid w:val="22E62ECB"/>
    <w:rsid w:val="22ED3761"/>
    <w:rsid w:val="22EE5C8E"/>
    <w:rsid w:val="22F77D10"/>
    <w:rsid w:val="22FE16CD"/>
    <w:rsid w:val="23007343"/>
    <w:rsid w:val="23025705"/>
    <w:rsid w:val="230A5908"/>
    <w:rsid w:val="230C2B5E"/>
    <w:rsid w:val="231132FF"/>
    <w:rsid w:val="23187BD7"/>
    <w:rsid w:val="2319253E"/>
    <w:rsid w:val="231B23CF"/>
    <w:rsid w:val="231D3AA7"/>
    <w:rsid w:val="232312C4"/>
    <w:rsid w:val="23256DAA"/>
    <w:rsid w:val="23290648"/>
    <w:rsid w:val="232935DD"/>
    <w:rsid w:val="23333ABE"/>
    <w:rsid w:val="233B01E2"/>
    <w:rsid w:val="23447B56"/>
    <w:rsid w:val="234F026F"/>
    <w:rsid w:val="234F35BB"/>
    <w:rsid w:val="2350226A"/>
    <w:rsid w:val="235439F1"/>
    <w:rsid w:val="23546288"/>
    <w:rsid w:val="23565750"/>
    <w:rsid w:val="235D115E"/>
    <w:rsid w:val="236613BB"/>
    <w:rsid w:val="236B577B"/>
    <w:rsid w:val="236E5BB5"/>
    <w:rsid w:val="23711267"/>
    <w:rsid w:val="237140AF"/>
    <w:rsid w:val="237147B2"/>
    <w:rsid w:val="23727508"/>
    <w:rsid w:val="2375388E"/>
    <w:rsid w:val="23775858"/>
    <w:rsid w:val="237979F1"/>
    <w:rsid w:val="23803558"/>
    <w:rsid w:val="23812AF5"/>
    <w:rsid w:val="23842AD3"/>
    <w:rsid w:val="238621A3"/>
    <w:rsid w:val="23871813"/>
    <w:rsid w:val="238B4614"/>
    <w:rsid w:val="23944991"/>
    <w:rsid w:val="23995C11"/>
    <w:rsid w:val="239E7E17"/>
    <w:rsid w:val="239F2651"/>
    <w:rsid w:val="23A14683"/>
    <w:rsid w:val="23A321E5"/>
    <w:rsid w:val="23A42296"/>
    <w:rsid w:val="23AA6539"/>
    <w:rsid w:val="23AB3753"/>
    <w:rsid w:val="23AB5501"/>
    <w:rsid w:val="23B32608"/>
    <w:rsid w:val="23B7534F"/>
    <w:rsid w:val="23B8361D"/>
    <w:rsid w:val="23B96751"/>
    <w:rsid w:val="23CD3ACB"/>
    <w:rsid w:val="23CE49F6"/>
    <w:rsid w:val="23D05879"/>
    <w:rsid w:val="23D24F85"/>
    <w:rsid w:val="23D35767"/>
    <w:rsid w:val="23DA7B95"/>
    <w:rsid w:val="23DC12B7"/>
    <w:rsid w:val="23DC56BB"/>
    <w:rsid w:val="23E01642"/>
    <w:rsid w:val="23E12D3E"/>
    <w:rsid w:val="23ED1784"/>
    <w:rsid w:val="23F039B3"/>
    <w:rsid w:val="23FB02D0"/>
    <w:rsid w:val="24000B94"/>
    <w:rsid w:val="24030E99"/>
    <w:rsid w:val="2403213E"/>
    <w:rsid w:val="24051FA5"/>
    <w:rsid w:val="24123AD5"/>
    <w:rsid w:val="241E65F5"/>
    <w:rsid w:val="24213A15"/>
    <w:rsid w:val="24254431"/>
    <w:rsid w:val="24287333"/>
    <w:rsid w:val="242B44AF"/>
    <w:rsid w:val="242C49F3"/>
    <w:rsid w:val="242D5EF4"/>
    <w:rsid w:val="242F228A"/>
    <w:rsid w:val="24335339"/>
    <w:rsid w:val="243A4734"/>
    <w:rsid w:val="243B27E1"/>
    <w:rsid w:val="2446347C"/>
    <w:rsid w:val="24480FA2"/>
    <w:rsid w:val="24490176"/>
    <w:rsid w:val="244A2F6C"/>
    <w:rsid w:val="24504F9C"/>
    <w:rsid w:val="245358AD"/>
    <w:rsid w:val="2455328E"/>
    <w:rsid w:val="245C67FB"/>
    <w:rsid w:val="245C794C"/>
    <w:rsid w:val="245F3A80"/>
    <w:rsid w:val="24695021"/>
    <w:rsid w:val="246C7B02"/>
    <w:rsid w:val="247022A7"/>
    <w:rsid w:val="24704ABB"/>
    <w:rsid w:val="24741D97"/>
    <w:rsid w:val="24767D96"/>
    <w:rsid w:val="24771E68"/>
    <w:rsid w:val="24775767"/>
    <w:rsid w:val="247E2C16"/>
    <w:rsid w:val="247E49C4"/>
    <w:rsid w:val="24813D24"/>
    <w:rsid w:val="248719C1"/>
    <w:rsid w:val="24877F02"/>
    <w:rsid w:val="248D10AB"/>
    <w:rsid w:val="248E7F33"/>
    <w:rsid w:val="24972AF0"/>
    <w:rsid w:val="24973CD7"/>
    <w:rsid w:val="249F043C"/>
    <w:rsid w:val="24A2770B"/>
    <w:rsid w:val="24A73F1B"/>
    <w:rsid w:val="24A91B9E"/>
    <w:rsid w:val="24A93D28"/>
    <w:rsid w:val="24AC1531"/>
    <w:rsid w:val="24AD77B8"/>
    <w:rsid w:val="24B14424"/>
    <w:rsid w:val="24B9717A"/>
    <w:rsid w:val="24BC036B"/>
    <w:rsid w:val="24C36723"/>
    <w:rsid w:val="24C3687B"/>
    <w:rsid w:val="24C64B1C"/>
    <w:rsid w:val="24C84636"/>
    <w:rsid w:val="24C87ACE"/>
    <w:rsid w:val="24C90335"/>
    <w:rsid w:val="24C9250F"/>
    <w:rsid w:val="24C96E6B"/>
    <w:rsid w:val="24CA19B7"/>
    <w:rsid w:val="24CB39E1"/>
    <w:rsid w:val="24CC1BD3"/>
    <w:rsid w:val="24CE7295"/>
    <w:rsid w:val="24CF26C3"/>
    <w:rsid w:val="24D12734"/>
    <w:rsid w:val="24D42836"/>
    <w:rsid w:val="24D51EC8"/>
    <w:rsid w:val="24DF27E1"/>
    <w:rsid w:val="24EA0ECD"/>
    <w:rsid w:val="24F000BC"/>
    <w:rsid w:val="24F91CA0"/>
    <w:rsid w:val="24FA089C"/>
    <w:rsid w:val="24FA2088"/>
    <w:rsid w:val="24FC4069"/>
    <w:rsid w:val="24FD1013"/>
    <w:rsid w:val="250123F8"/>
    <w:rsid w:val="25014593"/>
    <w:rsid w:val="250309A2"/>
    <w:rsid w:val="25032462"/>
    <w:rsid w:val="25063EE7"/>
    <w:rsid w:val="25065E09"/>
    <w:rsid w:val="2508512A"/>
    <w:rsid w:val="250D7DC7"/>
    <w:rsid w:val="25104604"/>
    <w:rsid w:val="25163D49"/>
    <w:rsid w:val="251649A1"/>
    <w:rsid w:val="25172426"/>
    <w:rsid w:val="251938A9"/>
    <w:rsid w:val="25196F7A"/>
    <w:rsid w:val="251A293E"/>
    <w:rsid w:val="251D3ECD"/>
    <w:rsid w:val="251F61A7"/>
    <w:rsid w:val="251F7670"/>
    <w:rsid w:val="2524245F"/>
    <w:rsid w:val="252611F9"/>
    <w:rsid w:val="25263AAB"/>
    <w:rsid w:val="252E1765"/>
    <w:rsid w:val="252E6D68"/>
    <w:rsid w:val="252F5CBE"/>
    <w:rsid w:val="25302162"/>
    <w:rsid w:val="253B4B50"/>
    <w:rsid w:val="254063AA"/>
    <w:rsid w:val="254660DF"/>
    <w:rsid w:val="25487CC1"/>
    <w:rsid w:val="254942F8"/>
    <w:rsid w:val="254D3591"/>
    <w:rsid w:val="254E0EE0"/>
    <w:rsid w:val="2552732C"/>
    <w:rsid w:val="25537BFE"/>
    <w:rsid w:val="25557332"/>
    <w:rsid w:val="255717D4"/>
    <w:rsid w:val="25585215"/>
    <w:rsid w:val="25593998"/>
    <w:rsid w:val="255A0F8D"/>
    <w:rsid w:val="255B69DE"/>
    <w:rsid w:val="255F221E"/>
    <w:rsid w:val="255F6308"/>
    <w:rsid w:val="25627DE0"/>
    <w:rsid w:val="256409CA"/>
    <w:rsid w:val="2571156A"/>
    <w:rsid w:val="257F4C42"/>
    <w:rsid w:val="2580476C"/>
    <w:rsid w:val="258401AA"/>
    <w:rsid w:val="25851A27"/>
    <w:rsid w:val="2586353D"/>
    <w:rsid w:val="25883BEC"/>
    <w:rsid w:val="25887882"/>
    <w:rsid w:val="258F14BE"/>
    <w:rsid w:val="259011F8"/>
    <w:rsid w:val="25912D53"/>
    <w:rsid w:val="25924268"/>
    <w:rsid w:val="259A75DB"/>
    <w:rsid w:val="259C2163"/>
    <w:rsid w:val="259E3C20"/>
    <w:rsid w:val="259F4BF2"/>
    <w:rsid w:val="25A1307D"/>
    <w:rsid w:val="25AA7E8B"/>
    <w:rsid w:val="25AB6E05"/>
    <w:rsid w:val="25AC59A6"/>
    <w:rsid w:val="25AE65FF"/>
    <w:rsid w:val="25B032A3"/>
    <w:rsid w:val="25B05051"/>
    <w:rsid w:val="25B264BF"/>
    <w:rsid w:val="25B41EBB"/>
    <w:rsid w:val="25B80508"/>
    <w:rsid w:val="25B96792"/>
    <w:rsid w:val="25BC18EC"/>
    <w:rsid w:val="25C013BE"/>
    <w:rsid w:val="25C40C95"/>
    <w:rsid w:val="25C52082"/>
    <w:rsid w:val="25C64874"/>
    <w:rsid w:val="25CC0A5C"/>
    <w:rsid w:val="25CD1194"/>
    <w:rsid w:val="25D00CB9"/>
    <w:rsid w:val="25DB254C"/>
    <w:rsid w:val="25DD0D47"/>
    <w:rsid w:val="25E036C2"/>
    <w:rsid w:val="25E60A73"/>
    <w:rsid w:val="25E80EF3"/>
    <w:rsid w:val="25F61973"/>
    <w:rsid w:val="25F74A67"/>
    <w:rsid w:val="25FF7D86"/>
    <w:rsid w:val="260116B1"/>
    <w:rsid w:val="26027A09"/>
    <w:rsid w:val="260C7301"/>
    <w:rsid w:val="26151358"/>
    <w:rsid w:val="261C76EF"/>
    <w:rsid w:val="261D1952"/>
    <w:rsid w:val="261D2C8F"/>
    <w:rsid w:val="26217EE2"/>
    <w:rsid w:val="2624512F"/>
    <w:rsid w:val="26270BF1"/>
    <w:rsid w:val="262B3123"/>
    <w:rsid w:val="262F59F1"/>
    <w:rsid w:val="2630004E"/>
    <w:rsid w:val="26354DFC"/>
    <w:rsid w:val="26392551"/>
    <w:rsid w:val="26393298"/>
    <w:rsid w:val="263B1E67"/>
    <w:rsid w:val="263C4E8E"/>
    <w:rsid w:val="263E265D"/>
    <w:rsid w:val="263F63D5"/>
    <w:rsid w:val="26420B34"/>
    <w:rsid w:val="2644185E"/>
    <w:rsid w:val="264448F1"/>
    <w:rsid w:val="26444C9D"/>
    <w:rsid w:val="264E742A"/>
    <w:rsid w:val="26510729"/>
    <w:rsid w:val="265477C3"/>
    <w:rsid w:val="2657066E"/>
    <w:rsid w:val="265837C2"/>
    <w:rsid w:val="26585807"/>
    <w:rsid w:val="2659107C"/>
    <w:rsid w:val="26591245"/>
    <w:rsid w:val="265E0226"/>
    <w:rsid w:val="265E38E4"/>
    <w:rsid w:val="26650806"/>
    <w:rsid w:val="2665080F"/>
    <w:rsid w:val="26653B34"/>
    <w:rsid w:val="266627CD"/>
    <w:rsid w:val="266D3134"/>
    <w:rsid w:val="26717C87"/>
    <w:rsid w:val="267A696E"/>
    <w:rsid w:val="267B45D7"/>
    <w:rsid w:val="26816D86"/>
    <w:rsid w:val="268557F6"/>
    <w:rsid w:val="26885D80"/>
    <w:rsid w:val="268A2A8F"/>
    <w:rsid w:val="268A7650"/>
    <w:rsid w:val="26921B60"/>
    <w:rsid w:val="26933E81"/>
    <w:rsid w:val="269632A3"/>
    <w:rsid w:val="269E759F"/>
    <w:rsid w:val="269F29C5"/>
    <w:rsid w:val="269F55F8"/>
    <w:rsid w:val="26A44A67"/>
    <w:rsid w:val="26A76454"/>
    <w:rsid w:val="26AA1470"/>
    <w:rsid w:val="26AF2EC0"/>
    <w:rsid w:val="26B00748"/>
    <w:rsid w:val="26B302B4"/>
    <w:rsid w:val="26B75F6B"/>
    <w:rsid w:val="26C0113F"/>
    <w:rsid w:val="26C20C12"/>
    <w:rsid w:val="26C66A4E"/>
    <w:rsid w:val="26C8461C"/>
    <w:rsid w:val="26CF59AB"/>
    <w:rsid w:val="26D22DA5"/>
    <w:rsid w:val="26D344B4"/>
    <w:rsid w:val="26D42FC1"/>
    <w:rsid w:val="26D4366F"/>
    <w:rsid w:val="26D729ED"/>
    <w:rsid w:val="26D731AF"/>
    <w:rsid w:val="26D80A89"/>
    <w:rsid w:val="26DE193C"/>
    <w:rsid w:val="26E06C14"/>
    <w:rsid w:val="26E20936"/>
    <w:rsid w:val="26E23E65"/>
    <w:rsid w:val="26E9435A"/>
    <w:rsid w:val="26EA2EE2"/>
    <w:rsid w:val="26EA604E"/>
    <w:rsid w:val="26EE4083"/>
    <w:rsid w:val="26EF283A"/>
    <w:rsid w:val="26EF7D71"/>
    <w:rsid w:val="26F00A07"/>
    <w:rsid w:val="26F447CE"/>
    <w:rsid w:val="26F74256"/>
    <w:rsid w:val="26F929A0"/>
    <w:rsid w:val="26F976BD"/>
    <w:rsid w:val="26FB2287"/>
    <w:rsid w:val="27001309"/>
    <w:rsid w:val="270113DA"/>
    <w:rsid w:val="27061364"/>
    <w:rsid w:val="270960B3"/>
    <w:rsid w:val="27124240"/>
    <w:rsid w:val="27134ECD"/>
    <w:rsid w:val="27135254"/>
    <w:rsid w:val="2716077D"/>
    <w:rsid w:val="27174C5C"/>
    <w:rsid w:val="27175366"/>
    <w:rsid w:val="271C2272"/>
    <w:rsid w:val="271E5FEA"/>
    <w:rsid w:val="27214CCB"/>
    <w:rsid w:val="27241B06"/>
    <w:rsid w:val="27257379"/>
    <w:rsid w:val="2728340B"/>
    <w:rsid w:val="27286B20"/>
    <w:rsid w:val="272A4478"/>
    <w:rsid w:val="272C6D60"/>
    <w:rsid w:val="27321583"/>
    <w:rsid w:val="27335F39"/>
    <w:rsid w:val="2738111C"/>
    <w:rsid w:val="273960EC"/>
    <w:rsid w:val="273B4DEE"/>
    <w:rsid w:val="273D1605"/>
    <w:rsid w:val="274A5031"/>
    <w:rsid w:val="274E2D73"/>
    <w:rsid w:val="274F4DDF"/>
    <w:rsid w:val="2753001D"/>
    <w:rsid w:val="27541A0C"/>
    <w:rsid w:val="275D2FB6"/>
    <w:rsid w:val="27601B60"/>
    <w:rsid w:val="2761268E"/>
    <w:rsid w:val="27622F60"/>
    <w:rsid w:val="276335FC"/>
    <w:rsid w:val="277005F2"/>
    <w:rsid w:val="27713266"/>
    <w:rsid w:val="27762691"/>
    <w:rsid w:val="277D6E4D"/>
    <w:rsid w:val="27844A86"/>
    <w:rsid w:val="27870033"/>
    <w:rsid w:val="27872B49"/>
    <w:rsid w:val="278A471E"/>
    <w:rsid w:val="2791341F"/>
    <w:rsid w:val="27914BB6"/>
    <w:rsid w:val="27977181"/>
    <w:rsid w:val="279F1B04"/>
    <w:rsid w:val="27A2388D"/>
    <w:rsid w:val="27A40BE5"/>
    <w:rsid w:val="27A842FD"/>
    <w:rsid w:val="27AA0083"/>
    <w:rsid w:val="27AB0439"/>
    <w:rsid w:val="27AB264B"/>
    <w:rsid w:val="27AC7A9A"/>
    <w:rsid w:val="27AD0FDB"/>
    <w:rsid w:val="27AF76E5"/>
    <w:rsid w:val="27BE00D5"/>
    <w:rsid w:val="27C32315"/>
    <w:rsid w:val="27C41C8B"/>
    <w:rsid w:val="27C5494C"/>
    <w:rsid w:val="27C6662C"/>
    <w:rsid w:val="27CB639B"/>
    <w:rsid w:val="27CF0934"/>
    <w:rsid w:val="27CF7BDD"/>
    <w:rsid w:val="27D52DDE"/>
    <w:rsid w:val="27D53A59"/>
    <w:rsid w:val="27D67706"/>
    <w:rsid w:val="27DC05DA"/>
    <w:rsid w:val="27DD56B6"/>
    <w:rsid w:val="27DF3C4C"/>
    <w:rsid w:val="27E00DBD"/>
    <w:rsid w:val="27E10241"/>
    <w:rsid w:val="27E23674"/>
    <w:rsid w:val="27E50A73"/>
    <w:rsid w:val="27E5752B"/>
    <w:rsid w:val="27E71F60"/>
    <w:rsid w:val="27E87055"/>
    <w:rsid w:val="27E92A9C"/>
    <w:rsid w:val="27E93CA2"/>
    <w:rsid w:val="27EB3ED9"/>
    <w:rsid w:val="27EB4211"/>
    <w:rsid w:val="27EF5E2F"/>
    <w:rsid w:val="27F1216C"/>
    <w:rsid w:val="27F60D15"/>
    <w:rsid w:val="27F642B5"/>
    <w:rsid w:val="27FF302A"/>
    <w:rsid w:val="28021DBF"/>
    <w:rsid w:val="28051823"/>
    <w:rsid w:val="28057E14"/>
    <w:rsid w:val="280813FC"/>
    <w:rsid w:val="280D24E3"/>
    <w:rsid w:val="280E6E3D"/>
    <w:rsid w:val="280E7CCE"/>
    <w:rsid w:val="2810627B"/>
    <w:rsid w:val="2819463F"/>
    <w:rsid w:val="281A61A3"/>
    <w:rsid w:val="28206E68"/>
    <w:rsid w:val="28210207"/>
    <w:rsid w:val="282A17F6"/>
    <w:rsid w:val="282A2411"/>
    <w:rsid w:val="2831455A"/>
    <w:rsid w:val="283D06F2"/>
    <w:rsid w:val="28454359"/>
    <w:rsid w:val="28485A15"/>
    <w:rsid w:val="284D2117"/>
    <w:rsid w:val="28553C8E"/>
    <w:rsid w:val="28577A06"/>
    <w:rsid w:val="285B1CD5"/>
    <w:rsid w:val="285B2691"/>
    <w:rsid w:val="285E3B54"/>
    <w:rsid w:val="285E6B6C"/>
    <w:rsid w:val="28630E76"/>
    <w:rsid w:val="28667F78"/>
    <w:rsid w:val="286955CC"/>
    <w:rsid w:val="286F2FA1"/>
    <w:rsid w:val="28700196"/>
    <w:rsid w:val="28723124"/>
    <w:rsid w:val="28734BA7"/>
    <w:rsid w:val="28746AB4"/>
    <w:rsid w:val="28775053"/>
    <w:rsid w:val="28777DA9"/>
    <w:rsid w:val="287A1946"/>
    <w:rsid w:val="287A36F4"/>
    <w:rsid w:val="287B7B98"/>
    <w:rsid w:val="287C1C05"/>
    <w:rsid w:val="28816292"/>
    <w:rsid w:val="28863D83"/>
    <w:rsid w:val="28877485"/>
    <w:rsid w:val="288A7753"/>
    <w:rsid w:val="288B786E"/>
    <w:rsid w:val="288C20EB"/>
    <w:rsid w:val="288C2A40"/>
    <w:rsid w:val="28940E71"/>
    <w:rsid w:val="28981C2E"/>
    <w:rsid w:val="28997CF1"/>
    <w:rsid w:val="289B3A6A"/>
    <w:rsid w:val="289B75F9"/>
    <w:rsid w:val="289C346E"/>
    <w:rsid w:val="28A15125"/>
    <w:rsid w:val="28A63D46"/>
    <w:rsid w:val="28AA222B"/>
    <w:rsid w:val="28AE439C"/>
    <w:rsid w:val="28AE7DF8"/>
    <w:rsid w:val="28B22E8E"/>
    <w:rsid w:val="28B90D3B"/>
    <w:rsid w:val="28C53AAA"/>
    <w:rsid w:val="28D472A8"/>
    <w:rsid w:val="28D728F5"/>
    <w:rsid w:val="28DB6DA3"/>
    <w:rsid w:val="28DC03E0"/>
    <w:rsid w:val="28E011EF"/>
    <w:rsid w:val="28E56A39"/>
    <w:rsid w:val="28E81043"/>
    <w:rsid w:val="28EA087A"/>
    <w:rsid w:val="28F039B6"/>
    <w:rsid w:val="28F26B74"/>
    <w:rsid w:val="28FE064B"/>
    <w:rsid w:val="29001E4B"/>
    <w:rsid w:val="29067214"/>
    <w:rsid w:val="290804DC"/>
    <w:rsid w:val="29114058"/>
    <w:rsid w:val="291207C6"/>
    <w:rsid w:val="29127DD1"/>
    <w:rsid w:val="291375AF"/>
    <w:rsid w:val="291425A7"/>
    <w:rsid w:val="291912D0"/>
    <w:rsid w:val="291B13E3"/>
    <w:rsid w:val="291E46D6"/>
    <w:rsid w:val="29216FEA"/>
    <w:rsid w:val="29247407"/>
    <w:rsid w:val="29264CF8"/>
    <w:rsid w:val="292C1D2A"/>
    <w:rsid w:val="292D6B49"/>
    <w:rsid w:val="29316B30"/>
    <w:rsid w:val="29331975"/>
    <w:rsid w:val="2933652E"/>
    <w:rsid w:val="293B10D5"/>
    <w:rsid w:val="293C4051"/>
    <w:rsid w:val="293D18A6"/>
    <w:rsid w:val="29460FF7"/>
    <w:rsid w:val="29481638"/>
    <w:rsid w:val="294D73AF"/>
    <w:rsid w:val="295708BD"/>
    <w:rsid w:val="295D729E"/>
    <w:rsid w:val="296014F1"/>
    <w:rsid w:val="29643F95"/>
    <w:rsid w:val="296824FC"/>
    <w:rsid w:val="29697C71"/>
    <w:rsid w:val="296B7687"/>
    <w:rsid w:val="296C2256"/>
    <w:rsid w:val="296F0D7F"/>
    <w:rsid w:val="2970269C"/>
    <w:rsid w:val="29722D78"/>
    <w:rsid w:val="297445E7"/>
    <w:rsid w:val="2977523A"/>
    <w:rsid w:val="29781CE9"/>
    <w:rsid w:val="297A0274"/>
    <w:rsid w:val="297A4B3C"/>
    <w:rsid w:val="298011DE"/>
    <w:rsid w:val="29834AF8"/>
    <w:rsid w:val="298567F4"/>
    <w:rsid w:val="29886A5B"/>
    <w:rsid w:val="298E3BED"/>
    <w:rsid w:val="299111F2"/>
    <w:rsid w:val="29930F11"/>
    <w:rsid w:val="29947E0E"/>
    <w:rsid w:val="2996455E"/>
    <w:rsid w:val="299F5B5D"/>
    <w:rsid w:val="29A1561E"/>
    <w:rsid w:val="29A2145F"/>
    <w:rsid w:val="29A35B5C"/>
    <w:rsid w:val="29AA075D"/>
    <w:rsid w:val="29AB29D6"/>
    <w:rsid w:val="29AC3D81"/>
    <w:rsid w:val="29AD336D"/>
    <w:rsid w:val="29B37DE4"/>
    <w:rsid w:val="29B956C5"/>
    <w:rsid w:val="29BB79BF"/>
    <w:rsid w:val="29BC1CEE"/>
    <w:rsid w:val="29C4645F"/>
    <w:rsid w:val="29CA5988"/>
    <w:rsid w:val="29CF3C2C"/>
    <w:rsid w:val="29D075F3"/>
    <w:rsid w:val="29D62517"/>
    <w:rsid w:val="29D76C58"/>
    <w:rsid w:val="29D839AB"/>
    <w:rsid w:val="29DA08EE"/>
    <w:rsid w:val="29DA269C"/>
    <w:rsid w:val="29DF2214"/>
    <w:rsid w:val="29E150D7"/>
    <w:rsid w:val="29E54609"/>
    <w:rsid w:val="29E82E77"/>
    <w:rsid w:val="29EB7B06"/>
    <w:rsid w:val="29EF0399"/>
    <w:rsid w:val="29F23502"/>
    <w:rsid w:val="29FA4AED"/>
    <w:rsid w:val="29FB0865"/>
    <w:rsid w:val="2A01373F"/>
    <w:rsid w:val="2A0239A1"/>
    <w:rsid w:val="2A02753F"/>
    <w:rsid w:val="2A083801"/>
    <w:rsid w:val="2A0A716D"/>
    <w:rsid w:val="2A0C5F44"/>
    <w:rsid w:val="2A110088"/>
    <w:rsid w:val="2A1100F8"/>
    <w:rsid w:val="2A1D69D6"/>
    <w:rsid w:val="2A224043"/>
    <w:rsid w:val="2A2242D6"/>
    <w:rsid w:val="2A235372"/>
    <w:rsid w:val="2A2677C7"/>
    <w:rsid w:val="2A2D3A48"/>
    <w:rsid w:val="2A2E65D6"/>
    <w:rsid w:val="2A301577"/>
    <w:rsid w:val="2A302350"/>
    <w:rsid w:val="2A323D84"/>
    <w:rsid w:val="2A3D4ED2"/>
    <w:rsid w:val="2A481CFC"/>
    <w:rsid w:val="2A4B786D"/>
    <w:rsid w:val="2A4C2E6E"/>
    <w:rsid w:val="2A4C6954"/>
    <w:rsid w:val="2A4E308A"/>
    <w:rsid w:val="2A534E6A"/>
    <w:rsid w:val="2A55261B"/>
    <w:rsid w:val="2A552B5B"/>
    <w:rsid w:val="2A57691F"/>
    <w:rsid w:val="2A6025AA"/>
    <w:rsid w:val="2A605A20"/>
    <w:rsid w:val="2A6428AE"/>
    <w:rsid w:val="2A686C1D"/>
    <w:rsid w:val="2A6A2CB1"/>
    <w:rsid w:val="2A712242"/>
    <w:rsid w:val="2A720B27"/>
    <w:rsid w:val="2A73785E"/>
    <w:rsid w:val="2A773C44"/>
    <w:rsid w:val="2A7C5C95"/>
    <w:rsid w:val="2A7E13AD"/>
    <w:rsid w:val="2A804402"/>
    <w:rsid w:val="2A807156"/>
    <w:rsid w:val="2A8D069A"/>
    <w:rsid w:val="2A9071FF"/>
    <w:rsid w:val="2A915F4D"/>
    <w:rsid w:val="2A944F41"/>
    <w:rsid w:val="2A947B39"/>
    <w:rsid w:val="2A9E2167"/>
    <w:rsid w:val="2A9E4276"/>
    <w:rsid w:val="2A9E5960"/>
    <w:rsid w:val="2AAB39FE"/>
    <w:rsid w:val="2AAB3F3C"/>
    <w:rsid w:val="2AB078A1"/>
    <w:rsid w:val="2AB457EC"/>
    <w:rsid w:val="2AB86D81"/>
    <w:rsid w:val="2ABA0440"/>
    <w:rsid w:val="2ABB7DAF"/>
    <w:rsid w:val="2AC13ABF"/>
    <w:rsid w:val="2AC32164"/>
    <w:rsid w:val="2AC3280C"/>
    <w:rsid w:val="2AC50581"/>
    <w:rsid w:val="2AC550ED"/>
    <w:rsid w:val="2ACB023A"/>
    <w:rsid w:val="2ACD59E9"/>
    <w:rsid w:val="2AD06826"/>
    <w:rsid w:val="2AD32900"/>
    <w:rsid w:val="2AD43703"/>
    <w:rsid w:val="2AD4533E"/>
    <w:rsid w:val="2AE263E5"/>
    <w:rsid w:val="2AE61105"/>
    <w:rsid w:val="2AE7400C"/>
    <w:rsid w:val="2AEC2D14"/>
    <w:rsid w:val="2AF50495"/>
    <w:rsid w:val="2AFA6E42"/>
    <w:rsid w:val="2AFD7056"/>
    <w:rsid w:val="2AFF5F61"/>
    <w:rsid w:val="2B107F0E"/>
    <w:rsid w:val="2B116C6D"/>
    <w:rsid w:val="2B125E66"/>
    <w:rsid w:val="2B1A4E16"/>
    <w:rsid w:val="2B1D0E91"/>
    <w:rsid w:val="2B1D2A6A"/>
    <w:rsid w:val="2B22254D"/>
    <w:rsid w:val="2B28376B"/>
    <w:rsid w:val="2B2C0E3C"/>
    <w:rsid w:val="2B2D65EC"/>
    <w:rsid w:val="2B2F4B5E"/>
    <w:rsid w:val="2B30238E"/>
    <w:rsid w:val="2B3202B6"/>
    <w:rsid w:val="2B371479"/>
    <w:rsid w:val="2B3733EE"/>
    <w:rsid w:val="2B3C1135"/>
    <w:rsid w:val="2B3D3988"/>
    <w:rsid w:val="2B4104F9"/>
    <w:rsid w:val="2B4A3852"/>
    <w:rsid w:val="2B4B30BA"/>
    <w:rsid w:val="2B4E508A"/>
    <w:rsid w:val="2B5F1C59"/>
    <w:rsid w:val="2B5F42B8"/>
    <w:rsid w:val="2B6206C3"/>
    <w:rsid w:val="2B62658A"/>
    <w:rsid w:val="2B667FC3"/>
    <w:rsid w:val="2B683DD4"/>
    <w:rsid w:val="2B6A5CA2"/>
    <w:rsid w:val="2B6B0FC7"/>
    <w:rsid w:val="2B6B3243"/>
    <w:rsid w:val="2B7263DC"/>
    <w:rsid w:val="2B7370A9"/>
    <w:rsid w:val="2B745C6F"/>
    <w:rsid w:val="2B7A5822"/>
    <w:rsid w:val="2B7D1A65"/>
    <w:rsid w:val="2B8054C5"/>
    <w:rsid w:val="2B82523D"/>
    <w:rsid w:val="2B836BF0"/>
    <w:rsid w:val="2B852ADC"/>
    <w:rsid w:val="2B8A2A44"/>
    <w:rsid w:val="2B8E7BE2"/>
    <w:rsid w:val="2B9A179C"/>
    <w:rsid w:val="2BA04405"/>
    <w:rsid w:val="2BA2368E"/>
    <w:rsid w:val="2BA47CAC"/>
    <w:rsid w:val="2BA54FD8"/>
    <w:rsid w:val="2BA938F4"/>
    <w:rsid w:val="2BB64646"/>
    <w:rsid w:val="2BBA1BDC"/>
    <w:rsid w:val="2BBE1B4A"/>
    <w:rsid w:val="2BC23436"/>
    <w:rsid w:val="2BC474B1"/>
    <w:rsid w:val="2BC76A54"/>
    <w:rsid w:val="2BC76C50"/>
    <w:rsid w:val="2BC9779F"/>
    <w:rsid w:val="2BCA04EF"/>
    <w:rsid w:val="2BCA6741"/>
    <w:rsid w:val="2BCC3CA6"/>
    <w:rsid w:val="2BCF5CB2"/>
    <w:rsid w:val="2BD54A75"/>
    <w:rsid w:val="2BDB3D96"/>
    <w:rsid w:val="2BDD5F87"/>
    <w:rsid w:val="2BDE122B"/>
    <w:rsid w:val="2BE22969"/>
    <w:rsid w:val="2BE3477C"/>
    <w:rsid w:val="2BE504EF"/>
    <w:rsid w:val="2BEB67CA"/>
    <w:rsid w:val="2BEF759B"/>
    <w:rsid w:val="2BF35C97"/>
    <w:rsid w:val="2BF60073"/>
    <w:rsid w:val="2BFC3E4B"/>
    <w:rsid w:val="2C014020"/>
    <w:rsid w:val="2C016920"/>
    <w:rsid w:val="2C0833AF"/>
    <w:rsid w:val="2C0B54C5"/>
    <w:rsid w:val="2C0E44A8"/>
    <w:rsid w:val="2C106A55"/>
    <w:rsid w:val="2C1520B2"/>
    <w:rsid w:val="2C1620E7"/>
    <w:rsid w:val="2C180719"/>
    <w:rsid w:val="2C29787D"/>
    <w:rsid w:val="2C2A71D2"/>
    <w:rsid w:val="2C2B4C00"/>
    <w:rsid w:val="2C31288C"/>
    <w:rsid w:val="2C33770D"/>
    <w:rsid w:val="2C372028"/>
    <w:rsid w:val="2C3E6647"/>
    <w:rsid w:val="2C3F66C5"/>
    <w:rsid w:val="2C4030E4"/>
    <w:rsid w:val="2C42277B"/>
    <w:rsid w:val="2C424A20"/>
    <w:rsid w:val="2C4402A1"/>
    <w:rsid w:val="2C470C5B"/>
    <w:rsid w:val="2C493D7C"/>
    <w:rsid w:val="2C4A7CAC"/>
    <w:rsid w:val="2C5153B5"/>
    <w:rsid w:val="2C52573C"/>
    <w:rsid w:val="2C574E57"/>
    <w:rsid w:val="2C57506B"/>
    <w:rsid w:val="2C575A56"/>
    <w:rsid w:val="2C5E7A88"/>
    <w:rsid w:val="2C5E7AC0"/>
    <w:rsid w:val="2C5F4E1C"/>
    <w:rsid w:val="2C60369A"/>
    <w:rsid w:val="2C6878A8"/>
    <w:rsid w:val="2C762E09"/>
    <w:rsid w:val="2C792640"/>
    <w:rsid w:val="2C7B4AE0"/>
    <w:rsid w:val="2C7F39CF"/>
    <w:rsid w:val="2C8351CA"/>
    <w:rsid w:val="2C863366"/>
    <w:rsid w:val="2C8A4182"/>
    <w:rsid w:val="2C8D7E9A"/>
    <w:rsid w:val="2C960442"/>
    <w:rsid w:val="2C977732"/>
    <w:rsid w:val="2C9D31F2"/>
    <w:rsid w:val="2CA405BD"/>
    <w:rsid w:val="2CA72050"/>
    <w:rsid w:val="2CB36EE2"/>
    <w:rsid w:val="2CB41A56"/>
    <w:rsid w:val="2CB52A9F"/>
    <w:rsid w:val="2CB55FE1"/>
    <w:rsid w:val="2CBC0A1D"/>
    <w:rsid w:val="2CBC42DB"/>
    <w:rsid w:val="2CC87124"/>
    <w:rsid w:val="2CCC51A5"/>
    <w:rsid w:val="2CCE5EFD"/>
    <w:rsid w:val="2CD23EFB"/>
    <w:rsid w:val="2CD36119"/>
    <w:rsid w:val="2CD72EBF"/>
    <w:rsid w:val="2CDD22AB"/>
    <w:rsid w:val="2CE31CAB"/>
    <w:rsid w:val="2CE62168"/>
    <w:rsid w:val="2CE63277"/>
    <w:rsid w:val="2CE67783"/>
    <w:rsid w:val="2CE81574"/>
    <w:rsid w:val="2CED1CE7"/>
    <w:rsid w:val="2CEE2842"/>
    <w:rsid w:val="2CF0507D"/>
    <w:rsid w:val="2CF11814"/>
    <w:rsid w:val="2CF47629"/>
    <w:rsid w:val="2CF7516A"/>
    <w:rsid w:val="2CF90B07"/>
    <w:rsid w:val="2CFC5020"/>
    <w:rsid w:val="2D0007FB"/>
    <w:rsid w:val="2D006061"/>
    <w:rsid w:val="2D053F5D"/>
    <w:rsid w:val="2D0A14EA"/>
    <w:rsid w:val="2D0C2D59"/>
    <w:rsid w:val="2D0F4AA3"/>
    <w:rsid w:val="2D0F7A90"/>
    <w:rsid w:val="2D12039F"/>
    <w:rsid w:val="2D122F01"/>
    <w:rsid w:val="2D1628A5"/>
    <w:rsid w:val="2D21032B"/>
    <w:rsid w:val="2D236B57"/>
    <w:rsid w:val="2D35033E"/>
    <w:rsid w:val="2D3A0A55"/>
    <w:rsid w:val="2D3A407A"/>
    <w:rsid w:val="2D3E2CF0"/>
    <w:rsid w:val="2D40315E"/>
    <w:rsid w:val="2D426D4B"/>
    <w:rsid w:val="2D431B02"/>
    <w:rsid w:val="2D436A42"/>
    <w:rsid w:val="2D4743E0"/>
    <w:rsid w:val="2D4F7DBC"/>
    <w:rsid w:val="2D5A680F"/>
    <w:rsid w:val="2D5B4A9E"/>
    <w:rsid w:val="2D6631DA"/>
    <w:rsid w:val="2D6F75A0"/>
    <w:rsid w:val="2D720D5B"/>
    <w:rsid w:val="2D742E08"/>
    <w:rsid w:val="2D763A3C"/>
    <w:rsid w:val="2D770995"/>
    <w:rsid w:val="2D7975BA"/>
    <w:rsid w:val="2D7B09A4"/>
    <w:rsid w:val="2D7E4E97"/>
    <w:rsid w:val="2D811CE4"/>
    <w:rsid w:val="2D824676"/>
    <w:rsid w:val="2D856BEB"/>
    <w:rsid w:val="2D88534B"/>
    <w:rsid w:val="2D8C0151"/>
    <w:rsid w:val="2D8F19F0"/>
    <w:rsid w:val="2D92755B"/>
    <w:rsid w:val="2D983AFF"/>
    <w:rsid w:val="2D99077F"/>
    <w:rsid w:val="2DA24556"/>
    <w:rsid w:val="2DA269B6"/>
    <w:rsid w:val="2DA27975"/>
    <w:rsid w:val="2DAC0929"/>
    <w:rsid w:val="2DB36718"/>
    <w:rsid w:val="2DB72CF5"/>
    <w:rsid w:val="2DBA47FC"/>
    <w:rsid w:val="2DBC6B71"/>
    <w:rsid w:val="2DBE05AF"/>
    <w:rsid w:val="2DC16930"/>
    <w:rsid w:val="2DC33AC9"/>
    <w:rsid w:val="2DC41F4C"/>
    <w:rsid w:val="2DC50F07"/>
    <w:rsid w:val="2DC65964"/>
    <w:rsid w:val="2DC87FD4"/>
    <w:rsid w:val="2DCA28AD"/>
    <w:rsid w:val="2DCA4807"/>
    <w:rsid w:val="2DCE2518"/>
    <w:rsid w:val="2DD03F3A"/>
    <w:rsid w:val="2DD218DC"/>
    <w:rsid w:val="2DD265FE"/>
    <w:rsid w:val="2DD61A6C"/>
    <w:rsid w:val="2DDE1633"/>
    <w:rsid w:val="2DEC1392"/>
    <w:rsid w:val="2DF1175B"/>
    <w:rsid w:val="2DF24710"/>
    <w:rsid w:val="2DF31F7F"/>
    <w:rsid w:val="2DF8135E"/>
    <w:rsid w:val="2DFA55F1"/>
    <w:rsid w:val="2DFD3D19"/>
    <w:rsid w:val="2DFE1D48"/>
    <w:rsid w:val="2E0917A2"/>
    <w:rsid w:val="2E09445D"/>
    <w:rsid w:val="2E0A2781"/>
    <w:rsid w:val="2E0C6812"/>
    <w:rsid w:val="2E0D090C"/>
    <w:rsid w:val="2E0D487C"/>
    <w:rsid w:val="2E0E599C"/>
    <w:rsid w:val="2E0E7218"/>
    <w:rsid w:val="2E1C34C2"/>
    <w:rsid w:val="2E1D6FFC"/>
    <w:rsid w:val="2E226177"/>
    <w:rsid w:val="2E261323"/>
    <w:rsid w:val="2E2760CC"/>
    <w:rsid w:val="2E291E44"/>
    <w:rsid w:val="2E293350"/>
    <w:rsid w:val="2E2C594D"/>
    <w:rsid w:val="2E2D7683"/>
    <w:rsid w:val="2E3536B4"/>
    <w:rsid w:val="2E386AC1"/>
    <w:rsid w:val="2E40663F"/>
    <w:rsid w:val="2E423A27"/>
    <w:rsid w:val="2E474F53"/>
    <w:rsid w:val="2E490BA4"/>
    <w:rsid w:val="2E4B1E86"/>
    <w:rsid w:val="2E4B7B3A"/>
    <w:rsid w:val="2E4F0FC4"/>
    <w:rsid w:val="2E512C0E"/>
    <w:rsid w:val="2E5179A4"/>
    <w:rsid w:val="2E5266BB"/>
    <w:rsid w:val="2E5429BC"/>
    <w:rsid w:val="2E596837"/>
    <w:rsid w:val="2E5C350E"/>
    <w:rsid w:val="2E61244C"/>
    <w:rsid w:val="2E64152A"/>
    <w:rsid w:val="2E66321B"/>
    <w:rsid w:val="2E690493"/>
    <w:rsid w:val="2E693FEF"/>
    <w:rsid w:val="2E6B420B"/>
    <w:rsid w:val="2E725599"/>
    <w:rsid w:val="2E7313BD"/>
    <w:rsid w:val="2E825D42"/>
    <w:rsid w:val="2E872E34"/>
    <w:rsid w:val="2E8928E3"/>
    <w:rsid w:val="2E8E74AE"/>
    <w:rsid w:val="2E8F7622"/>
    <w:rsid w:val="2E93234D"/>
    <w:rsid w:val="2E935E2F"/>
    <w:rsid w:val="2E947BFA"/>
    <w:rsid w:val="2E974E75"/>
    <w:rsid w:val="2E9D6129"/>
    <w:rsid w:val="2E9E273B"/>
    <w:rsid w:val="2EA16DCA"/>
    <w:rsid w:val="2EA94D58"/>
    <w:rsid w:val="2EAA56F9"/>
    <w:rsid w:val="2EAB170E"/>
    <w:rsid w:val="2EAF0584"/>
    <w:rsid w:val="2EB04D81"/>
    <w:rsid w:val="2EB36697"/>
    <w:rsid w:val="2EBD004C"/>
    <w:rsid w:val="2EC1207D"/>
    <w:rsid w:val="2EC60CFC"/>
    <w:rsid w:val="2EC6162D"/>
    <w:rsid w:val="2EC658E5"/>
    <w:rsid w:val="2EC70704"/>
    <w:rsid w:val="2ED8102D"/>
    <w:rsid w:val="2ED95618"/>
    <w:rsid w:val="2EDE42EC"/>
    <w:rsid w:val="2EDF2503"/>
    <w:rsid w:val="2EE12114"/>
    <w:rsid w:val="2EE43FBD"/>
    <w:rsid w:val="2EE56EFE"/>
    <w:rsid w:val="2EE57B8B"/>
    <w:rsid w:val="2EE8585B"/>
    <w:rsid w:val="2EED5B1F"/>
    <w:rsid w:val="2EEF3BF5"/>
    <w:rsid w:val="2EF60B73"/>
    <w:rsid w:val="2EF64CE3"/>
    <w:rsid w:val="2EF75808"/>
    <w:rsid w:val="2EF77FEA"/>
    <w:rsid w:val="2EF961BE"/>
    <w:rsid w:val="2EFA52CA"/>
    <w:rsid w:val="2F0200EB"/>
    <w:rsid w:val="2F046AC8"/>
    <w:rsid w:val="2F0475FE"/>
    <w:rsid w:val="2F050363"/>
    <w:rsid w:val="2F0D285F"/>
    <w:rsid w:val="2F124CD6"/>
    <w:rsid w:val="2F13147B"/>
    <w:rsid w:val="2F154C10"/>
    <w:rsid w:val="2F155F25"/>
    <w:rsid w:val="2F177EEF"/>
    <w:rsid w:val="2F185E34"/>
    <w:rsid w:val="2F191EB9"/>
    <w:rsid w:val="2F1D6149"/>
    <w:rsid w:val="2F1E7BF9"/>
    <w:rsid w:val="2F211E7B"/>
    <w:rsid w:val="2F252D56"/>
    <w:rsid w:val="2F256067"/>
    <w:rsid w:val="2F2E3C7B"/>
    <w:rsid w:val="2F3268F5"/>
    <w:rsid w:val="2F326F77"/>
    <w:rsid w:val="2F397E93"/>
    <w:rsid w:val="2F437CF0"/>
    <w:rsid w:val="2F475E9A"/>
    <w:rsid w:val="2F52297C"/>
    <w:rsid w:val="2F57653D"/>
    <w:rsid w:val="2F5E3639"/>
    <w:rsid w:val="2F626D88"/>
    <w:rsid w:val="2F6D5D61"/>
    <w:rsid w:val="2F705914"/>
    <w:rsid w:val="2F7112DF"/>
    <w:rsid w:val="2F723A03"/>
    <w:rsid w:val="2F740E9D"/>
    <w:rsid w:val="2F79772F"/>
    <w:rsid w:val="2F817ECC"/>
    <w:rsid w:val="2F8310E0"/>
    <w:rsid w:val="2F866E22"/>
    <w:rsid w:val="2F8932DC"/>
    <w:rsid w:val="2F911A4F"/>
    <w:rsid w:val="2F931905"/>
    <w:rsid w:val="2F94329D"/>
    <w:rsid w:val="2F9C45F7"/>
    <w:rsid w:val="2F9E416C"/>
    <w:rsid w:val="2FA23F3D"/>
    <w:rsid w:val="2FA527B1"/>
    <w:rsid w:val="2FA96682"/>
    <w:rsid w:val="2FB43990"/>
    <w:rsid w:val="2FB6234B"/>
    <w:rsid w:val="2FB7778B"/>
    <w:rsid w:val="2FB837BA"/>
    <w:rsid w:val="2FBA5ADF"/>
    <w:rsid w:val="2FBB4D1E"/>
    <w:rsid w:val="2FBC2844"/>
    <w:rsid w:val="2FC10A4D"/>
    <w:rsid w:val="2FC546AE"/>
    <w:rsid w:val="2FCB41F7"/>
    <w:rsid w:val="2FCD06E2"/>
    <w:rsid w:val="2FD12E13"/>
    <w:rsid w:val="2FD63906"/>
    <w:rsid w:val="2FD9603A"/>
    <w:rsid w:val="2FDF668B"/>
    <w:rsid w:val="2FE03079"/>
    <w:rsid w:val="2FE9188B"/>
    <w:rsid w:val="2FED34EB"/>
    <w:rsid w:val="2FF308E8"/>
    <w:rsid w:val="2FF65D56"/>
    <w:rsid w:val="2FF86128"/>
    <w:rsid w:val="2FF9647A"/>
    <w:rsid w:val="2FFF5E52"/>
    <w:rsid w:val="30036D41"/>
    <w:rsid w:val="30056DFF"/>
    <w:rsid w:val="300B6BE0"/>
    <w:rsid w:val="300F5597"/>
    <w:rsid w:val="30112C2F"/>
    <w:rsid w:val="30124F73"/>
    <w:rsid w:val="301B48B5"/>
    <w:rsid w:val="301C4957"/>
    <w:rsid w:val="301C758C"/>
    <w:rsid w:val="30231C12"/>
    <w:rsid w:val="30266997"/>
    <w:rsid w:val="30294738"/>
    <w:rsid w:val="3029612C"/>
    <w:rsid w:val="302F1343"/>
    <w:rsid w:val="302F3016"/>
    <w:rsid w:val="302F46F8"/>
    <w:rsid w:val="30325BB6"/>
    <w:rsid w:val="3035143D"/>
    <w:rsid w:val="3038636F"/>
    <w:rsid w:val="303D5733"/>
    <w:rsid w:val="30414D4A"/>
    <w:rsid w:val="30440085"/>
    <w:rsid w:val="30465C33"/>
    <w:rsid w:val="304765B2"/>
    <w:rsid w:val="30483335"/>
    <w:rsid w:val="304B1A54"/>
    <w:rsid w:val="304D2506"/>
    <w:rsid w:val="304F6E45"/>
    <w:rsid w:val="30515BD7"/>
    <w:rsid w:val="305359F7"/>
    <w:rsid w:val="30560458"/>
    <w:rsid w:val="305A4537"/>
    <w:rsid w:val="30603C38"/>
    <w:rsid w:val="306233EC"/>
    <w:rsid w:val="30677B4C"/>
    <w:rsid w:val="30693211"/>
    <w:rsid w:val="306D3113"/>
    <w:rsid w:val="30715A0D"/>
    <w:rsid w:val="30727791"/>
    <w:rsid w:val="30795B59"/>
    <w:rsid w:val="30872189"/>
    <w:rsid w:val="308B0BDF"/>
    <w:rsid w:val="308D6171"/>
    <w:rsid w:val="30900AB9"/>
    <w:rsid w:val="30911293"/>
    <w:rsid w:val="30965FD9"/>
    <w:rsid w:val="30997B52"/>
    <w:rsid w:val="309A3764"/>
    <w:rsid w:val="309A5180"/>
    <w:rsid w:val="309A7ADE"/>
    <w:rsid w:val="309E48E0"/>
    <w:rsid w:val="309E657C"/>
    <w:rsid w:val="30A1383D"/>
    <w:rsid w:val="30A50F1A"/>
    <w:rsid w:val="30A74A51"/>
    <w:rsid w:val="30A853C0"/>
    <w:rsid w:val="30AD52FC"/>
    <w:rsid w:val="30B05DF3"/>
    <w:rsid w:val="30B21407"/>
    <w:rsid w:val="30BA4C2F"/>
    <w:rsid w:val="30BB5A9C"/>
    <w:rsid w:val="30BC0D4E"/>
    <w:rsid w:val="30BC7A07"/>
    <w:rsid w:val="30C14E91"/>
    <w:rsid w:val="30C73BF0"/>
    <w:rsid w:val="30CA1736"/>
    <w:rsid w:val="30CB4EAC"/>
    <w:rsid w:val="30CB58CF"/>
    <w:rsid w:val="30CC6AB7"/>
    <w:rsid w:val="30CE152A"/>
    <w:rsid w:val="30D04F5E"/>
    <w:rsid w:val="30D0553B"/>
    <w:rsid w:val="30D1071D"/>
    <w:rsid w:val="30D17023"/>
    <w:rsid w:val="30D43501"/>
    <w:rsid w:val="30D80060"/>
    <w:rsid w:val="30D86441"/>
    <w:rsid w:val="30DD7C4E"/>
    <w:rsid w:val="30DE0690"/>
    <w:rsid w:val="30DE0793"/>
    <w:rsid w:val="30DE07FA"/>
    <w:rsid w:val="30DE0EF8"/>
    <w:rsid w:val="30DF101B"/>
    <w:rsid w:val="30E1080C"/>
    <w:rsid w:val="30E32874"/>
    <w:rsid w:val="30EE4C7F"/>
    <w:rsid w:val="30F17A70"/>
    <w:rsid w:val="30F523AA"/>
    <w:rsid w:val="30F60DB5"/>
    <w:rsid w:val="30F62350"/>
    <w:rsid w:val="30FB40A7"/>
    <w:rsid w:val="30FB63ED"/>
    <w:rsid w:val="30FC46B5"/>
    <w:rsid w:val="30FE1366"/>
    <w:rsid w:val="31061630"/>
    <w:rsid w:val="310821E5"/>
    <w:rsid w:val="310A1C2D"/>
    <w:rsid w:val="310A46FB"/>
    <w:rsid w:val="3112425E"/>
    <w:rsid w:val="31126BC0"/>
    <w:rsid w:val="31182CAA"/>
    <w:rsid w:val="311A39DE"/>
    <w:rsid w:val="311A69F5"/>
    <w:rsid w:val="311C7A3E"/>
    <w:rsid w:val="311D17D0"/>
    <w:rsid w:val="311E5564"/>
    <w:rsid w:val="31205709"/>
    <w:rsid w:val="31206349"/>
    <w:rsid w:val="312D28E9"/>
    <w:rsid w:val="31333ADE"/>
    <w:rsid w:val="313703D4"/>
    <w:rsid w:val="313A34AC"/>
    <w:rsid w:val="313A5EF2"/>
    <w:rsid w:val="313B30A8"/>
    <w:rsid w:val="314542C9"/>
    <w:rsid w:val="314975F2"/>
    <w:rsid w:val="314C6BAB"/>
    <w:rsid w:val="315369B1"/>
    <w:rsid w:val="3156796F"/>
    <w:rsid w:val="315A4A39"/>
    <w:rsid w:val="315B4BA6"/>
    <w:rsid w:val="31625043"/>
    <w:rsid w:val="31662E5A"/>
    <w:rsid w:val="3166740C"/>
    <w:rsid w:val="31671DC3"/>
    <w:rsid w:val="316D4F44"/>
    <w:rsid w:val="31742505"/>
    <w:rsid w:val="317558B3"/>
    <w:rsid w:val="317909ED"/>
    <w:rsid w:val="317C0208"/>
    <w:rsid w:val="318555E4"/>
    <w:rsid w:val="31864B96"/>
    <w:rsid w:val="3187372B"/>
    <w:rsid w:val="31897D10"/>
    <w:rsid w:val="318B5386"/>
    <w:rsid w:val="31921AAF"/>
    <w:rsid w:val="31956352"/>
    <w:rsid w:val="319C46DB"/>
    <w:rsid w:val="31A517E2"/>
    <w:rsid w:val="31A66EBE"/>
    <w:rsid w:val="31A71E36"/>
    <w:rsid w:val="31A74CD3"/>
    <w:rsid w:val="31B21520"/>
    <w:rsid w:val="31B45EC9"/>
    <w:rsid w:val="31B5579D"/>
    <w:rsid w:val="31BC6B2B"/>
    <w:rsid w:val="31BD2FCF"/>
    <w:rsid w:val="31BF293A"/>
    <w:rsid w:val="31C50BD2"/>
    <w:rsid w:val="31CC0B52"/>
    <w:rsid w:val="31CD1EAE"/>
    <w:rsid w:val="31DA6BF5"/>
    <w:rsid w:val="31DB3455"/>
    <w:rsid w:val="31DF50A9"/>
    <w:rsid w:val="31E2104A"/>
    <w:rsid w:val="31E30CB5"/>
    <w:rsid w:val="31E3230A"/>
    <w:rsid w:val="31E340B8"/>
    <w:rsid w:val="31E828C6"/>
    <w:rsid w:val="31EC53EB"/>
    <w:rsid w:val="31F05824"/>
    <w:rsid w:val="31F16507"/>
    <w:rsid w:val="31F2232D"/>
    <w:rsid w:val="31F2247B"/>
    <w:rsid w:val="31F305FD"/>
    <w:rsid w:val="31F51C45"/>
    <w:rsid w:val="31F664E1"/>
    <w:rsid w:val="31F74A6F"/>
    <w:rsid w:val="31F91E5B"/>
    <w:rsid w:val="31FE5396"/>
    <w:rsid w:val="32024E86"/>
    <w:rsid w:val="320716F8"/>
    <w:rsid w:val="32084581"/>
    <w:rsid w:val="320A3D3B"/>
    <w:rsid w:val="320A3D5D"/>
    <w:rsid w:val="320D2D8A"/>
    <w:rsid w:val="320F03C1"/>
    <w:rsid w:val="32180BCC"/>
    <w:rsid w:val="32186458"/>
    <w:rsid w:val="321B1AA4"/>
    <w:rsid w:val="321E6D25"/>
    <w:rsid w:val="32221084"/>
    <w:rsid w:val="322867EB"/>
    <w:rsid w:val="322F554F"/>
    <w:rsid w:val="32335040"/>
    <w:rsid w:val="323E2984"/>
    <w:rsid w:val="324217A5"/>
    <w:rsid w:val="32457741"/>
    <w:rsid w:val="324C167F"/>
    <w:rsid w:val="32557B5F"/>
    <w:rsid w:val="32567BC6"/>
    <w:rsid w:val="325712DE"/>
    <w:rsid w:val="325A5108"/>
    <w:rsid w:val="3268280F"/>
    <w:rsid w:val="326878E4"/>
    <w:rsid w:val="326B1095"/>
    <w:rsid w:val="32752C8C"/>
    <w:rsid w:val="327B6EF5"/>
    <w:rsid w:val="327D59C0"/>
    <w:rsid w:val="3280045B"/>
    <w:rsid w:val="328027D2"/>
    <w:rsid w:val="328B2591"/>
    <w:rsid w:val="328C0BF4"/>
    <w:rsid w:val="328D2B36"/>
    <w:rsid w:val="328E195F"/>
    <w:rsid w:val="328E1C01"/>
    <w:rsid w:val="328E2A2C"/>
    <w:rsid w:val="328F427D"/>
    <w:rsid w:val="328F6ABF"/>
    <w:rsid w:val="329047DC"/>
    <w:rsid w:val="32994A72"/>
    <w:rsid w:val="32A25012"/>
    <w:rsid w:val="32A30E65"/>
    <w:rsid w:val="32A41A99"/>
    <w:rsid w:val="32A44D73"/>
    <w:rsid w:val="32A95302"/>
    <w:rsid w:val="32AB16E3"/>
    <w:rsid w:val="32AF5408"/>
    <w:rsid w:val="32B31CDC"/>
    <w:rsid w:val="32BA7F8F"/>
    <w:rsid w:val="32BD0EC5"/>
    <w:rsid w:val="32BE6760"/>
    <w:rsid w:val="32C1621A"/>
    <w:rsid w:val="32C24615"/>
    <w:rsid w:val="32C30D6A"/>
    <w:rsid w:val="32D47A70"/>
    <w:rsid w:val="32DF2AD1"/>
    <w:rsid w:val="32DF3D23"/>
    <w:rsid w:val="32E20814"/>
    <w:rsid w:val="32E351C5"/>
    <w:rsid w:val="32EA1203"/>
    <w:rsid w:val="32EA4F7A"/>
    <w:rsid w:val="32F30808"/>
    <w:rsid w:val="32F45A53"/>
    <w:rsid w:val="32F617E1"/>
    <w:rsid w:val="32F6443A"/>
    <w:rsid w:val="32F857D6"/>
    <w:rsid w:val="32F87E76"/>
    <w:rsid w:val="32FB3683"/>
    <w:rsid w:val="32FE4043"/>
    <w:rsid w:val="32FF1BE1"/>
    <w:rsid w:val="330030A3"/>
    <w:rsid w:val="330055E1"/>
    <w:rsid w:val="33017717"/>
    <w:rsid w:val="3302637B"/>
    <w:rsid w:val="330374D8"/>
    <w:rsid w:val="33065412"/>
    <w:rsid w:val="33095F7E"/>
    <w:rsid w:val="330C0CDE"/>
    <w:rsid w:val="33122172"/>
    <w:rsid w:val="33163535"/>
    <w:rsid w:val="33174961"/>
    <w:rsid w:val="331B573B"/>
    <w:rsid w:val="33236B54"/>
    <w:rsid w:val="33240E2C"/>
    <w:rsid w:val="33244988"/>
    <w:rsid w:val="332871FC"/>
    <w:rsid w:val="332901F1"/>
    <w:rsid w:val="332A5A6E"/>
    <w:rsid w:val="332C1A8F"/>
    <w:rsid w:val="332F0D60"/>
    <w:rsid w:val="33310A59"/>
    <w:rsid w:val="333142D5"/>
    <w:rsid w:val="33356648"/>
    <w:rsid w:val="333677FA"/>
    <w:rsid w:val="333B1723"/>
    <w:rsid w:val="333C3FAE"/>
    <w:rsid w:val="333E3074"/>
    <w:rsid w:val="333F0B0E"/>
    <w:rsid w:val="334172DD"/>
    <w:rsid w:val="33435756"/>
    <w:rsid w:val="334436E5"/>
    <w:rsid w:val="3344502A"/>
    <w:rsid w:val="33452958"/>
    <w:rsid w:val="33490A9B"/>
    <w:rsid w:val="3349228A"/>
    <w:rsid w:val="334A6221"/>
    <w:rsid w:val="334D6C18"/>
    <w:rsid w:val="335665E6"/>
    <w:rsid w:val="3359409D"/>
    <w:rsid w:val="33615BDC"/>
    <w:rsid w:val="33620C14"/>
    <w:rsid w:val="336318DB"/>
    <w:rsid w:val="33631954"/>
    <w:rsid w:val="336505D0"/>
    <w:rsid w:val="3366712B"/>
    <w:rsid w:val="336C3123"/>
    <w:rsid w:val="33707BCD"/>
    <w:rsid w:val="337817F8"/>
    <w:rsid w:val="337C26B5"/>
    <w:rsid w:val="337C47C4"/>
    <w:rsid w:val="33823918"/>
    <w:rsid w:val="33851E6E"/>
    <w:rsid w:val="338673F1"/>
    <w:rsid w:val="338E2A78"/>
    <w:rsid w:val="33913118"/>
    <w:rsid w:val="33916ED0"/>
    <w:rsid w:val="33917511"/>
    <w:rsid w:val="339249A8"/>
    <w:rsid w:val="33944889"/>
    <w:rsid w:val="339974B4"/>
    <w:rsid w:val="33997518"/>
    <w:rsid w:val="339B00AC"/>
    <w:rsid w:val="33A06705"/>
    <w:rsid w:val="33A109BB"/>
    <w:rsid w:val="33A33279"/>
    <w:rsid w:val="33A36954"/>
    <w:rsid w:val="33A45780"/>
    <w:rsid w:val="33A55781"/>
    <w:rsid w:val="33A8076C"/>
    <w:rsid w:val="33B3264C"/>
    <w:rsid w:val="33B83A55"/>
    <w:rsid w:val="33B91313"/>
    <w:rsid w:val="33BF44FB"/>
    <w:rsid w:val="33C6636F"/>
    <w:rsid w:val="33C74DB4"/>
    <w:rsid w:val="33CF2B46"/>
    <w:rsid w:val="33D0588A"/>
    <w:rsid w:val="33D11859"/>
    <w:rsid w:val="33D14EF1"/>
    <w:rsid w:val="33D27C6A"/>
    <w:rsid w:val="33D90D7A"/>
    <w:rsid w:val="33DA0D21"/>
    <w:rsid w:val="33DE722D"/>
    <w:rsid w:val="33DF21EA"/>
    <w:rsid w:val="33E53E0B"/>
    <w:rsid w:val="33EC720F"/>
    <w:rsid w:val="33EF1437"/>
    <w:rsid w:val="33F125DF"/>
    <w:rsid w:val="33F21E83"/>
    <w:rsid w:val="33F22CD8"/>
    <w:rsid w:val="33F46A50"/>
    <w:rsid w:val="33FD7467"/>
    <w:rsid w:val="340007DE"/>
    <w:rsid w:val="34000D8B"/>
    <w:rsid w:val="34015BA1"/>
    <w:rsid w:val="340321AC"/>
    <w:rsid w:val="340665EA"/>
    <w:rsid w:val="340D18C0"/>
    <w:rsid w:val="340E790C"/>
    <w:rsid w:val="341325CD"/>
    <w:rsid w:val="34170EF0"/>
    <w:rsid w:val="34183F7E"/>
    <w:rsid w:val="34271EC5"/>
    <w:rsid w:val="3429025D"/>
    <w:rsid w:val="3429313E"/>
    <w:rsid w:val="342A2472"/>
    <w:rsid w:val="343155AF"/>
    <w:rsid w:val="343230D5"/>
    <w:rsid w:val="34326B3C"/>
    <w:rsid w:val="343B0BB5"/>
    <w:rsid w:val="343D5197"/>
    <w:rsid w:val="34410EAC"/>
    <w:rsid w:val="344828F8"/>
    <w:rsid w:val="345179FF"/>
    <w:rsid w:val="345435AA"/>
    <w:rsid w:val="34545741"/>
    <w:rsid w:val="34586FDF"/>
    <w:rsid w:val="346468BD"/>
    <w:rsid w:val="34692F9B"/>
    <w:rsid w:val="346B6D66"/>
    <w:rsid w:val="346D7F39"/>
    <w:rsid w:val="346E25BF"/>
    <w:rsid w:val="34721217"/>
    <w:rsid w:val="34734EB6"/>
    <w:rsid w:val="34747C4C"/>
    <w:rsid w:val="34750EE9"/>
    <w:rsid w:val="34784197"/>
    <w:rsid w:val="3479537A"/>
    <w:rsid w:val="3480644D"/>
    <w:rsid w:val="34833930"/>
    <w:rsid w:val="348F2F8D"/>
    <w:rsid w:val="349B3907"/>
    <w:rsid w:val="349F6065"/>
    <w:rsid w:val="34A02734"/>
    <w:rsid w:val="34A22009"/>
    <w:rsid w:val="34A30E01"/>
    <w:rsid w:val="34AC7166"/>
    <w:rsid w:val="34AD4C52"/>
    <w:rsid w:val="34B3673C"/>
    <w:rsid w:val="34B430C5"/>
    <w:rsid w:val="34B53E21"/>
    <w:rsid w:val="34B66335"/>
    <w:rsid w:val="34B8695E"/>
    <w:rsid w:val="34B91DC7"/>
    <w:rsid w:val="34BD5094"/>
    <w:rsid w:val="34BF2E1A"/>
    <w:rsid w:val="34C25939"/>
    <w:rsid w:val="34D87291"/>
    <w:rsid w:val="34DC2A5D"/>
    <w:rsid w:val="34E16FD5"/>
    <w:rsid w:val="34E235B8"/>
    <w:rsid w:val="34E70363"/>
    <w:rsid w:val="34F30AB6"/>
    <w:rsid w:val="34F46C62"/>
    <w:rsid w:val="34F5697F"/>
    <w:rsid w:val="35004C19"/>
    <w:rsid w:val="350848D4"/>
    <w:rsid w:val="350A0231"/>
    <w:rsid w:val="350B0717"/>
    <w:rsid w:val="351034A3"/>
    <w:rsid w:val="35167660"/>
    <w:rsid w:val="351830D0"/>
    <w:rsid w:val="351A2EE6"/>
    <w:rsid w:val="351A7643"/>
    <w:rsid w:val="351B574E"/>
    <w:rsid w:val="351D4A2C"/>
    <w:rsid w:val="351E48FE"/>
    <w:rsid w:val="3524075B"/>
    <w:rsid w:val="35245113"/>
    <w:rsid w:val="352C3F5F"/>
    <w:rsid w:val="352E291A"/>
    <w:rsid w:val="352F7398"/>
    <w:rsid w:val="3532403F"/>
    <w:rsid w:val="35356B0F"/>
    <w:rsid w:val="35425F75"/>
    <w:rsid w:val="354632DC"/>
    <w:rsid w:val="35496928"/>
    <w:rsid w:val="354D11F5"/>
    <w:rsid w:val="354D3C88"/>
    <w:rsid w:val="354E357B"/>
    <w:rsid w:val="354E3846"/>
    <w:rsid w:val="355178C4"/>
    <w:rsid w:val="355A6D87"/>
    <w:rsid w:val="355E3520"/>
    <w:rsid w:val="355F13F5"/>
    <w:rsid w:val="356166FC"/>
    <w:rsid w:val="356226C5"/>
    <w:rsid w:val="35645A23"/>
    <w:rsid w:val="35651874"/>
    <w:rsid w:val="35653EA9"/>
    <w:rsid w:val="35671533"/>
    <w:rsid w:val="35695BA3"/>
    <w:rsid w:val="356E45E1"/>
    <w:rsid w:val="357240D1"/>
    <w:rsid w:val="3575006C"/>
    <w:rsid w:val="357F42D5"/>
    <w:rsid w:val="35841358"/>
    <w:rsid w:val="35850EC9"/>
    <w:rsid w:val="358532E2"/>
    <w:rsid w:val="35866DBC"/>
    <w:rsid w:val="358B1050"/>
    <w:rsid w:val="358D4A67"/>
    <w:rsid w:val="35906305"/>
    <w:rsid w:val="359953B3"/>
    <w:rsid w:val="35A336CF"/>
    <w:rsid w:val="35A80EFE"/>
    <w:rsid w:val="35B53990"/>
    <w:rsid w:val="35B93EFE"/>
    <w:rsid w:val="35BB122E"/>
    <w:rsid w:val="35BE79BB"/>
    <w:rsid w:val="35C07152"/>
    <w:rsid w:val="35C12A75"/>
    <w:rsid w:val="35C62343"/>
    <w:rsid w:val="35C91928"/>
    <w:rsid w:val="35D57DE2"/>
    <w:rsid w:val="35D60958"/>
    <w:rsid w:val="35D72186"/>
    <w:rsid w:val="35DB2F92"/>
    <w:rsid w:val="35DC68CB"/>
    <w:rsid w:val="35E072F3"/>
    <w:rsid w:val="35EE32F2"/>
    <w:rsid w:val="35F52453"/>
    <w:rsid w:val="35F6430E"/>
    <w:rsid w:val="35F66D57"/>
    <w:rsid w:val="36036E68"/>
    <w:rsid w:val="36081400"/>
    <w:rsid w:val="360A0033"/>
    <w:rsid w:val="36105698"/>
    <w:rsid w:val="36150912"/>
    <w:rsid w:val="3616788A"/>
    <w:rsid w:val="361C2CAB"/>
    <w:rsid w:val="361F1AE1"/>
    <w:rsid w:val="36207909"/>
    <w:rsid w:val="36223849"/>
    <w:rsid w:val="36234099"/>
    <w:rsid w:val="36260A17"/>
    <w:rsid w:val="36284656"/>
    <w:rsid w:val="362F1DA9"/>
    <w:rsid w:val="36356EAC"/>
    <w:rsid w:val="363849D0"/>
    <w:rsid w:val="3642190C"/>
    <w:rsid w:val="364556F6"/>
    <w:rsid w:val="364C1316"/>
    <w:rsid w:val="364F4412"/>
    <w:rsid w:val="364F7FEC"/>
    <w:rsid w:val="365D08DD"/>
    <w:rsid w:val="365D1DEE"/>
    <w:rsid w:val="366412DA"/>
    <w:rsid w:val="3668339F"/>
    <w:rsid w:val="366A793A"/>
    <w:rsid w:val="366D6F8D"/>
    <w:rsid w:val="366F0F07"/>
    <w:rsid w:val="366F591E"/>
    <w:rsid w:val="36764DE0"/>
    <w:rsid w:val="367A642B"/>
    <w:rsid w:val="367D1DCA"/>
    <w:rsid w:val="36853887"/>
    <w:rsid w:val="368B2D7D"/>
    <w:rsid w:val="369721FC"/>
    <w:rsid w:val="369924BA"/>
    <w:rsid w:val="369947EC"/>
    <w:rsid w:val="369E0A48"/>
    <w:rsid w:val="369E3231"/>
    <w:rsid w:val="36A02F10"/>
    <w:rsid w:val="36A03562"/>
    <w:rsid w:val="36AB695D"/>
    <w:rsid w:val="36B10880"/>
    <w:rsid w:val="36B66528"/>
    <w:rsid w:val="36B9424F"/>
    <w:rsid w:val="36BA2D5D"/>
    <w:rsid w:val="36C02C1A"/>
    <w:rsid w:val="36C941C4"/>
    <w:rsid w:val="36CE0184"/>
    <w:rsid w:val="36CF2BE2"/>
    <w:rsid w:val="36D1141F"/>
    <w:rsid w:val="36D272D2"/>
    <w:rsid w:val="36D35131"/>
    <w:rsid w:val="36D52B69"/>
    <w:rsid w:val="36D70BCD"/>
    <w:rsid w:val="36D964FF"/>
    <w:rsid w:val="36DE12F2"/>
    <w:rsid w:val="36E22353"/>
    <w:rsid w:val="36F54760"/>
    <w:rsid w:val="36FB1EA4"/>
    <w:rsid w:val="36FD6BE2"/>
    <w:rsid w:val="36FF6853"/>
    <w:rsid w:val="37005482"/>
    <w:rsid w:val="37016BE7"/>
    <w:rsid w:val="370A1881"/>
    <w:rsid w:val="370A334C"/>
    <w:rsid w:val="370E1BD7"/>
    <w:rsid w:val="37106995"/>
    <w:rsid w:val="3711148E"/>
    <w:rsid w:val="3713154B"/>
    <w:rsid w:val="37153776"/>
    <w:rsid w:val="3715740A"/>
    <w:rsid w:val="371E1D43"/>
    <w:rsid w:val="37243142"/>
    <w:rsid w:val="372431A9"/>
    <w:rsid w:val="3733163E"/>
    <w:rsid w:val="37352647"/>
    <w:rsid w:val="373B574E"/>
    <w:rsid w:val="373D000C"/>
    <w:rsid w:val="37407604"/>
    <w:rsid w:val="374730FD"/>
    <w:rsid w:val="37473866"/>
    <w:rsid w:val="374A77A2"/>
    <w:rsid w:val="374A7909"/>
    <w:rsid w:val="374B5A83"/>
    <w:rsid w:val="375407E3"/>
    <w:rsid w:val="375B47F6"/>
    <w:rsid w:val="375D5B78"/>
    <w:rsid w:val="375E4D14"/>
    <w:rsid w:val="3765559F"/>
    <w:rsid w:val="37690B17"/>
    <w:rsid w:val="376C65F4"/>
    <w:rsid w:val="376D1BEC"/>
    <w:rsid w:val="376D2DA2"/>
    <w:rsid w:val="376D59EB"/>
    <w:rsid w:val="376E08C8"/>
    <w:rsid w:val="376F0D70"/>
    <w:rsid w:val="3772685D"/>
    <w:rsid w:val="37755CB2"/>
    <w:rsid w:val="377759CE"/>
    <w:rsid w:val="37777432"/>
    <w:rsid w:val="377B4227"/>
    <w:rsid w:val="377C1237"/>
    <w:rsid w:val="377D5DEC"/>
    <w:rsid w:val="37850545"/>
    <w:rsid w:val="37863126"/>
    <w:rsid w:val="37871CD1"/>
    <w:rsid w:val="378B3228"/>
    <w:rsid w:val="378C5846"/>
    <w:rsid w:val="37926CEB"/>
    <w:rsid w:val="37954057"/>
    <w:rsid w:val="37980529"/>
    <w:rsid w:val="37996825"/>
    <w:rsid w:val="379A0FF4"/>
    <w:rsid w:val="379E0A05"/>
    <w:rsid w:val="37AA3479"/>
    <w:rsid w:val="37AE4673"/>
    <w:rsid w:val="37B451AB"/>
    <w:rsid w:val="37BF240D"/>
    <w:rsid w:val="37C45B0F"/>
    <w:rsid w:val="37C70B1D"/>
    <w:rsid w:val="37D45FCF"/>
    <w:rsid w:val="37D8717C"/>
    <w:rsid w:val="37DB4DCE"/>
    <w:rsid w:val="37DC7F27"/>
    <w:rsid w:val="37DE5A4E"/>
    <w:rsid w:val="37E339B8"/>
    <w:rsid w:val="37E55F28"/>
    <w:rsid w:val="37E60A97"/>
    <w:rsid w:val="37E72D7B"/>
    <w:rsid w:val="37E87D00"/>
    <w:rsid w:val="37EB72B3"/>
    <w:rsid w:val="37EC5842"/>
    <w:rsid w:val="37F637EC"/>
    <w:rsid w:val="37F67BB6"/>
    <w:rsid w:val="37F830A1"/>
    <w:rsid w:val="37FC7705"/>
    <w:rsid w:val="37FF3E14"/>
    <w:rsid w:val="38015C7F"/>
    <w:rsid w:val="38066D52"/>
    <w:rsid w:val="38141101"/>
    <w:rsid w:val="3814146F"/>
    <w:rsid w:val="3815158D"/>
    <w:rsid w:val="381901AA"/>
    <w:rsid w:val="381978DC"/>
    <w:rsid w:val="381A5848"/>
    <w:rsid w:val="381B24B1"/>
    <w:rsid w:val="381D263A"/>
    <w:rsid w:val="381E38D4"/>
    <w:rsid w:val="38224FD3"/>
    <w:rsid w:val="3823626A"/>
    <w:rsid w:val="38283227"/>
    <w:rsid w:val="382855F5"/>
    <w:rsid w:val="382B0567"/>
    <w:rsid w:val="382F50A6"/>
    <w:rsid w:val="38337B1F"/>
    <w:rsid w:val="383A3E34"/>
    <w:rsid w:val="38415760"/>
    <w:rsid w:val="384228C0"/>
    <w:rsid w:val="38454CBB"/>
    <w:rsid w:val="384611AE"/>
    <w:rsid w:val="384A6C3F"/>
    <w:rsid w:val="384E4897"/>
    <w:rsid w:val="384E5B7F"/>
    <w:rsid w:val="385019A8"/>
    <w:rsid w:val="38543F62"/>
    <w:rsid w:val="38575800"/>
    <w:rsid w:val="385C2E16"/>
    <w:rsid w:val="3868603F"/>
    <w:rsid w:val="386F128C"/>
    <w:rsid w:val="3870102E"/>
    <w:rsid w:val="3870697D"/>
    <w:rsid w:val="38721E18"/>
    <w:rsid w:val="3873111E"/>
    <w:rsid w:val="38765C86"/>
    <w:rsid w:val="38775A95"/>
    <w:rsid w:val="38813D5B"/>
    <w:rsid w:val="3886548B"/>
    <w:rsid w:val="38934D6E"/>
    <w:rsid w:val="38971412"/>
    <w:rsid w:val="389E40F0"/>
    <w:rsid w:val="38A20D43"/>
    <w:rsid w:val="38AA1D2B"/>
    <w:rsid w:val="38AF0624"/>
    <w:rsid w:val="38B30C88"/>
    <w:rsid w:val="38B677B4"/>
    <w:rsid w:val="38BD1B07"/>
    <w:rsid w:val="38BD38B5"/>
    <w:rsid w:val="38BD50FA"/>
    <w:rsid w:val="38C10D68"/>
    <w:rsid w:val="38D71EED"/>
    <w:rsid w:val="38DB50A8"/>
    <w:rsid w:val="38DC0E34"/>
    <w:rsid w:val="38DC2CCE"/>
    <w:rsid w:val="38DE55D9"/>
    <w:rsid w:val="38E943C8"/>
    <w:rsid w:val="38EF1E71"/>
    <w:rsid w:val="38F34446"/>
    <w:rsid w:val="38F54C19"/>
    <w:rsid w:val="38F8669B"/>
    <w:rsid w:val="38FE43FA"/>
    <w:rsid w:val="38FE4DCF"/>
    <w:rsid w:val="38FF0AED"/>
    <w:rsid w:val="39041461"/>
    <w:rsid w:val="390B74E2"/>
    <w:rsid w:val="39112EB7"/>
    <w:rsid w:val="39121148"/>
    <w:rsid w:val="391D5F11"/>
    <w:rsid w:val="391E1F9A"/>
    <w:rsid w:val="391F3772"/>
    <w:rsid w:val="391F3DDF"/>
    <w:rsid w:val="39226967"/>
    <w:rsid w:val="39252B2E"/>
    <w:rsid w:val="39304406"/>
    <w:rsid w:val="39387435"/>
    <w:rsid w:val="39494261"/>
    <w:rsid w:val="394F5C10"/>
    <w:rsid w:val="39511CC3"/>
    <w:rsid w:val="395316D0"/>
    <w:rsid w:val="39557F91"/>
    <w:rsid w:val="395675ED"/>
    <w:rsid w:val="39570C14"/>
    <w:rsid w:val="39572048"/>
    <w:rsid w:val="3957247C"/>
    <w:rsid w:val="39587616"/>
    <w:rsid w:val="395D0BF4"/>
    <w:rsid w:val="396106E4"/>
    <w:rsid w:val="39620D22"/>
    <w:rsid w:val="3962445C"/>
    <w:rsid w:val="3962685A"/>
    <w:rsid w:val="396316A3"/>
    <w:rsid w:val="39642E69"/>
    <w:rsid w:val="39644630"/>
    <w:rsid w:val="3967048A"/>
    <w:rsid w:val="39693A3D"/>
    <w:rsid w:val="397273BD"/>
    <w:rsid w:val="39731483"/>
    <w:rsid w:val="397831BF"/>
    <w:rsid w:val="398268AC"/>
    <w:rsid w:val="398330C3"/>
    <w:rsid w:val="39867CE3"/>
    <w:rsid w:val="39882115"/>
    <w:rsid w:val="398B08FC"/>
    <w:rsid w:val="398B1F67"/>
    <w:rsid w:val="39904B26"/>
    <w:rsid w:val="39930ABF"/>
    <w:rsid w:val="3994642F"/>
    <w:rsid w:val="39991D61"/>
    <w:rsid w:val="399A694D"/>
    <w:rsid w:val="399B0A74"/>
    <w:rsid w:val="399B6732"/>
    <w:rsid w:val="39A4531E"/>
    <w:rsid w:val="39A54028"/>
    <w:rsid w:val="39A66AEF"/>
    <w:rsid w:val="39A83DEF"/>
    <w:rsid w:val="39AA4FC5"/>
    <w:rsid w:val="39AC16A8"/>
    <w:rsid w:val="39AF335D"/>
    <w:rsid w:val="39B019B3"/>
    <w:rsid w:val="39B4658F"/>
    <w:rsid w:val="39B50E87"/>
    <w:rsid w:val="39BA4298"/>
    <w:rsid w:val="39BB0A68"/>
    <w:rsid w:val="39BD3BC3"/>
    <w:rsid w:val="39C20753"/>
    <w:rsid w:val="39C36698"/>
    <w:rsid w:val="39C63235"/>
    <w:rsid w:val="39C90037"/>
    <w:rsid w:val="39CA1C31"/>
    <w:rsid w:val="39CA1FD6"/>
    <w:rsid w:val="39CE1971"/>
    <w:rsid w:val="39CF1384"/>
    <w:rsid w:val="39D72837"/>
    <w:rsid w:val="39DA3062"/>
    <w:rsid w:val="39DB5F2C"/>
    <w:rsid w:val="39DD43D9"/>
    <w:rsid w:val="39E0677F"/>
    <w:rsid w:val="39E53719"/>
    <w:rsid w:val="39E57E99"/>
    <w:rsid w:val="39E72F63"/>
    <w:rsid w:val="39ED3DB0"/>
    <w:rsid w:val="39ED58C6"/>
    <w:rsid w:val="39F0242A"/>
    <w:rsid w:val="39FD6CA1"/>
    <w:rsid w:val="39FF0BE3"/>
    <w:rsid w:val="3A0112AF"/>
    <w:rsid w:val="3A024424"/>
    <w:rsid w:val="3A064DE8"/>
    <w:rsid w:val="3A107CFD"/>
    <w:rsid w:val="3A1230ED"/>
    <w:rsid w:val="3A127C30"/>
    <w:rsid w:val="3A177871"/>
    <w:rsid w:val="3A192D6D"/>
    <w:rsid w:val="3A1965A5"/>
    <w:rsid w:val="3A2B6F44"/>
    <w:rsid w:val="3A30455A"/>
    <w:rsid w:val="3A320D1F"/>
    <w:rsid w:val="3A323E2F"/>
    <w:rsid w:val="3A350099"/>
    <w:rsid w:val="3A36034B"/>
    <w:rsid w:val="3A367085"/>
    <w:rsid w:val="3A3A2CE3"/>
    <w:rsid w:val="3A3A6105"/>
    <w:rsid w:val="3A3C7886"/>
    <w:rsid w:val="3A4678DA"/>
    <w:rsid w:val="3A4751F8"/>
    <w:rsid w:val="3A47779C"/>
    <w:rsid w:val="3A494B9D"/>
    <w:rsid w:val="3A4E16E6"/>
    <w:rsid w:val="3A4F533A"/>
    <w:rsid w:val="3A512D5B"/>
    <w:rsid w:val="3A527F46"/>
    <w:rsid w:val="3A555D6F"/>
    <w:rsid w:val="3A555F83"/>
    <w:rsid w:val="3A577D39"/>
    <w:rsid w:val="3A591228"/>
    <w:rsid w:val="3A5913BB"/>
    <w:rsid w:val="3A59760D"/>
    <w:rsid w:val="3A5C3144"/>
    <w:rsid w:val="3A630B5F"/>
    <w:rsid w:val="3A684C76"/>
    <w:rsid w:val="3A6A7662"/>
    <w:rsid w:val="3A6C2606"/>
    <w:rsid w:val="3A704957"/>
    <w:rsid w:val="3A7110B0"/>
    <w:rsid w:val="3A724923"/>
    <w:rsid w:val="3A762F75"/>
    <w:rsid w:val="3A7D3C17"/>
    <w:rsid w:val="3A852455"/>
    <w:rsid w:val="3A897795"/>
    <w:rsid w:val="3A912123"/>
    <w:rsid w:val="3A943639"/>
    <w:rsid w:val="3A9C51CC"/>
    <w:rsid w:val="3A9F3DB0"/>
    <w:rsid w:val="3AA35560"/>
    <w:rsid w:val="3AA45362"/>
    <w:rsid w:val="3AA60379"/>
    <w:rsid w:val="3AA63072"/>
    <w:rsid w:val="3AA73F66"/>
    <w:rsid w:val="3AA965B3"/>
    <w:rsid w:val="3AAD25AF"/>
    <w:rsid w:val="3AB774D5"/>
    <w:rsid w:val="3AB80978"/>
    <w:rsid w:val="3AC34EA3"/>
    <w:rsid w:val="3AC4382E"/>
    <w:rsid w:val="3AC9371B"/>
    <w:rsid w:val="3AC9572F"/>
    <w:rsid w:val="3ACA2EDD"/>
    <w:rsid w:val="3AD300B5"/>
    <w:rsid w:val="3AD81DE4"/>
    <w:rsid w:val="3AD969A0"/>
    <w:rsid w:val="3AE77C46"/>
    <w:rsid w:val="3AE853DF"/>
    <w:rsid w:val="3AE95277"/>
    <w:rsid w:val="3AF03E1F"/>
    <w:rsid w:val="3AF53F7B"/>
    <w:rsid w:val="3AF6108D"/>
    <w:rsid w:val="3AF758B4"/>
    <w:rsid w:val="3AF75BC2"/>
    <w:rsid w:val="3AF92883"/>
    <w:rsid w:val="3AFC50EB"/>
    <w:rsid w:val="3B03747B"/>
    <w:rsid w:val="3B0537B4"/>
    <w:rsid w:val="3B097EEB"/>
    <w:rsid w:val="3B0A0908"/>
    <w:rsid w:val="3B0E66CF"/>
    <w:rsid w:val="3B0F23C2"/>
    <w:rsid w:val="3B1146DC"/>
    <w:rsid w:val="3B121569"/>
    <w:rsid w:val="3B141D79"/>
    <w:rsid w:val="3B1C731C"/>
    <w:rsid w:val="3B1E2436"/>
    <w:rsid w:val="3B1E43B3"/>
    <w:rsid w:val="3B220005"/>
    <w:rsid w:val="3B2212C0"/>
    <w:rsid w:val="3B226650"/>
    <w:rsid w:val="3B244755"/>
    <w:rsid w:val="3B245220"/>
    <w:rsid w:val="3B250B17"/>
    <w:rsid w:val="3B252CA0"/>
    <w:rsid w:val="3B2B63E6"/>
    <w:rsid w:val="3B3053C9"/>
    <w:rsid w:val="3B310F1E"/>
    <w:rsid w:val="3B316915"/>
    <w:rsid w:val="3B323EFD"/>
    <w:rsid w:val="3B337998"/>
    <w:rsid w:val="3B373D7F"/>
    <w:rsid w:val="3B3E6803"/>
    <w:rsid w:val="3B442FF7"/>
    <w:rsid w:val="3B446EE2"/>
    <w:rsid w:val="3B472CA9"/>
    <w:rsid w:val="3B490E6A"/>
    <w:rsid w:val="3B4A4354"/>
    <w:rsid w:val="3B566812"/>
    <w:rsid w:val="3B5A40C5"/>
    <w:rsid w:val="3B5D4EDB"/>
    <w:rsid w:val="3B615A7C"/>
    <w:rsid w:val="3B6201DB"/>
    <w:rsid w:val="3B650A98"/>
    <w:rsid w:val="3B6975CB"/>
    <w:rsid w:val="3B6A75F8"/>
    <w:rsid w:val="3B6A7EF1"/>
    <w:rsid w:val="3B7049DA"/>
    <w:rsid w:val="3B707BB7"/>
    <w:rsid w:val="3B707CFC"/>
    <w:rsid w:val="3B711FD8"/>
    <w:rsid w:val="3B7465E2"/>
    <w:rsid w:val="3B78264F"/>
    <w:rsid w:val="3B7E2C5A"/>
    <w:rsid w:val="3B7F2A2D"/>
    <w:rsid w:val="3B7F2EA4"/>
    <w:rsid w:val="3B806E1C"/>
    <w:rsid w:val="3B844B5E"/>
    <w:rsid w:val="3B892174"/>
    <w:rsid w:val="3B8A09CF"/>
    <w:rsid w:val="3B8E3D42"/>
    <w:rsid w:val="3B8F7560"/>
    <w:rsid w:val="3B963843"/>
    <w:rsid w:val="3B9E5AB8"/>
    <w:rsid w:val="3B9F3500"/>
    <w:rsid w:val="3BA1126C"/>
    <w:rsid w:val="3BA13248"/>
    <w:rsid w:val="3BA448B8"/>
    <w:rsid w:val="3BA8183E"/>
    <w:rsid w:val="3BA945C4"/>
    <w:rsid w:val="3BAA6093"/>
    <w:rsid w:val="3BAD3D18"/>
    <w:rsid w:val="3BAD5F67"/>
    <w:rsid w:val="3BB434E1"/>
    <w:rsid w:val="3BB51C71"/>
    <w:rsid w:val="3BB6168A"/>
    <w:rsid w:val="3BB62B28"/>
    <w:rsid w:val="3BB64B3A"/>
    <w:rsid w:val="3BBD7F6E"/>
    <w:rsid w:val="3BC00766"/>
    <w:rsid w:val="3BC87F87"/>
    <w:rsid w:val="3BCC3E0F"/>
    <w:rsid w:val="3BD05655"/>
    <w:rsid w:val="3BD27A39"/>
    <w:rsid w:val="3BD3641F"/>
    <w:rsid w:val="3BD445EE"/>
    <w:rsid w:val="3BD51B9A"/>
    <w:rsid w:val="3BD80A06"/>
    <w:rsid w:val="3BE540CB"/>
    <w:rsid w:val="3BEB0D0D"/>
    <w:rsid w:val="3BEB3428"/>
    <w:rsid w:val="3BEB3453"/>
    <w:rsid w:val="3BEE1D52"/>
    <w:rsid w:val="3BF332A7"/>
    <w:rsid w:val="3BF409B2"/>
    <w:rsid w:val="3BF515B4"/>
    <w:rsid w:val="3BF806C6"/>
    <w:rsid w:val="3BF84C04"/>
    <w:rsid w:val="3BFA396D"/>
    <w:rsid w:val="3BFA5FE0"/>
    <w:rsid w:val="3C085A7A"/>
    <w:rsid w:val="3C104741"/>
    <w:rsid w:val="3C1130FE"/>
    <w:rsid w:val="3C131A08"/>
    <w:rsid w:val="3C1329B7"/>
    <w:rsid w:val="3C1A641C"/>
    <w:rsid w:val="3C1C4D96"/>
    <w:rsid w:val="3C2115B1"/>
    <w:rsid w:val="3C240AB3"/>
    <w:rsid w:val="3C2E799E"/>
    <w:rsid w:val="3C303F9E"/>
    <w:rsid w:val="3C3B50C7"/>
    <w:rsid w:val="3C3E2F5F"/>
    <w:rsid w:val="3C49129B"/>
    <w:rsid w:val="3C4D6646"/>
    <w:rsid w:val="3C4F5130"/>
    <w:rsid w:val="3C5001A4"/>
    <w:rsid w:val="3C526A0A"/>
    <w:rsid w:val="3C5305B0"/>
    <w:rsid w:val="3C5502A8"/>
    <w:rsid w:val="3C557CF1"/>
    <w:rsid w:val="3C582258"/>
    <w:rsid w:val="3C616C4D"/>
    <w:rsid w:val="3C623091"/>
    <w:rsid w:val="3C6504EB"/>
    <w:rsid w:val="3C666012"/>
    <w:rsid w:val="3C687FDC"/>
    <w:rsid w:val="3C6E4EC6"/>
    <w:rsid w:val="3C6F3118"/>
    <w:rsid w:val="3C753074"/>
    <w:rsid w:val="3C7902A7"/>
    <w:rsid w:val="3C79359A"/>
    <w:rsid w:val="3C797AF3"/>
    <w:rsid w:val="3C7A1452"/>
    <w:rsid w:val="3C7B065B"/>
    <w:rsid w:val="3C7B59D7"/>
    <w:rsid w:val="3C7D5CFE"/>
    <w:rsid w:val="3C7E6FBA"/>
    <w:rsid w:val="3C7F7A76"/>
    <w:rsid w:val="3C854596"/>
    <w:rsid w:val="3C8A1D00"/>
    <w:rsid w:val="3C8F6DDE"/>
    <w:rsid w:val="3C8F7316"/>
    <w:rsid w:val="3C9568F7"/>
    <w:rsid w:val="3C976B96"/>
    <w:rsid w:val="3C9B215F"/>
    <w:rsid w:val="3CA01523"/>
    <w:rsid w:val="3CA0162D"/>
    <w:rsid w:val="3CA40903"/>
    <w:rsid w:val="3CA85A6B"/>
    <w:rsid w:val="3CA94ABC"/>
    <w:rsid w:val="3CB42E89"/>
    <w:rsid w:val="3CB477D4"/>
    <w:rsid w:val="3CB603B0"/>
    <w:rsid w:val="3CC23ACA"/>
    <w:rsid w:val="3CC91C33"/>
    <w:rsid w:val="3CCD087D"/>
    <w:rsid w:val="3CCD541C"/>
    <w:rsid w:val="3CD121AE"/>
    <w:rsid w:val="3CD13DD3"/>
    <w:rsid w:val="3CDB07AE"/>
    <w:rsid w:val="3CE9202A"/>
    <w:rsid w:val="3CEF4E68"/>
    <w:rsid w:val="3CF11B0A"/>
    <w:rsid w:val="3CF1446A"/>
    <w:rsid w:val="3CF36472"/>
    <w:rsid w:val="3CF46673"/>
    <w:rsid w:val="3CFC0724"/>
    <w:rsid w:val="3CFD4BC8"/>
    <w:rsid w:val="3D003432"/>
    <w:rsid w:val="3D053A7C"/>
    <w:rsid w:val="3D0801FD"/>
    <w:rsid w:val="3D115F7D"/>
    <w:rsid w:val="3D162C46"/>
    <w:rsid w:val="3D1A1E88"/>
    <w:rsid w:val="3D1D2B74"/>
    <w:rsid w:val="3D1F2EDD"/>
    <w:rsid w:val="3D201A43"/>
    <w:rsid w:val="3D203D73"/>
    <w:rsid w:val="3D225E60"/>
    <w:rsid w:val="3D27193F"/>
    <w:rsid w:val="3D2839CF"/>
    <w:rsid w:val="3D2A3B61"/>
    <w:rsid w:val="3D2C2DB7"/>
    <w:rsid w:val="3D2E7FA8"/>
    <w:rsid w:val="3D30340C"/>
    <w:rsid w:val="3D353F72"/>
    <w:rsid w:val="3D3565E6"/>
    <w:rsid w:val="3D3678F2"/>
    <w:rsid w:val="3D3D4FC4"/>
    <w:rsid w:val="3D3D6B38"/>
    <w:rsid w:val="3D3E2AEA"/>
    <w:rsid w:val="3D3E3D60"/>
    <w:rsid w:val="3D3F2A58"/>
    <w:rsid w:val="3D452D6C"/>
    <w:rsid w:val="3D4C440A"/>
    <w:rsid w:val="3D517ABB"/>
    <w:rsid w:val="3D5642D8"/>
    <w:rsid w:val="3D56591B"/>
    <w:rsid w:val="3D5F2D7F"/>
    <w:rsid w:val="3D622942"/>
    <w:rsid w:val="3D6531A7"/>
    <w:rsid w:val="3D6D4DFD"/>
    <w:rsid w:val="3D6F1D21"/>
    <w:rsid w:val="3D7249AD"/>
    <w:rsid w:val="3D7343BC"/>
    <w:rsid w:val="3D737A96"/>
    <w:rsid w:val="3D763BD9"/>
    <w:rsid w:val="3D772C2E"/>
    <w:rsid w:val="3D7A080E"/>
    <w:rsid w:val="3D7A6218"/>
    <w:rsid w:val="3D7B26DC"/>
    <w:rsid w:val="3D822653"/>
    <w:rsid w:val="3D856183"/>
    <w:rsid w:val="3D8B05CF"/>
    <w:rsid w:val="3D8D2B04"/>
    <w:rsid w:val="3D8F6075"/>
    <w:rsid w:val="3D900B53"/>
    <w:rsid w:val="3D976355"/>
    <w:rsid w:val="3D9D3CB5"/>
    <w:rsid w:val="3DA10A42"/>
    <w:rsid w:val="3DA36A46"/>
    <w:rsid w:val="3DA925E4"/>
    <w:rsid w:val="3DA963FF"/>
    <w:rsid w:val="3DAA538B"/>
    <w:rsid w:val="3DAE4440"/>
    <w:rsid w:val="3DAE7C70"/>
    <w:rsid w:val="3DB23294"/>
    <w:rsid w:val="3DB32D59"/>
    <w:rsid w:val="3DB34142"/>
    <w:rsid w:val="3DB85F0B"/>
    <w:rsid w:val="3DBF16BA"/>
    <w:rsid w:val="3DBF1E7D"/>
    <w:rsid w:val="3DC25237"/>
    <w:rsid w:val="3DC54FBA"/>
    <w:rsid w:val="3DC77DC8"/>
    <w:rsid w:val="3DC96858"/>
    <w:rsid w:val="3DCB57BB"/>
    <w:rsid w:val="3DCC5B9F"/>
    <w:rsid w:val="3DD72EB4"/>
    <w:rsid w:val="3DD8255C"/>
    <w:rsid w:val="3DD87D21"/>
    <w:rsid w:val="3DDB4281"/>
    <w:rsid w:val="3DE17339"/>
    <w:rsid w:val="3DE37DAC"/>
    <w:rsid w:val="3DE50B32"/>
    <w:rsid w:val="3DE721EE"/>
    <w:rsid w:val="3DE86978"/>
    <w:rsid w:val="3DEB4FD0"/>
    <w:rsid w:val="3DEC41A3"/>
    <w:rsid w:val="3DF31B27"/>
    <w:rsid w:val="3DF42400"/>
    <w:rsid w:val="3DF54C7D"/>
    <w:rsid w:val="3DF7571C"/>
    <w:rsid w:val="3DF93EE2"/>
    <w:rsid w:val="3DFA7E22"/>
    <w:rsid w:val="3DFC5CAF"/>
    <w:rsid w:val="3E006A17"/>
    <w:rsid w:val="3E046FBD"/>
    <w:rsid w:val="3E04789D"/>
    <w:rsid w:val="3E05640D"/>
    <w:rsid w:val="3E071FE3"/>
    <w:rsid w:val="3E0778F8"/>
    <w:rsid w:val="3E0815FA"/>
    <w:rsid w:val="3E0840D2"/>
    <w:rsid w:val="3E09134A"/>
    <w:rsid w:val="3E0C2BE9"/>
    <w:rsid w:val="3E1577C8"/>
    <w:rsid w:val="3E183202"/>
    <w:rsid w:val="3E1D27EF"/>
    <w:rsid w:val="3E240C46"/>
    <w:rsid w:val="3E241CE0"/>
    <w:rsid w:val="3E262116"/>
    <w:rsid w:val="3E2B6DB0"/>
    <w:rsid w:val="3E367454"/>
    <w:rsid w:val="3E371C92"/>
    <w:rsid w:val="3E3D3FF3"/>
    <w:rsid w:val="3E3D6DB6"/>
    <w:rsid w:val="3E3E425F"/>
    <w:rsid w:val="3E3E5D5A"/>
    <w:rsid w:val="3E3E7246"/>
    <w:rsid w:val="3E410AE4"/>
    <w:rsid w:val="3E45737B"/>
    <w:rsid w:val="3E4717E2"/>
    <w:rsid w:val="3E497999"/>
    <w:rsid w:val="3E4A1A07"/>
    <w:rsid w:val="3E4D3262"/>
    <w:rsid w:val="3E4D7489"/>
    <w:rsid w:val="3E515D1A"/>
    <w:rsid w:val="3E545E1C"/>
    <w:rsid w:val="3E554EAC"/>
    <w:rsid w:val="3E5636F5"/>
    <w:rsid w:val="3E5C677A"/>
    <w:rsid w:val="3E642A25"/>
    <w:rsid w:val="3E682515"/>
    <w:rsid w:val="3E6B584C"/>
    <w:rsid w:val="3E6D5FAA"/>
    <w:rsid w:val="3E6D63A4"/>
    <w:rsid w:val="3E6F168B"/>
    <w:rsid w:val="3E7277E8"/>
    <w:rsid w:val="3E750589"/>
    <w:rsid w:val="3E7961C8"/>
    <w:rsid w:val="3E7C197B"/>
    <w:rsid w:val="3E7F369E"/>
    <w:rsid w:val="3E810EE1"/>
    <w:rsid w:val="3E854325"/>
    <w:rsid w:val="3E887272"/>
    <w:rsid w:val="3E8B7FB1"/>
    <w:rsid w:val="3E8F3FAA"/>
    <w:rsid w:val="3E930283"/>
    <w:rsid w:val="3E945BE4"/>
    <w:rsid w:val="3E962870"/>
    <w:rsid w:val="3E97005F"/>
    <w:rsid w:val="3E9B3D11"/>
    <w:rsid w:val="3E9C4531"/>
    <w:rsid w:val="3E9E0AFA"/>
    <w:rsid w:val="3EA01CAF"/>
    <w:rsid w:val="3EA575C4"/>
    <w:rsid w:val="3EA6276F"/>
    <w:rsid w:val="3EAC2237"/>
    <w:rsid w:val="3EAC739F"/>
    <w:rsid w:val="3EAE5536"/>
    <w:rsid w:val="3EB528E1"/>
    <w:rsid w:val="3EBE5472"/>
    <w:rsid w:val="3EC04666"/>
    <w:rsid w:val="3ECB6A21"/>
    <w:rsid w:val="3ECB7E95"/>
    <w:rsid w:val="3ECD65C2"/>
    <w:rsid w:val="3ECF3766"/>
    <w:rsid w:val="3ED06615"/>
    <w:rsid w:val="3ED72B21"/>
    <w:rsid w:val="3EDD2A69"/>
    <w:rsid w:val="3EE25259"/>
    <w:rsid w:val="3EE31B9B"/>
    <w:rsid w:val="3EE546AB"/>
    <w:rsid w:val="3EE663B5"/>
    <w:rsid w:val="3EED6576"/>
    <w:rsid w:val="3EEF0402"/>
    <w:rsid w:val="3EF20030"/>
    <w:rsid w:val="3EF24687"/>
    <w:rsid w:val="3EF913BF"/>
    <w:rsid w:val="3F0364CE"/>
    <w:rsid w:val="3F062798"/>
    <w:rsid w:val="3F0A050E"/>
    <w:rsid w:val="3F0B1289"/>
    <w:rsid w:val="3F0C2923"/>
    <w:rsid w:val="3F0C30FF"/>
    <w:rsid w:val="3F0C5F17"/>
    <w:rsid w:val="3F144931"/>
    <w:rsid w:val="3F193301"/>
    <w:rsid w:val="3F1A59A1"/>
    <w:rsid w:val="3F1B484E"/>
    <w:rsid w:val="3F245C55"/>
    <w:rsid w:val="3F283A52"/>
    <w:rsid w:val="3F287A8E"/>
    <w:rsid w:val="3F3E7B79"/>
    <w:rsid w:val="3F4332B6"/>
    <w:rsid w:val="3F44328B"/>
    <w:rsid w:val="3F446992"/>
    <w:rsid w:val="3F4628F3"/>
    <w:rsid w:val="3F472E4B"/>
    <w:rsid w:val="3F485EA2"/>
    <w:rsid w:val="3F4940F4"/>
    <w:rsid w:val="3F496936"/>
    <w:rsid w:val="3F4D5267"/>
    <w:rsid w:val="3F543ADA"/>
    <w:rsid w:val="3F56236D"/>
    <w:rsid w:val="3F5B3E28"/>
    <w:rsid w:val="3F6137A1"/>
    <w:rsid w:val="3F614FE5"/>
    <w:rsid w:val="3F650802"/>
    <w:rsid w:val="3F670E59"/>
    <w:rsid w:val="3F6D6D9B"/>
    <w:rsid w:val="3F722EC1"/>
    <w:rsid w:val="3F762A0F"/>
    <w:rsid w:val="3F7D6038"/>
    <w:rsid w:val="3F824047"/>
    <w:rsid w:val="3F827606"/>
    <w:rsid w:val="3F834EE3"/>
    <w:rsid w:val="3F89533D"/>
    <w:rsid w:val="3F8A0269"/>
    <w:rsid w:val="3F9410E8"/>
    <w:rsid w:val="3F9505EA"/>
    <w:rsid w:val="3F954118"/>
    <w:rsid w:val="3F961F3C"/>
    <w:rsid w:val="3F964792"/>
    <w:rsid w:val="3FA54C83"/>
    <w:rsid w:val="3FA550A3"/>
    <w:rsid w:val="3FA76AFE"/>
    <w:rsid w:val="3FA806EF"/>
    <w:rsid w:val="3FA837AE"/>
    <w:rsid w:val="3FAF7CCF"/>
    <w:rsid w:val="3FB4146E"/>
    <w:rsid w:val="3FB8351C"/>
    <w:rsid w:val="3FBA7E7A"/>
    <w:rsid w:val="3FBB48C6"/>
    <w:rsid w:val="3FC0607A"/>
    <w:rsid w:val="3FC10C55"/>
    <w:rsid w:val="3FC65745"/>
    <w:rsid w:val="3FC84219"/>
    <w:rsid w:val="3FC905B8"/>
    <w:rsid w:val="3FC90A0E"/>
    <w:rsid w:val="3FCE36DE"/>
    <w:rsid w:val="3FD339BE"/>
    <w:rsid w:val="3FD4479F"/>
    <w:rsid w:val="3FD46278"/>
    <w:rsid w:val="3FDD1AF8"/>
    <w:rsid w:val="3FE97E29"/>
    <w:rsid w:val="3FEE6A4A"/>
    <w:rsid w:val="3FEF631E"/>
    <w:rsid w:val="3FF15BB1"/>
    <w:rsid w:val="3FFE3A57"/>
    <w:rsid w:val="3FFF2A05"/>
    <w:rsid w:val="40023792"/>
    <w:rsid w:val="400463C0"/>
    <w:rsid w:val="40055B41"/>
    <w:rsid w:val="4005697D"/>
    <w:rsid w:val="40071FA4"/>
    <w:rsid w:val="400B7282"/>
    <w:rsid w:val="400C6ED0"/>
    <w:rsid w:val="401140E0"/>
    <w:rsid w:val="401339A8"/>
    <w:rsid w:val="401475CB"/>
    <w:rsid w:val="40161AFD"/>
    <w:rsid w:val="40174A94"/>
    <w:rsid w:val="401900D2"/>
    <w:rsid w:val="40257038"/>
    <w:rsid w:val="40277AA5"/>
    <w:rsid w:val="40311531"/>
    <w:rsid w:val="40330C7D"/>
    <w:rsid w:val="4042147E"/>
    <w:rsid w:val="40474258"/>
    <w:rsid w:val="40503608"/>
    <w:rsid w:val="40532980"/>
    <w:rsid w:val="4053524B"/>
    <w:rsid w:val="40572235"/>
    <w:rsid w:val="4057639D"/>
    <w:rsid w:val="40587496"/>
    <w:rsid w:val="405A40DF"/>
    <w:rsid w:val="405C4DB5"/>
    <w:rsid w:val="40636C5D"/>
    <w:rsid w:val="406656F2"/>
    <w:rsid w:val="40666845"/>
    <w:rsid w:val="40672358"/>
    <w:rsid w:val="406829AA"/>
    <w:rsid w:val="406A5548"/>
    <w:rsid w:val="406C1BB3"/>
    <w:rsid w:val="406D3E12"/>
    <w:rsid w:val="406E0C4B"/>
    <w:rsid w:val="40737539"/>
    <w:rsid w:val="40762BF2"/>
    <w:rsid w:val="407716B1"/>
    <w:rsid w:val="407D77AD"/>
    <w:rsid w:val="40804E2F"/>
    <w:rsid w:val="4081166C"/>
    <w:rsid w:val="40830F72"/>
    <w:rsid w:val="408353E4"/>
    <w:rsid w:val="4085273F"/>
    <w:rsid w:val="40866CAC"/>
    <w:rsid w:val="40881B77"/>
    <w:rsid w:val="408E5B37"/>
    <w:rsid w:val="408F1632"/>
    <w:rsid w:val="40904852"/>
    <w:rsid w:val="409D53A7"/>
    <w:rsid w:val="40A07DEE"/>
    <w:rsid w:val="40AB09B9"/>
    <w:rsid w:val="40B136BD"/>
    <w:rsid w:val="40B2262E"/>
    <w:rsid w:val="40B27A77"/>
    <w:rsid w:val="40B634A6"/>
    <w:rsid w:val="40B958E6"/>
    <w:rsid w:val="40BC4452"/>
    <w:rsid w:val="40BF109B"/>
    <w:rsid w:val="40C3789A"/>
    <w:rsid w:val="40C6523B"/>
    <w:rsid w:val="40C726AB"/>
    <w:rsid w:val="40C9061E"/>
    <w:rsid w:val="40C965EB"/>
    <w:rsid w:val="40CB0B39"/>
    <w:rsid w:val="40CB718C"/>
    <w:rsid w:val="40D1575F"/>
    <w:rsid w:val="40D21EC7"/>
    <w:rsid w:val="40D40599"/>
    <w:rsid w:val="40D77F71"/>
    <w:rsid w:val="40D828DA"/>
    <w:rsid w:val="40D83BBD"/>
    <w:rsid w:val="40D93256"/>
    <w:rsid w:val="40DE32F2"/>
    <w:rsid w:val="40DF464B"/>
    <w:rsid w:val="40E10761"/>
    <w:rsid w:val="40E25782"/>
    <w:rsid w:val="40E42F15"/>
    <w:rsid w:val="40E67721"/>
    <w:rsid w:val="40E9585F"/>
    <w:rsid w:val="40EA536D"/>
    <w:rsid w:val="40EF0922"/>
    <w:rsid w:val="40F167F2"/>
    <w:rsid w:val="40F327A9"/>
    <w:rsid w:val="40F40F69"/>
    <w:rsid w:val="40F7192E"/>
    <w:rsid w:val="40F77B80"/>
    <w:rsid w:val="40F837CB"/>
    <w:rsid w:val="40FF282A"/>
    <w:rsid w:val="410033A5"/>
    <w:rsid w:val="41040386"/>
    <w:rsid w:val="410F4ECA"/>
    <w:rsid w:val="41110554"/>
    <w:rsid w:val="41191839"/>
    <w:rsid w:val="41192347"/>
    <w:rsid w:val="411C4443"/>
    <w:rsid w:val="411E368B"/>
    <w:rsid w:val="411E371C"/>
    <w:rsid w:val="411E510D"/>
    <w:rsid w:val="412036B4"/>
    <w:rsid w:val="412148EC"/>
    <w:rsid w:val="41230BD9"/>
    <w:rsid w:val="41262F83"/>
    <w:rsid w:val="41263C00"/>
    <w:rsid w:val="412B6E27"/>
    <w:rsid w:val="412C267E"/>
    <w:rsid w:val="412C3FE3"/>
    <w:rsid w:val="412C7BB0"/>
    <w:rsid w:val="41322466"/>
    <w:rsid w:val="41331F90"/>
    <w:rsid w:val="413503F1"/>
    <w:rsid w:val="413571E4"/>
    <w:rsid w:val="41362CB7"/>
    <w:rsid w:val="41367F97"/>
    <w:rsid w:val="413B5CBF"/>
    <w:rsid w:val="413C37E5"/>
    <w:rsid w:val="413E38DA"/>
    <w:rsid w:val="4141103A"/>
    <w:rsid w:val="414150EA"/>
    <w:rsid w:val="4143258B"/>
    <w:rsid w:val="41451DEF"/>
    <w:rsid w:val="41452699"/>
    <w:rsid w:val="415450E0"/>
    <w:rsid w:val="415508D2"/>
    <w:rsid w:val="415C4886"/>
    <w:rsid w:val="41654BBD"/>
    <w:rsid w:val="41697A7D"/>
    <w:rsid w:val="416A0352"/>
    <w:rsid w:val="416B1338"/>
    <w:rsid w:val="416B4C00"/>
    <w:rsid w:val="417101F4"/>
    <w:rsid w:val="41764ED9"/>
    <w:rsid w:val="417753C0"/>
    <w:rsid w:val="417A16E8"/>
    <w:rsid w:val="417B1F29"/>
    <w:rsid w:val="417B430D"/>
    <w:rsid w:val="417E5822"/>
    <w:rsid w:val="4180784A"/>
    <w:rsid w:val="4182744A"/>
    <w:rsid w:val="41833AD0"/>
    <w:rsid w:val="41850CE8"/>
    <w:rsid w:val="41864379"/>
    <w:rsid w:val="41877134"/>
    <w:rsid w:val="41891FCA"/>
    <w:rsid w:val="418B23A1"/>
    <w:rsid w:val="418C5E88"/>
    <w:rsid w:val="4196657E"/>
    <w:rsid w:val="419A5929"/>
    <w:rsid w:val="419E3418"/>
    <w:rsid w:val="41A2189A"/>
    <w:rsid w:val="41A44B2E"/>
    <w:rsid w:val="41A53C6E"/>
    <w:rsid w:val="41A97BDE"/>
    <w:rsid w:val="41AC406D"/>
    <w:rsid w:val="41BB0BAE"/>
    <w:rsid w:val="41BC4809"/>
    <w:rsid w:val="41BE79DC"/>
    <w:rsid w:val="41BF5FC4"/>
    <w:rsid w:val="41CB5D4C"/>
    <w:rsid w:val="41CD4238"/>
    <w:rsid w:val="41CD74DC"/>
    <w:rsid w:val="41D05C2D"/>
    <w:rsid w:val="41D53004"/>
    <w:rsid w:val="41DD6BA9"/>
    <w:rsid w:val="41EC4E67"/>
    <w:rsid w:val="41EE70DB"/>
    <w:rsid w:val="41F52311"/>
    <w:rsid w:val="41F67E38"/>
    <w:rsid w:val="42010FB6"/>
    <w:rsid w:val="42064FAA"/>
    <w:rsid w:val="42084D9B"/>
    <w:rsid w:val="420C4CF1"/>
    <w:rsid w:val="420C70D6"/>
    <w:rsid w:val="420D2534"/>
    <w:rsid w:val="421631D9"/>
    <w:rsid w:val="42187DAE"/>
    <w:rsid w:val="421D2065"/>
    <w:rsid w:val="421F303E"/>
    <w:rsid w:val="42210A61"/>
    <w:rsid w:val="422150B4"/>
    <w:rsid w:val="42292828"/>
    <w:rsid w:val="42336996"/>
    <w:rsid w:val="424156A2"/>
    <w:rsid w:val="424824FE"/>
    <w:rsid w:val="424D7BEB"/>
    <w:rsid w:val="424F0C45"/>
    <w:rsid w:val="425A30A9"/>
    <w:rsid w:val="425F6ABD"/>
    <w:rsid w:val="426D36EC"/>
    <w:rsid w:val="427174BE"/>
    <w:rsid w:val="427B27A6"/>
    <w:rsid w:val="427E5208"/>
    <w:rsid w:val="42815953"/>
    <w:rsid w:val="428D143C"/>
    <w:rsid w:val="428E1F93"/>
    <w:rsid w:val="42925119"/>
    <w:rsid w:val="429338D8"/>
    <w:rsid w:val="42953BE5"/>
    <w:rsid w:val="429A5019"/>
    <w:rsid w:val="429C55F8"/>
    <w:rsid w:val="429C68F8"/>
    <w:rsid w:val="429F5DD9"/>
    <w:rsid w:val="42A1193C"/>
    <w:rsid w:val="42A25018"/>
    <w:rsid w:val="42A63910"/>
    <w:rsid w:val="42AA4742"/>
    <w:rsid w:val="42AF23F1"/>
    <w:rsid w:val="42B34A32"/>
    <w:rsid w:val="42B45D29"/>
    <w:rsid w:val="42BD1F9A"/>
    <w:rsid w:val="42C23429"/>
    <w:rsid w:val="42C51D22"/>
    <w:rsid w:val="42D00689"/>
    <w:rsid w:val="42D12061"/>
    <w:rsid w:val="42D3521D"/>
    <w:rsid w:val="42D43182"/>
    <w:rsid w:val="42D82D68"/>
    <w:rsid w:val="42DA7688"/>
    <w:rsid w:val="42DC6E37"/>
    <w:rsid w:val="42DE5F31"/>
    <w:rsid w:val="42DF670B"/>
    <w:rsid w:val="42E44134"/>
    <w:rsid w:val="42E472FB"/>
    <w:rsid w:val="42E77532"/>
    <w:rsid w:val="42EA174A"/>
    <w:rsid w:val="42EB2CC6"/>
    <w:rsid w:val="42ED32FA"/>
    <w:rsid w:val="42F038C8"/>
    <w:rsid w:val="42F42EB4"/>
    <w:rsid w:val="42FB66F9"/>
    <w:rsid w:val="430431E7"/>
    <w:rsid w:val="430A303A"/>
    <w:rsid w:val="430F6213"/>
    <w:rsid w:val="43182148"/>
    <w:rsid w:val="43183F07"/>
    <w:rsid w:val="43184AB7"/>
    <w:rsid w:val="431E220B"/>
    <w:rsid w:val="43234D21"/>
    <w:rsid w:val="432C4D74"/>
    <w:rsid w:val="432C6C16"/>
    <w:rsid w:val="432D7889"/>
    <w:rsid w:val="432E2189"/>
    <w:rsid w:val="433030A7"/>
    <w:rsid w:val="43346E69"/>
    <w:rsid w:val="43364990"/>
    <w:rsid w:val="43395FAC"/>
    <w:rsid w:val="433C129E"/>
    <w:rsid w:val="434307E0"/>
    <w:rsid w:val="43447542"/>
    <w:rsid w:val="434762C9"/>
    <w:rsid w:val="434E3D6D"/>
    <w:rsid w:val="434F3081"/>
    <w:rsid w:val="435117C9"/>
    <w:rsid w:val="43516F22"/>
    <w:rsid w:val="4356187D"/>
    <w:rsid w:val="4363365F"/>
    <w:rsid w:val="43670FED"/>
    <w:rsid w:val="43682F8A"/>
    <w:rsid w:val="436A288B"/>
    <w:rsid w:val="436B215F"/>
    <w:rsid w:val="436D486C"/>
    <w:rsid w:val="43774A71"/>
    <w:rsid w:val="437B1086"/>
    <w:rsid w:val="437E6337"/>
    <w:rsid w:val="43812A42"/>
    <w:rsid w:val="43815D42"/>
    <w:rsid w:val="438A0837"/>
    <w:rsid w:val="438A76AD"/>
    <w:rsid w:val="438C2802"/>
    <w:rsid w:val="438D2DA7"/>
    <w:rsid w:val="438F3163"/>
    <w:rsid w:val="439310F4"/>
    <w:rsid w:val="439907DA"/>
    <w:rsid w:val="439A219C"/>
    <w:rsid w:val="439A35B0"/>
    <w:rsid w:val="43A473B1"/>
    <w:rsid w:val="43B137F1"/>
    <w:rsid w:val="43B55E1A"/>
    <w:rsid w:val="43B70073"/>
    <w:rsid w:val="43B752BD"/>
    <w:rsid w:val="43B77CD5"/>
    <w:rsid w:val="43C3375F"/>
    <w:rsid w:val="43C45040"/>
    <w:rsid w:val="43C86526"/>
    <w:rsid w:val="43CE2C49"/>
    <w:rsid w:val="43D15B38"/>
    <w:rsid w:val="43D2029A"/>
    <w:rsid w:val="43D41FB7"/>
    <w:rsid w:val="43D85A47"/>
    <w:rsid w:val="43DE376D"/>
    <w:rsid w:val="43E32606"/>
    <w:rsid w:val="43E85325"/>
    <w:rsid w:val="43EA3A0F"/>
    <w:rsid w:val="43EB71CB"/>
    <w:rsid w:val="43EC3073"/>
    <w:rsid w:val="43ED3409"/>
    <w:rsid w:val="43F01B48"/>
    <w:rsid w:val="43F35215"/>
    <w:rsid w:val="43FF145A"/>
    <w:rsid w:val="440402FE"/>
    <w:rsid w:val="440414D3"/>
    <w:rsid w:val="44050C56"/>
    <w:rsid w:val="44073EA6"/>
    <w:rsid w:val="440B5E1C"/>
    <w:rsid w:val="440D44E0"/>
    <w:rsid w:val="441050AE"/>
    <w:rsid w:val="441076DA"/>
    <w:rsid w:val="44113418"/>
    <w:rsid w:val="441D331E"/>
    <w:rsid w:val="44221742"/>
    <w:rsid w:val="442B0781"/>
    <w:rsid w:val="442B3DE5"/>
    <w:rsid w:val="442D7791"/>
    <w:rsid w:val="443609BF"/>
    <w:rsid w:val="44364549"/>
    <w:rsid w:val="443A602E"/>
    <w:rsid w:val="443C7A5A"/>
    <w:rsid w:val="443E6D39"/>
    <w:rsid w:val="44413DD0"/>
    <w:rsid w:val="444C00E9"/>
    <w:rsid w:val="44513BE9"/>
    <w:rsid w:val="44550E45"/>
    <w:rsid w:val="44564647"/>
    <w:rsid w:val="44565D50"/>
    <w:rsid w:val="446077EA"/>
    <w:rsid w:val="44615A3C"/>
    <w:rsid w:val="446363CE"/>
    <w:rsid w:val="4464712D"/>
    <w:rsid w:val="4467501D"/>
    <w:rsid w:val="446C4F97"/>
    <w:rsid w:val="446E2F4E"/>
    <w:rsid w:val="44740A0A"/>
    <w:rsid w:val="44755071"/>
    <w:rsid w:val="447A7159"/>
    <w:rsid w:val="4482101A"/>
    <w:rsid w:val="44874717"/>
    <w:rsid w:val="4498514E"/>
    <w:rsid w:val="449B7626"/>
    <w:rsid w:val="44A457BE"/>
    <w:rsid w:val="44A55FA4"/>
    <w:rsid w:val="44A678F3"/>
    <w:rsid w:val="44AA53EF"/>
    <w:rsid w:val="44AC2A30"/>
    <w:rsid w:val="44B12ADE"/>
    <w:rsid w:val="44B34104"/>
    <w:rsid w:val="44B4392F"/>
    <w:rsid w:val="44BC70D1"/>
    <w:rsid w:val="44BE3F88"/>
    <w:rsid w:val="44C47D79"/>
    <w:rsid w:val="44C56C7E"/>
    <w:rsid w:val="44CF25EC"/>
    <w:rsid w:val="44D6004C"/>
    <w:rsid w:val="44D716AE"/>
    <w:rsid w:val="44D97CC8"/>
    <w:rsid w:val="44DF1996"/>
    <w:rsid w:val="44DF4466"/>
    <w:rsid w:val="44E222C8"/>
    <w:rsid w:val="44E623E5"/>
    <w:rsid w:val="44EB54E1"/>
    <w:rsid w:val="44EC44AD"/>
    <w:rsid w:val="44EE26BB"/>
    <w:rsid w:val="44EE2DF8"/>
    <w:rsid w:val="44F12976"/>
    <w:rsid w:val="44F50EC9"/>
    <w:rsid w:val="44FA7C3F"/>
    <w:rsid w:val="45014BED"/>
    <w:rsid w:val="45043707"/>
    <w:rsid w:val="45081431"/>
    <w:rsid w:val="451004B5"/>
    <w:rsid w:val="451231DA"/>
    <w:rsid w:val="45196317"/>
    <w:rsid w:val="451E638F"/>
    <w:rsid w:val="451F1453"/>
    <w:rsid w:val="45231DDC"/>
    <w:rsid w:val="45240818"/>
    <w:rsid w:val="452830FD"/>
    <w:rsid w:val="4528655A"/>
    <w:rsid w:val="452B5C72"/>
    <w:rsid w:val="452F78E8"/>
    <w:rsid w:val="453341E6"/>
    <w:rsid w:val="4545710C"/>
    <w:rsid w:val="454757AC"/>
    <w:rsid w:val="454809AA"/>
    <w:rsid w:val="454D1229"/>
    <w:rsid w:val="454E0AA9"/>
    <w:rsid w:val="455E3273"/>
    <w:rsid w:val="45611A6C"/>
    <w:rsid w:val="45633A36"/>
    <w:rsid w:val="45682157"/>
    <w:rsid w:val="456D0411"/>
    <w:rsid w:val="456D7F3F"/>
    <w:rsid w:val="45736584"/>
    <w:rsid w:val="4575462C"/>
    <w:rsid w:val="45762D24"/>
    <w:rsid w:val="45780A10"/>
    <w:rsid w:val="45791032"/>
    <w:rsid w:val="457A49E8"/>
    <w:rsid w:val="457B0A96"/>
    <w:rsid w:val="457D4CB1"/>
    <w:rsid w:val="458225F2"/>
    <w:rsid w:val="45860AC4"/>
    <w:rsid w:val="45873AFD"/>
    <w:rsid w:val="458931A3"/>
    <w:rsid w:val="45895163"/>
    <w:rsid w:val="45896BFF"/>
    <w:rsid w:val="458E2137"/>
    <w:rsid w:val="45936A17"/>
    <w:rsid w:val="45961716"/>
    <w:rsid w:val="45963843"/>
    <w:rsid w:val="459F4D9E"/>
    <w:rsid w:val="45A01A28"/>
    <w:rsid w:val="45A2455E"/>
    <w:rsid w:val="45A56072"/>
    <w:rsid w:val="45AC1C38"/>
    <w:rsid w:val="45B15D5A"/>
    <w:rsid w:val="45B20519"/>
    <w:rsid w:val="45B64BBF"/>
    <w:rsid w:val="45BC49E6"/>
    <w:rsid w:val="45BE0C7D"/>
    <w:rsid w:val="45BE2A1A"/>
    <w:rsid w:val="45BE2CC6"/>
    <w:rsid w:val="45C04B19"/>
    <w:rsid w:val="45C2730E"/>
    <w:rsid w:val="45C436B6"/>
    <w:rsid w:val="45C8527B"/>
    <w:rsid w:val="45CD3E16"/>
    <w:rsid w:val="45D14F79"/>
    <w:rsid w:val="45D41C7B"/>
    <w:rsid w:val="45D508A9"/>
    <w:rsid w:val="45D954B9"/>
    <w:rsid w:val="45DF1467"/>
    <w:rsid w:val="45DF41C7"/>
    <w:rsid w:val="45E00BEC"/>
    <w:rsid w:val="45E22163"/>
    <w:rsid w:val="45E57191"/>
    <w:rsid w:val="45E77104"/>
    <w:rsid w:val="45E829A9"/>
    <w:rsid w:val="45E85CE9"/>
    <w:rsid w:val="45ED0CA9"/>
    <w:rsid w:val="45EF78C1"/>
    <w:rsid w:val="45F440B0"/>
    <w:rsid w:val="45F52FD7"/>
    <w:rsid w:val="45F92AA4"/>
    <w:rsid w:val="45F945A1"/>
    <w:rsid w:val="45FA7333"/>
    <w:rsid w:val="45FD79E7"/>
    <w:rsid w:val="4602662A"/>
    <w:rsid w:val="46027484"/>
    <w:rsid w:val="460400D2"/>
    <w:rsid w:val="4605515C"/>
    <w:rsid w:val="4609638B"/>
    <w:rsid w:val="460C19D8"/>
    <w:rsid w:val="460C36F5"/>
    <w:rsid w:val="46144D30"/>
    <w:rsid w:val="461A7267"/>
    <w:rsid w:val="461B3652"/>
    <w:rsid w:val="46241190"/>
    <w:rsid w:val="46246B5D"/>
    <w:rsid w:val="4628514D"/>
    <w:rsid w:val="4629149B"/>
    <w:rsid w:val="46297E87"/>
    <w:rsid w:val="462E63EC"/>
    <w:rsid w:val="46321FD1"/>
    <w:rsid w:val="463246A7"/>
    <w:rsid w:val="4634573B"/>
    <w:rsid w:val="46386C71"/>
    <w:rsid w:val="463C0739"/>
    <w:rsid w:val="463C28F6"/>
    <w:rsid w:val="46410708"/>
    <w:rsid w:val="46481A27"/>
    <w:rsid w:val="46496788"/>
    <w:rsid w:val="464B6595"/>
    <w:rsid w:val="464E10C7"/>
    <w:rsid w:val="46517D32"/>
    <w:rsid w:val="465515D1"/>
    <w:rsid w:val="46597D36"/>
    <w:rsid w:val="465A7058"/>
    <w:rsid w:val="465B22EB"/>
    <w:rsid w:val="465D5923"/>
    <w:rsid w:val="4663728A"/>
    <w:rsid w:val="466438BC"/>
    <w:rsid w:val="4664607E"/>
    <w:rsid w:val="466A3D31"/>
    <w:rsid w:val="466C5A70"/>
    <w:rsid w:val="46715DE4"/>
    <w:rsid w:val="46780C54"/>
    <w:rsid w:val="467B090B"/>
    <w:rsid w:val="4680478A"/>
    <w:rsid w:val="468330A4"/>
    <w:rsid w:val="468F2BBE"/>
    <w:rsid w:val="468F3D24"/>
    <w:rsid w:val="46916381"/>
    <w:rsid w:val="469305D9"/>
    <w:rsid w:val="469432BB"/>
    <w:rsid w:val="469449DB"/>
    <w:rsid w:val="469579AE"/>
    <w:rsid w:val="469A353E"/>
    <w:rsid w:val="469A5235"/>
    <w:rsid w:val="46A6383F"/>
    <w:rsid w:val="46A71175"/>
    <w:rsid w:val="46A7286E"/>
    <w:rsid w:val="46AA4A90"/>
    <w:rsid w:val="46AB7C9B"/>
    <w:rsid w:val="46AC31BB"/>
    <w:rsid w:val="46AF229A"/>
    <w:rsid w:val="46B27BA8"/>
    <w:rsid w:val="46B97F31"/>
    <w:rsid w:val="46BA3E1B"/>
    <w:rsid w:val="46BC1650"/>
    <w:rsid w:val="46BE62D0"/>
    <w:rsid w:val="46C00F13"/>
    <w:rsid w:val="46C636A1"/>
    <w:rsid w:val="46D254D3"/>
    <w:rsid w:val="46D5626E"/>
    <w:rsid w:val="46D93BAB"/>
    <w:rsid w:val="46DA1C87"/>
    <w:rsid w:val="46DA1D85"/>
    <w:rsid w:val="46DE67C6"/>
    <w:rsid w:val="46DF6445"/>
    <w:rsid w:val="46E141E7"/>
    <w:rsid w:val="46E20A8C"/>
    <w:rsid w:val="46E25E07"/>
    <w:rsid w:val="46E44703"/>
    <w:rsid w:val="46EA1CF1"/>
    <w:rsid w:val="46EA51C7"/>
    <w:rsid w:val="46EE01A9"/>
    <w:rsid w:val="46EE37D3"/>
    <w:rsid w:val="46EF648C"/>
    <w:rsid w:val="46F25071"/>
    <w:rsid w:val="46F57BAA"/>
    <w:rsid w:val="46F81A26"/>
    <w:rsid w:val="47017EC7"/>
    <w:rsid w:val="4703326F"/>
    <w:rsid w:val="47046B53"/>
    <w:rsid w:val="47151C87"/>
    <w:rsid w:val="47154D92"/>
    <w:rsid w:val="47185891"/>
    <w:rsid w:val="471C0D9D"/>
    <w:rsid w:val="471F4D62"/>
    <w:rsid w:val="47262F6D"/>
    <w:rsid w:val="47276E9D"/>
    <w:rsid w:val="472A7B8E"/>
    <w:rsid w:val="47312CD1"/>
    <w:rsid w:val="47313728"/>
    <w:rsid w:val="47385F24"/>
    <w:rsid w:val="473F27F4"/>
    <w:rsid w:val="47400988"/>
    <w:rsid w:val="47462CC7"/>
    <w:rsid w:val="474641C2"/>
    <w:rsid w:val="47490D60"/>
    <w:rsid w:val="474D60BF"/>
    <w:rsid w:val="474F4272"/>
    <w:rsid w:val="47530E78"/>
    <w:rsid w:val="47547C8B"/>
    <w:rsid w:val="475A7F84"/>
    <w:rsid w:val="47637F75"/>
    <w:rsid w:val="47663D15"/>
    <w:rsid w:val="476A048C"/>
    <w:rsid w:val="476B0980"/>
    <w:rsid w:val="477518CE"/>
    <w:rsid w:val="477534BF"/>
    <w:rsid w:val="477C3513"/>
    <w:rsid w:val="47811C1D"/>
    <w:rsid w:val="47817AA9"/>
    <w:rsid w:val="47837FE9"/>
    <w:rsid w:val="478A435A"/>
    <w:rsid w:val="478C28EC"/>
    <w:rsid w:val="47901DF8"/>
    <w:rsid w:val="479954ED"/>
    <w:rsid w:val="479B2A1A"/>
    <w:rsid w:val="47A0027A"/>
    <w:rsid w:val="47A00548"/>
    <w:rsid w:val="47A1713F"/>
    <w:rsid w:val="47A345BE"/>
    <w:rsid w:val="47AA383E"/>
    <w:rsid w:val="47AA5866"/>
    <w:rsid w:val="47AB46E6"/>
    <w:rsid w:val="47AD1557"/>
    <w:rsid w:val="47AE3786"/>
    <w:rsid w:val="47B032B4"/>
    <w:rsid w:val="47B340E0"/>
    <w:rsid w:val="47B6738E"/>
    <w:rsid w:val="47B70069"/>
    <w:rsid w:val="47BB4B0D"/>
    <w:rsid w:val="47C159A5"/>
    <w:rsid w:val="47C405CF"/>
    <w:rsid w:val="47C40C0C"/>
    <w:rsid w:val="47C66920"/>
    <w:rsid w:val="47D44777"/>
    <w:rsid w:val="47E210AF"/>
    <w:rsid w:val="47E620F5"/>
    <w:rsid w:val="47EF15B1"/>
    <w:rsid w:val="47F02BF2"/>
    <w:rsid w:val="47F8698B"/>
    <w:rsid w:val="47FB1D04"/>
    <w:rsid w:val="47FC5A7C"/>
    <w:rsid w:val="47FD2F18"/>
    <w:rsid w:val="47FD6861"/>
    <w:rsid w:val="48000D2C"/>
    <w:rsid w:val="48027536"/>
    <w:rsid w:val="480647F8"/>
    <w:rsid w:val="480908C5"/>
    <w:rsid w:val="480A54CF"/>
    <w:rsid w:val="48101921"/>
    <w:rsid w:val="481202C1"/>
    <w:rsid w:val="481D74E5"/>
    <w:rsid w:val="481E3C44"/>
    <w:rsid w:val="481E4F29"/>
    <w:rsid w:val="48217291"/>
    <w:rsid w:val="482A0030"/>
    <w:rsid w:val="482C0320"/>
    <w:rsid w:val="4833374F"/>
    <w:rsid w:val="48373809"/>
    <w:rsid w:val="483754F4"/>
    <w:rsid w:val="483A5C59"/>
    <w:rsid w:val="483B7C2D"/>
    <w:rsid w:val="483E2C37"/>
    <w:rsid w:val="483F494B"/>
    <w:rsid w:val="484216E1"/>
    <w:rsid w:val="4847602A"/>
    <w:rsid w:val="48517B76"/>
    <w:rsid w:val="485B251F"/>
    <w:rsid w:val="485E70F9"/>
    <w:rsid w:val="486008E2"/>
    <w:rsid w:val="48617710"/>
    <w:rsid w:val="486353A8"/>
    <w:rsid w:val="48640B1B"/>
    <w:rsid w:val="48667DE2"/>
    <w:rsid w:val="486B5EC2"/>
    <w:rsid w:val="48704C59"/>
    <w:rsid w:val="48711144"/>
    <w:rsid w:val="487E495D"/>
    <w:rsid w:val="487E7BC4"/>
    <w:rsid w:val="487F2D0F"/>
    <w:rsid w:val="48802209"/>
    <w:rsid w:val="488025C4"/>
    <w:rsid w:val="488241D3"/>
    <w:rsid w:val="48843B40"/>
    <w:rsid w:val="48877A3B"/>
    <w:rsid w:val="488937B4"/>
    <w:rsid w:val="488D6B56"/>
    <w:rsid w:val="488F7726"/>
    <w:rsid w:val="48921B9F"/>
    <w:rsid w:val="48931824"/>
    <w:rsid w:val="489B7043"/>
    <w:rsid w:val="489E6691"/>
    <w:rsid w:val="48AA285D"/>
    <w:rsid w:val="48AB097B"/>
    <w:rsid w:val="48AE7527"/>
    <w:rsid w:val="48B25951"/>
    <w:rsid w:val="48B30830"/>
    <w:rsid w:val="48B37652"/>
    <w:rsid w:val="48B46C75"/>
    <w:rsid w:val="48B53007"/>
    <w:rsid w:val="48B545A9"/>
    <w:rsid w:val="48BE3F72"/>
    <w:rsid w:val="48BE7347"/>
    <w:rsid w:val="48C34413"/>
    <w:rsid w:val="48C345CB"/>
    <w:rsid w:val="48C5445A"/>
    <w:rsid w:val="48CD1AF9"/>
    <w:rsid w:val="48CD4800"/>
    <w:rsid w:val="48D367DD"/>
    <w:rsid w:val="48D42D7A"/>
    <w:rsid w:val="48D84509"/>
    <w:rsid w:val="48D950E2"/>
    <w:rsid w:val="48DB5FC5"/>
    <w:rsid w:val="48DE6E15"/>
    <w:rsid w:val="48E4110A"/>
    <w:rsid w:val="48E561A4"/>
    <w:rsid w:val="48E7246E"/>
    <w:rsid w:val="48EE7211"/>
    <w:rsid w:val="48F13D40"/>
    <w:rsid w:val="48F350D1"/>
    <w:rsid w:val="48F44226"/>
    <w:rsid w:val="48F525A6"/>
    <w:rsid w:val="48F777FC"/>
    <w:rsid w:val="48FA3FD9"/>
    <w:rsid w:val="49076CCA"/>
    <w:rsid w:val="490E1F0B"/>
    <w:rsid w:val="490E4199"/>
    <w:rsid w:val="49127B82"/>
    <w:rsid w:val="49185F82"/>
    <w:rsid w:val="491A08B0"/>
    <w:rsid w:val="492479BF"/>
    <w:rsid w:val="49255DFC"/>
    <w:rsid w:val="492E435B"/>
    <w:rsid w:val="492F13F5"/>
    <w:rsid w:val="493279A7"/>
    <w:rsid w:val="4935154C"/>
    <w:rsid w:val="49393C36"/>
    <w:rsid w:val="49396B78"/>
    <w:rsid w:val="493B5ECA"/>
    <w:rsid w:val="493C6617"/>
    <w:rsid w:val="49417BEA"/>
    <w:rsid w:val="49420415"/>
    <w:rsid w:val="49423962"/>
    <w:rsid w:val="49444B80"/>
    <w:rsid w:val="49451B8D"/>
    <w:rsid w:val="49492093"/>
    <w:rsid w:val="494B3260"/>
    <w:rsid w:val="494D32AE"/>
    <w:rsid w:val="494F32AE"/>
    <w:rsid w:val="49557B3A"/>
    <w:rsid w:val="49587FAC"/>
    <w:rsid w:val="495D2B24"/>
    <w:rsid w:val="4960311D"/>
    <w:rsid w:val="4962513A"/>
    <w:rsid w:val="49632135"/>
    <w:rsid w:val="49634005"/>
    <w:rsid w:val="4965085A"/>
    <w:rsid w:val="49670A46"/>
    <w:rsid w:val="496718B1"/>
    <w:rsid w:val="496A3BAE"/>
    <w:rsid w:val="496B2EB9"/>
    <w:rsid w:val="496E289C"/>
    <w:rsid w:val="497253B6"/>
    <w:rsid w:val="497C2BB7"/>
    <w:rsid w:val="497D0CC5"/>
    <w:rsid w:val="497D34BD"/>
    <w:rsid w:val="497E00F0"/>
    <w:rsid w:val="497E2BEC"/>
    <w:rsid w:val="49800200"/>
    <w:rsid w:val="4983205C"/>
    <w:rsid w:val="498367BD"/>
    <w:rsid w:val="498625E2"/>
    <w:rsid w:val="498C34CA"/>
    <w:rsid w:val="498E6664"/>
    <w:rsid w:val="49906739"/>
    <w:rsid w:val="49944B7F"/>
    <w:rsid w:val="49977D0B"/>
    <w:rsid w:val="49993BE7"/>
    <w:rsid w:val="49995921"/>
    <w:rsid w:val="499B3AA4"/>
    <w:rsid w:val="499C384F"/>
    <w:rsid w:val="499D36B8"/>
    <w:rsid w:val="49A2124A"/>
    <w:rsid w:val="49A513DB"/>
    <w:rsid w:val="49AA406D"/>
    <w:rsid w:val="49B06B1E"/>
    <w:rsid w:val="49B32E4B"/>
    <w:rsid w:val="49BA2950"/>
    <w:rsid w:val="49BC03A9"/>
    <w:rsid w:val="49BD2922"/>
    <w:rsid w:val="49C837DD"/>
    <w:rsid w:val="49C94C41"/>
    <w:rsid w:val="49D13CB3"/>
    <w:rsid w:val="49D21D76"/>
    <w:rsid w:val="49D24B3B"/>
    <w:rsid w:val="49D631E4"/>
    <w:rsid w:val="49DA5957"/>
    <w:rsid w:val="49DE40A0"/>
    <w:rsid w:val="49E16D7F"/>
    <w:rsid w:val="49E65B2D"/>
    <w:rsid w:val="49EA025B"/>
    <w:rsid w:val="49EA19E9"/>
    <w:rsid w:val="49EC7AF2"/>
    <w:rsid w:val="49EF7AD0"/>
    <w:rsid w:val="49F17862"/>
    <w:rsid w:val="4A057E6B"/>
    <w:rsid w:val="4A084BAC"/>
    <w:rsid w:val="4A0C7239"/>
    <w:rsid w:val="4A0D3F70"/>
    <w:rsid w:val="4A125B6F"/>
    <w:rsid w:val="4A15570C"/>
    <w:rsid w:val="4A24789F"/>
    <w:rsid w:val="4A2F3299"/>
    <w:rsid w:val="4A304E9B"/>
    <w:rsid w:val="4A306792"/>
    <w:rsid w:val="4A331C29"/>
    <w:rsid w:val="4A37055F"/>
    <w:rsid w:val="4A393240"/>
    <w:rsid w:val="4A3A091B"/>
    <w:rsid w:val="4A3D0547"/>
    <w:rsid w:val="4A3E05CE"/>
    <w:rsid w:val="4A3F6F8A"/>
    <w:rsid w:val="4A45195C"/>
    <w:rsid w:val="4A456CE5"/>
    <w:rsid w:val="4A4A6F42"/>
    <w:rsid w:val="4A4B0CD6"/>
    <w:rsid w:val="4A4E1756"/>
    <w:rsid w:val="4A5C2116"/>
    <w:rsid w:val="4A5C5003"/>
    <w:rsid w:val="4A5F10EC"/>
    <w:rsid w:val="4A610602"/>
    <w:rsid w:val="4A6F4794"/>
    <w:rsid w:val="4A706C62"/>
    <w:rsid w:val="4A772729"/>
    <w:rsid w:val="4A7C0352"/>
    <w:rsid w:val="4A830EBB"/>
    <w:rsid w:val="4A866D79"/>
    <w:rsid w:val="4A8B1C82"/>
    <w:rsid w:val="4A8D09FA"/>
    <w:rsid w:val="4A8E1084"/>
    <w:rsid w:val="4A9F2514"/>
    <w:rsid w:val="4AA10333"/>
    <w:rsid w:val="4AA11346"/>
    <w:rsid w:val="4AA40193"/>
    <w:rsid w:val="4AA61B49"/>
    <w:rsid w:val="4AA714A5"/>
    <w:rsid w:val="4AA876F9"/>
    <w:rsid w:val="4AAE1C24"/>
    <w:rsid w:val="4AB03279"/>
    <w:rsid w:val="4AB0359F"/>
    <w:rsid w:val="4AB32F15"/>
    <w:rsid w:val="4AB44A80"/>
    <w:rsid w:val="4AB47DC3"/>
    <w:rsid w:val="4AB72D47"/>
    <w:rsid w:val="4AB851D9"/>
    <w:rsid w:val="4AB9336C"/>
    <w:rsid w:val="4ABB7196"/>
    <w:rsid w:val="4ABD3BF4"/>
    <w:rsid w:val="4AC35C67"/>
    <w:rsid w:val="4AC933AC"/>
    <w:rsid w:val="4ACC3E2B"/>
    <w:rsid w:val="4AD351BA"/>
    <w:rsid w:val="4AD360AF"/>
    <w:rsid w:val="4AE463E6"/>
    <w:rsid w:val="4AE517C0"/>
    <w:rsid w:val="4AE65050"/>
    <w:rsid w:val="4AE66C1F"/>
    <w:rsid w:val="4AE7672F"/>
    <w:rsid w:val="4AF368C0"/>
    <w:rsid w:val="4AF51888"/>
    <w:rsid w:val="4AF9336F"/>
    <w:rsid w:val="4AFB4426"/>
    <w:rsid w:val="4AFF5FAF"/>
    <w:rsid w:val="4B02784D"/>
    <w:rsid w:val="4B0866BA"/>
    <w:rsid w:val="4B105AC6"/>
    <w:rsid w:val="4B1534DA"/>
    <w:rsid w:val="4B190521"/>
    <w:rsid w:val="4B1A55E7"/>
    <w:rsid w:val="4B1A5A13"/>
    <w:rsid w:val="4B1C4185"/>
    <w:rsid w:val="4B1D3871"/>
    <w:rsid w:val="4B20215A"/>
    <w:rsid w:val="4B210446"/>
    <w:rsid w:val="4B223970"/>
    <w:rsid w:val="4B2245E4"/>
    <w:rsid w:val="4B2356EC"/>
    <w:rsid w:val="4B254F7C"/>
    <w:rsid w:val="4B29302C"/>
    <w:rsid w:val="4B2C1853"/>
    <w:rsid w:val="4B2E5B16"/>
    <w:rsid w:val="4B303628"/>
    <w:rsid w:val="4B315A3D"/>
    <w:rsid w:val="4B3245DC"/>
    <w:rsid w:val="4B35496F"/>
    <w:rsid w:val="4B37348C"/>
    <w:rsid w:val="4B3A0A45"/>
    <w:rsid w:val="4B3A3A7D"/>
    <w:rsid w:val="4B3D0885"/>
    <w:rsid w:val="4B3D22A2"/>
    <w:rsid w:val="4B403DEF"/>
    <w:rsid w:val="4B4B1FAE"/>
    <w:rsid w:val="4B5323DA"/>
    <w:rsid w:val="4B575535"/>
    <w:rsid w:val="4B5B376D"/>
    <w:rsid w:val="4B5D4A84"/>
    <w:rsid w:val="4B62209A"/>
    <w:rsid w:val="4B631BE2"/>
    <w:rsid w:val="4B65000B"/>
    <w:rsid w:val="4B652275"/>
    <w:rsid w:val="4B686286"/>
    <w:rsid w:val="4B6B6DB6"/>
    <w:rsid w:val="4B6D2173"/>
    <w:rsid w:val="4B736055"/>
    <w:rsid w:val="4B74216C"/>
    <w:rsid w:val="4B7446A4"/>
    <w:rsid w:val="4B7B2B01"/>
    <w:rsid w:val="4B7F2C4C"/>
    <w:rsid w:val="4B822940"/>
    <w:rsid w:val="4B863FDA"/>
    <w:rsid w:val="4B887BF1"/>
    <w:rsid w:val="4B8A461E"/>
    <w:rsid w:val="4B923FA5"/>
    <w:rsid w:val="4B991F60"/>
    <w:rsid w:val="4B9D3AAD"/>
    <w:rsid w:val="4B9D4CD4"/>
    <w:rsid w:val="4B9F509C"/>
    <w:rsid w:val="4BA17066"/>
    <w:rsid w:val="4BA31226"/>
    <w:rsid w:val="4BAB2A59"/>
    <w:rsid w:val="4BAB333E"/>
    <w:rsid w:val="4BAC0577"/>
    <w:rsid w:val="4BB01057"/>
    <w:rsid w:val="4BC0053D"/>
    <w:rsid w:val="4BC0573E"/>
    <w:rsid w:val="4BC15B0F"/>
    <w:rsid w:val="4BC418C4"/>
    <w:rsid w:val="4BC52D55"/>
    <w:rsid w:val="4BC60382"/>
    <w:rsid w:val="4BC8070F"/>
    <w:rsid w:val="4BCC18E3"/>
    <w:rsid w:val="4BD56D10"/>
    <w:rsid w:val="4BDA4E4D"/>
    <w:rsid w:val="4BDD31FF"/>
    <w:rsid w:val="4BDE2880"/>
    <w:rsid w:val="4BDE3E16"/>
    <w:rsid w:val="4BDE55FE"/>
    <w:rsid w:val="4BE54122"/>
    <w:rsid w:val="4BE920E2"/>
    <w:rsid w:val="4BED014A"/>
    <w:rsid w:val="4BEE4E6A"/>
    <w:rsid w:val="4BF1565C"/>
    <w:rsid w:val="4BF207AC"/>
    <w:rsid w:val="4BF326CA"/>
    <w:rsid w:val="4BF67980"/>
    <w:rsid w:val="4BF833ED"/>
    <w:rsid w:val="4C00758B"/>
    <w:rsid w:val="4C03387D"/>
    <w:rsid w:val="4C070B90"/>
    <w:rsid w:val="4C0953B7"/>
    <w:rsid w:val="4C0A0767"/>
    <w:rsid w:val="4C0D531B"/>
    <w:rsid w:val="4C0D64AA"/>
    <w:rsid w:val="4C0D771F"/>
    <w:rsid w:val="4C143D01"/>
    <w:rsid w:val="4C144F36"/>
    <w:rsid w:val="4C171F88"/>
    <w:rsid w:val="4C1751F2"/>
    <w:rsid w:val="4C194E4E"/>
    <w:rsid w:val="4C1C1A4F"/>
    <w:rsid w:val="4C1D0685"/>
    <w:rsid w:val="4C1D6BC6"/>
    <w:rsid w:val="4C240293"/>
    <w:rsid w:val="4C2B3FC9"/>
    <w:rsid w:val="4C3153BB"/>
    <w:rsid w:val="4C332CF2"/>
    <w:rsid w:val="4C3365A1"/>
    <w:rsid w:val="4C365A00"/>
    <w:rsid w:val="4C371778"/>
    <w:rsid w:val="4C3A2451"/>
    <w:rsid w:val="4C3C118D"/>
    <w:rsid w:val="4C40213B"/>
    <w:rsid w:val="4C441DAB"/>
    <w:rsid w:val="4C4617EA"/>
    <w:rsid w:val="4C4822A5"/>
    <w:rsid w:val="4C494BD9"/>
    <w:rsid w:val="4C4C15AE"/>
    <w:rsid w:val="4C5121C0"/>
    <w:rsid w:val="4C5276A7"/>
    <w:rsid w:val="4C5916EF"/>
    <w:rsid w:val="4C5A01C6"/>
    <w:rsid w:val="4C5C5DC3"/>
    <w:rsid w:val="4C6267F5"/>
    <w:rsid w:val="4C630B4D"/>
    <w:rsid w:val="4C6563BC"/>
    <w:rsid w:val="4C6A7A74"/>
    <w:rsid w:val="4C6D519A"/>
    <w:rsid w:val="4C6E3986"/>
    <w:rsid w:val="4C7753A9"/>
    <w:rsid w:val="4C79261D"/>
    <w:rsid w:val="4C883CC3"/>
    <w:rsid w:val="4C88589D"/>
    <w:rsid w:val="4C8A7D68"/>
    <w:rsid w:val="4C8E13D7"/>
    <w:rsid w:val="4C90757E"/>
    <w:rsid w:val="4C910D10"/>
    <w:rsid w:val="4C911167"/>
    <w:rsid w:val="4C91594E"/>
    <w:rsid w:val="4C9411F9"/>
    <w:rsid w:val="4C944B27"/>
    <w:rsid w:val="4C9C1338"/>
    <w:rsid w:val="4C9C23B1"/>
    <w:rsid w:val="4C9C662B"/>
    <w:rsid w:val="4C9C7D19"/>
    <w:rsid w:val="4C9F2DAB"/>
    <w:rsid w:val="4CAA3CF8"/>
    <w:rsid w:val="4CAB3DA9"/>
    <w:rsid w:val="4CAD180A"/>
    <w:rsid w:val="4CB15D67"/>
    <w:rsid w:val="4CB167D1"/>
    <w:rsid w:val="4CB46925"/>
    <w:rsid w:val="4CB701C3"/>
    <w:rsid w:val="4CBD5192"/>
    <w:rsid w:val="4CBE64B5"/>
    <w:rsid w:val="4CC527A0"/>
    <w:rsid w:val="4CC60166"/>
    <w:rsid w:val="4CC748AA"/>
    <w:rsid w:val="4CCE00A6"/>
    <w:rsid w:val="4CD8404D"/>
    <w:rsid w:val="4CDB0356"/>
    <w:rsid w:val="4CDD0EA3"/>
    <w:rsid w:val="4CDF4F47"/>
    <w:rsid w:val="4CE02417"/>
    <w:rsid w:val="4CE3590C"/>
    <w:rsid w:val="4CE43BE3"/>
    <w:rsid w:val="4CE83301"/>
    <w:rsid w:val="4CF5766A"/>
    <w:rsid w:val="4CF74EEA"/>
    <w:rsid w:val="4CF8395D"/>
    <w:rsid w:val="4CF94388"/>
    <w:rsid w:val="4D0620C8"/>
    <w:rsid w:val="4D0620EB"/>
    <w:rsid w:val="4D087102"/>
    <w:rsid w:val="4D090A1F"/>
    <w:rsid w:val="4D09442A"/>
    <w:rsid w:val="4D1473C4"/>
    <w:rsid w:val="4D177FED"/>
    <w:rsid w:val="4D1A70D0"/>
    <w:rsid w:val="4D2121FE"/>
    <w:rsid w:val="4D255A31"/>
    <w:rsid w:val="4D272911"/>
    <w:rsid w:val="4D2E3F3F"/>
    <w:rsid w:val="4D337467"/>
    <w:rsid w:val="4D381C1C"/>
    <w:rsid w:val="4D3B752D"/>
    <w:rsid w:val="4D3D1B17"/>
    <w:rsid w:val="4D3F470C"/>
    <w:rsid w:val="4D3F4C97"/>
    <w:rsid w:val="4D484E3F"/>
    <w:rsid w:val="4D4A6C80"/>
    <w:rsid w:val="4D4E5B12"/>
    <w:rsid w:val="4D512440"/>
    <w:rsid w:val="4D592FC3"/>
    <w:rsid w:val="4D5C3245"/>
    <w:rsid w:val="4D5C7917"/>
    <w:rsid w:val="4D5F0953"/>
    <w:rsid w:val="4D614E9A"/>
    <w:rsid w:val="4D685F57"/>
    <w:rsid w:val="4D6A6183"/>
    <w:rsid w:val="4D7367E0"/>
    <w:rsid w:val="4D760272"/>
    <w:rsid w:val="4D7709E5"/>
    <w:rsid w:val="4D776A44"/>
    <w:rsid w:val="4D7A21CB"/>
    <w:rsid w:val="4D7C5550"/>
    <w:rsid w:val="4D7D5A5A"/>
    <w:rsid w:val="4D7F681C"/>
    <w:rsid w:val="4D814A59"/>
    <w:rsid w:val="4D8200E8"/>
    <w:rsid w:val="4D826A23"/>
    <w:rsid w:val="4D834C75"/>
    <w:rsid w:val="4D87403A"/>
    <w:rsid w:val="4D882D3E"/>
    <w:rsid w:val="4D891B60"/>
    <w:rsid w:val="4D896004"/>
    <w:rsid w:val="4D8A7E91"/>
    <w:rsid w:val="4D8E6ED6"/>
    <w:rsid w:val="4D951771"/>
    <w:rsid w:val="4D96092E"/>
    <w:rsid w:val="4D965269"/>
    <w:rsid w:val="4D9724CF"/>
    <w:rsid w:val="4D97427D"/>
    <w:rsid w:val="4D9D7727"/>
    <w:rsid w:val="4DA3663C"/>
    <w:rsid w:val="4DA45DC7"/>
    <w:rsid w:val="4DA4699A"/>
    <w:rsid w:val="4DA8356F"/>
    <w:rsid w:val="4DAB32F8"/>
    <w:rsid w:val="4DAB5F7A"/>
    <w:rsid w:val="4DAC2D37"/>
    <w:rsid w:val="4DAD1CF2"/>
    <w:rsid w:val="4DB641E5"/>
    <w:rsid w:val="4DBA3FD7"/>
    <w:rsid w:val="4DBB0877"/>
    <w:rsid w:val="4DBB6D7A"/>
    <w:rsid w:val="4DBD512E"/>
    <w:rsid w:val="4DC45FBC"/>
    <w:rsid w:val="4DC82DB2"/>
    <w:rsid w:val="4DCE3A17"/>
    <w:rsid w:val="4DD023AF"/>
    <w:rsid w:val="4DD13801"/>
    <w:rsid w:val="4DD21759"/>
    <w:rsid w:val="4DD454A1"/>
    <w:rsid w:val="4DD57B61"/>
    <w:rsid w:val="4DD86643"/>
    <w:rsid w:val="4DDD1074"/>
    <w:rsid w:val="4DDD5A4B"/>
    <w:rsid w:val="4DE14306"/>
    <w:rsid w:val="4DEE5E67"/>
    <w:rsid w:val="4DF05E73"/>
    <w:rsid w:val="4DF16C43"/>
    <w:rsid w:val="4DF74D1B"/>
    <w:rsid w:val="4DFB44CF"/>
    <w:rsid w:val="4DFC67D6"/>
    <w:rsid w:val="4E00129A"/>
    <w:rsid w:val="4E0169D2"/>
    <w:rsid w:val="4E020B74"/>
    <w:rsid w:val="4E067654"/>
    <w:rsid w:val="4E092CA1"/>
    <w:rsid w:val="4E0D1C22"/>
    <w:rsid w:val="4E121B55"/>
    <w:rsid w:val="4E140493"/>
    <w:rsid w:val="4E153C74"/>
    <w:rsid w:val="4E1A4EAE"/>
    <w:rsid w:val="4E1B528E"/>
    <w:rsid w:val="4E1C6E78"/>
    <w:rsid w:val="4E1E298C"/>
    <w:rsid w:val="4E234AD2"/>
    <w:rsid w:val="4E2556E4"/>
    <w:rsid w:val="4E2C4407"/>
    <w:rsid w:val="4E2E6196"/>
    <w:rsid w:val="4E326AC0"/>
    <w:rsid w:val="4E340E57"/>
    <w:rsid w:val="4E387431"/>
    <w:rsid w:val="4E39282C"/>
    <w:rsid w:val="4E393586"/>
    <w:rsid w:val="4E3937B1"/>
    <w:rsid w:val="4E3E6DEE"/>
    <w:rsid w:val="4E413FA7"/>
    <w:rsid w:val="4E415909"/>
    <w:rsid w:val="4E4264C4"/>
    <w:rsid w:val="4E431565"/>
    <w:rsid w:val="4E45017D"/>
    <w:rsid w:val="4E461935"/>
    <w:rsid w:val="4E473EF5"/>
    <w:rsid w:val="4E4837C9"/>
    <w:rsid w:val="4E4A7541"/>
    <w:rsid w:val="4E4A7BFE"/>
    <w:rsid w:val="4E4B5067"/>
    <w:rsid w:val="4E4C280E"/>
    <w:rsid w:val="4E4D5283"/>
    <w:rsid w:val="4E500844"/>
    <w:rsid w:val="4E532E29"/>
    <w:rsid w:val="4E5403C0"/>
    <w:rsid w:val="4E54216E"/>
    <w:rsid w:val="4E557C94"/>
    <w:rsid w:val="4E592984"/>
    <w:rsid w:val="4E5A52AA"/>
    <w:rsid w:val="4E5A7158"/>
    <w:rsid w:val="4E5C62DB"/>
    <w:rsid w:val="4E673DA2"/>
    <w:rsid w:val="4E745F45"/>
    <w:rsid w:val="4E787117"/>
    <w:rsid w:val="4E795424"/>
    <w:rsid w:val="4E7C1546"/>
    <w:rsid w:val="4E7D780A"/>
    <w:rsid w:val="4E832A53"/>
    <w:rsid w:val="4E871A25"/>
    <w:rsid w:val="4E8C56D1"/>
    <w:rsid w:val="4E8E06C7"/>
    <w:rsid w:val="4E902D32"/>
    <w:rsid w:val="4E966BEC"/>
    <w:rsid w:val="4E987E8B"/>
    <w:rsid w:val="4E995E03"/>
    <w:rsid w:val="4E9C5079"/>
    <w:rsid w:val="4E9E2EC7"/>
    <w:rsid w:val="4EA74993"/>
    <w:rsid w:val="4EA76CA4"/>
    <w:rsid w:val="4EAA4D6E"/>
    <w:rsid w:val="4EAC4FCA"/>
    <w:rsid w:val="4EAF7709"/>
    <w:rsid w:val="4EB05B38"/>
    <w:rsid w:val="4EB66156"/>
    <w:rsid w:val="4EBA15A6"/>
    <w:rsid w:val="4EBB4161"/>
    <w:rsid w:val="4EC24C24"/>
    <w:rsid w:val="4EC54E1A"/>
    <w:rsid w:val="4EC56BC8"/>
    <w:rsid w:val="4ECA40DD"/>
    <w:rsid w:val="4ECD1F20"/>
    <w:rsid w:val="4ECE0095"/>
    <w:rsid w:val="4ED1068F"/>
    <w:rsid w:val="4ED27537"/>
    <w:rsid w:val="4EDB63EB"/>
    <w:rsid w:val="4EE36613"/>
    <w:rsid w:val="4EE3677C"/>
    <w:rsid w:val="4EE3760C"/>
    <w:rsid w:val="4EE901EF"/>
    <w:rsid w:val="4EED5A3F"/>
    <w:rsid w:val="4EED611E"/>
    <w:rsid w:val="4EED6FDC"/>
    <w:rsid w:val="4EEF18EE"/>
    <w:rsid w:val="4EF51B58"/>
    <w:rsid w:val="4EF51E1C"/>
    <w:rsid w:val="4EF54C9D"/>
    <w:rsid w:val="4EF80D12"/>
    <w:rsid w:val="4EFD54CE"/>
    <w:rsid w:val="4EFF40ED"/>
    <w:rsid w:val="4EFF7FF5"/>
    <w:rsid w:val="4F0040A4"/>
    <w:rsid w:val="4F005CD8"/>
    <w:rsid w:val="4F043B94"/>
    <w:rsid w:val="4F047DD7"/>
    <w:rsid w:val="4F0B1DA6"/>
    <w:rsid w:val="4F0D63A0"/>
    <w:rsid w:val="4F1033D0"/>
    <w:rsid w:val="4F1162B1"/>
    <w:rsid w:val="4F123A3D"/>
    <w:rsid w:val="4F185B89"/>
    <w:rsid w:val="4F1978BD"/>
    <w:rsid w:val="4F1A560D"/>
    <w:rsid w:val="4F1C4843"/>
    <w:rsid w:val="4F216DC3"/>
    <w:rsid w:val="4F236A01"/>
    <w:rsid w:val="4F247D92"/>
    <w:rsid w:val="4F291238"/>
    <w:rsid w:val="4F296B4F"/>
    <w:rsid w:val="4F2A14D9"/>
    <w:rsid w:val="4F2C4D5F"/>
    <w:rsid w:val="4F2E62CF"/>
    <w:rsid w:val="4F3123C7"/>
    <w:rsid w:val="4F34135B"/>
    <w:rsid w:val="4F3B034C"/>
    <w:rsid w:val="4F440434"/>
    <w:rsid w:val="4F487B1C"/>
    <w:rsid w:val="4F495A4B"/>
    <w:rsid w:val="4F4A2D46"/>
    <w:rsid w:val="4F4E7E56"/>
    <w:rsid w:val="4F5148FF"/>
    <w:rsid w:val="4F563CC4"/>
    <w:rsid w:val="4F564EEC"/>
    <w:rsid w:val="4F5B5C90"/>
    <w:rsid w:val="4F5B7F53"/>
    <w:rsid w:val="4F5D145B"/>
    <w:rsid w:val="4F60137E"/>
    <w:rsid w:val="4F615899"/>
    <w:rsid w:val="4F616415"/>
    <w:rsid w:val="4F652159"/>
    <w:rsid w:val="4F67104F"/>
    <w:rsid w:val="4F675ED1"/>
    <w:rsid w:val="4F67729E"/>
    <w:rsid w:val="4F6B59C1"/>
    <w:rsid w:val="4F6D7CF1"/>
    <w:rsid w:val="4F785006"/>
    <w:rsid w:val="4F7A7B0B"/>
    <w:rsid w:val="4F7D0B7D"/>
    <w:rsid w:val="4F80712F"/>
    <w:rsid w:val="4F882511"/>
    <w:rsid w:val="4F8D2ECF"/>
    <w:rsid w:val="4F8F3A74"/>
    <w:rsid w:val="4F9B0F8C"/>
    <w:rsid w:val="4F9F0602"/>
    <w:rsid w:val="4FAC1C1C"/>
    <w:rsid w:val="4FAE1D52"/>
    <w:rsid w:val="4FB62945"/>
    <w:rsid w:val="4FB6616A"/>
    <w:rsid w:val="4FBF3F5F"/>
    <w:rsid w:val="4FBF5BAF"/>
    <w:rsid w:val="4FC13297"/>
    <w:rsid w:val="4FC47B62"/>
    <w:rsid w:val="4FC656A4"/>
    <w:rsid w:val="4FCA5E4E"/>
    <w:rsid w:val="4FCD41A9"/>
    <w:rsid w:val="4FD24C3C"/>
    <w:rsid w:val="4FD6010C"/>
    <w:rsid w:val="4FD71CF0"/>
    <w:rsid w:val="4FD856E5"/>
    <w:rsid w:val="4FDB062B"/>
    <w:rsid w:val="4FDE2600"/>
    <w:rsid w:val="4FE34160"/>
    <w:rsid w:val="4FE6773D"/>
    <w:rsid w:val="4FE752EC"/>
    <w:rsid w:val="4FE75B98"/>
    <w:rsid w:val="4FE90F7D"/>
    <w:rsid w:val="4FF04285"/>
    <w:rsid w:val="4FF04EC5"/>
    <w:rsid w:val="4FF237D3"/>
    <w:rsid w:val="4FFE6764"/>
    <w:rsid w:val="500179C9"/>
    <w:rsid w:val="5003209D"/>
    <w:rsid w:val="50055843"/>
    <w:rsid w:val="5008077C"/>
    <w:rsid w:val="500B0F52"/>
    <w:rsid w:val="500B1837"/>
    <w:rsid w:val="500B7506"/>
    <w:rsid w:val="500D2532"/>
    <w:rsid w:val="500E27F0"/>
    <w:rsid w:val="50145DBD"/>
    <w:rsid w:val="50177BE9"/>
    <w:rsid w:val="501B49A9"/>
    <w:rsid w:val="501D4E39"/>
    <w:rsid w:val="501F0559"/>
    <w:rsid w:val="501F30E5"/>
    <w:rsid w:val="50267B3A"/>
    <w:rsid w:val="50271710"/>
    <w:rsid w:val="502816AD"/>
    <w:rsid w:val="503B61DB"/>
    <w:rsid w:val="503F29AA"/>
    <w:rsid w:val="503F65DD"/>
    <w:rsid w:val="504012E6"/>
    <w:rsid w:val="5040767A"/>
    <w:rsid w:val="504730AF"/>
    <w:rsid w:val="504B439D"/>
    <w:rsid w:val="5050022A"/>
    <w:rsid w:val="50506965"/>
    <w:rsid w:val="505221E4"/>
    <w:rsid w:val="5058192F"/>
    <w:rsid w:val="505A5A36"/>
    <w:rsid w:val="505B3B28"/>
    <w:rsid w:val="50604E04"/>
    <w:rsid w:val="50681F00"/>
    <w:rsid w:val="506929F7"/>
    <w:rsid w:val="506F010C"/>
    <w:rsid w:val="50704B5F"/>
    <w:rsid w:val="50715259"/>
    <w:rsid w:val="50750B5C"/>
    <w:rsid w:val="507C5DC5"/>
    <w:rsid w:val="507E49BA"/>
    <w:rsid w:val="50836B84"/>
    <w:rsid w:val="50885920"/>
    <w:rsid w:val="508B408C"/>
    <w:rsid w:val="508D1967"/>
    <w:rsid w:val="508F4F0E"/>
    <w:rsid w:val="509308B0"/>
    <w:rsid w:val="509B0528"/>
    <w:rsid w:val="509D3630"/>
    <w:rsid w:val="509E0F40"/>
    <w:rsid w:val="509F252D"/>
    <w:rsid w:val="509F6B75"/>
    <w:rsid w:val="50A23368"/>
    <w:rsid w:val="50A25670"/>
    <w:rsid w:val="50A42BA6"/>
    <w:rsid w:val="50A55D08"/>
    <w:rsid w:val="50A62F41"/>
    <w:rsid w:val="50A92A0F"/>
    <w:rsid w:val="50AD025B"/>
    <w:rsid w:val="50B0389B"/>
    <w:rsid w:val="50B03F31"/>
    <w:rsid w:val="50B1337A"/>
    <w:rsid w:val="50B45146"/>
    <w:rsid w:val="50BB4726"/>
    <w:rsid w:val="50BF0FAF"/>
    <w:rsid w:val="50C64E79"/>
    <w:rsid w:val="50C71F09"/>
    <w:rsid w:val="50C90E38"/>
    <w:rsid w:val="50CB384E"/>
    <w:rsid w:val="50CD4459"/>
    <w:rsid w:val="50D04202"/>
    <w:rsid w:val="50D05581"/>
    <w:rsid w:val="50D11BCF"/>
    <w:rsid w:val="50D52BFC"/>
    <w:rsid w:val="50D94BAC"/>
    <w:rsid w:val="50DB7A39"/>
    <w:rsid w:val="50DF67A8"/>
    <w:rsid w:val="50E039FF"/>
    <w:rsid w:val="50E03FA2"/>
    <w:rsid w:val="50E04FAE"/>
    <w:rsid w:val="50E32779"/>
    <w:rsid w:val="50E53551"/>
    <w:rsid w:val="50E72ECF"/>
    <w:rsid w:val="50F93C13"/>
    <w:rsid w:val="50FD52C1"/>
    <w:rsid w:val="51031865"/>
    <w:rsid w:val="51071719"/>
    <w:rsid w:val="510C31D4"/>
    <w:rsid w:val="510D0179"/>
    <w:rsid w:val="511178EE"/>
    <w:rsid w:val="51140696"/>
    <w:rsid w:val="51155F6F"/>
    <w:rsid w:val="511C22D1"/>
    <w:rsid w:val="511F3FB9"/>
    <w:rsid w:val="51204589"/>
    <w:rsid w:val="51206937"/>
    <w:rsid w:val="51224A8E"/>
    <w:rsid w:val="51236914"/>
    <w:rsid w:val="51343B5E"/>
    <w:rsid w:val="513918BD"/>
    <w:rsid w:val="51392F9A"/>
    <w:rsid w:val="5139564B"/>
    <w:rsid w:val="513C64C2"/>
    <w:rsid w:val="51485910"/>
    <w:rsid w:val="514B3F24"/>
    <w:rsid w:val="514D6F20"/>
    <w:rsid w:val="5153495F"/>
    <w:rsid w:val="515C08B4"/>
    <w:rsid w:val="51687B3B"/>
    <w:rsid w:val="517072F9"/>
    <w:rsid w:val="51712D10"/>
    <w:rsid w:val="517168C3"/>
    <w:rsid w:val="51723068"/>
    <w:rsid w:val="51736F4F"/>
    <w:rsid w:val="51754739"/>
    <w:rsid w:val="5176689F"/>
    <w:rsid w:val="51774F03"/>
    <w:rsid w:val="517C2581"/>
    <w:rsid w:val="517E3138"/>
    <w:rsid w:val="5180102A"/>
    <w:rsid w:val="5182059C"/>
    <w:rsid w:val="51861CB7"/>
    <w:rsid w:val="51877145"/>
    <w:rsid w:val="5189579A"/>
    <w:rsid w:val="51897A55"/>
    <w:rsid w:val="518D5FDE"/>
    <w:rsid w:val="518F3414"/>
    <w:rsid w:val="51951DEF"/>
    <w:rsid w:val="51956B1C"/>
    <w:rsid w:val="51977785"/>
    <w:rsid w:val="519A4BA7"/>
    <w:rsid w:val="519D3E2C"/>
    <w:rsid w:val="51A433FA"/>
    <w:rsid w:val="51B03B5F"/>
    <w:rsid w:val="51B328BE"/>
    <w:rsid w:val="51B40E81"/>
    <w:rsid w:val="51B46958"/>
    <w:rsid w:val="51B55619"/>
    <w:rsid w:val="51B56B51"/>
    <w:rsid w:val="51B647D4"/>
    <w:rsid w:val="51B717C3"/>
    <w:rsid w:val="51B842C7"/>
    <w:rsid w:val="51B93A62"/>
    <w:rsid w:val="51C44945"/>
    <w:rsid w:val="51C57EC3"/>
    <w:rsid w:val="51C723E6"/>
    <w:rsid w:val="51CA7754"/>
    <w:rsid w:val="51CF76F2"/>
    <w:rsid w:val="51D27F79"/>
    <w:rsid w:val="51D55369"/>
    <w:rsid w:val="51D65948"/>
    <w:rsid w:val="51D830B6"/>
    <w:rsid w:val="51DD3323"/>
    <w:rsid w:val="51E122A9"/>
    <w:rsid w:val="51E15AFC"/>
    <w:rsid w:val="51E239DE"/>
    <w:rsid w:val="51E41569"/>
    <w:rsid w:val="51E80763"/>
    <w:rsid w:val="51F22585"/>
    <w:rsid w:val="51F73981"/>
    <w:rsid w:val="51FB4E52"/>
    <w:rsid w:val="51FE0D6E"/>
    <w:rsid w:val="51FF6894"/>
    <w:rsid w:val="52036385"/>
    <w:rsid w:val="52046D7E"/>
    <w:rsid w:val="52075B85"/>
    <w:rsid w:val="520919A7"/>
    <w:rsid w:val="52097713"/>
    <w:rsid w:val="520A2F94"/>
    <w:rsid w:val="520B2839"/>
    <w:rsid w:val="520B5239"/>
    <w:rsid w:val="52122920"/>
    <w:rsid w:val="52132340"/>
    <w:rsid w:val="52160466"/>
    <w:rsid w:val="52182D16"/>
    <w:rsid w:val="521E3E27"/>
    <w:rsid w:val="521F2DAC"/>
    <w:rsid w:val="52233658"/>
    <w:rsid w:val="52263E21"/>
    <w:rsid w:val="52285DEB"/>
    <w:rsid w:val="522D181F"/>
    <w:rsid w:val="522D2748"/>
    <w:rsid w:val="5233653E"/>
    <w:rsid w:val="52336A96"/>
    <w:rsid w:val="523839E3"/>
    <w:rsid w:val="52387A7E"/>
    <w:rsid w:val="523A6756"/>
    <w:rsid w:val="5240491E"/>
    <w:rsid w:val="524731FD"/>
    <w:rsid w:val="52493F1E"/>
    <w:rsid w:val="524A0294"/>
    <w:rsid w:val="524A231E"/>
    <w:rsid w:val="52531358"/>
    <w:rsid w:val="52536A73"/>
    <w:rsid w:val="5255496A"/>
    <w:rsid w:val="52570FF6"/>
    <w:rsid w:val="525E6CC5"/>
    <w:rsid w:val="525F19EA"/>
    <w:rsid w:val="526239D6"/>
    <w:rsid w:val="52681CE6"/>
    <w:rsid w:val="526D50F1"/>
    <w:rsid w:val="527210F9"/>
    <w:rsid w:val="52732831"/>
    <w:rsid w:val="52752790"/>
    <w:rsid w:val="527B1570"/>
    <w:rsid w:val="527E1EAF"/>
    <w:rsid w:val="527E6149"/>
    <w:rsid w:val="527F3531"/>
    <w:rsid w:val="5280622B"/>
    <w:rsid w:val="52833489"/>
    <w:rsid w:val="52836986"/>
    <w:rsid w:val="52862B12"/>
    <w:rsid w:val="5287468A"/>
    <w:rsid w:val="5288003B"/>
    <w:rsid w:val="52880638"/>
    <w:rsid w:val="528A06C4"/>
    <w:rsid w:val="528B5952"/>
    <w:rsid w:val="528F3582"/>
    <w:rsid w:val="528F66BD"/>
    <w:rsid w:val="528F7C18"/>
    <w:rsid w:val="529415BE"/>
    <w:rsid w:val="529609EB"/>
    <w:rsid w:val="529E2F27"/>
    <w:rsid w:val="52A31916"/>
    <w:rsid w:val="52A336C4"/>
    <w:rsid w:val="52A86F2C"/>
    <w:rsid w:val="52AA5C80"/>
    <w:rsid w:val="52AB56E6"/>
    <w:rsid w:val="52B61649"/>
    <w:rsid w:val="52BF6CE4"/>
    <w:rsid w:val="52C17810"/>
    <w:rsid w:val="52C2674E"/>
    <w:rsid w:val="52C546A4"/>
    <w:rsid w:val="52CB32A1"/>
    <w:rsid w:val="52CD24EF"/>
    <w:rsid w:val="52CD6993"/>
    <w:rsid w:val="52CF44B9"/>
    <w:rsid w:val="52D0237D"/>
    <w:rsid w:val="52D06E49"/>
    <w:rsid w:val="52D16A3B"/>
    <w:rsid w:val="52D715BF"/>
    <w:rsid w:val="52D969A2"/>
    <w:rsid w:val="52DE29E2"/>
    <w:rsid w:val="52E2108D"/>
    <w:rsid w:val="52E36CFF"/>
    <w:rsid w:val="52E8557B"/>
    <w:rsid w:val="52EF6909"/>
    <w:rsid w:val="52F111ED"/>
    <w:rsid w:val="52F97788"/>
    <w:rsid w:val="52FC2CBD"/>
    <w:rsid w:val="52FE37A2"/>
    <w:rsid w:val="52FE4D9E"/>
    <w:rsid w:val="52FE6B4C"/>
    <w:rsid w:val="53047800"/>
    <w:rsid w:val="53110444"/>
    <w:rsid w:val="5311062D"/>
    <w:rsid w:val="53151984"/>
    <w:rsid w:val="53165C53"/>
    <w:rsid w:val="53166804"/>
    <w:rsid w:val="531865A9"/>
    <w:rsid w:val="531A4957"/>
    <w:rsid w:val="531B2907"/>
    <w:rsid w:val="531C2F50"/>
    <w:rsid w:val="53230ACF"/>
    <w:rsid w:val="53231E39"/>
    <w:rsid w:val="532540D9"/>
    <w:rsid w:val="53266D73"/>
    <w:rsid w:val="532D7BD3"/>
    <w:rsid w:val="533B38FC"/>
    <w:rsid w:val="533B429E"/>
    <w:rsid w:val="533E0788"/>
    <w:rsid w:val="53433AAE"/>
    <w:rsid w:val="534D5C76"/>
    <w:rsid w:val="53531B94"/>
    <w:rsid w:val="53566988"/>
    <w:rsid w:val="53591FD4"/>
    <w:rsid w:val="535A7601"/>
    <w:rsid w:val="535D3873"/>
    <w:rsid w:val="535D78A6"/>
    <w:rsid w:val="535F7161"/>
    <w:rsid w:val="53651D71"/>
    <w:rsid w:val="53682554"/>
    <w:rsid w:val="53732E91"/>
    <w:rsid w:val="53747734"/>
    <w:rsid w:val="537B1F4B"/>
    <w:rsid w:val="537D3F15"/>
    <w:rsid w:val="53813702"/>
    <w:rsid w:val="53873836"/>
    <w:rsid w:val="538A4B1D"/>
    <w:rsid w:val="53915C12"/>
    <w:rsid w:val="53946890"/>
    <w:rsid w:val="539574B0"/>
    <w:rsid w:val="53A05E55"/>
    <w:rsid w:val="53A16149"/>
    <w:rsid w:val="53A21BCD"/>
    <w:rsid w:val="53A62838"/>
    <w:rsid w:val="53AE1C3A"/>
    <w:rsid w:val="53B04709"/>
    <w:rsid w:val="53B44AFB"/>
    <w:rsid w:val="53B512A1"/>
    <w:rsid w:val="53B54458"/>
    <w:rsid w:val="53B72DA1"/>
    <w:rsid w:val="53B84907"/>
    <w:rsid w:val="53BB3592"/>
    <w:rsid w:val="53C14D7B"/>
    <w:rsid w:val="53C77EB0"/>
    <w:rsid w:val="53CA4C80"/>
    <w:rsid w:val="53D61877"/>
    <w:rsid w:val="53D67148"/>
    <w:rsid w:val="53D855EF"/>
    <w:rsid w:val="53E06252"/>
    <w:rsid w:val="53E45D42"/>
    <w:rsid w:val="53E93358"/>
    <w:rsid w:val="53EE0073"/>
    <w:rsid w:val="53F20208"/>
    <w:rsid w:val="53F24654"/>
    <w:rsid w:val="53FA293C"/>
    <w:rsid w:val="53FA5543"/>
    <w:rsid w:val="53FF5859"/>
    <w:rsid w:val="540208BE"/>
    <w:rsid w:val="540766F4"/>
    <w:rsid w:val="540814BE"/>
    <w:rsid w:val="54100D7D"/>
    <w:rsid w:val="541E2A0D"/>
    <w:rsid w:val="54250FCF"/>
    <w:rsid w:val="54260108"/>
    <w:rsid w:val="542761D8"/>
    <w:rsid w:val="542F25BA"/>
    <w:rsid w:val="543237D1"/>
    <w:rsid w:val="54344C9D"/>
    <w:rsid w:val="54360C18"/>
    <w:rsid w:val="54367041"/>
    <w:rsid w:val="54392B3C"/>
    <w:rsid w:val="543A0058"/>
    <w:rsid w:val="543E557A"/>
    <w:rsid w:val="543F566E"/>
    <w:rsid w:val="54414048"/>
    <w:rsid w:val="54414992"/>
    <w:rsid w:val="54476B04"/>
    <w:rsid w:val="54493DF7"/>
    <w:rsid w:val="54533734"/>
    <w:rsid w:val="545A4256"/>
    <w:rsid w:val="545C48D1"/>
    <w:rsid w:val="545D78A2"/>
    <w:rsid w:val="545E208B"/>
    <w:rsid w:val="545F7ABE"/>
    <w:rsid w:val="546308C5"/>
    <w:rsid w:val="546614DC"/>
    <w:rsid w:val="546B238B"/>
    <w:rsid w:val="546D1910"/>
    <w:rsid w:val="546E5FF7"/>
    <w:rsid w:val="54735527"/>
    <w:rsid w:val="547370C6"/>
    <w:rsid w:val="54750BB1"/>
    <w:rsid w:val="547A0EF8"/>
    <w:rsid w:val="547A55AF"/>
    <w:rsid w:val="547C241E"/>
    <w:rsid w:val="547D50D2"/>
    <w:rsid w:val="547E7F44"/>
    <w:rsid w:val="54837309"/>
    <w:rsid w:val="54854100"/>
    <w:rsid w:val="548922E1"/>
    <w:rsid w:val="548D0CAB"/>
    <w:rsid w:val="548E36D4"/>
    <w:rsid w:val="548E4AFA"/>
    <w:rsid w:val="5491480A"/>
    <w:rsid w:val="54930158"/>
    <w:rsid w:val="5493095A"/>
    <w:rsid w:val="549D2B88"/>
    <w:rsid w:val="549D7752"/>
    <w:rsid w:val="549E1894"/>
    <w:rsid w:val="54A20D14"/>
    <w:rsid w:val="54A31759"/>
    <w:rsid w:val="54A852EA"/>
    <w:rsid w:val="54B06B75"/>
    <w:rsid w:val="54B33AF8"/>
    <w:rsid w:val="54B52059"/>
    <w:rsid w:val="54BA327B"/>
    <w:rsid w:val="54BB2F47"/>
    <w:rsid w:val="54BE51D9"/>
    <w:rsid w:val="54BF230B"/>
    <w:rsid w:val="54C07226"/>
    <w:rsid w:val="54C125DA"/>
    <w:rsid w:val="54C37A39"/>
    <w:rsid w:val="54C5368C"/>
    <w:rsid w:val="54C55B73"/>
    <w:rsid w:val="54C64956"/>
    <w:rsid w:val="54C81CFB"/>
    <w:rsid w:val="54CA1624"/>
    <w:rsid w:val="54CC6CAA"/>
    <w:rsid w:val="54D36F0C"/>
    <w:rsid w:val="54D8796C"/>
    <w:rsid w:val="54D97871"/>
    <w:rsid w:val="54DC4F17"/>
    <w:rsid w:val="54DC6522"/>
    <w:rsid w:val="54E064FE"/>
    <w:rsid w:val="54E263C2"/>
    <w:rsid w:val="54E330C5"/>
    <w:rsid w:val="54E658DC"/>
    <w:rsid w:val="54E74D33"/>
    <w:rsid w:val="54E81862"/>
    <w:rsid w:val="54EB2034"/>
    <w:rsid w:val="54EE63AD"/>
    <w:rsid w:val="54F1675A"/>
    <w:rsid w:val="54F20787"/>
    <w:rsid w:val="54F40207"/>
    <w:rsid w:val="54F442B1"/>
    <w:rsid w:val="54F84EFF"/>
    <w:rsid w:val="54F902A6"/>
    <w:rsid w:val="54F9581D"/>
    <w:rsid w:val="54F975CB"/>
    <w:rsid w:val="54FC5913"/>
    <w:rsid w:val="5504702F"/>
    <w:rsid w:val="550661CF"/>
    <w:rsid w:val="55093111"/>
    <w:rsid w:val="550C2DDA"/>
    <w:rsid w:val="551663CF"/>
    <w:rsid w:val="55173EF5"/>
    <w:rsid w:val="551E742C"/>
    <w:rsid w:val="552108D6"/>
    <w:rsid w:val="55230D93"/>
    <w:rsid w:val="552325E2"/>
    <w:rsid w:val="55236D3E"/>
    <w:rsid w:val="552710B1"/>
    <w:rsid w:val="55276E8C"/>
    <w:rsid w:val="55295C4A"/>
    <w:rsid w:val="552A1E7A"/>
    <w:rsid w:val="552B57AD"/>
    <w:rsid w:val="552C5250"/>
    <w:rsid w:val="552D1801"/>
    <w:rsid w:val="55342CE1"/>
    <w:rsid w:val="55366C42"/>
    <w:rsid w:val="55396360"/>
    <w:rsid w:val="553C1871"/>
    <w:rsid w:val="553C395C"/>
    <w:rsid w:val="553D62B5"/>
    <w:rsid w:val="553F3121"/>
    <w:rsid w:val="55451D0B"/>
    <w:rsid w:val="554B71F7"/>
    <w:rsid w:val="554E58A6"/>
    <w:rsid w:val="554F368F"/>
    <w:rsid w:val="55510CFA"/>
    <w:rsid w:val="555541E8"/>
    <w:rsid w:val="55560EC1"/>
    <w:rsid w:val="55597AAC"/>
    <w:rsid w:val="555C53C5"/>
    <w:rsid w:val="556A7F69"/>
    <w:rsid w:val="556E25E3"/>
    <w:rsid w:val="556F3D31"/>
    <w:rsid w:val="557320E4"/>
    <w:rsid w:val="55732A82"/>
    <w:rsid w:val="557B0928"/>
    <w:rsid w:val="557B2A48"/>
    <w:rsid w:val="55833483"/>
    <w:rsid w:val="55835858"/>
    <w:rsid w:val="55853555"/>
    <w:rsid w:val="55884480"/>
    <w:rsid w:val="558C48E3"/>
    <w:rsid w:val="55911EF9"/>
    <w:rsid w:val="559519EA"/>
    <w:rsid w:val="559612BE"/>
    <w:rsid w:val="55980D16"/>
    <w:rsid w:val="55A03EEB"/>
    <w:rsid w:val="55A17753"/>
    <w:rsid w:val="55A66AF3"/>
    <w:rsid w:val="55B00076"/>
    <w:rsid w:val="55B0678F"/>
    <w:rsid w:val="55B44F27"/>
    <w:rsid w:val="55B65466"/>
    <w:rsid w:val="55B766CD"/>
    <w:rsid w:val="55BD60E0"/>
    <w:rsid w:val="55BF164C"/>
    <w:rsid w:val="55C0563F"/>
    <w:rsid w:val="55C26FF9"/>
    <w:rsid w:val="55C563C7"/>
    <w:rsid w:val="55C65403"/>
    <w:rsid w:val="55C951EF"/>
    <w:rsid w:val="55CD4DAE"/>
    <w:rsid w:val="55D00815"/>
    <w:rsid w:val="55D02B82"/>
    <w:rsid w:val="55D22A99"/>
    <w:rsid w:val="55D74AC1"/>
    <w:rsid w:val="55DA1393"/>
    <w:rsid w:val="55DA3B36"/>
    <w:rsid w:val="55DC6C97"/>
    <w:rsid w:val="55DE7A6A"/>
    <w:rsid w:val="55E246B7"/>
    <w:rsid w:val="55E74CB1"/>
    <w:rsid w:val="55E77D6B"/>
    <w:rsid w:val="55F1565F"/>
    <w:rsid w:val="55F35019"/>
    <w:rsid w:val="55F63224"/>
    <w:rsid w:val="55F92AC0"/>
    <w:rsid w:val="55FA4904"/>
    <w:rsid w:val="55FE00C4"/>
    <w:rsid w:val="56002CAA"/>
    <w:rsid w:val="560E306E"/>
    <w:rsid w:val="56127FB8"/>
    <w:rsid w:val="561346BC"/>
    <w:rsid w:val="561548D9"/>
    <w:rsid w:val="561641AD"/>
    <w:rsid w:val="561B4C31"/>
    <w:rsid w:val="561B549E"/>
    <w:rsid w:val="561D378D"/>
    <w:rsid w:val="561D4A89"/>
    <w:rsid w:val="561D698E"/>
    <w:rsid w:val="562946AD"/>
    <w:rsid w:val="562E6787"/>
    <w:rsid w:val="56343C1C"/>
    <w:rsid w:val="56382375"/>
    <w:rsid w:val="563A6BA3"/>
    <w:rsid w:val="563B3BA0"/>
    <w:rsid w:val="563C719E"/>
    <w:rsid w:val="565C5F68"/>
    <w:rsid w:val="565D3B8A"/>
    <w:rsid w:val="565F7902"/>
    <w:rsid w:val="56684566"/>
    <w:rsid w:val="566A0472"/>
    <w:rsid w:val="566A1ED0"/>
    <w:rsid w:val="566B3D9F"/>
    <w:rsid w:val="566D64C3"/>
    <w:rsid w:val="566F4984"/>
    <w:rsid w:val="56782907"/>
    <w:rsid w:val="567A779C"/>
    <w:rsid w:val="567F6657"/>
    <w:rsid w:val="56807924"/>
    <w:rsid w:val="56824391"/>
    <w:rsid w:val="56850484"/>
    <w:rsid w:val="568776DE"/>
    <w:rsid w:val="568832FC"/>
    <w:rsid w:val="568E6F1D"/>
    <w:rsid w:val="568F00FD"/>
    <w:rsid w:val="569159F4"/>
    <w:rsid w:val="56955A19"/>
    <w:rsid w:val="56983941"/>
    <w:rsid w:val="56A3515A"/>
    <w:rsid w:val="56AA24E8"/>
    <w:rsid w:val="56AE4205"/>
    <w:rsid w:val="56B20030"/>
    <w:rsid w:val="56B36ECD"/>
    <w:rsid w:val="56B55774"/>
    <w:rsid w:val="56B55D14"/>
    <w:rsid w:val="56B823F9"/>
    <w:rsid w:val="56BB2421"/>
    <w:rsid w:val="56BB2CC5"/>
    <w:rsid w:val="56BC2FA6"/>
    <w:rsid w:val="56C15C44"/>
    <w:rsid w:val="56C37E91"/>
    <w:rsid w:val="56C41358"/>
    <w:rsid w:val="56C53E5D"/>
    <w:rsid w:val="56D46542"/>
    <w:rsid w:val="56D64D67"/>
    <w:rsid w:val="56D71B8E"/>
    <w:rsid w:val="56DB636A"/>
    <w:rsid w:val="56E40CAB"/>
    <w:rsid w:val="56E574DD"/>
    <w:rsid w:val="56E611A0"/>
    <w:rsid w:val="56E823DA"/>
    <w:rsid w:val="56E8633C"/>
    <w:rsid w:val="56E96E48"/>
    <w:rsid w:val="56ED24DE"/>
    <w:rsid w:val="56EE327A"/>
    <w:rsid w:val="56FA5B6A"/>
    <w:rsid w:val="57013551"/>
    <w:rsid w:val="57030BD5"/>
    <w:rsid w:val="5705670D"/>
    <w:rsid w:val="57073011"/>
    <w:rsid w:val="570A5ABF"/>
    <w:rsid w:val="570D2590"/>
    <w:rsid w:val="570D55B0"/>
    <w:rsid w:val="570F6C54"/>
    <w:rsid w:val="571946AB"/>
    <w:rsid w:val="571961D9"/>
    <w:rsid w:val="571A287C"/>
    <w:rsid w:val="571B1C2F"/>
    <w:rsid w:val="571D0DDD"/>
    <w:rsid w:val="571F7091"/>
    <w:rsid w:val="57202366"/>
    <w:rsid w:val="572648C3"/>
    <w:rsid w:val="57266B83"/>
    <w:rsid w:val="572758B8"/>
    <w:rsid w:val="572A6162"/>
    <w:rsid w:val="57307D64"/>
    <w:rsid w:val="573318C6"/>
    <w:rsid w:val="5734055B"/>
    <w:rsid w:val="573D4214"/>
    <w:rsid w:val="573E7E5F"/>
    <w:rsid w:val="57403036"/>
    <w:rsid w:val="57454D3E"/>
    <w:rsid w:val="574E08CD"/>
    <w:rsid w:val="57544F8D"/>
    <w:rsid w:val="57580F21"/>
    <w:rsid w:val="57581602"/>
    <w:rsid w:val="57592547"/>
    <w:rsid w:val="575B27BF"/>
    <w:rsid w:val="575F0777"/>
    <w:rsid w:val="57641F6E"/>
    <w:rsid w:val="57683DBD"/>
    <w:rsid w:val="576A6B99"/>
    <w:rsid w:val="57740A80"/>
    <w:rsid w:val="57771A60"/>
    <w:rsid w:val="577B61D9"/>
    <w:rsid w:val="577C44E3"/>
    <w:rsid w:val="578148DF"/>
    <w:rsid w:val="57860A7E"/>
    <w:rsid w:val="578930D5"/>
    <w:rsid w:val="578D059E"/>
    <w:rsid w:val="578D1AA0"/>
    <w:rsid w:val="578F1C73"/>
    <w:rsid w:val="57915CB1"/>
    <w:rsid w:val="5794182D"/>
    <w:rsid w:val="579D7124"/>
    <w:rsid w:val="579F31C5"/>
    <w:rsid w:val="579F39E7"/>
    <w:rsid w:val="57A23F4A"/>
    <w:rsid w:val="57A5206E"/>
    <w:rsid w:val="57AC540A"/>
    <w:rsid w:val="57B6568C"/>
    <w:rsid w:val="57B65C47"/>
    <w:rsid w:val="57B67EA4"/>
    <w:rsid w:val="57B7082C"/>
    <w:rsid w:val="57BA0B3F"/>
    <w:rsid w:val="57CA58A2"/>
    <w:rsid w:val="57CB27F3"/>
    <w:rsid w:val="57CC0FC7"/>
    <w:rsid w:val="57CE11E3"/>
    <w:rsid w:val="57D2463E"/>
    <w:rsid w:val="57D47381"/>
    <w:rsid w:val="57D74425"/>
    <w:rsid w:val="57D75472"/>
    <w:rsid w:val="57D8504B"/>
    <w:rsid w:val="57D9198D"/>
    <w:rsid w:val="57DD287B"/>
    <w:rsid w:val="57E01862"/>
    <w:rsid w:val="57E04A72"/>
    <w:rsid w:val="57E13E64"/>
    <w:rsid w:val="57E31D0E"/>
    <w:rsid w:val="57E500CA"/>
    <w:rsid w:val="57EA032E"/>
    <w:rsid w:val="57EA2A0F"/>
    <w:rsid w:val="57EC3281"/>
    <w:rsid w:val="57F22EC2"/>
    <w:rsid w:val="57FF52C2"/>
    <w:rsid w:val="58003366"/>
    <w:rsid w:val="580F4AE2"/>
    <w:rsid w:val="5811255D"/>
    <w:rsid w:val="58163064"/>
    <w:rsid w:val="5816330B"/>
    <w:rsid w:val="581666E6"/>
    <w:rsid w:val="5818245E"/>
    <w:rsid w:val="581B3CFC"/>
    <w:rsid w:val="58222FAC"/>
    <w:rsid w:val="58223AF8"/>
    <w:rsid w:val="582241C7"/>
    <w:rsid w:val="5825093C"/>
    <w:rsid w:val="582A1F91"/>
    <w:rsid w:val="582A39FB"/>
    <w:rsid w:val="583653C6"/>
    <w:rsid w:val="58382B00"/>
    <w:rsid w:val="583C223F"/>
    <w:rsid w:val="583D1EC5"/>
    <w:rsid w:val="583E5224"/>
    <w:rsid w:val="583E6D3C"/>
    <w:rsid w:val="58414213"/>
    <w:rsid w:val="58475473"/>
    <w:rsid w:val="584946AC"/>
    <w:rsid w:val="584C035A"/>
    <w:rsid w:val="584D1320"/>
    <w:rsid w:val="58523BC2"/>
    <w:rsid w:val="585255B0"/>
    <w:rsid w:val="58526210"/>
    <w:rsid w:val="58530F63"/>
    <w:rsid w:val="5862775F"/>
    <w:rsid w:val="58635207"/>
    <w:rsid w:val="586756F1"/>
    <w:rsid w:val="586E2CBD"/>
    <w:rsid w:val="587575A0"/>
    <w:rsid w:val="58771E67"/>
    <w:rsid w:val="5879252E"/>
    <w:rsid w:val="587A3596"/>
    <w:rsid w:val="58824652"/>
    <w:rsid w:val="588703B5"/>
    <w:rsid w:val="58874CDC"/>
    <w:rsid w:val="588E0B2D"/>
    <w:rsid w:val="588F1522"/>
    <w:rsid w:val="589143B8"/>
    <w:rsid w:val="58917DEE"/>
    <w:rsid w:val="58931AE5"/>
    <w:rsid w:val="58954A9A"/>
    <w:rsid w:val="589555B9"/>
    <w:rsid w:val="58984DB5"/>
    <w:rsid w:val="589917F1"/>
    <w:rsid w:val="589D2408"/>
    <w:rsid w:val="589E5C9B"/>
    <w:rsid w:val="58A27F7A"/>
    <w:rsid w:val="58A32966"/>
    <w:rsid w:val="58A5364D"/>
    <w:rsid w:val="58A649F2"/>
    <w:rsid w:val="58A81A34"/>
    <w:rsid w:val="58AE763F"/>
    <w:rsid w:val="58B17757"/>
    <w:rsid w:val="58B1795A"/>
    <w:rsid w:val="58B469F6"/>
    <w:rsid w:val="58C04BAC"/>
    <w:rsid w:val="58C11D94"/>
    <w:rsid w:val="58C360F6"/>
    <w:rsid w:val="58C626F4"/>
    <w:rsid w:val="58C919AA"/>
    <w:rsid w:val="58CA28F9"/>
    <w:rsid w:val="58CE0D6F"/>
    <w:rsid w:val="58D042ED"/>
    <w:rsid w:val="58DA1E34"/>
    <w:rsid w:val="58E95B2D"/>
    <w:rsid w:val="58ED7447"/>
    <w:rsid w:val="58F33FA5"/>
    <w:rsid w:val="58F509F1"/>
    <w:rsid w:val="58FA2261"/>
    <w:rsid w:val="58FB1A84"/>
    <w:rsid w:val="590105D3"/>
    <w:rsid w:val="59011144"/>
    <w:rsid w:val="59030A18"/>
    <w:rsid w:val="5906675A"/>
    <w:rsid w:val="59096026"/>
    <w:rsid w:val="590D1A1B"/>
    <w:rsid w:val="590E3DCD"/>
    <w:rsid w:val="59136835"/>
    <w:rsid w:val="59144B47"/>
    <w:rsid w:val="591742E3"/>
    <w:rsid w:val="591B4F5D"/>
    <w:rsid w:val="591D0B7D"/>
    <w:rsid w:val="59235B4C"/>
    <w:rsid w:val="59284FA8"/>
    <w:rsid w:val="5929150A"/>
    <w:rsid w:val="592A41FA"/>
    <w:rsid w:val="592E1CE6"/>
    <w:rsid w:val="592F4A12"/>
    <w:rsid w:val="59306EB1"/>
    <w:rsid w:val="59365ECD"/>
    <w:rsid w:val="59437B9F"/>
    <w:rsid w:val="594554D5"/>
    <w:rsid w:val="594740B6"/>
    <w:rsid w:val="59484C42"/>
    <w:rsid w:val="59493DF9"/>
    <w:rsid w:val="594E342F"/>
    <w:rsid w:val="59506632"/>
    <w:rsid w:val="5954396A"/>
    <w:rsid w:val="595726B1"/>
    <w:rsid w:val="59577367"/>
    <w:rsid w:val="595A2CE1"/>
    <w:rsid w:val="595E7161"/>
    <w:rsid w:val="59602F33"/>
    <w:rsid w:val="59611E07"/>
    <w:rsid w:val="59616525"/>
    <w:rsid w:val="59625A2D"/>
    <w:rsid w:val="59661A48"/>
    <w:rsid w:val="5969099A"/>
    <w:rsid w:val="596C2A61"/>
    <w:rsid w:val="596C33BD"/>
    <w:rsid w:val="596F1284"/>
    <w:rsid w:val="596F21A7"/>
    <w:rsid w:val="596F2552"/>
    <w:rsid w:val="59701E26"/>
    <w:rsid w:val="59725B9E"/>
    <w:rsid w:val="59734EFF"/>
    <w:rsid w:val="59774954"/>
    <w:rsid w:val="597D6BAC"/>
    <w:rsid w:val="5981799C"/>
    <w:rsid w:val="598269D2"/>
    <w:rsid w:val="598479A4"/>
    <w:rsid w:val="59872E05"/>
    <w:rsid w:val="598A36F6"/>
    <w:rsid w:val="59915D9D"/>
    <w:rsid w:val="59934492"/>
    <w:rsid w:val="59965A03"/>
    <w:rsid w:val="599F472B"/>
    <w:rsid w:val="59A13DC4"/>
    <w:rsid w:val="59A14C58"/>
    <w:rsid w:val="59A1562D"/>
    <w:rsid w:val="59A541C5"/>
    <w:rsid w:val="59A85A64"/>
    <w:rsid w:val="59B01E89"/>
    <w:rsid w:val="59B83EF9"/>
    <w:rsid w:val="59BA5735"/>
    <w:rsid w:val="59BC2451"/>
    <w:rsid w:val="59BE2450"/>
    <w:rsid w:val="59BE4103"/>
    <w:rsid w:val="59BF4640"/>
    <w:rsid w:val="59C2676B"/>
    <w:rsid w:val="59C34356"/>
    <w:rsid w:val="59CF09A0"/>
    <w:rsid w:val="59CF113C"/>
    <w:rsid w:val="59CF38E3"/>
    <w:rsid w:val="59D112F1"/>
    <w:rsid w:val="59D34AF6"/>
    <w:rsid w:val="59D50461"/>
    <w:rsid w:val="59D52CB9"/>
    <w:rsid w:val="59D82DE9"/>
    <w:rsid w:val="59DA161F"/>
    <w:rsid w:val="59DA6F89"/>
    <w:rsid w:val="59DC44B8"/>
    <w:rsid w:val="59DE508A"/>
    <w:rsid w:val="59DF41DE"/>
    <w:rsid w:val="59E67589"/>
    <w:rsid w:val="59E910B9"/>
    <w:rsid w:val="59EC3F66"/>
    <w:rsid w:val="59F056E4"/>
    <w:rsid w:val="59F10072"/>
    <w:rsid w:val="59F1740B"/>
    <w:rsid w:val="59F56FDA"/>
    <w:rsid w:val="59F66811"/>
    <w:rsid w:val="59F76E92"/>
    <w:rsid w:val="59FD2B85"/>
    <w:rsid w:val="59FE21C2"/>
    <w:rsid w:val="5A006ADF"/>
    <w:rsid w:val="5A01602E"/>
    <w:rsid w:val="5A03744D"/>
    <w:rsid w:val="5A0802B0"/>
    <w:rsid w:val="5A0A4028"/>
    <w:rsid w:val="5A111F61"/>
    <w:rsid w:val="5A131922"/>
    <w:rsid w:val="5A173AB2"/>
    <w:rsid w:val="5A1C429B"/>
    <w:rsid w:val="5A205010"/>
    <w:rsid w:val="5A21725E"/>
    <w:rsid w:val="5A255B38"/>
    <w:rsid w:val="5A267B67"/>
    <w:rsid w:val="5A272FC8"/>
    <w:rsid w:val="5A274BDA"/>
    <w:rsid w:val="5A28037F"/>
    <w:rsid w:val="5A2946FB"/>
    <w:rsid w:val="5A331FA7"/>
    <w:rsid w:val="5A3410A5"/>
    <w:rsid w:val="5A3504D8"/>
    <w:rsid w:val="5A372C69"/>
    <w:rsid w:val="5A380B96"/>
    <w:rsid w:val="5A3A2C3E"/>
    <w:rsid w:val="5A3C6C6B"/>
    <w:rsid w:val="5A3D101D"/>
    <w:rsid w:val="5A427392"/>
    <w:rsid w:val="5A44777C"/>
    <w:rsid w:val="5A4724D4"/>
    <w:rsid w:val="5A5359CF"/>
    <w:rsid w:val="5A591C0D"/>
    <w:rsid w:val="5A5B3AB6"/>
    <w:rsid w:val="5A604FF1"/>
    <w:rsid w:val="5A614B1A"/>
    <w:rsid w:val="5A626BAE"/>
    <w:rsid w:val="5A6558B4"/>
    <w:rsid w:val="5A6A6970"/>
    <w:rsid w:val="5A737CAF"/>
    <w:rsid w:val="5A7929C6"/>
    <w:rsid w:val="5A7C4F26"/>
    <w:rsid w:val="5A7F67C4"/>
    <w:rsid w:val="5A804D22"/>
    <w:rsid w:val="5A85684B"/>
    <w:rsid w:val="5A8C2C8F"/>
    <w:rsid w:val="5A8D128D"/>
    <w:rsid w:val="5A900CD3"/>
    <w:rsid w:val="5A904284"/>
    <w:rsid w:val="5A9052D6"/>
    <w:rsid w:val="5A917EE0"/>
    <w:rsid w:val="5A927254"/>
    <w:rsid w:val="5A99562C"/>
    <w:rsid w:val="5AA168D6"/>
    <w:rsid w:val="5AAB580B"/>
    <w:rsid w:val="5AAE18B0"/>
    <w:rsid w:val="5AAF48DF"/>
    <w:rsid w:val="5AB24583"/>
    <w:rsid w:val="5AB3357C"/>
    <w:rsid w:val="5AB34D0B"/>
    <w:rsid w:val="5AB65C83"/>
    <w:rsid w:val="5ABC3575"/>
    <w:rsid w:val="5AC15B84"/>
    <w:rsid w:val="5AC266B1"/>
    <w:rsid w:val="5AC31353"/>
    <w:rsid w:val="5AC661A1"/>
    <w:rsid w:val="5AC864E3"/>
    <w:rsid w:val="5ACA724D"/>
    <w:rsid w:val="5AD51A72"/>
    <w:rsid w:val="5AD54636"/>
    <w:rsid w:val="5AD71725"/>
    <w:rsid w:val="5ADF5317"/>
    <w:rsid w:val="5AE26499"/>
    <w:rsid w:val="5AE329DB"/>
    <w:rsid w:val="5AED2355"/>
    <w:rsid w:val="5AED7BD2"/>
    <w:rsid w:val="5AF47DA0"/>
    <w:rsid w:val="5AF92343"/>
    <w:rsid w:val="5AF9666C"/>
    <w:rsid w:val="5AFF070A"/>
    <w:rsid w:val="5B070518"/>
    <w:rsid w:val="5B07285D"/>
    <w:rsid w:val="5B0930E0"/>
    <w:rsid w:val="5B1909C7"/>
    <w:rsid w:val="5B205A3B"/>
    <w:rsid w:val="5B225781"/>
    <w:rsid w:val="5B2335F4"/>
    <w:rsid w:val="5B2A0D28"/>
    <w:rsid w:val="5B2B4256"/>
    <w:rsid w:val="5B302EAE"/>
    <w:rsid w:val="5B3F2968"/>
    <w:rsid w:val="5B411CCC"/>
    <w:rsid w:val="5B420901"/>
    <w:rsid w:val="5B444218"/>
    <w:rsid w:val="5B49104F"/>
    <w:rsid w:val="5B4F654B"/>
    <w:rsid w:val="5B5017AC"/>
    <w:rsid w:val="5B5A2D8E"/>
    <w:rsid w:val="5B5E287E"/>
    <w:rsid w:val="5B647755"/>
    <w:rsid w:val="5B6979EE"/>
    <w:rsid w:val="5B6E589D"/>
    <w:rsid w:val="5B747B2B"/>
    <w:rsid w:val="5B77290F"/>
    <w:rsid w:val="5B784226"/>
    <w:rsid w:val="5B816F68"/>
    <w:rsid w:val="5B8759B9"/>
    <w:rsid w:val="5B876FF1"/>
    <w:rsid w:val="5B8C5245"/>
    <w:rsid w:val="5B8D3163"/>
    <w:rsid w:val="5B90640D"/>
    <w:rsid w:val="5B972013"/>
    <w:rsid w:val="5B9B3BD6"/>
    <w:rsid w:val="5B9B60D1"/>
    <w:rsid w:val="5B9F1AC0"/>
    <w:rsid w:val="5BA86E0A"/>
    <w:rsid w:val="5BB81099"/>
    <w:rsid w:val="5BBA2B43"/>
    <w:rsid w:val="5BBA7C93"/>
    <w:rsid w:val="5BBD3A7B"/>
    <w:rsid w:val="5BBE0267"/>
    <w:rsid w:val="5BC270DD"/>
    <w:rsid w:val="5BC621D1"/>
    <w:rsid w:val="5BC70EC1"/>
    <w:rsid w:val="5BCD65B0"/>
    <w:rsid w:val="5BCD7094"/>
    <w:rsid w:val="5BD7618C"/>
    <w:rsid w:val="5BD82A18"/>
    <w:rsid w:val="5BDE6927"/>
    <w:rsid w:val="5BE663CF"/>
    <w:rsid w:val="5BE81193"/>
    <w:rsid w:val="5BE82147"/>
    <w:rsid w:val="5BEA1CFD"/>
    <w:rsid w:val="5BEB57FC"/>
    <w:rsid w:val="5BEC0CB6"/>
    <w:rsid w:val="5BEC1C38"/>
    <w:rsid w:val="5BEF24E2"/>
    <w:rsid w:val="5BF21832"/>
    <w:rsid w:val="5BF24C96"/>
    <w:rsid w:val="5BF46EA7"/>
    <w:rsid w:val="5BF65950"/>
    <w:rsid w:val="5BF8682E"/>
    <w:rsid w:val="5BFB1B82"/>
    <w:rsid w:val="5BFC7A73"/>
    <w:rsid w:val="5C0444BA"/>
    <w:rsid w:val="5C045974"/>
    <w:rsid w:val="5C08686E"/>
    <w:rsid w:val="5C0A136B"/>
    <w:rsid w:val="5C0A6562"/>
    <w:rsid w:val="5C0C257E"/>
    <w:rsid w:val="5C1473E0"/>
    <w:rsid w:val="5C185A80"/>
    <w:rsid w:val="5C28204E"/>
    <w:rsid w:val="5C284387"/>
    <w:rsid w:val="5C29540E"/>
    <w:rsid w:val="5C2C64D8"/>
    <w:rsid w:val="5C31457A"/>
    <w:rsid w:val="5C354D96"/>
    <w:rsid w:val="5C375B1D"/>
    <w:rsid w:val="5C3F3BEE"/>
    <w:rsid w:val="5C412022"/>
    <w:rsid w:val="5C45784D"/>
    <w:rsid w:val="5C4C7F07"/>
    <w:rsid w:val="5C503C1F"/>
    <w:rsid w:val="5C53280C"/>
    <w:rsid w:val="5C5575D0"/>
    <w:rsid w:val="5C5627A6"/>
    <w:rsid w:val="5C576B2E"/>
    <w:rsid w:val="5C5D4291"/>
    <w:rsid w:val="5C634B60"/>
    <w:rsid w:val="5C6A75C1"/>
    <w:rsid w:val="5C707B47"/>
    <w:rsid w:val="5C710C66"/>
    <w:rsid w:val="5C71213D"/>
    <w:rsid w:val="5C713FD0"/>
    <w:rsid w:val="5C7334E7"/>
    <w:rsid w:val="5C741140"/>
    <w:rsid w:val="5C74377D"/>
    <w:rsid w:val="5C76108B"/>
    <w:rsid w:val="5C796C27"/>
    <w:rsid w:val="5C797B9C"/>
    <w:rsid w:val="5C7D4F86"/>
    <w:rsid w:val="5C7F0CFE"/>
    <w:rsid w:val="5C7F7C8D"/>
    <w:rsid w:val="5C805D9D"/>
    <w:rsid w:val="5C806824"/>
    <w:rsid w:val="5C811016"/>
    <w:rsid w:val="5C857479"/>
    <w:rsid w:val="5C891B7C"/>
    <w:rsid w:val="5C8958FE"/>
    <w:rsid w:val="5C8A1E1D"/>
    <w:rsid w:val="5C92608B"/>
    <w:rsid w:val="5C9C2F95"/>
    <w:rsid w:val="5CA138C2"/>
    <w:rsid w:val="5CA34645"/>
    <w:rsid w:val="5CA565B3"/>
    <w:rsid w:val="5CA9021F"/>
    <w:rsid w:val="5CAB0B4D"/>
    <w:rsid w:val="5CAE3391"/>
    <w:rsid w:val="5CB12E81"/>
    <w:rsid w:val="5CB30B56"/>
    <w:rsid w:val="5CB7229E"/>
    <w:rsid w:val="5CBA1392"/>
    <w:rsid w:val="5CBF10FA"/>
    <w:rsid w:val="5CC74453"/>
    <w:rsid w:val="5CCE0C6B"/>
    <w:rsid w:val="5CD043F9"/>
    <w:rsid w:val="5CD86660"/>
    <w:rsid w:val="5CE241FD"/>
    <w:rsid w:val="5CE86F8C"/>
    <w:rsid w:val="5CEA711B"/>
    <w:rsid w:val="5CEB04C9"/>
    <w:rsid w:val="5CEE7C31"/>
    <w:rsid w:val="5CF71797"/>
    <w:rsid w:val="5CF74D38"/>
    <w:rsid w:val="5CF756A8"/>
    <w:rsid w:val="5CF7608A"/>
    <w:rsid w:val="5D070CE9"/>
    <w:rsid w:val="5D092070"/>
    <w:rsid w:val="5D095E94"/>
    <w:rsid w:val="5D0B6D51"/>
    <w:rsid w:val="5D0E5BDE"/>
    <w:rsid w:val="5D0F32E2"/>
    <w:rsid w:val="5D172CE4"/>
    <w:rsid w:val="5D185543"/>
    <w:rsid w:val="5D1B1AB2"/>
    <w:rsid w:val="5D1C10DF"/>
    <w:rsid w:val="5D1F3745"/>
    <w:rsid w:val="5D1F7DEB"/>
    <w:rsid w:val="5D21055F"/>
    <w:rsid w:val="5D212CC5"/>
    <w:rsid w:val="5D2334CC"/>
    <w:rsid w:val="5D270124"/>
    <w:rsid w:val="5D2D2508"/>
    <w:rsid w:val="5D314E8C"/>
    <w:rsid w:val="5D316D3F"/>
    <w:rsid w:val="5D322AA8"/>
    <w:rsid w:val="5D340DF9"/>
    <w:rsid w:val="5D367698"/>
    <w:rsid w:val="5D381106"/>
    <w:rsid w:val="5D3D0CCD"/>
    <w:rsid w:val="5D3E6583"/>
    <w:rsid w:val="5D431D2B"/>
    <w:rsid w:val="5D433029"/>
    <w:rsid w:val="5D45063D"/>
    <w:rsid w:val="5D4A242A"/>
    <w:rsid w:val="5D5228B3"/>
    <w:rsid w:val="5D533559"/>
    <w:rsid w:val="5D557591"/>
    <w:rsid w:val="5D5870B9"/>
    <w:rsid w:val="5D5A2A27"/>
    <w:rsid w:val="5D6531F1"/>
    <w:rsid w:val="5D67582D"/>
    <w:rsid w:val="5D6B74D4"/>
    <w:rsid w:val="5D6F60F1"/>
    <w:rsid w:val="5D703B0A"/>
    <w:rsid w:val="5D734BE0"/>
    <w:rsid w:val="5D754814"/>
    <w:rsid w:val="5D7643F6"/>
    <w:rsid w:val="5D7719D5"/>
    <w:rsid w:val="5D7C348F"/>
    <w:rsid w:val="5D855229"/>
    <w:rsid w:val="5D873FCD"/>
    <w:rsid w:val="5D8B5EAA"/>
    <w:rsid w:val="5D8E0C9B"/>
    <w:rsid w:val="5D8E518D"/>
    <w:rsid w:val="5D9748FB"/>
    <w:rsid w:val="5D98671D"/>
    <w:rsid w:val="5D9B41F0"/>
    <w:rsid w:val="5D9C4CC5"/>
    <w:rsid w:val="5D9F1247"/>
    <w:rsid w:val="5DA41EB0"/>
    <w:rsid w:val="5DA712E4"/>
    <w:rsid w:val="5DAB5B22"/>
    <w:rsid w:val="5DAD3649"/>
    <w:rsid w:val="5DAE2BF0"/>
    <w:rsid w:val="5DB20C5F"/>
    <w:rsid w:val="5DB31771"/>
    <w:rsid w:val="5DB657AE"/>
    <w:rsid w:val="5DBA2811"/>
    <w:rsid w:val="5DC17A41"/>
    <w:rsid w:val="5DC85989"/>
    <w:rsid w:val="5DCF0BF4"/>
    <w:rsid w:val="5DCF7A63"/>
    <w:rsid w:val="5DDC2D14"/>
    <w:rsid w:val="5DE62F05"/>
    <w:rsid w:val="5DEA6E36"/>
    <w:rsid w:val="5DF03535"/>
    <w:rsid w:val="5DF23751"/>
    <w:rsid w:val="5DF86036"/>
    <w:rsid w:val="5DFD0DA6"/>
    <w:rsid w:val="5DFD6725"/>
    <w:rsid w:val="5E022726"/>
    <w:rsid w:val="5E046D19"/>
    <w:rsid w:val="5E0F16C9"/>
    <w:rsid w:val="5E114573"/>
    <w:rsid w:val="5E125A4A"/>
    <w:rsid w:val="5E1831B8"/>
    <w:rsid w:val="5E1B424F"/>
    <w:rsid w:val="5E1F0B22"/>
    <w:rsid w:val="5E2558D5"/>
    <w:rsid w:val="5E261D61"/>
    <w:rsid w:val="5E27164D"/>
    <w:rsid w:val="5E287ED3"/>
    <w:rsid w:val="5E2D5E54"/>
    <w:rsid w:val="5E321914"/>
    <w:rsid w:val="5E325431"/>
    <w:rsid w:val="5E341674"/>
    <w:rsid w:val="5E3B582C"/>
    <w:rsid w:val="5E3C67C4"/>
    <w:rsid w:val="5E3D646B"/>
    <w:rsid w:val="5E403002"/>
    <w:rsid w:val="5E4D2736"/>
    <w:rsid w:val="5E4F3F78"/>
    <w:rsid w:val="5E547DA4"/>
    <w:rsid w:val="5E5F6123"/>
    <w:rsid w:val="5E60690D"/>
    <w:rsid w:val="5E6737F7"/>
    <w:rsid w:val="5E6C2693"/>
    <w:rsid w:val="5E6D388A"/>
    <w:rsid w:val="5E71553F"/>
    <w:rsid w:val="5E7708C8"/>
    <w:rsid w:val="5E79352B"/>
    <w:rsid w:val="5E821F33"/>
    <w:rsid w:val="5E8374BB"/>
    <w:rsid w:val="5E8C0452"/>
    <w:rsid w:val="5E8E2A3B"/>
    <w:rsid w:val="5E8E5228"/>
    <w:rsid w:val="5E8F45F3"/>
    <w:rsid w:val="5E95752D"/>
    <w:rsid w:val="5E975BD9"/>
    <w:rsid w:val="5E9860A7"/>
    <w:rsid w:val="5E9912E8"/>
    <w:rsid w:val="5E9C6DB0"/>
    <w:rsid w:val="5E9D546B"/>
    <w:rsid w:val="5EA71848"/>
    <w:rsid w:val="5EA7453C"/>
    <w:rsid w:val="5EB50B46"/>
    <w:rsid w:val="5EBC39A2"/>
    <w:rsid w:val="5EBE2261"/>
    <w:rsid w:val="5EBE3110"/>
    <w:rsid w:val="5ECA337A"/>
    <w:rsid w:val="5ECA43D6"/>
    <w:rsid w:val="5ECE4454"/>
    <w:rsid w:val="5ED24C9B"/>
    <w:rsid w:val="5ED42711"/>
    <w:rsid w:val="5ED42B77"/>
    <w:rsid w:val="5ED43B02"/>
    <w:rsid w:val="5ED817F5"/>
    <w:rsid w:val="5ED91CC8"/>
    <w:rsid w:val="5EDB45A9"/>
    <w:rsid w:val="5EDD2B3F"/>
    <w:rsid w:val="5EE00A1F"/>
    <w:rsid w:val="5EEC5CE3"/>
    <w:rsid w:val="5EEE4E80"/>
    <w:rsid w:val="5EF14391"/>
    <w:rsid w:val="5EF332DD"/>
    <w:rsid w:val="5EF6315F"/>
    <w:rsid w:val="5EF7101F"/>
    <w:rsid w:val="5EF77271"/>
    <w:rsid w:val="5F04066F"/>
    <w:rsid w:val="5F0408D3"/>
    <w:rsid w:val="5F054F33"/>
    <w:rsid w:val="5F0F0C81"/>
    <w:rsid w:val="5F0F7998"/>
    <w:rsid w:val="5F17145D"/>
    <w:rsid w:val="5F182D44"/>
    <w:rsid w:val="5F1A4D0E"/>
    <w:rsid w:val="5F1B5CA4"/>
    <w:rsid w:val="5F1B6898"/>
    <w:rsid w:val="5F232818"/>
    <w:rsid w:val="5F234253"/>
    <w:rsid w:val="5F24793A"/>
    <w:rsid w:val="5F283B0E"/>
    <w:rsid w:val="5F293B1B"/>
    <w:rsid w:val="5F2A22DF"/>
    <w:rsid w:val="5F2E65C5"/>
    <w:rsid w:val="5F3062DF"/>
    <w:rsid w:val="5F311287"/>
    <w:rsid w:val="5F32793B"/>
    <w:rsid w:val="5F3C1128"/>
    <w:rsid w:val="5F3C5FD9"/>
    <w:rsid w:val="5F3E25AC"/>
    <w:rsid w:val="5F4104EC"/>
    <w:rsid w:val="5F420856"/>
    <w:rsid w:val="5F427DC1"/>
    <w:rsid w:val="5F4668AA"/>
    <w:rsid w:val="5F4D0FCE"/>
    <w:rsid w:val="5F4F0E5B"/>
    <w:rsid w:val="5F533870"/>
    <w:rsid w:val="5F570AA6"/>
    <w:rsid w:val="5F5D07C6"/>
    <w:rsid w:val="5F6A1C2C"/>
    <w:rsid w:val="5F6B752F"/>
    <w:rsid w:val="5F6D682F"/>
    <w:rsid w:val="5F70492E"/>
    <w:rsid w:val="5F724B4A"/>
    <w:rsid w:val="5F7323CD"/>
    <w:rsid w:val="5F772160"/>
    <w:rsid w:val="5F783E00"/>
    <w:rsid w:val="5F7A0485"/>
    <w:rsid w:val="5F7B49D3"/>
    <w:rsid w:val="5F7E7748"/>
    <w:rsid w:val="5F8116F7"/>
    <w:rsid w:val="5F811ED6"/>
    <w:rsid w:val="5F816177"/>
    <w:rsid w:val="5F85448F"/>
    <w:rsid w:val="5F8B348B"/>
    <w:rsid w:val="5F930A7B"/>
    <w:rsid w:val="5F933BD1"/>
    <w:rsid w:val="5F9E2D8B"/>
    <w:rsid w:val="5F9F1AF5"/>
    <w:rsid w:val="5FA46886"/>
    <w:rsid w:val="5FAB3BB8"/>
    <w:rsid w:val="5FAE2DC3"/>
    <w:rsid w:val="5FAE7D9C"/>
    <w:rsid w:val="5FAF36A8"/>
    <w:rsid w:val="5FB93DED"/>
    <w:rsid w:val="5FBC5A0A"/>
    <w:rsid w:val="5FBD45A7"/>
    <w:rsid w:val="5FC10C13"/>
    <w:rsid w:val="5FC829BC"/>
    <w:rsid w:val="5FCA10F2"/>
    <w:rsid w:val="5FCB35FB"/>
    <w:rsid w:val="5FD054D2"/>
    <w:rsid w:val="5FD06547"/>
    <w:rsid w:val="5FD45C0C"/>
    <w:rsid w:val="5FD50C35"/>
    <w:rsid w:val="5FD51439"/>
    <w:rsid w:val="5FD8524E"/>
    <w:rsid w:val="5FDC4D04"/>
    <w:rsid w:val="5FE377F5"/>
    <w:rsid w:val="5FE51C35"/>
    <w:rsid w:val="5FE64BF0"/>
    <w:rsid w:val="5FE77AA9"/>
    <w:rsid w:val="5FEE7F16"/>
    <w:rsid w:val="5FF31ECE"/>
    <w:rsid w:val="5FF64B22"/>
    <w:rsid w:val="5FFA43B5"/>
    <w:rsid w:val="5FFA539B"/>
    <w:rsid w:val="5FFE7F0A"/>
    <w:rsid w:val="60003F04"/>
    <w:rsid w:val="60057C38"/>
    <w:rsid w:val="60072DCE"/>
    <w:rsid w:val="60076B58"/>
    <w:rsid w:val="6009588A"/>
    <w:rsid w:val="600A626B"/>
    <w:rsid w:val="600C433D"/>
    <w:rsid w:val="600C68E0"/>
    <w:rsid w:val="60117DC5"/>
    <w:rsid w:val="60133411"/>
    <w:rsid w:val="601B3520"/>
    <w:rsid w:val="601E084D"/>
    <w:rsid w:val="601E78CA"/>
    <w:rsid w:val="60200911"/>
    <w:rsid w:val="602A2D54"/>
    <w:rsid w:val="602D06B5"/>
    <w:rsid w:val="60310561"/>
    <w:rsid w:val="6031454E"/>
    <w:rsid w:val="60392C81"/>
    <w:rsid w:val="603E135D"/>
    <w:rsid w:val="6041161F"/>
    <w:rsid w:val="6042276E"/>
    <w:rsid w:val="60423096"/>
    <w:rsid w:val="60431934"/>
    <w:rsid w:val="6045041A"/>
    <w:rsid w:val="60456DEA"/>
    <w:rsid w:val="60484349"/>
    <w:rsid w:val="604949CC"/>
    <w:rsid w:val="604C7149"/>
    <w:rsid w:val="60536729"/>
    <w:rsid w:val="60536998"/>
    <w:rsid w:val="60561D75"/>
    <w:rsid w:val="6057789C"/>
    <w:rsid w:val="605C4EB2"/>
    <w:rsid w:val="60625175"/>
    <w:rsid w:val="607852BF"/>
    <w:rsid w:val="60790BFD"/>
    <w:rsid w:val="608032FA"/>
    <w:rsid w:val="608532B7"/>
    <w:rsid w:val="60855F63"/>
    <w:rsid w:val="6089791D"/>
    <w:rsid w:val="608E7761"/>
    <w:rsid w:val="608F5287"/>
    <w:rsid w:val="609214DB"/>
    <w:rsid w:val="60952DEE"/>
    <w:rsid w:val="609603C4"/>
    <w:rsid w:val="6096209C"/>
    <w:rsid w:val="60984C34"/>
    <w:rsid w:val="609A2273"/>
    <w:rsid w:val="609C117D"/>
    <w:rsid w:val="609C3355"/>
    <w:rsid w:val="609F1B33"/>
    <w:rsid w:val="60A13D31"/>
    <w:rsid w:val="60A4446D"/>
    <w:rsid w:val="60A819C6"/>
    <w:rsid w:val="60AA4CCD"/>
    <w:rsid w:val="60AA651C"/>
    <w:rsid w:val="60AC6FED"/>
    <w:rsid w:val="60AC77AE"/>
    <w:rsid w:val="60AE53AF"/>
    <w:rsid w:val="60B039A0"/>
    <w:rsid w:val="60B116A2"/>
    <w:rsid w:val="60B15183"/>
    <w:rsid w:val="60B90243"/>
    <w:rsid w:val="60B91957"/>
    <w:rsid w:val="60BD0FEA"/>
    <w:rsid w:val="60BE7DED"/>
    <w:rsid w:val="60C44177"/>
    <w:rsid w:val="60D4713E"/>
    <w:rsid w:val="60D6056A"/>
    <w:rsid w:val="60DB2563"/>
    <w:rsid w:val="60E4260C"/>
    <w:rsid w:val="60E4778C"/>
    <w:rsid w:val="60EA7F6B"/>
    <w:rsid w:val="60EB615E"/>
    <w:rsid w:val="60EE6452"/>
    <w:rsid w:val="60EE6A0D"/>
    <w:rsid w:val="60F03F78"/>
    <w:rsid w:val="60F5328B"/>
    <w:rsid w:val="60F903F6"/>
    <w:rsid w:val="60FD0925"/>
    <w:rsid w:val="610247E6"/>
    <w:rsid w:val="61026EFB"/>
    <w:rsid w:val="611212B4"/>
    <w:rsid w:val="61144EB1"/>
    <w:rsid w:val="61163042"/>
    <w:rsid w:val="6120141C"/>
    <w:rsid w:val="61202383"/>
    <w:rsid w:val="61203CD8"/>
    <w:rsid w:val="61224373"/>
    <w:rsid w:val="612273F9"/>
    <w:rsid w:val="61227C45"/>
    <w:rsid w:val="612A701D"/>
    <w:rsid w:val="612C1EAE"/>
    <w:rsid w:val="612E171F"/>
    <w:rsid w:val="612F12D2"/>
    <w:rsid w:val="61317910"/>
    <w:rsid w:val="61366E0A"/>
    <w:rsid w:val="6138629F"/>
    <w:rsid w:val="61391BC8"/>
    <w:rsid w:val="613A1697"/>
    <w:rsid w:val="613D7701"/>
    <w:rsid w:val="613E2F29"/>
    <w:rsid w:val="61406F42"/>
    <w:rsid w:val="61460CA6"/>
    <w:rsid w:val="6147266D"/>
    <w:rsid w:val="61500EBB"/>
    <w:rsid w:val="61510EFB"/>
    <w:rsid w:val="61520A88"/>
    <w:rsid w:val="6153290B"/>
    <w:rsid w:val="61543DC5"/>
    <w:rsid w:val="61596F28"/>
    <w:rsid w:val="61730705"/>
    <w:rsid w:val="617A3B89"/>
    <w:rsid w:val="617B4E74"/>
    <w:rsid w:val="618572B3"/>
    <w:rsid w:val="61860438"/>
    <w:rsid w:val="618B42A3"/>
    <w:rsid w:val="618B614D"/>
    <w:rsid w:val="618F19E3"/>
    <w:rsid w:val="618F1BCD"/>
    <w:rsid w:val="61914A31"/>
    <w:rsid w:val="61966BAF"/>
    <w:rsid w:val="61970898"/>
    <w:rsid w:val="619E7662"/>
    <w:rsid w:val="61A3478B"/>
    <w:rsid w:val="61AE36FE"/>
    <w:rsid w:val="61AE5BE1"/>
    <w:rsid w:val="61B03707"/>
    <w:rsid w:val="61B35437"/>
    <w:rsid w:val="61BF394A"/>
    <w:rsid w:val="61C1601E"/>
    <w:rsid w:val="61C34415"/>
    <w:rsid w:val="61C36D94"/>
    <w:rsid w:val="61CE1DDF"/>
    <w:rsid w:val="61CE776D"/>
    <w:rsid w:val="61CF09AB"/>
    <w:rsid w:val="61D5316E"/>
    <w:rsid w:val="61D64B22"/>
    <w:rsid w:val="61DB7278"/>
    <w:rsid w:val="61DC44FC"/>
    <w:rsid w:val="61DE7024"/>
    <w:rsid w:val="61E37639"/>
    <w:rsid w:val="61EC2E04"/>
    <w:rsid w:val="61ED2CB5"/>
    <w:rsid w:val="61F327E3"/>
    <w:rsid w:val="61F40A0D"/>
    <w:rsid w:val="61F41846"/>
    <w:rsid w:val="61F44BA5"/>
    <w:rsid w:val="61FC3A19"/>
    <w:rsid w:val="61FE118D"/>
    <w:rsid w:val="620818FE"/>
    <w:rsid w:val="620A5A65"/>
    <w:rsid w:val="620D46B6"/>
    <w:rsid w:val="620F1719"/>
    <w:rsid w:val="621041A6"/>
    <w:rsid w:val="62142794"/>
    <w:rsid w:val="6217367E"/>
    <w:rsid w:val="621A6DD3"/>
    <w:rsid w:val="621B1B9B"/>
    <w:rsid w:val="621E22D4"/>
    <w:rsid w:val="622331C9"/>
    <w:rsid w:val="62257C51"/>
    <w:rsid w:val="62291D8A"/>
    <w:rsid w:val="622B7A00"/>
    <w:rsid w:val="622E08CC"/>
    <w:rsid w:val="622E6850"/>
    <w:rsid w:val="62313DA5"/>
    <w:rsid w:val="623641F9"/>
    <w:rsid w:val="62373E29"/>
    <w:rsid w:val="623954AB"/>
    <w:rsid w:val="623C1B8D"/>
    <w:rsid w:val="623D2038"/>
    <w:rsid w:val="623F5520"/>
    <w:rsid w:val="6240391F"/>
    <w:rsid w:val="62446B35"/>
    <w:rsid w:val="624731B6"/>
    <w:rsid w:val="62477BFC"/>
    <w:rsid w:val="624A66F5"/>
    <w:rsid w:val="624C0958"/>
    <w:rsid w:val="624D3C77"/>
    <w:rsid w:val="624F5FC8"/>
    <w:rsid w:val="625247BE"/>
    <w:rsid w:val="625C3E0F"/>
    <w:rsid w:val="625C6A63"/>
    <w:rsid w:val="625D523E"/>
    <w:rsid w:val="625E0EF1"/>
    <w:rsid w:val="62600C89"/>
    <w:rsid w:val="62604730"/>
    <w:rsid w:val="62605164"/>
    <w:rsid w:val="62643B72"/>
    <w:rsid w:val="62651B6C"/>
    <w:rsid w:val="62663830"/>
    <w:rsid w:val="626927B8"/>
    <w:rsid w:val="627273AC"/>
    <w:rsid w:val="62764951"/>
    <w:rsid w:val="627B6200"/>
    <w:rsid w:val="62813525"/>
    <w:rsid w:val="628320D0"/>
    <w:rsid w:val="6288257A"/>
    <w:rsid w:val="62894684"/>
    <w:rsid w:val="628A21AA"/>
    <w:rsid w:val="628A4CA7"/>
    <w:rsid w:val="628C7CD0"/>
    <w:rsid w:val="628F77C1"/>
    <w:rsid w:val="6290252A"/>
    <w:rsid w:val="629C7054"/>
    <w:rsid w:val="629D3D58"/>
    <w:rsid w:val="62A34856"/>
    <w:rsid w:val="62AA5BDB"/>
    <w:rsid w:val="62AB6B75"/>
    <w:rsid w:val="62AC2F68"/>
    <w:rsid w:val="62AD04B4"/>
    <w:rsid w:val="62B21AE4"/>
    <w:rsid w:val="62B3483D"/>
    <w:rsid w:val="62B47F03"/>
    <w:rsid w:val="62C32C21"/>
    <w:rsid w:val="62C46576"/>
    <w:rsid w:val="62C579EC"/>
    <w:rsid w:val="62C83CA5"/>
    <w:rsid w:val="62CA0686"/>
    <w:rsid w:val="62D92C9B"/>
    <w:rsid w:val="62D95F81"/>
    <w:rsid w:val="62DC32BC"/>
    <w:rsid w:val="62DE71C4"/>
    <w:rsid w:val="62DF4795"/>
    <w:rsid w:val="62E418BB"/>
    <w:rsid w:val="62E66631"/>
    <w:rsid w:val="62EA5D2C"/>
    <w:rsid w:val="62EE0ADA"/>
    <w:rsid w:val="62F256F2"/>
    <w:rsid w:val="62F36540"/>
    <w:rsid w:val="62F45876"/>
    <w:rsid w:val="62F72598"/>
    <w:rsid w:val="62FC0121"/>
    <w:rsid w:val="62FD2D32"/>
    <w:rsid w:val="630516CD"/>
    <w:rsid w:val="63065CD5"/>
    <w:rsid w:val="630C2BBF"/>
    <w:rsid w:val="630F1459"/>
    <w:rsid w:val="63137A0E"/>
    <w:rsid w:val="631822F6"/>
    <w:rsid w:val="631A352E"/>
    <w:rsid w:val="631A5C4A"/>
    <w:rsid w:val="631F5FF2"/>
    <w:rsid w:val="63214DD4"/>
    <w:rsid w:val="63220635"/>
    <w:rsid w:val="632554A3"/>
    <w:rsid w:val="632570AD"/>
    <w:rsid w:val="63330B54"/>
    <w:rsid w:val="633640E0"/>
    <w:rsid w:val="634369D4"/>
    <w:rsid w:val="63461422"/>
    <w:rsid w:val="63482ED3"/>
    <w:rsid w:val="634924F6"/>
    <w:rsid w:val="634B514E"/>
    <w:rsid w:val="634E142A"/>
    <w:rsid w:val="634E4F86"/>
    <w:rsid w:val="63501120"/>
    <w:rsid w:val="6350241C"/>
    <w:rsid w:val="63585E05"/>
    <w:rsid w:val="635A0EB8"/>
    <w:rsid w:val="63626DDD"/>
    <w:rsid w:val="636370E9"/>
    <w:rsid w:val="636969D6"/>
    <w:rsid w:val="63703956"/>
    <w:rsid w:val="63747D62"/>
    <w:rsid w:val="63762E7B"/>
    <w:rsid w:val="637752F7"/>
    <w:rsid w:val="637C6B3C"/>
    <w:rsid w:val="63807109"/>
    <w:rsid w:val="63864720"/>
    <w:rsid w:val="63892AC9"/>
    <w:rsid w:val="638C5954"/>
    <w:rsid w:val="638D1F52"/>
    <w:rsid w:val="638D5B7C"/>
    <w:rsid w:val="63915AF6"/>
    <w:rsid w:val="63947B42"/>
    <w:rsid w:val="63952539"/>
    <w:rsid w:val="639C03E7"/>
    <w:rsid w:val="63A05284"/>
    <w:rsid w:val="63A16E7E"/>
    <w:rsid w:val="63A177AC"/>
    <w:rsid w:val="63A67BCF"/>
    <w:rsid w:val="63AC4910"/>
    <w:rsid w:val="63AE1984"/>
    <w:rsid w:val="63B05C41"/>
    <w:rsid w:val="63B13E74"/>
    <w:rsid w:val="63B2486E"/>
    <w:rsid w:val="63B57D1B"/>
    <w:rsid w:val="63B90713"/>
    <w:rsid w:val="63BD5E4C"/>
    <w:rsid w:val="63C25C12"/>
    <w:rsid w:val="63C82F8A"/>
    <w:rsid w:val="63C84BC3"/>
    <w:rsid w:val="63CC4EC7"/>
    <w:rsid w:val="63D52F02"/>
    <w:rsid w:val="63DA2CBD"/>
    <w:rsid w:val="63DB2E6E"/>
    <w:rsid w:val="63DB6012"/>
    <w:rsid w:val="63E34D49"/>
    <w:rsid w:val="63E5392E"/>
    <w:rsid w:val="63E83405"/>
    <w:rsid w:val="63E92F01"/>
    <w:rsid w:val="63EA704D"/>
    <w:rsid w:val="63F166C0"/>
    <w:rsid w:val="63F21DB5"/>
    <w:rsid w:val="63F55E9F"/>
    <w:rsid w:val="63FF133F"/>
    <w:rsid w:val="6402648D"/>
    <w:rsid w:val="64125E7C"/>
    <w:rsid w:val="641A36C1"/>
    <w:rsid w:val="641D4A61"/>
    <w:rsid w:val="641E0DFC"/>
    <w:rsid w:val="641F31CC"/>
    <w:rsid w:val="642212D6"/>
    <w:rsid w:val="64227C5A"/>
    <w:rsid w:val="64234383"/>
    <w:rsid w:val="64242B73"/>
    <w:rsid w:val="6426798C"/>
    <w:rsid w:val="64346872"/>
    <w:rsid w:val="643873C5"/>
    <w:rsid w:val="643B228F"/>
    <w:rsid w:val="643F48C3"/>
    <w:rsid w:val="64412796"/>
    <w:rsid w:val="644246CB"/>
    <w:rsid w:val="64487B9B"/>
    <w:rsid w:val="644E1BCF"/>
    <w:rsid w:val="64505BB2"/>
    <w:rsid w:val="645379B5"/>
    <w:rsid w:val="645613DE"/>
    <w:rsid w:val="64562340"/>
    <w:rsid w:val="645962D8"/>
    <w:rsid w:val="646507D9"/>
    <w:rsid w:val="646549D9"/>
    <w:rsid w:val="646754AC"/>
    <w:rsid w:val="646B1ECE"/>
    <w:rsid w:val="646B7E83"/>
    <w:rsid w:val="646C59A0"/>
    <w:rsid w:val="646D58E0"/>
    <w:rsid w:val="64700044"/>
    <w:rsid w:val="64717168"/>
    <w:rsid w:val="64744FDF"/>
    <w:rsid w:val="64763314"/>
    <w:rsid w:val="64790728"/>
    <w:rsid w:val="647C6CC8"/>
    <w:rsid w:val="647D743B"/>
    <w:rsid w:val="6486074F"/>
    <w:rsid w:val="648A5BFF"/>
    <w:rsid w:val="648A6492"/>
    <w:rsid w:val="648B3FB8"/>
    <w:rsid w:val="64921CC2"/>
    <w:rsid w:val="649D5F25"/>
    <w:rsid w:val="64A059D0"/>
    <w:rsid w:val="64A214CB"/>
    <w:rsid w:val="64A57F17"/>
    <w:rsid w:val="64A70ECC"/>
    <w:rsid w:val="64A77413"/>
    <w:rsid w:val="64A94D86"/>
    <w:rsid w:val="64B10CAB"/>
    <w:rsid w:val="64B13A1E"/>
    <w:rsid w:val="64B16958"/>
    <w:rsid w:val="64B66CA4"/>
    <w:rsid w:val="64B7699F"/>
    <w:rsid w:val="64BD335A"/>
    <w:rsid w:val="64C01EB3"/>
    <w:rsid w:val="64C124AF"/>
    <w:rsid w:val="64C146A5"/>
    <w:rsid w:val="64C611E6"/>
    <w:rsid w:val="64C73242"/>
    <w:rsid w:val="64CB50BC"/>
    <w:rsid w:val="64CC0858"/>
    <w:rsid w:val="64CC2B58"/>
    <w:rsid w:val="64D27AC2"/>
    <w:rsid w:val="64D611A6"/>
    <w:rsid w:val="64DA7159"/>
    <w:rsid w:val="64E13483"/>
    <w:rsid w:val="64EE6835"/>
    <w:rsid w:val="64F1206D"/>
    <w:rsid w:val="64F13811"/>
    <w:rsid w:val="64F27596"/>
    <w:rsid w:val="64F953C5"/>
    <w:rsid w:val="64FA3C26"/>
    <w:rsid w:val="6507106A"/>
    <w:rsid w:val="65085F18"/>
    <w:rsid w:val="650B2F54"/>
    <w:rsid w:val="65117C00"/>
    <w:rsid w:val="65150612"/>
    <w:rsid w:val="651A6F56"/>
    <w:rsid w:val="651C76EC"/>
    <w:rsid w:val="651D29FB"/>
    <w:rsid w:val="651E6BDA"/>
    <w:rsid w:val="651F18C8"/>
    <w:rsid w:val="65206DF6"/>
    <w:rsid w:val="65265B43"/>
    <w:rsid w:val="65293EFC"/>
    <w:rsid w:val="652A557F"/>
    <w:rsid w:val="652B5768"/>
    <w:rsid w:val="653434CD"/>
    <w:rsid w:val="65345D2E"/>
    <w:rsid w:val="65357ADB"/>
    <w:rsid w:val="6536135B"/>
    <w:rsid w:val="65385EEE"/>
    <w:rsid w:val="65440528"/>
    <w:rsid w:val="65444892"/>
    <w:rsid w:val="65482C37"/>
    <w:rsid w:val="655512DA"/>
    <w:rsid w:val="65580442"/>
    <w:rsid w:val="65591F7B"/>
    <w:rsid w:val="655A5E64"/>
    <w:rsid w:val="655D56B3"/>
    <w:rsid w:val="655D5954"/>
    <w:rsid w:val="6562530D"/>
    <w:rsid w:val="6565702A"/>
    <w:rsid w:val="656626FA"/>
    <w:rsid w:val="65674629"/>
    <w:rsid w:val="656B62C3"/>
    <w:rsid w:val="656C208F"/>
    <w:rsid w:val="656C422F"/>
    <w:rsid w:val="656D2107"/>
    <w:rsid w:val="656D2A2B"/>
    <w:rsid w:val="656F0561"/>
    <w:rsid w:val="656F62D4"/>
    <w:rsid w:val="65704A7B"/>
    <w:rsid w:val="657368BA"/>
    <w:rsid w:val="657C227E"/>
    <w:rsid w:val="657F31E2"/>
    <w:rsid w:val="6588414C"/>
    <w:rsid w:val="658F5D67"/>
    <w:rsid w:val="6590531D"/>
    <w:rsid w:val="65984BDE"/>
    <w:rsid w:val="659E2641"/>
    <w:rsid w:val="65A04022"/>
    <w:rsid w:val="65A11326"/>
    <w:rsid w:val="65A9401C"/>
    <w:rsid w:val="65B20CDB"/>
    <w:rsid w:val="65B35574"/>
    <w:rsid w:val="65B41784"/>
    <w:rsid w:val="65B747E6"/>
    <w:rsid w:val="65BB267B"/>
    <w:rsid w:val="65C21B14"/>
    <w:rsid w:val="65C2493F"/>
    <w:rsid w:val="65C35855"/>
    <w:rsid w:val="65C60574"/>
    <w:rsid w:val="65C618E2"/>
    <w:rsid w:val="65C65DFC"/>
    <w:rsid w:val="65CC737D"/>
    <w:rsid w:val="65CE0600"/>
    <w:rsid w:val="65CE70EA"/>
    <w:rsid w:val="65D11CC9"/>
    <w:rsid w:val="65D76F94"/>
    <w:rsid w:val="65D8322D"/>
    <w:rsid w:val="65DD59F5"/>
    <w:rsid w:val="65DE4DBC"/>
    <w:rsid w:val="65E262F0"/>
    <w:rsid w:val="65E9368C"/>
    <w:rsid w:val="65E96FB8"/>
    <w:rsid w:val="65EE3E3B"/>
    <w:rsid w:val="65EE47FE"/>
    <w:rsid w:val="65EE7FC1"/>
    <w:rsid w:val="65F24288"/>
    <w:rsid w:val="65F25956"/>
    <w:rsid w:val="65F311B5"/>
    <w:rsid w:val="65F75DA9"/>
    <w:rsid w:val="660C2F51"/>
    <w:rsid w:val="661269E4"/>
    <w:rsid w:val="6616155C"/>
    <w:rsid w:val="661640B1"/>
    <w:rsid w:val="6618290C"/>
    <w:rsid w:val="661E0ABD"/>
    <w:rsid w:val="662033CE"/>
    <w:rsid w:val="66231B64"/>
    <w:rsid w:val="66263F98"/>
    <w:rsid w:val="662A3575"/>
    <w:rsid w:val="6630312C"/>
    <w:rsid w:val="6631764A"/>
    <w:rsid w:val="6639183A"/>
    <w:rsid w:val="66397EE6"/>
    <w:rsid w:val="663A3697"/>
    <w:rsid w:val="663A3F34"/>
    <w:rsid w:val="664803B2"/>
    <w:rsid w:val="66482160"/>
    <w:rsid w:val="66484E0C"/>
    <w:rsid w:val="664F56E6"/>
    <w:rsid w:val="665178FB"/>
    <w:rsid w:val="66551203"/>
    <w:rsid w:val="6659364A"/>
    <w:rsid w:val="665F6DDE"/>
    <w:rsid w:val="66621295"/>
    <w:rsid w:val="66644DF5"/>
    <w:rsid w:val="6664699D"/>
    <w:rsid w:val="66657F9B"/>
    <w:rsid w:val="666F1DE3"/>
    <w:rsid w:val="666F3B91"/>
    <w:rsid w:val="667167D1"/>
    <w:rsid w:val="66770C98"/>
    <w:rsid w:val="667967BE"/>
    <w:rsid w:val="667B1085"/>
    <w:rsid w:val="667E5B82"/>
    <w:rsid w:val="66846F11"/>
    <w:rsid w:val="66861C46"/>
    <w:rsid w:val="66872C6C"/>
    <w:rsid w:val="66894BC4"/>
    <w:rsid w:val="66894BEB"/>
    <w:rsid w:val="668A09CB"/>
    <w:rsid w:val="668C014D"/>
    <w:rsid w:val="668E3529"/>
    <w:rsid w:val="668F4233"/>
    <w:rsid w:val="66925E1D"/>
    <w:rsid w:val="6696140D"/>
    <w:rsid w:val="669658EE"/>
    <w:rsid w:val="669727D3"/>
    <w:rsid w:val="66990C0E"/>
    <w:rsid w:val="66991D50"/>
    <w:rsid w:val="669929BC"/>
    <w:rsid w:val="66A331E7"/>
    <w:rsid w:val="66A64FA3"/>
    <w:rsid w:val="66AC520C"/>
    <w:rsid w:val="66AD7312"/>
    <w:rsid w:val="66B12C3F"/>
    <w:rsid w:val="66B426A9"/>
    <w:rsid w:val="66B64CAE"/>
    <w:rsid w:val="66B71094"/>
    <w:rsid w:val="66BB2D7B"/>
    <w:rsid w:val="66BB411C"/>
    <w:rsid w:val="66BB4BE8"/>
    <w:rsid w:val="66BE16E0"/>
    <w:rsid w:val="66BF597C"/>
    <w:rsid w:val="66C36E40"/>
    <w:rsid w:val="66CA49C4"/>
    <w:rsid w:val="66D954AE"/>
    <w:rsid w:val="66D96753"/>
    <w:rsid w:val="66DF6401"/>
    <w:rsid w:val="66E1073F"/>
    <w:rsid w:val="66E10D66"/>
    <w:rsid w:val="66E22EDB"/>
    <w:rsid w:val="66E52E22"/>
    <w:rsid w:val="66E6231C"/>
    <w:rsid w:val="66E705D9"/>
    <w:rsid w:val="66E75E1D"/>
    <w:rsid w:val="66EA1EFB"/>
    <w:rsid w:val="66EC3434"/>
    <w:rsid w:val="66EC4FC3"/>
    <w:rsid w:val="66EC51E2"/>
    <w:rsid w:val="66EC75C1"/>
    <w:rsid w:val="66ED23FB"/>
    <w:rsid w:val="66F606AE"/>
    <w:rsid w:val="66FC2629"/>
    <w:rsid w:val="66FC31EF"/>
    <w:rsid w:val="66FD13FE"/>
    <w:rsid w:val="670544F5"/>
    <w:rsid w:val="670964B1"/>
    <w:rsid w:val="670D4305"/>
    <w:rsid w:val="670E0B54"/>
    <w:rsid w:val="670E731B"/>
    <w:rsid w:val="67185FD7"/>
    <w:rsid w:val="67195BDD"/>
    <w:rsid w:val="671B4C60"/>
    <w:rsid w:val="671C049D"/>
    <w:rsid w:val="671E087F"/>
    <w:rsid w:val="67220595"/>
    <w:rsid w:val="67264120"/>
    <w:rsid w:val="672713CF"/>
    <w:rsid w:val="67297B5D"/>
    <w:rsid w:val="672E721B"/>
    <w:rsid w:val="673528D0"/>
    <w:rsid w:val="6737777F"/>
    <w:rsid w:val="67390A4E"/>
    <w:rsid w:val="673E681D"/>
    <w:rsid w:val="67404958"/>
    <w:rsid w:val="67486190"/>
    <w:rsid w:val="67491E01"/>
    <w:rsid w:val="674956D0"/>
    <w:rsid w:val="674B39A2"/>
    <w:rsid w:val="674E4785"/>
    <w:rsid w:val="67562A34"/>
    <w:rsid w:val="67562C61"/>
    <w:rsid w:val="675A2DE0"/>
    <w:rsid w:val="675A37D7"/>
    <w:rsid w:val="675D7E8D"/>
    <w:rsid w:val="676163FD"/>
    <w:rsid w:val="67647E76"/>
    <w:rsid w:val="67650C5A"/>
    <w:rsid w:val="67654F94"/>
    <w:rsid w:val="67671B4F"/>
    <w:rsid w:val="67697250"/>
    <w:rsid w:val="67736049"/>
    <w:rsid w:val="677447C6"/>
    <w:rsid w:val="6775060D"/>
    <w:rsid w:val="67782356"/>
    <w:rsid w:val="677B0266"/>
    <w:rsid w:val="67825B46"/>
    <w:rsid w:val="6785752C"/>
    <w:rsid w:val="678928DB"/>
    <w:rsid w:val="678E0047"/>
    <w:rsid w:val="67937692"/>
    <w:rsid w:val="679D101F"/>
    <w:rsid w:val="67A47E70"/>
    <w:rsid w:val="67A535E2"/>
    <w:rsid w:val="67A72718"/>
    <w:rsid w:val="67B10C2F"/>
    <w:rsid w:val="67B116EE"/>
    <w:rsid w:val="67B657F0"/>
    <w:rsid w:val="67B70710"/>
    <w:rsid w:val="67BC08BC"/>
    <w:rsid w:val="67BD73E8"/>
    <w:rsid w:val="67C00465"/>
    <w:rsid w:val="67C53719"/>
    <w:rsid w:val="67CE0D8B"/>
    <w:rsid w:val="67CF5116"/>
    <w:rsid w:val="67D01241"/>
    <w:rsid w:val="67D34770"/>
    <w:rsid w:val="67D6379C"/>
    <w:rsid w:val="67D77C40"/>
    <w:rsid w:val="67D8462D"/>
    <w:rsid w:val="67D9201D"/>
    <w:rsid w:val="67DC5230"/>
    <w:rsid w:val="67DE3759"/>
    <w:rsid w:val="67E34A62"/>
    <w:rsid w:val="67E66778"/>
    <w:rsid w:val="67EC2FBF"/>
    <w:rsid w:val="68001273"/>
    <w:rsid w:val="68004140"/>
    <w:rsid w:val="68056011"/>
    <w:rsid w:val="680774E2"/>
    <w:rsid w:val="680B6DE8"/>
    <w:rsid w:val="68107A49"/>
    <w:rsid w:val="681124FD"/>
    <w:rsid w:val="68130230"/>
    <w:rsid w:val="68130BFB"/>
    <w:rsid w:val="68142EF1"/>
    <w:rsid w:val="681755A7"/>
    <w:rsid w:val="681D003D"/>
    <w:rsid w:val="682328F6"/>
    <w:rsid w:val="682471D7"/>
    <w:rsid w:val="682978C8"/>
    <w:rsid w:val="682A51AE"/>
    <w:rsid w:val="682C7E23"/>
    <w:rsid w:val="682D040A"/>
    <w:rsid w:val="682D5AB2"/>
    <w:rsid w:val="683773C6"/>
    <w:rsid w:val="683C3F47"/>
    <w:rsid w:val="68407F3A"/>
    <w:rsid w:val="684954F3"/>
    <w:rsid w:val="684D680A"/>
    <w:rsid w:val="684F3BD0"/>
    <w:rsid w:val="684F484A"/>
    <w:rsid w:val="68542FB8"/>
    <w:rsid w:val="685A617B"/>
    <w:rsid w:val="685B3242"/>
    <w:rsid w:val="68617C05"/>
    <w:rsid w:val="686478F5"/>
    <w:rsid w:val="686A0AB4"/>
    <w:rsid w:val="686A2219"/>
    <w:rsid w:val="687069C7"/>
    <w:rsid w:val="68721150"/>
    <w:rsid w:val="687423D4"/>
    <w:rsid w:val="68746FA1"/>
    <w:rsid w:val="687515C2"/>
    <w:rsid w:val="687C45D0"/>
    <w:rsid w:val="687D69EF"/>
    <w:rsid w:val="687E156E"/>
    <w:rsid w:val="68820399"/>
    <w:rsid w:val="68835CD9"/>
    <w:rsid w:val="68850A0C"/>
    <w:rsid w:val="68891B98"/>
    <w:rsid w:val="68904D20"/>
    <w:rsid w:val="6890730D"/>
    <w:rsid w:val="68916EBF"/>
    <w:rsid w:val="689A0C6D"/>
    <w:rsid w:val="689F713F"/>
    <w:rsid w:val="68A35D74"/>
    <w:rsid w:val="68A613C0"/>
    <w:rsid w:val="68B640CB"/>
    <w:rsid w:val="68B67CF7"/>
    <w:rsid w:val="68BD62F8"/>
    <w:rsid w:val="68C302B9"/>
    <w:rsid w:val="68C74910"/>
    <w:rsid w:val="68C804DB"/>
    <w:rsid w:val="68CA77A4"/>
    <w:rsid w:val="68CC4E6E"/>
    <w:rsid w:val="68CF4DBB"/>
    <w:rsid w:val="68CF7246"/>
    <w:rsid w:val="68D34336"/>
    <w:rsid w:val="68D74CE3"/>
    <w:rsid w:val="68DA27F3"/>
    <w:rsid w:val="68DB3760"/>
    <w:rsid w:val="68DC4DE2"/>
    <w:rsid w:val="68E3245D"/>
    <w:rsid w:val="68E80438"/>
    <w:rsid w:val="68E87C2B"/>
    <w:rsid w:val="68EA585E"/>
    <w:rsid w:val="68EA746C"/>
    <w:rsid w:val="68EE5B69"/>
    <w:rsid w:val="68EF6EE2"/>
    <w:rsid w:val="68F11942"/>
    <w:rsid w:val="68F14D31"/>
    <w:rsid w:val="68F51DB6"/>
    <w:rsid w:val="68F73421"/>
    <w:rsid w:val="68FC41F3"/>
    <w:rsid w:val="69046090"/>
    <w:rsid w:val="69076ADD"/>
    <w:rsid w:val="69081040"/>
    <w:rsid w:val="690E610D"/>
    <w:rsid w:val="691479E5"/>
    <w:rsid w:val="69160A30"/>
    <w:rsid w:val="691C1682"/>
    <w:rsid w:val="69205616"/>
    <w:rsid w:val="6927411D"/>
    <w:rsid w:val="692C0EDF"/>
    <w:rsid w:val="692C5D11"/>
    <w:rsid w:val="693437F6"/>
    <w:rsid w:val="69361FF9"/>
    <w:rsid w:val="694109E6"/>
    <w:rsid w:val="694110E9"/>
    <w:rsid w:val="69474E37"/>
    <w:rsid w:val="69492010"/>
    <w:rsid w:val="695670DC"/>
    <w:rsid w:val="695750AF"/>
    <w:rsid w:val="69643755"/>
    <w:rsid w:val="69653029"/>
    <w:rsid w:val="6965582B"/>
    <w:rsid w:val="69674FF3"/>
    <w:rsid w:val="696A3AC0"/>
    <w:rsid w:val="696F0309"/>
    <w:rsid w:val="696F20FA"/>
    <w:rsid w:val="69705B32"/>
    <w:rsid w:val="69787200"/>
    <w:rsid w:val="697B45FB"/>
    <w:rsid w:val="697E2871"/>
    <w:rsid w:val="69852275"/>
    <w:rsid w:val="69867637"/>
    <w:rsid w:val="6987095D"/>
    <w:rsid w:val="698711F2"/>
    <w:rsid w:val="698935C0"/>
    <w:rsid w:val="698A025C"/>
    <w:rsid w:val="698C1570"/>
    <w:rsid w:val="6992469E"/>
    <w:rsid w:val="6994430D"/>
    <w:rsid w:val="6996107F"/>
    <w:rsid w:val="69962050"/>
    <w:rsid w:val="699A504F"/>
    <w:rsid w:val="699B4C9D"/>
    <w:rsid w:val="699D6BDF"/>
    <w:rsid w:val="69A1069E"/>
    <w:rsid w:val="69A37F5C"/>
    <w:rsid w:val="69A47FF6"/>
    <w:rsid w:val="69A55DAA"/>
    <w:rsid w:val="69A7402E"/>
    <w:rsid w:val="69A960A1"/>
    <w:rsid w:val="69AA3132"/>
    <w:rsid w:val="69B05D54"/>
    <w:rsid w:val="69B1626F"/>
    <w:rsid w:val="69B23B62"/>
    <w:rsid w:val="69BC3C21"/>
    <w:rsid w:val="69BF098B"/>
    <w:rsid w:val="69C20043"/>
    <w:rsid w:val="69C826A1"/>
    <w:rsid w:val="69C94386"/>
    <w:rsid w:val="69C949A4"/>
    <w:rsid w:val="69CA35A4"/>
    <w:rsid w:val="69CE3EE1"/>
    <w:rsid w:val="69D23D08"/>
    <w:rsid w:val="69D61DBC"/>
    <w:rsid w:val="69D7233F"/>
    <w:rsid w:val="69D9102B"/>
    <w:rsid w:val="69DA57C5"/>
    <w:rsid w:val="69DA721A"/>
    <w:rsid w:val="69DC569B"/>
    <w:rsid w:val="69E421A0"/>
    <w:rsid w:val="69E76134"/>
    <w:rsid w:val="69EA1D90"/>
    <w:rsid w:val="69EC2F4C"/>
    <w:rsid w:val="69F12EA6"/>
    <w:rsid w:val="69F66377"/>
    <w:rsid w:val="69F92903"/>
    <w:rsid w:val="69FA7873"/>
    <w:rsid w:val="69FC4669"/>
    <w:rsid w:val="69FD7893"/>
    <w:rsid w:val="6A046029"/>
    <w:rsid w:val="6A072332"/>
    <w:rsid w:val="6A100787"/>
    <w:rsid w:val="6A14250A"/>
    <w:rsid w:val="6A15460F"/>
    <w:rsid w:val="6A1908DC"/>
    <w:rsid w:val="6A2073DE"/>
    <w:rsid w:val="6A2A6814"/>
    <w:rsid w:val="6A2D5072"/>
    <w:rsid w:val="6A3205E4"/>
    <w:rsid w:val="6A325136"/>
    <w:rsid w:val="6A3264CC"/>
    <w:rsid w:val="6A355CBF"/>
    <w:rsid w:val="6A37046F"/>
    <w:rsid w:val="6A387DFC"/>
    <w:rsid w:val="6A3A4A86"/>
    <w:rsid w:val="6A3F7D1E"/>
    <w:rsid w:val="6A44089F"/>
    <w:rsid w:val="6A4E73DC"/>
    <w:rsid w:val="6A51320A"/>
    <w:rsid w:val="6A51544F"/>
    <w:rsid w:val="6A5B3DFF"/>
    <w:rsid w:val="6A5C391F"/>
    <w:rsid w:val="6A5D01A4"/>
    <w:rsid w:val="6A5F5EA6"/>
    <w:rsid w:val="6A5F7EF0"/>
    <w:rsid w:val="6A633A0D"/>
    <w:rsid w:val="6A6509FA"/>
    <w:rsid w:val="6A684DAE"/>
    <w:rsid w:val="6A6B1D0C"/>
    <w:rsid w:val="6A700969"/>
    <w:rsid w:val="6A72160B"/>
    <w:rsid w:val="6A724877"/>
    <w:rsid w:val="6A750FF0"/>
    <w:rsid w:val="6A7E5269"/>
    <w:rsid w:val="6A865571"/>
    <w:rsid w:val="6A8B08AC"/>
    <w:rsid w:val="6A8B42F1"/>
    <w:rsid w:val="6A8D6CDC"/>
    <w:rsid w:val="6A921342"/>
    <w:rsid w:val="6A930CBE"/>
    <w:rsid w:val="6A9E7F18"/>
    <w:rsid w:val="6AA048F1"/>
    <w:rsid w:val="6AA66A23"/>
    <w:rsid w:val="6AA83588"/>
    <w:rsid w:val="6AA90E48"/>
    <w:rsid w:val="6AAE4DFC"/>
    <w:rsid w:val="6AAF6C52"/>
    <w:rsid w:val="6AB20E0F"/>
    <w:rsid w:val="6AB50DF1"/>
    <w:rsid w:val="6AB565F2"/>
    <w:rsid w:val="6AB62CB6"/>
    <w:rsid w:val="6AB93D41"/>
    <w:rsid w:val="6ABA6EF4"/>
    <w:rsid w:val="6ABB6100"/>
    <w:rsid w:val="6ABD109F"/>
    <w:rsid w:val="6ABF3336"/>
    <w:rsid w:val="6AC364A4"/>
    <w:rsid w:val="6AD032E8"/>
    <w:rsid w:val="6AD16C8B"/>
    <w:rsid w:val="6AD20B92"/>
    <w:rsid w:val="6AD322BF"/>
    <w:rsid w:val="6AD93CCF"/>
    <w:rsid w:val="6ADF1321"/>
    <w:rsid w:val="6AE46A29"/>
    <w:rsid w:val="6AE9098B"/>
    <w:rsid w:val="6AEC0869"/>
    <w:rsid w:val="6AEC3D2A"/>
    <w:rsid w:val="6AEC6B4E"/>
    <w:rsid w:val="6AEF2842"/>
    <w:rsid w:val="6AEF2D5B"/>
    <w:rsid w:val="6AF43FAC"/>
    <w:rsid w:val="6AF44764"/>
    <w:rsid w:val="6AF54717"/>
    <w:rsid w:val="6AF56E4A"/>
    <w:rsid w:val="6AF705F9"/>
    <w:rsid w:val="6AF9611F"/>
    <w:rsid w:val="6B0B6C1B"/>
    <w:rsid w:val="6B0C5E52"/>
    <w:rsid w:val="6B0D5287"/>
    <w:rsid w:val="6B1169F9"/>
    <w:rsid w:val="6B14354A"/>
    <w:rsid w:val="6B1765A5"/>
    <w:rsid w:val="6B186E44"/>
    <w:rsid w:val="6B190515"/>
    <w:rsid w:val="6B1B1433"/>
    <w:rsid w:val="6B22166D"/>
    <w:rsid w:val="6B2219F7"/>
    <w:rsid w:val="6B2313EE"/>
    <w:rsid w:val="6B256F14"/>
    <w:rsid w:val="6B281815"/>
    <w:rsid w:val="6B2972FC"/>
    <w:rsid w:val="6B2E5C84"/>
    <w:rsid w:val="6B32518D"/>
    <w:rsid w:val="6B340F05"/>
    <w:rsid w:val="6B342947"/>
    <w:rsid w:val="6B355B93"/>
    <w:rsid w:val="6B39651C"/>
    <w:rsid w:val="6B3A1E5E"/>
    <w:rsid w:val="6B3A6865"/>
    <w:rsid w:val="6B3B4B64"/>
    <w:rsid w:val="6B3D73FB"/>
    <w:rsid w:val="6B401165"/>
    <w:rsid w:val="6B421874"/>
    <w:rsid w:val="6B455C57"/>
    <w:rsid w:val="6B4C5BEE"/>
    <w:rsid w:val="6B4D5D81"/>
    <w:rsid w:val="6B51565C"/>
    <w:rsid w:val="6B5415A7"/>
    <w:rsid w:val="6B5875B3"/>
    <w:rsid w:val="6B5972AA"/>
    <w:rsid w:val="6B637A3C"/>
    <w:rsid w:val="6B64181A"/>
    <w:rsid w:val="6B657311"/>
    <w:rsid w:val="6B662BA7"/>
    <w:rsid w:val="6B6B2AE0"/>
    <w:rsid w:val="6B704B14"/>
    <w:rsid w:val="6B76151E"/>
    <w:rsid w:val="6B7A07FC"/>
    <w:rsid w:val="6B80414A"/>
    <w:rsid w:val="6B8326DF"/>
    <w:rsid w:val="6B841E8D"/>
    <w:rsid w:val="6B8452A6"/>
    <w:rsid w:val="6B851547"/>
    <w:rsid w:val="6B871CF0"/>
    <w:rsid w:val="6B94642D"/>
    <w:rsid w:val="6B9B7FF2"/>
    <w:rsid w:val="6BA03510"/>
    <w:rsid w:val="6BA5443D"/>
    <w:rsid w:val="6BA979DF"/>
    <w:rsid w:val="6BAC3F89"/>
    <w:rsid w:val="6BAC7798"/>
    <w:rsid w:val="6BAE318D"/>
    <w:rsid w:val="6BAF40B2"/>
    <w:rsid w:val="6BB22E5F"/>
    <w:rsid w:val="6BB31CC1"/>
    <w:rsid w:val="6BB410F1"/>
    <w:rsid w:val="6BB43D54"/>
    <w:rsid w:val="6BB52B1F"/>
    <w:rsid w:val="6BBC35DE"/>
    <w:rsid w:val="6BC21BF5"/>
    <w:rsid w:val="6BCD7EBB"/>
    <w:rsid w:val="6BD3601F"/>
    <w:rsid w:val="6BDC4C6E"/>
    <w:rsid w:val="6BDD159D"/>
    <w:rsid w:val="6BDD46E3"/>
    <w:rsid w:val="6BDF3567"/>
    <w:rsid w:val="6BE10F68"/>
    <w:rsid w:val="6BE11186"/>
    <w:rsid w:val="6BE82D19"/>
    <w:rsid w:val="6BE90881"/>
    <w:rsid w:val="6BE97B6E"/>
    <w:rsid w:val="6BEA3700"/>
    <w:rsid w:val="6BEC06D3"/>
    <w:rsid w:val="6BEE37AA"/>
    <w:rsid w:val="6BF12DD8"/>
    <w:rsid w:val="6BF84522"/>
    <w:rsid w:val="6BFC7C1C"/>
    <w:rsid w:val="6BFE5F0F"/>
    <w:rsid w:val="6BFF1F68"/>
    <w:rsid w:val="6BFF59B7"/>
    <w:rsid w:val="6C092392"/>
    <w:rsid w:val="6C0C59DE"/>
    <w:rsid w:val="6C1345C6"/>
    <w:rsid w:val="6C18455E"/>
    <w:rsid w:val="6C342C19"/>
    <w:rsid w:val="6C347406"/>
    <w:rsid w:val="6C350CA3"/>
    <w:rsid w:val="6C360C9D"/>
    <w:rsid w:val="6C460BA8"/>
    <w:rsid w:val="6C4A1A14"/>
    <w:rsid w:val="6C4F02F4"/>
    <w:rsid w:val="6C557385"/>
    <w:rsid w:val="6C5F1FB2"/>
    <w:rsid w:val="6C613F7C"/>
    <w:rsid w:val="6C621AA2"/>
    <w:rsid w:val="6C644BDB"/>
    <w:rsid w:val="6C650B6D"/>
    <w:rsid w:val="6C6802A9"/>
    <w:rsid w:val="6C692AAD"/>
    <w:rsid w:val="6C6972D4"/>
    <w:rsid w:val="6C6A4059"/>
    <w:rsid w:val="6C755C79"/>
    <w:rsid w:val="6C765F89"/>
    <w:rsid w:val="6C7A3290"/>
    <w:rsid w:val="6C7D40F6"/>
    <w:rsid w:val="6C7F0515"/>
    <w:rsid w:val="6C81636B"/>
    <w:rsid w:val="6C844451"/>
    <w:rsid w:val="6C853749"/>
    <w:rsid w:val="6C88775B"/>
    <w:rsid w:val="6C8971E4"/>
    <w:rsid w:val="6C8C45E8"/>
    <w:rsid w:val="6C8D4A25"/>
    <w:rsid w:val="6C981AA1"/>
    <w:rsid w:val="6C994904"/>
    <w:rsid w:val="6C9C6D62"/>
    <w:rsid w:val="6CA500D6"/>
    <w:rsid w:val="6CA57F05"/>
    <w:rsid w:val="6CA60819"/>
    <w:rsid w:val="6CAA08FF"/>
    <w:rsid w:val="6CB17F43"/>
    <w:rsid w:val="6CB36CA1"/>
    <w:rsid w:val="6CB4218E"/>
    <w:rsid w:val="6CB50F1D"/>
    <w:rsid w:val="6CB54866"/>
    <w:rsid w:val="6CB8449D"/>
    <w:rsid w:val="6CBB2680"/>
    <w:rsid w:val="6CBD7D2C"/>
    <w:rsid w:val="6CBF010D"/>
    <w:rsid w:val="6CBF4286"/>
    <w:rsid w:val="6CC87B57"/>
    <w:rsid w:val="6CCD4AE9"/>
    <w:rsid w:val="6CCF7EE0"/>
    <w:rsid w:val="6CD9454E"/>
    <w:rsid w:val="6CDA5ADC"/>
    <w:rsid w:val="6CDE147E"/>
    <w:rsid w:val="6CDF7672"/>
    <w:rsid w:val="6CE0533D"/>
    <w:rsid w:val="6CE10E36"/>
    <w:rsid w:val="6CE72419"/>
    <w:rsid w:val="6CE7615C"/>
    <w:rsid w:val="6CEA6F45"/>
    <w:rsid w:val="6CEB06A7"/>
    <w:rsid w:val="6CEB2A7E"/>
    <w:rsid w:val="6CED7888"/>
    <w:rsid w:val="6CF23DD5"/>
    <w:rsid w:val="6CF52916"/>
    <w:rsid w:val="6CFA4C8B"/>
    <w:rsid w:val="6D000590"/>
    <w:rsid w:val="6D06277A"/>
    <w:rsid w:val="6D0A081D"/>
    <w:rsid w:val="6D0B2395"/>
    <w:rsid w:val="6D0C2CAE"/>
    <w:rsid w:val="6D102048"/>
    <w:rsid w:val="6D11236D"/>
    <w:rsid w:val="6D182877"/>
    <w:rsid w:val="6D1B49A3"/>
    <w:rsid w:val="6D1C63FE"/>
    <w:rsid w:val="6D1D6177"/>
    <w:rsid w:val="6D2167AB"/>
    <w:rsid w:val="6D260D22"/>
    <w:rsid w:val="6D2A4C41"/>
    <w:rsid w:val="6D2C5A42"/>
    <w:rsid w:val="6D301BA0"/>
    <w:rsid w:val="6D3171FA"/>
    <w:rsid w:val="6D33104D"/>
    <w:rsid w:val="6D352481"/>
    <w:rsid w:val="6D3C2C8D"/>
    <w:rsid w:val="6D3F7D7D"/>
    <w:rsid w:val="6D4136C5"/>
    <w:rsid w:val="6D435538"/>
    <w:rsid w:val="6D44393C"/>
    <w:rsid w:val="6D45084F"/>
    <w:rsid w:val="6D485F0B"/>
    <w:rsid w:val="6D4B1CD0"/>
    <w:rsid w:val="6D546114"/>
    <w:rsid w:val="6D582C4D"/>
    <w:rsid w:val="6D5F4AD8"/>
    <w:rsid w:val="6D635C5E"/>
    <w:rsid w:val="6D680548"/>
    <w:rsid w:val="6D6A50B2"/>
    <w:rsid w:val="6D6C2449"/>
    <w:rsid w:val="6D6C503B"/>
    <w:rsid w:val="6D747729"/>
    <w:rsid w:val="6D7743A6"/>
    <w:rsid w:val="6D791C7E"/>
    <w:rsid w:val="6D7C27F8"/>
    <w:rsid w:val="6D7F02BA"/>
    <w:rsid w:val="6D8103A7"/>
    <w:rsid w:val="6D836319"/>
    <w:rsid w:val="6D8B24B9"/>
    <w:rsid w:val="6D8C550F"/>
    <w:rsid w:val="6D8E7482"/>
    <w:rsid w:val="6D8F4B19"/>
    <w:rsid w:val="6D904C4E"/>
    <w:rsid w:val="6D913384"/>
    <w:rsid w:val="6D9133E9"/>
    <w:rsid w:val="6D974009"/>
    <w:rsid w:val="6D980CD4"/>
    <w:rsid w:val="6D982DEC"/>
    <w:rsid w:val="6D992BE2"/>
    <w:rsid w:val="6D9B526C"/>
    <w:rsid w:val="6DA11ABB"/>
    <w:rsid w:val="6DA5433C"/>
    <w:rsid w:val="6DA66712"/>
    <w:rsid w:val="6DA92440"/>
    <w:rsid w:val="6DAC1227"/>
    <w:rsid w:val="6DB52FCE"/>
    <w:rsid w:val="6DB8667B"/>
    <w:rsid w:val="6DBD23E7"/>
    <w:rsid w:val="6DC11AB0"/>
    <w:rsid w:val="6DC17062"/>
    <w:rsid w:val="6DC22492"/>
    <w:rsid w:val="6DC739B9"/>
    <w:rsid w:val="6DC9627D"/>
    <w:rsid w:val="6DCC18C9"/>
    <w:rsid w:val="6DCE1DA6"/>
    <w:rsid w:val="6DD10C8D"/>
    <w:rsid w:val="6DD62748"/>
    <w:rsid w:val="6DDB1B0C"/>
    <w:rsid w:val="6DDC6D8F"/>
    <w:rsid w:val="6DE174F1"/>
    <w:rsid w:val="6DE60E90"/>
    <w:rsid w:val="6DE739D0"/>
    <w:rsid w:val="6DEE383C"/>
    <w:rsid w:val="6DF160C2"/>
    <w:rsid w:val="6DF4356A"/>
    <w:rsid w:val="6DF826BE"/>
    <w:rsid w:val="6DFD5F26"/>
    <w:rsid w:val="6DFE57FA"/>
    <w:rsid w:val="6DFF15FF"/>
    <w:rsid w:val="6E076DA5"/>
    <w:rsid w:val="6E0978B1"/>
    <w:rsid w:val="6E0E14A5"/>
    <w:rsid w:val="6E1374F8"/>
    <w:rsid w:val="6E1B199E"/>
    <w:rsid w:val="6E1E59EC"/>
    <w:rsid w:val="6E1F6147"/>
    <w:rsid w:val="6E1F72FF"/>
    <w:rsid w:val="6E215587"/>
    <w:rsid w:val="6E216090"/>
    <w:rsid w:val="6E2434B3"/>
    <w:rsid w:val="6E254A5E"/>
    <w:rsid w:val="6E2734F4"/>
    <w:rsid w:val="6E2A4841"/>
    <w:rsid w:val="6E3851B0"/>
    <w:rsid w:val="6E3D6B2B"/>
    <w:rsid w:val="6E3F0B0A"/>
    <w:rsid w:val="6E4951ED"/>
    <w:rsid w:val="6E4E1555"/>
    <w:rsid w:val="6E503993"/>
    <w:rsid w:val="6E5306C4"/>
    <w:rsid w:val="6E533D98"/>
    <w:rsid w:val="6E535833"/>
    <w:rsid w:val="6E5973C9"/>
    <w:rsid w:val="6E6A7988"/>
    <w:rsid w:val="6E6B2B77"/>
    <w:rsid w:val="6E6B2EDB"/>
    <w:rsid w:val="6E6C7EF3"/>
    <w:rsid w:val="6E70494A"/>
    <w:rsid w:val="6E7066F8"/>
    <w:rsid w:val="6E7147F8"/>
    <w:rsid w:val="6E740549"/>
    <w:rsid w:val="6E785035"/>
    <w:rsid w:val="6E7B50D6"/>
    <w:rsid w:val="6E7D7FD2"/>
    <w:rsid w:val="6E7E7026"/>
    <w:rsid w:val="6E812EA8"/>
    <w:rsid w:val="6E827FF4"/>
    <w:rsid w:val="6E861EDC"/>
    <w:rsid w:val="6E874D0C"/>
    <w:rsid w:val="6E882180"/>
    <w:rsid w:val="6E903014"/>
    <w:rsid w:val="6E91020B"/>
    <w:rsid w:val="6E932028"/>
    <w:rsid w:val="6E942F90"/>
    <w:rsid w:val="6E9A3775"/>
    <w:rsid w:val="6EA13766"/>
    <w:rsid w:val="6EA32C9D"/>
    <w:rsid w:val="6EA33E17"/>
    <w:rsid w:val="6EA6051F"/>
    <w:rsid w:val="6EA71017"/>
    <w:rsid w:val="6EA7232C"/>
    <w:rsid w:val="6EAE18B9"/>
    <w:rsid w:val="6EB011EB"/>
    <w:rsid w:val="6EB044DB"/>
    <w:rsid w:val="6EB2181E"/>
    <w:rsid w:val="6EB23629"/>
    <w:rsid w:val="6EB32727"/>
    <w:rsid w:val="6EB42481"/>
    <w:rsid w:val="6EB6329A"/>
    <w:rsid w:val="6EB66CF0"/>
    <w:rsid w:val="6EB721CF"/>
    <w:rsid w:val="6EB829D2"/>
    <w:rsid w:val="6EBF31DC"/>
    <w:rsid w:val="6EC47D0F"/>
    <w:rsid w:val="6EC90112"/>
    <w:rsid w:val="6ECA4DFD"/>
    <w:rsid w:val="6ECC59CE"/>
    <w:rsid w:val="6ECF714A"/>
    <w:rsid w:val="6ED12AFD"/>
    <w:rsid w:val="6EE23446"/>
    <w:rsid w:val="6EE3511C"/>
    <w:rsid w:val="6EE822B8"/>
    <w:rsid w:val="6EE92F63"/>
    <w:rsid w:val="6EF03395"/>
    <w:rsid w:val="6EF22FE5"/>
    <w:rsid w:val="6EF71269"/>
    <w:rsid w:val="6EFA39C7"/>
    <w:rsid w:val="6EFA7650"/>
    <w:rsid w:val="6EFB53E0"/>
    <w:rsid w:val="6EFC4430"/>
    <w:rsid w:val="6EFE6CE7"/>
    <w:rsid w:val="6EFF41D7"/>
    <w:rsid w:val="6F0152A3"/>
    <w:rsid w:val="6F016FA5"/>
    <w:rsid w:val="6F0357BE"/>
    <w:rsid w:val="6F056371"/>
    <w:rsid w:val="6F0D3F47"/>
    <w:rsid w:val="6F110FE4"/>
    <w:rsid w:val="6F124664"/>
    <w:rsid w:val="6F190575"/>
    <w:rsid w:val="6F1B2B08"/>
    <w:rsid w:val="6F1F43D9"/>
    <w:rsid w:val="6F230A73"/>
    <w:rsid w:val="6F2D6698"/>
    <w:rsid w:val="6F347726"/>
    <w:rsid w:val="6F4437CA"/>
    <w:rsid w:val="6F484F7F"/>
    <w:rsid w:val="6F491923"/>
    <w:rsid w:val="6F4A519B"/>
    <w:rsid w:val="6F5E3207"/>
    <w:rsid w:val="6F5E4F17"/>
    <w:rsid w:val="6F5E66B5"/>
    <w:rsid w:val="6F604F44"/>
    <w:rsid w:val="6F632BBD"/>
    <w:rsid w:val="6F6618A9"/>
    <w:rsid w:val="6F67421D"/>
    <w:rsid w:val="6F6F58E3"/>
    <w:rsid w:val="6F7270DF"/>
    <w:rsid w:val="6F73060B"/>
    <w:rsid w:val="6F7915DC"/>
    <w:rsid w:val="6F7F353C"/>
    <w:rsid w:val="6F8008DC"/>
    <w:rsid w:val="6F82436C"/>
    <w:rsid w:val="6F83245B"/>
    <w:rsid w:val="6F8422F9"/>
    <w:rsid w:val="6F8D6F79"/>
    <w:rsid w:val="6F9062D1"/>
    <w:rsid w:val="6F944745"/>
    <w:rsid w:val="6F946416"/>
    <w:rsid w:val="6F974E54"/>
    <w:rsid w:val="6F9B7800"/>
    <w:rsid w:val="6F9D40B5"/>
    <w:rsid w:val="6FA37AB5"/>
    <w:rsid w:val="6FA42806"/>
    <w:rsid w:val="6FA45ABC"/>
    <w:rsid w:val="6FA614DB"/>
    <w:rsid w:val="6FAD34AA"/>
    <w:rsid w:val="6FB1482D"/>
    <w:rsid w:val="6FB25070"/>
    <w:rsid w:val="6FB37179"/>
    <w:rsid w:val="6FB72D5B"/>
    <w:rsid w:val="6FB8101D"/>
    <w:rsid w:val="6FBB1474"/>
    <w:rsid w:val="6FBC6BB3"/>
    <w:rsid w:val="6FBD61BB"/>
    <w:rsid w:val="6FBE0FE5"/>
    <w:rsid w:val="6FC32FC9"/>
    <w:rsid w:val="6FC860C0"/>
    <w:rsid w:val="6FCA642D"/>
    <w:rsid w:val="6FCC13E2"/>
    <w:rsid w:val="6FD2002B"/>
    <w:rsid w:val="6FD20CED"/>
    <w:rsid w:val="6FD42CB7"/>
    <w:rsid w:val="6FD62C0F"/>
    <w:rsid w:val="6FE62C23"/>
    <w:rsid w:val="6FE80510"/>
    <w:rsid w:val="6FED50BD"/>
    <w:rsid w:val="6FF4110E"/>
    <w:rsid w:val="6FF72778"/>
    <w:rsid w:val="7000457E"/>
    <w:rsid w:val="70041756"/>
    <w:rsid w:val="70052E52"/>
    <w:rsid w:val="70057FB0"/>
    <w:rsid w:val="70113500"/>
    <w:rsid w:val="70164751"/>
    <w:rsid w:val="70165A53"/>
    <w:rsid w:val="701B5529"/>
    <w:rsid w:val="701C582C"/>
    <w:rsid w:val="70205EFC"/>
    <w:rsid w:val="7023522E"/>
    <w:rsid w:val="70284C41"/>
    <w:rsid w:val="702F4DEA"/>
    <w:rsid w:val="703058D4"/>
    <w:rsid w:val="70321911"/>
    <w:rsid w:val="70333E81"/>
    <w:rsid w:val="703379DD"/>
    <w:rsid w:val="704219BB"/>
    <w:rsid w:val="704327AC"/>
    <w:rsid w:val="70463911"/>
    <w:rsid w:val="704E0CBB"/>
    <w:rsid w:val="70514307"/>
    <w:rsid w:val="70534CCD"/>
    <w:rsid w:val="70545373"/>
    <w:rsid w:val="705B15D4"/>
    <w:rsid w:val="705D4A5A"/>
    <w:rsid w:val="706D14C4"/>
    <w:rsid w:val="7071548E"/>
    <w:rsid w:val="707738FE"/>
    <w:rsid w:val="70773F48"/>
    <w:rsid w:val="707A337A"/>
    <w:rsid w:val="707B1500"/>
    <w:rsid w:val="707C19E4"/>
    <w:rsid w:val="707D3EE3"/>
    <w:rsid w:val="708642BC"/>
    <w:rsid w:val="70877F57"/>
    <w:rsid w:val="70883186"/>
    <w:rsid w:val="708C533F"/>
    <w:rsid w:val="708F162B"/>
    <w:rsid w:val="709320E2"/>
    <w:rsid w:val="709509FE"/>
    <w:rsid w:val="70973394"/>
    <w:rsid w:val="709A3FDE"/>
    <w:rsid w:val="709F1885"/>
    <w:rsid w:val="70A408DB"/>
    <w:rsid w:val="70A55E17"/>
    <w:rsid w:val="70A70ACB"/>
    <w:rsid w:val="70B462F1"/>
    <w:rsid w:val="70B87FE6"/>
    <w:rsid w:val="70B91E85"/>
    <w:rsid w:val="70BA51F8"/>
    <w:rsid w:val="70C0413A"/>
    <w:rsid w:val="70C27353"/>
    <w:rsid w:val="70C544A2"/>
    <w:rsid w:val="70C90342"/>
    <w:rsid w:val="70CC27BD"/>
    <w:rsid w:val="70CF00D6"/>
    <w:rsid w:val="70D51702"/>
    <w:rsid w:val="70D53670"/>
    <w:rsid w:val="70D867D7"/>
    <w:rsid w:val="70DB6CEA"/>
    <w:rsid w:val="70E039D9"/>
    <w:rsid w:val="70E932B8"/>
    <w:rsid w:val="70E958AD"/>
    <w:rsid w:val="70EB650A"/>
    <w:rsid w:val="70F27898"/>
    <w:rsid w:val="70F727E4"/>
    <w:rsid w:val="70F76C5D"/>
    <w:rsid w:val="70FC035A"/>
    <w:rsid w:val="70FF7F97"/>
    <w:rsid w:val="71015CE7"/>
    <w:rsid w:val="71025602"/>
    <w:rsid w:val="7103226E"/>
    <w:rsid w:val="710607D2"/>
    <w:rsid w:val="710626E8"/>
    <w:rsid w:val="71075B1A"/>
    <w:rsid w:val="710B32ED"/>
    <w:rsid w:val="710C022E"/>
    <w:rsid w:val="710F61AD"/>
    <w:rsid w:val="710F6D9B"/>
    <w:rsid w:val="711553AB"/>
    <w:rsid w:val="71167202"/>
    <w:rsid w:val="71185F51"/>
    <w:rsid w:val="7123474F"/>
    <w:rsid w:val="712366BE"/>
    <w:rsid w:val="712C1EB1"/>
    <w:rsid w:val="713325D5"/>
    <w:rsid w:val="71351C2D"/>
    <w:rsid w:val="7135307A"/>
    <w:rsid w:val="713779A1"/>
    <w:rsid w:val="71387C65"/>
    <w:rsid w:val="71394FA1"/>
    <w:rsid w:val="713B4AEE"/>
    <w:rsid w:val="713E488C"/>
    <w:rsid w:val="71407548"/>
    <w:rsid w:val="714A76D4"/>
    <w:rsid w:val="714B24D0"/>
    <w:rsid w:val="714D46DB"/>
    <w:rsid w:val="714E4D0A"/>
    <w:rsid w:val="715045BF"/>
    <w:rsid w:val="7154712F"/>
    <w:rsid w:val="7155244F"/>
    <w:rsid w:val="715633C1"/>
    <w:rsid w:val="715C4459"/>
    <w:rsid w:val="71656F59"/>
    <w:rsid w:val="71690B83"/>
    <w:rsid w:val="716F06CC"/>
    <w:rsid w:val="717E062E"/>
    <w:rsid w:val="71810C1C"/>
    <w:rsid w:val="71826BBE"/>
    <w:rsid w:val="71833D56"/>
    <w:rsid w:val="718A3256"/>
    <w:rsid w:val="718F7BF0"/>
    <w:rsid w:val="7195403D"/>
    <w:rsid w:val="71970440"/>
    <w:rsid w:val="719C5A56"/>
    <w:rsid w:val="71A010A2"/>
    <w:rsid w:val="71A14F80"/>
    <w:rsid w:val="71A25A80"/>
    <w:rsid w:val="71A26DA9"/>
    <w:rsid w:val="71A31B56"/>
    <w:rsid w:val="71AB5C99"/>
    <w:rsid w:val="71AF08B6"/>
    <w:rsid w:val="71B11502"/>
    <w:rsid w:val="71B6071C"/>
    <w:rsid w:val="71B75C95"/>
    <w:rsid w:val="71B92D70"/>
    <w:rsid w:val="71BB5DCC"/>
    <w:rsid w:val="71C6490B"/>
    <w:rsid w:val="71CA0BB8"/>
    <w:rsid w:val="71CB2FDE"/>
    <w:rsid w:val="71CF7D1E"/>
    <w:rsid w:val="71D106A3"/>
    <w:rsid w:val="71D451F0"/>
    <w:rsid w:val="71D8293B"/>
    <w:rsid w:val="71D85425"/>
    <w:rsid w:val="71DE17D2"/>
    <w:rsid w:val="71DE367D"/>
    <w:rsid w:val="71E23BAB"/>
    <w:rsid w:val="71E65170"/>
    <w:rsid w:val="71F25676"/>
    <w:rsid w:val="71F33D12"/>
    <w:rsid w:val="71F96A05"/>
    <w:rsid w:val="71FC7F37"/>
    <w:rsid w:val="72041487"/>
    <w:rsid w:val="720D181E"/>
    <w:rsid w:val="720E6FC7"/>
    <w:rsid w:val="721038C8"/>
    <w:rsid w:val="72207EB6"/>
    <w:rsid w:val="7227337A"/>
    <w:rsid w:val="722D62CB"/>
    <w:rsid w:val="723A002A"/>
    <w:rsid w:val="723B2190"/>
    <w:rsid w:val="723C589F"/>
    <w:rsid w:val="723E4EF6"/>
    <w:rsid w:val="72420B03"/>
    <w:rsid w:val="724323E5"/>
    <w:rsid w:val="724759C2"/>
    <w:rsid w:val="724C0801"/>
    <w:rsid w:val="724C122A"/>
    <w:rsid w:val="725400DF"/>
    <w:rsid w:val="725539E4"/>
    <w:rsid w:val="72590FE3"/>
    <w:rsid w:val="72592E9F"/>
    <w:rsid w:val="725D5B64"/>
    <w:rsid w:val="726172E5"/>
    <w:rsid w:val="726245AA"/>
    <w:rsid w:val="726578D3"/>
    <w:rsid w:val="726A4575"/>
    <w:rsid w:val="726C6075"/>
    <w:rsid w:val="726D3A58"/>
    <w:rsid w:val="7272789D"/>
    <w:rsid w:val="727452C8"/>
    <w:rsid w:val="72774F8C"/>
    <w:rsid w:val="727863D2"/>
    <w:rsid w:val="72792E17"/>
    <w:rsid w:val="727B2844"/>
    <w:rsid w:val="72811156"/>
    <w:rsid w:val="728304BF"/>
    <w:rsid w:val="72830659"/>
    <w:rsid w:val="72836C08"/>
    <w:rsid w:val="7285083D"/>
    <w:rsid w:val="72896525"/>
    <w:rsid w:val="728C3D1E"/>
    <w:rsid w:val="728C74CE"/>
    <w:rsid w:val="728F1117"/>
    <w:rsid w:val="72932361"/>
    <w:rsid w:val="729349BA"/>
    <w:rsid w:val="72943E84"/>
    <w:rsid w:val="729862B5"/>
    <w:rsid w:val="72986B4F"/>
    <w:rsid w:val="729A7784"/>
    <w:rsid w:val="729B0432"/>
    <w:rsid w:val="729B3711"/>
    <w:rsid w:val="72A8015D"/>
    <w:rsid w:val="72A921D9"/>
    <w:rsid w:val="72AB2438"/>
    <w:rsid w:val="72AB5F51"/>
    <w:rsid w:val="72AC0022"/>
    <w:rsid w:val="72AF11DE"/>
    <w:rsid w:val="72B822D0"/>
    <w:rsid w:val="72BD00F3"/>
    <w:rsid w:val="72BF310E"/>
    <w:rsid w:val="72C41B88"/>
    <w:rsid w:val="72C521D3"/>
    <w:rsid w:val="72C56F8E"/>
    <w:rsid w:val="72CC306E"/>
    <w:rsid w:val="72CE52AB"/>
    <w:rsid w:val="72D57472"/>
    <w:rsid w:val="72D84E2B"/>
    <w:rsid w:val="72DA42A3"/>
    <w:rsid w:val="72DF209E"/>
    <w:rsid w:val="72E17BC5"/>
    <w:rsid w:val="72E413FF"/>
    <w:rsid w:val="72E4592D"/>
    <w:rsid w:val="72E81FF3"/>
    <w:rsid w:val="72E921F2"/>
    <w:rsid w:val="72FC28DD"/>
    <w:rsid w:val="72FE652C"/>
    <w:rsid w:val="72FF6166"/>
    <w:rsid w:val="73027B3B"/>
    <w:rsid w:val="730F3390"/>
    <w:rsid w:val="730F40ED"/>
    <w:rsid w:val="730F76ED"/>
    <w:rsid w:val="731C6E4F"/>
    <w:rsid w:val="73201BE9"/>
    <w:rsid w:val="73286001"/>
    <w:rsid w:val="732A2537"/>
    <w:rsid w:val="732F384C"/>
    <w:rsid w:val="73315FBA"/>
    <w:rsid w:val="73334198"/>
    <w:rsid w:val="733402AF"/>
    <w:rsid w:val="73344672"/>
    <w:rsid w:val="73380D46"/>
    <w:rsid w:val="733B3BF0"/>
    <w:rsid w:val="73414465"/>
    <w:rsid w:val="7341558E"/>
    <w:rsid w:val="734261D3"/>
    <w:rsid w:val="73431272"/>
    <w:rsid w:val="73441F01"/>
    <w:rsid w:val="734616B3"/>
    <w:rsid w:val="734A2C61"/>
    <w:rsid w:val="734A408C"/>
    <w:rsid w:val="735C724B"/>
    <w:rsid w:val="73617A6A"/>
    <w:rsid w:val="73632D3F"/>
    <w:rsid w:val="736B1B84"/>
    <w:rsid w:val="736B3522"/>
    <w:rsid w:val="736F0F8F"/>
    <w:rsid w:val="73755D1A"/>
    <w:rsid w:val="73781EB7"/>
    <w:rsid w:val="737A2754"/>
    <w:rsid w:val="73814815"/>
    <w:rsid w:val="738D59E6"/>
    <w:rsid w:val="739509AF"/>
    <w:rsid w:val="739947C4"/>
    <w:rsid w:val="739968B8"/>
    <w:rsid w:val="739A2A84"/>
    <w:rsid w:val="739B0547"/>
    <w:rsid w:val="739B5188"/>
    <w:rsid w:val="73A3131E"/>
    <w:rsid w:val="73A61991"/>
    <w:rsid w:val="73A74DF3"/>
    <w:rsid w:val="73AD5CF9"/>
    <w:rsid w:val="73AD6273"/>
    <w:rsid w:val="73AE08A7"/>
    <w:rsid w:val="73AE0BDA"/>
    <w:rsid w:val="73AF18FF"/>
    <w:rsid w:val="73B37E88"/>
    <w:rsid w:val="73B40E35"/>
    <w:rsid w:val="73B4221F"/>
    <w:rsid w:val="73BA7B7E"/>
    <w:rsid w:val="73BE7F06"/>
    <w:rsid w:val="73C05D0C"/>
    <w:rsid w:val="73C80D84"/>
    <w:rsid w:val="73CE4268"/>
    <w:rsid w:val="73D56B04"/>
    <w:rsid w:val="73D612AB"/>
    <w:rsid w:val="73D67E93"/>
    <w:rsid w:val="73DE2356"/>
    <w:rsid w:val="73E147EF"/>
    <w:rsid w:val="73E322FA"/>
    <w:rsid w:val="73E40D66"/>
    <w:rsid w:val="73E536E4"/>
    <w:rsid w:val="73E97A0F"/>
    <w:rsid w:val="73EB4A9D"/>
    <w:rsid w:val="73EC0F59"/>
    <w:rsid w:val="73EF4563"/>
    <w:rsid w:val="73EF7012"/>
    <w:rsid w:val="73F1375A"/>
    <w:rsid w:val="73F1457D"/>
    <w:rsid w:val="73F2195D"/>
    <w:rsid w:val="73F337A3"/>
    <w:rsid w:val="73F41E04"/>
    <w:rsid w:val="73F47FAE"/>
    <w:rsid w:val="73F83303"/>
    <w:rsid w:val="73FB7ACD"/>
    <w:rsid w:val="73FE0302"/>
    <w:rsid w:val="740269B7"/>
    <w:rsid w:val="74031DBD"/>
    <w:rsid w:val="740A4EF9"/>
    <w:rsid w:val="74122000"/>
    <w:rsid w:val="74122DF9"/>
    <w:rsid w:val="7416554C"/>
    <w:rsid w:val="741713C4"/>
    <w:rsid w:val="74190713"/>
    <w:rsid w:val="7419338E"/>
    <w:rsid w:val="741E766F"/>
    <w:rsid w:val="74257F85"/>
    <w:rsid w:val="74275AAB"/>
    <w:rsid w:val="742C131F"/>
    <w:rsid w:val="742F23D4"/>
    <w:rsid w:val="742F6294"/>
    <w:rsid w:val="74304206"/>
    <w:rsid w:val="743261FE"/>
    <w:rsid w:val="74331B5C"/>
    <w:rsid w:val="743326A2"/>
    <w:rsid w:val="7435087C"/>
    <w:rsid w:val="74367A9C"/>
    <w:rsid w:val="74367E9B"/>
    <w:rsid w:val="743A017B"/>
    <w:rsid w:val="743C0E2B"/>
    <w:rsid w:val="743D2DFF"/>
    <w:rsid w:val="743D7D12"/>
    <w:rsid w:val="743F402E"/>
    <w:rsid w:val="744018A7"/>
    <w:rsid w:val="74426D9E"/>
    <w:rsid w:val="744275EA"/>
    <w:rsid w:val="744734AD"/>
    <w:rsid w:val="744A2D86"/>
    <w:rsid w:val="744B6DE7"/>
    <w:rsid w:val="744D4708"/>
    <w:rsid w:val="744F6DB0"/>
    <w:rsid w:val="745117AB"/>
    <w:rsid w:val="74515406"/>
    <w:rsid w:val="74592522"/>
    <w:rsid w:val="745C2CA7"/>
    <w:rsid w:val="745F3497"/>
    <w:rsid w:val="74602D6B"/>
    <w:rsid w:val="746A2CFE"/>
    <w:rsid w:val="746C7640"/>
    <w:rsid w:val="74730CF0"/>
    <w:rsid w:val="74771624"/>
    <w:rsid w:val="747720CE"/>
    <w:rsid w:val="747777A9"/>
    <w:rsid w:val="747C65FA"/>
    <w:rsid w:val="747E4337"/>
    <w:rsid w:val="74893A41"/>
    <w:rsid w:val="748A55A8"/>
    <w:rsid w:val="748C3156"/>
    <w:rsid w:val="748D341F"/>
    <w:rsid w:val="748F53FE"/>
    <w:rsid w:val="74936C9D"/>
    <w:rsid w:val="74942A15"/>
    <w:rsid w:val="74970DE7"/>
    <w:rsid w:val="749842DE"/>
    <w:rsid w:val="74990236"/>
    <w:rsid w:val="749D44B0"/>
    <w:rsid w:val="74A145D1"/>
    <w:rsid w:val="74A45DEB"/>
    <w:rsid w:val="74AB02D5"/>
    <w:rsid w:val="74B164A8"/>
    <w:rsid w:val="74B35591"/>
    <w:rsid w:val="74B541D4"/>
    <w:rsid w:val="74B952D1"/>
    <w:rsid w:val="74D53759"/>
    <w:rsid w:val="74D6388E"/>
    <w:rsid w:val="74D73CEA"/>
    <w:rsid w:val="74E601F9"/>
    <w:rsid w:val="74E959DE"/>
    <w:rsid w:val="74EC6EE4"/>
    <w:rsid w:val="74F92123"/>
    <w:rsid w:val="74FD538E"/>
    <w:rsid w:val="750116C8"/>
    <w:rsid w:val="750137A0"/>
    <w:rsid w:val="75032A72"/>
    <w:rsid w:val="75042740"/>
    <w:rsid w:val="750925C3"/>
    <w:rsid w:val="750B34A9"/>
    <w:rsid w:val="750F6E4F"/>
    <w:rsid w:val="751224DC"/>
    <w:rsid w:val="75135565"/>
    <w:rsid w:val="75183646"/>
    <w:rsid w:val="751D2D22"/>
    <w:rsid w:val="751E2195"/>
    <w:rsid w:val="751F048B"/>
    <w:rsid w:val="751F2C26"/>
    <w:rsid w:val="751F3734"/>
    <w:rsid w:val="7521699E"/>
    <w:rsid w:val="752F1D91"/>
    <w:rsid w:val="75303EF1"/>
    <w:rsid w:val="75322481"/>
    <w:rsid w:val="7532750E"/>
    <w:rsid w:val="753D6839"/>
    <w:rsid w:val="753E1AE3"/>
    <w:rsid w:val="75470E99"/>
    <w:rsid w:val="75475CD9"/>
    <w:rsid w:val="75477BCA"/>
    <w:rsid w:val="754E76F9"/>
    <w:rsid w:val="75534482"/>
    <w:rsid w:val="75567328"/>
    <w:rsid w:val="755E63D1"/>
    <w:rsid w:val="755E7B87"/>
    <w:rsid w:val="75671ED7"/>
    <w:rsid w:val="756936FE"/>
    <w:rsid w:val="7569541C"/>
    <w:rsid w:val="75721367"/>
    <w:rsid w:val="757630BF"/>
    <w:rsid w:val="757D17B4"/>
    <w:rsid w:val="757E19F4"/>
    <w:rsid w:val="757F36C5"/>
    <w:rsid w:val="75826D11"/>
    <w:rsid w:val="75836971"/>
    <w:rsid w:val="75857C4B"/>
    <w:rsid w:val="75861915"/>
    <w:rsid w:val="758D0214"/>
    <w:rsid w:val="759C4277"/>
    <w:rsid w:val="759D4C74"/>
    <w:rsid w:val="759E4003"/>
    <w:rsid w:val="759E468E"/>
    <w:rsid w:val="759F695F"/>
    <w:rsid w:val="759F722E"/>
    <w:rsid w:val="75A4312B"/>
    <w:rsid w:val="75A945FD"/>
    <w:rsid w:val="75A974B2"/>
    <w:rsid w:val="75AB0B4C"/>
    <w:rsid w:val="75AB503F"/>
    <w:rsid w:val="75B34BAC"/>
    <w:rsid w:val="75BC0BA1"/>
    <w:rsid w:val="75BC1308"/>
    <w:rsid w:val="75C03246"/>
    <w:rsid w:val="75C30B39"/>
    <w:rsid w:val="75C537CD"/>
    <w:rsid w:val="75C71834"/>
    <w:rsid w:val="75CA77AF"/>
    <w:rsid w:val="75CB4B5C"/>
    <w:rsid w:val="75CC3053"/>
    <w:rsid w:val="75D344FC"/>
    <w:rsid w:val="75D57F4E"/>
    <w:rsid w:val="75DB36A4"/>
    <w:rsid w:val="75E33C54"/>
    <w:rsid w:val="75E56437"/>
    <w:rsid w:val="75E809F9"/>
    <w:rsid w:val="75EA1183"/>
    <w:rsid w:val="75EA481F"/>
    <w:rsid w:val="75EB0D5A"/>
    <w:rsid w:val="75F12A7F"/>
    <w:rsid w:val="75F35F61"/>
    <w:rsid w:val="75F45A30"/>
    <w:rsid w:val="75F776FF"/>
    <w:rsid w:val="75F84EF5"/>
    <w:rsid w:val="7601793B"/>
    <w:rsid w:val="76064CC4"/>
    <w:rsid w:val="76085468"/>
    <w:rsid w:val="760A7797"/>
    <w:rsid w:val="760D0E36"/>
    <w:rsid w:val="760D1267"/>
    <w:rsid w:val="760F2C9B"/>
    <w:rsid w:val="76157B85"/>
    <w:rsid w:val="76186A67"/>
    <w:rsid w:val="761958C7"/>
    <w:rsid w:val="761C5BBB"/>
    <w:rsid w:val="761C675E"/>
    <w:rsid w:val="761D5249"/>
    <w:rsid w:val="76204C41"/>
    <w:rsid w:val="7625426C"/>
    <w:rsid w:val="762738F9"/>
    <w:rsid w:val="76286ED7"/>
    <w:rsid w:val="762B424F"/>
    <w:rsid w:val="762D1373"/>
    <w:rsid w:val="762D1C2B"/>
    <w:rsid w:val="762D71D7"/>
    <w:rsid w:val="76305B69"/>
    <w:rsid w:val="7634774E"/>
    <w:rsid w:val="763515C6"/>
    <w:rsid w:val="763750AF"/>
    <w:rsid w:val="763D7808"/>
    <w:rsid w:val="76427E56"/>
    <w:rsid w:val="76464BE0"/>
    <w:rsid w:val="76487174"/>
    <w:rsid w:val="76492715"/>
    <w:rsid w:val="764F70AC"/>
    <w:rsid w:val="765242E7"/>
    <w:rsid w:val="76595878"/>
    <w:rsid w:val="765B4A21"/>
    <w:rsid w:val="766A5425"/>
    <w:rsid w:val="766B3393"/>
    <w:rsid w:val="766D269B"/>
    <w:rsid w:val="76703618"/>
    <w:rsid w:val="7676407B"/>
    <w:rsid w:val="76771EA4"/>
    <w:rsid w:val="76790114"/>
    <w:rsid w:val="76852DBE"/>
    <w:rsid w:val="768B2A65"/>
    <w:rsid w:val="7691056F"/>
    <w:rsid w:val="769245DD"/>
    <w:rsid w:val="76930CEE"/>
    <w:rsid w:val="76947205"/>
    <w:rsid w:val="7695028C"/>
    <w:rsid w:val="769958EA"/>
    <w:rsid w:val="76A038F3"/>
    <w:rsid w:val="76A04FBD"/>
    <w:rsid w:val="76A066B0"/>
    <w:rsid w:val="76A50F09"/>
    <w:rsid w:val="76A626DB"/>
    <w:rsid w:val="76A937B5"/>
    <w:rsid w:val="76AD4C2E"/>
    <w:rsid w:val="76B178AE"/>
    <w:rsid w:val="76BD44A5"/>
    <w:rsid w:val="76D6538C"/>
    <w:rsid w:val="76DD0817"/>
    <w:rsid w:val="76DD379E"/>
    <w:rsid w:val="76E339A1"/>
    <w:rsid w:val="76EE28B0"/>
    <w:rsid w:val="76EE6070"/>
    <w:rsid w:val="76EF427A"/>
    <w:rsid w:val="76EF62A4"/>
    <w:rsid w:val="76F2490A"/>
    <w:rsid w:val="77000C27"/>
    <w:rsid w:val="77016E10"/>
    <w:rsid w:val="770345D1"/>
    <w:rsid w:val="770420D4"/>
    <w:rsid w:val="77043E82"/>
    <w:rsid w:val="77072D8D"/>
    <w:rsid w:val="770F11B3"/>
    <w:rsid w:val="77126977"/>
    <w:rsid w:val="77141E12"/>
    <w:rsid w:val="77154223"/>
    <w:rsid w:val="7716744A"/>
    <w:rsid w:val="771A1323"/>
    <w:rsid w:val="771B741D"/>
    <w:rsid w:val="771D7BBC"/>
    <w:rsid w:val="77212C85"/>
    <w:rsid w:val="772238C3"/>
    <w:rsid w:val="772269FE"/>
    <w:rsid w:val="7724443B"/>
    <w:rsid w:val="77272DBC"/>
    <w:rsid w:val="772C1BF0"/>
    <w:rsid w:val="772E0594"/>
    <w:rsid w:val="773427EF"/>
    <w:rsid w:val="77345E51"/>
    <w:rsid w:val="77347CCD"/>
    <w:rsid w:val="77377C8E"/>
    <w:rsid w:val="773A1615"/>
    <w:rsid w:val="773A1F90"/>
    <w:rsid w:val="773B361B"/>
    <w:rsid w:val="773C0E2B"/>
    <w:rsid w:val="773D53D1"/>
    <w:rsid w:val="774030C3"/>
    <w:rsid w:val="77410F09"/>
    <w:rsid w:val="774417F9"/>
    <w:rsid w:val="774C334B"/>
    <w:rsid w:val="774D3A7A"/>
    <w:rsid w:val="774F32F2"/>
    <w:rsid w:val="775C456B"/>
    <w:rsid w:val="77602DDE"/>
    <w:rsid w:val="77650B58"/>
    <w:rsid w:val="776812C3"/>
    <w:rsid w:val="776E3071"/>
    <w:rsid w:val="77761C36"/>
    <w:rsid w:val="777739A3"/>
    <w:rsid w:val="777927CB"/>
    <w:rsid w:val="777B5892"/>
    <w:rsid w:val="777C4331"/>
    <w:rsid w:val="777D3C34"/>
    <w:rsid w:val="778946A1"/>
    <w:rsid w:val="778C5F09"/>
    <w:rsid w:val="778F0AFC"/>
    <w:rsid w:val="779A17F3"/>
    <w:rsid w:val="779F038B"/>
    <w:rsid w:val="77A47413"/>
    <w:rsid w:val="77A73DBA"/>
    <w:rsid w:val="77AB46A7"/>
    <w:rsid w:val="77AB659A"/>
    <w:rsid w:val="77AE46BB"/>
    <w:rsid w:val="77B00B46"/>
    <w:rsid w:val="77B34D16"/>
    <w:rsid w:val="77C207CD"/>
    <w:rsid w:val="77C32B99"/>
    <w:rsid w:val="77CA50CB"/>
    <w:rsid w:val="77CF26E1"/>
    <w:rsid w:val="77D55045"/>
    <w:rsid w:val="77D602C6"/>
    <w:rsid w:val="77D76AAE"/>
    <w:rsid w:val="77D86A8E"/>
    <w:rsid w:val="77D9530E"/>
    <w:rsid w:val="77DE46D3"/>
    <w:rsid w:val="77DF669D"/>
    <w:rsid w:val="77E72F9A"/>
    <w:rsid w:val="77F447F0"/>
    <w:rsid w:val="7800293C"/>
    <w:rsid w:val="780305DD"/>
    <w:rsid w:val="78047759"/>
    <w:rsid w:val="78050B01"/>
    <w:rsid w:val="780659D7"/>
    <w:rsid w:val="7807488C"/>
    <w:rsid w:val="780A371A"/>
    <w:rsid w:val="78162634"/>
    <w:rsid w:val="781967E3"/>
    <w:rsid w:val="781B228A"/>
    <w:rsid w:val="781C2EF4"/>
    <w:rsid w:val="78243529"/>
    <w:rsid w:val="782502C9"/>
    <w:rsid w:val="782823F0"/>
    <w:rsid w:val="782A2B52"/>
    <w:rsid w:val="782A3530"/>
    <w:rsid w:val="782D7408"/>
    <w:rsid w:val="782E644B"/>
    <w:rsid w:val="783562BD"/>
    <w:rsid w:val="784767B7"/>
    <w:rsid w:val="784767F6"/>
    <w:rsid w:val="78492A6E"/>
    <w:rsid w:val="785006D6"/>
    <w:rsid w:val="78523D5C"/>
    <w:rsid w:val="78541896"/>
    <w:rsid w:val="78546477"/>
    <w:rsid w:val="785A2FEC"/>
    <w:rsid w:val="785E56D2"/>
    <w:rsid w:val="78654DF4"/>
    <w:rsid w:val="7869199D"/>
    <w:rsid w:val="786A2C27"/>
    <w:rsid w:val="786A3DE9"/>
    <w:rsid w:val="786B229A"/>
    <w:rsid w:val="78762B5D"/>
    <w:rsid w:val="787768D5"/>
    <w:rsid w:val="78792F8B"/>
    <w:rsid w:val="787A7C29"/>
    <w:rsid w:val="787A7C61"/>
    <w:rsid w:val="787B6918"/>
    <w:rsid w:val="788339E8"/>
    <w:rsid w:val="788419BB"/>
    <w:rsid w:val="78857244"/>
    <w:rsid w:val="78871440"/>
    <w:rsid w:val="788F1E71"/>
    <w:rsid w:val="78961F0B"/>
    <w:rsid w:val="78A12034"/>
    <w:rsid w:val="78AC2192"/>
    <w:rsid w:val="78AE6FE8"/>
    <w:rsid w:val="78B06BA9"/>
    <w:rsid w:val="78B2651F"/>
    <w:rsid w:val="78BA58A2"/>
    <w:rsid w:val="78C53B21"/>
    <w:rsid w:val="78C57641"/>
    <w:rsid w:val="78CB0006"/>
    <w:rsid w:val="78CE3B74"/>
    <w:rsid w:val="78CF04BF"/>
    <w:rsid w:val="78D52D4F"/>
    <w:rsid w:val="78D56CB9"/>
    <w:rsid w:val="78D77AB1"/>
    <w:rsid w:val="78DC511E"/>
    <w:rsid w:val="78DE08DA"/>
    <w:rsid w:val="78E23C3E"/>
    <w:rsid w:val="78E33130"/>
    <w:rsid w:val="78E431AE"/>
    <w:rsid w:val="78E65B9D"/>
    <w:rsid w:val="78EB342E"/>
    <w:rsid w:val="78F17078"/>
    <w:rsid w:val="78F32400"/>
    <w:rsid w:val="78FB3C13"/>
    <w:rsid w:val="78FE4BD9"/>
    <w:rsid w:val="7904606C"/>
    <w:rsid w:val="79052133"/>
    <w:rsid w:val="79077C59"/>
    <w:rsid w:val="79080665"/>
    <w:rsid w:val="79120B1B"/>
    <w:rsid w:val="79130764"/>
    <w:rsid w:val="79142376"/>
    <w:rsid w:val="79161CDA"/>
    <w:rsid w:val="79176199"/>
    <w:rsid w:val="791B2A1D"/>
    <w:rsid w:val="791E12CB"/>
    <w:rsid w:val="79241062"/>
    <w:rsid w:val="792611B8"/>
    <w:rsid w:val="79262AAB"/>
    <w:rsid w:val="79262DCB"/>
    <w:rsid w:val="79296A0A"/>
    <w:rsid w:val="79315C08"/>
    <w:rsid w:val="7936200E"/>
    <w:rsid w:val="79381557"/>
    <w:rsid w:val="793B2A73"/>
    <w:rsid w:val="793C4645"/>
    <w:rsid w:val="793E4738"/>
    <w:rsid w:val="793F73F3"/>
    <w:rsid w:val="794031A5"/>
    <w:rsid w:val="7941059E"/>
    <w:rsid w:val="7944087C"/>
    <w:rsid w:val="79452F83"/>
    <w:rsid w:val="795409C4"/>
    <w:rsid w:val="795740A5"/>
    <w:rsid w:val="795945CC"/>
    <w:rsid w:val="79594D01"/>
    <w:rsid w:val="795B7FA5"/>
    <w:rsid w:val="795C1165"/>
    <w:rsid w:val="7964078D"/>
    <w:rsid w:val="796450AB"/>
    <w:rsid w:val="796A6D29"/>
    <w:rsid w:val="796F764D"/>
    <w:rsid w:val="79730BBA"/>
    <w:rsid w:val="797A042B"/>
    <w:rsid w:val="797A7B3D"/>
    <w:rsid w:val="797D4D64"/>
    <w:rsid w:val="798476B6"/>
    <w:rsid w:val="798778D0"/>
    <w:rsid w:val="7989080E"/>
    <w:rsid w:val="79894B12"/>
    <w:rsid w:val="798B64D5"/>
    <w:rsid w:val="79920992"/>
    <w:rsid w:val="7992555B"/>
    <w:rsid w:val="799437EA"/>
    <w:rsid w:val="7994493D"/>
    <w:rsid w:val="79955265"/>
    <w:rsid w:val="79971021"/>
    <w:rsid w:val="799A4952"/>
    <w:rsid w:val="799D598C"/>
    <w:rsid w:val="799E126F"/>
    <w:rsid w:val="79A36417"/>
    <w:rsid w:val="79A65610"/>
    <w:rsid w:val="79A65ABC"/>
    <w:rsid w:val="79A779D2"/>
    <w:rsid w:val="79A8143C"/>
    <w:rsid w:val="79A951FE"/>
    <w:rsid w:val="79AA0B5C"/>
    <w:rsid w:val="79B0209F"/>
    <w:rsid w:val="79B06543"/>
    <w:rsid w:val="79B92412"/>
    <w:rsid w:val="79B9247D"/>
    <w:rsid w:val="79BD0D98"/>
    <w:rsid w:val="79BD2A0E"/>
    <w:rsid w:val="79D640F1"/>
    <w:rsid w:val="79D669EE"/>
    <w:rsid w:val="79D82C53"/>
    <w:rsid w:val="79DF112F"/>
    <w:rsid w:val="79E306C6"/>
    <w:rsid w:val="79EA1A55"/>
    <w:rsid w:val="79EF422C"/>
    <w:rsid w:val="79F0693F"/>
    <w:rsid w:val="79F147D6"/>
    <w:rsid w:val="79F3150C"/>
    <w:rsid w:val="79F66A35"/>
    <w:rsid w:val="79F71A7C"/>
    <w:rsid w:val="79F90C6D"/>
    <w:rsid w:val="79FC1788"/>
    <w:rsid w:val="7A015735"/>
    <w:rsid w:val="7A036B48"/>
    <w:rsid w:val="7A06115F"/>
    <w:rsid w:val="7A077F60"/>
    <w:rsid w:val="7A08012D"/>
    <w:rsid w:val="7A0E08B0"/>
    <w:rsid w:val="7A0E5415"/>
    <w:rsid w:val="7A0F14BB"/>
    <w:rsid w:val="7A106FE1"/>
    <w:rsid w:val="7A1074A7"/>
    <w:rsid w:val="7A1127ED"/>
    <w:rsid w:val="7A15284A"/>
    <w:rsid w:val="7A170370"/>
    <w:rsid w:val="7A1F74A2"/>
    <w:rsid w:val="7A2D7B93"/>
    <w:rsid w:val="7A2F65AA"/>
    <w:rsid w:val="7A345265"/>
    <w:rsid w:val="7A394D13"/>
    <w:rsid w:val="7A3B6881"/>
    <w:rsid w:val="7A3C3932"/>
    <w:rsid w:val="7A3F3423"/>
    <w:rsid w:val="7A44459A"/>
    <w:rsid w:val="7A462A03"/>
    <w:rsid w:val="7A4822D7"/>
    <w:rsid w:val="7A4A636B"/>
    <w:rsid w:val="7A4F18B8"/>
    <w:rsid w:val="7A540E2F"/>
    <w:rsid w:val="7A562C9C"/>
    <w:rsid w:val="7A57076C"/>
    <w:rsid w:val="7A5B12EE"/>
    <w:rsid w:val="7A5E7D4D"/>
    <w:rsid w:val="7A682FB3"/>
    <w:rsid w:val="7A694E38"/>
    <w:rsid w:val="7A6C2703"/>
    <w:rsid w:val="7A717CA2"/>
    <w:rsid w:val="7A7204F0"/>
    <w:rsid w:val="7A727E3A"/>
    <w:rsid w:val="7A75408C"/>
    <w:rsid w:val="7A7754CA"/>
    <w:rsid w:val="7A7B431E"/>
    <w:rsid w:val="7A7C40D3"/>
    <w:rsid w:val="7A8F5520"/>
    <w:rsid w:val="7A914960"/>
    <w:rsid w:val="7A9A3B0A"/>
    <w:rsid w:val="7A9D7D9D"/>
    <w:rsid w:val="7A9F10C3"/>
    <w:rsid w:val="7AA314FA"/>
    <w:rsid w:val="7AA65250"/>
    <w:rsid w:val="7AAC1BAB"/>
    <w:rsid w:val="7AAD6052"/>
    <w:rsid w:val="7AAF7F53"/>
    <w:rsid w:val="7AB54936"/>
    <w:rsid w:val="7AB93D86"/>
    <w:rsid w:val="7ABB371C"/>
    <w:rsid w:val="7ABE1FD8"/>
    <w:rsid w:val="7ABE4C8F"/>
    <w:rsid w:val="7ABF4A7D"/>
    <w:rsid w:val="7AC56B28"/>
    <w:rsid w:val="7AC71BB7"/>
    <w:rsid w:val="7AC91E73"/>
    <w:rsid w:val="7ACC42F3"/>
    <w:rsid w:val="7ACC6635"/>
    <w:rsid w:val="7ACD6C80"/>
    <w:rsid w:val="7ACF29D0"/>
    <w:rsid w:val="7ADE13E0"/>
    <w:rsid w:val="7ADE4304"/>
    <w:rsid w:val="7AE6094A"/>
    <w:rsid w:val="7AE77BE9"/>
    <w:rsid w:val="7AE8611C"/>
    <w:rsid w:val="7AE973E6"/>
    <w:rsid w:val="7AEA5717"/>
    <w:rsid w:val="7AEB6D2D"/>
    <w:rsid w:val="7AEC35AA"/>
    <w:rsid w:val="7AF45A64"/>
    <w:rsid w:val="7AF9035A"/>
    <w:rsid w:val="7AFE1C57"/>
    <w:rsid w:val="7B0033B1"/>
    <w:rsid w:val="7B004E84"/>
    <w:rsid w:val="7B066AA8"/>
    <w:rsid w:val="7B071625"/>
    <w:rsid w:val="7B0765EE"/>
    <w:rsid w:val="7B092FDA"/>
    <w:rsid w:val="7B15185B"/>
    <w:rsid w:val="7B152173"/>
    <w:rsid w:val="7B165755"/>
    <w:rsid w:val="7B167602"/>
    <w:rsid w:val="7B1D5512"/>
    <w:rsid w:val="7B247B04"/>
    <w:rsid w:val="7B275EC2"/>
    <w:rsid w:val="7B2A13BA"/>
    <w:rsid w:val="7B2B6EBA"/>
    <w:rsid w:val="7B2E3BC3"/>
    <w:rsid w:val="7B315461"/>
    <w:rsid w:val="7B317100"/>
    <w:rsid w:val="7B3B062A"/>
    <w:rsid w:val="7B3B3AE6"/>
    <w:rsid w:val="7B3C530E"/>
    <w:rsid w:val="7B3E19A3"/>
    <w:rsid w:val="7B496C7B"/>
    <w:rsid w:val="7B503B0B"/>
    <w:rsid w:val="7B536854"/>
    <w:rsid w:val="7B5839F1"/>
    <w:rsid w:val="7B590514"/>
    <w:rsid w:val="7B5B603A"/>
    <w:rsid w:val="7B5D322F"/>
    <w:rsid w:val="7B5E1E57"/>
    <w:rsid w:val="7B601879"/>
    <w:rsid w:val="7B6729E7"/>
    <w:rsid w:val="7B672BAC"/>
    <w:rsid w:val="7B6C6499"/>
    <w:rsid w:val="7B6E2BCE"/>
    <w:rsid w:val="7B793CB0"/>
    <w:rsid w:val="7B7A22D5"/>
    <w:rsid w:val="7B7B66DC"/>
    <w:rsid w:val="7B7D5C60"/>
    <w:rsid w:val="7B821453"/>
    <w:rsid w:val="7B8417C5"/>
    <w:rsid w:val="7B89141B"/>
    <w:rsid w:val="7B8F0F1C"/>
    <w:rsid w:val="7B9330A9"/>
    <w:rsid w:val="7B95154C"/>
    <w:rsid w:val="7B963BCC"/>
    <w:rsid w:val="7B9A3006"/>
    <w:rsid w:val="7B9A4DAC"/>
    <w:rsid w:val="7B9B19E6"/>
    <w:rsid w:val="7BA50EA0"/>
    <w:rsid w:val="7BA67BFD"/>
    <w:rsid w:val="7BAA6855"/>
    <w:rsid w:val="7BAE76FE"/>
    <w:rsid w:val="7BB23A06"/>
    <w:rsid w:val="7BB672E5"/>
    <w:rsid w:val="7BB86609"/>
    <w:rsid w:val="7BBC11CF"/>
    <w:rsid w:val="7BC44362"/>
    <w:rsid w:val="7BC97448"/>
    <w:rsid w:val="7BD0025C"/>
    <w:rsid w:val="7BD34581"/>
    <w:rsid w:val="7BD43BF3"/>
    <w:rsid w:val="7BE14791"/>
    <w:rsid w:val="7BE724A1"/>
    <w:rsid w:val="7BF344C5"/>
    <w:rsid w:val="7BF45A86"/>
    <w:rsid w:val="7BF57A4C"/>
    <w:rsid w:val="7BFC5A6F"/>
    <w:rsid w:val="7BFE580D"/>
    <w:rsid w:val="7C007470"/>
    <w:rsid w:val="7C026789"/>
    <w:rsid w:val="7C042B76"/>
    <w:rsid w:val="7C0611AB"/>
    <w:rsid w:val="7C070A8F"/>
    <w:rsid w:val="7C071DCA"/>
    <w:rsid w:val="7C0B5D54"/>
    <w:rsid w:val="7C0D1D21"/>
    <w:rsid w:val="7C1677B6"/>
    <w:rsid w:val="7C1A4147"/>
    <w:rsid w:val="7C1A5EF5"/>
    <w:rsid w:val="7C1B3793"/>
    <w:rsid w:val="7C1B4C05"/>
    <w:rsid w:val="7C1D09F8"/>
    <w:rsid w:val="7C1F3FB5"/>
    <w:rsid w:val="7C251758"/>
    <w:rsid w:val="7C270B77"/>
    <w:rsid w:val="7C27378D"/>
    <w:rsid w:val="7C362679"/>
    <w:rsid w:val="7C3E214A"/>
    <w:rsid w:val="7C4675AC"/>
    <w:rsid w:val="7C4C17BB"/>
    <w:rsid w:val="7C4F7985"/>
    <w:rsid w:val="7C52568F"/>
    <w:rsid w:val="7C556F2D"/>
    <w:rsid w:val="7C562A29"/>
    <w:rsid w:val="7C592FAE"/>
    <w:rsid w:val="7C5D220A"/>
    <w:rsid w:val="7C5D4587"/>
    <w:rsid w:val="7C5E412A"/>
    <w:rsid w:val="7C5F0068"/>
    <w:rsid w:val="7C641660"/>
    <w:rsid w:val="7C662EE9"/>
    <w:rsid w:val="7C6D02C6"/>
    <w:rsid w:val="7C6D184B"/>
    <w:rsid w:val="7C6D25B7"/>
    <w:rsid w:val="7C765821"/>
    <w:rsid w:val="7C7A69F1"/>
    <w:rsid w:val="7C7D49BF"/>
    <w:rsid w:val="7C80044E"/>
    <w:rsid w:val="7C817D22"/>
    <w:rsid w:val="7C822ACB"/>
    <w:rsid w:val="7C853A2F"/>
    <w:rsid w:val="7C875CF6"/>
    <w:rsid w:val="7C8A50BF"/>
    <w:rsid w:val="7C920854"/>
    <w:rsid w:val="7C9332E4"/>
    <w:rsid w:val="7C9829F6"/>
    <w:rsid w:val="7C9A00E3"/>
    <w:rsid w:val="7C9B5288"/>
    <w:rsid w:val="7CA00B30"/>
    <w:rsid w:val="7CA123B4"/>
    <w:rsid w:val="7CA37EE8"/>
    <w:rsid w:val="7CA5392B"/>
    <w:rsid w:val="7CA90C8D"/>
    <w:rsid w:val="7CAF4890"/>
    <w:rsid w:val="7CAF7A29"/>
    <w:rsid w:val="7CB20F74"/>
    <w:rsid w:val="7CB238C4"/>
    <w:rsid w:val="7CB31060"/>
    <w:rsid w:val="7CB530C8"/>
    <w:rsid w:val="7CB77BE8"/>
    <w:rsid w:val="7CBB5B41"/>
    <w:rsid w:val="7CC0084B"/>
    <w:rsid w:val="7CC1259F"/>
    <w:rsid w:val="7CC1692D"/>
    <w:rsid w:val="7CC317AA"/>
    <w:rsid w:val="7CD2057E"/>
    <w:rsid w:val="7CD22363"/>
    <w:rsid w:val="7CD73DE6"/>
    <w:rsid w:val="7CDA6C39"/>
    <w:rsid w:val="7CDD1B87"/>
    <w:rsid w:val="7CE41F2F"/>
    <w:rsid w:val="7CE4621D"/>
    <w:rsid w:val="7CE87DA1"/>
    <w:rsid w:val="7CEA29E5"/>
    <w:rsid w:val="7CEA3B1A"/>
    <w:rsid w:val="7CEC19C0"/>
    <w:rsid w:val="7CEC5AE4"/>
    <w:rsid w:val="7CEF7382"/>
    <w:rsid w:val="7CF0778F"/>
    <w:rsid w:val="7CF16568"/>
    <w:rsid w:val="7CFB6BDB"/>
    <w:rsid w:val="7CFD681A"/>
    <w:rsid w:val="7CFE46A2"/>
    <w:rsid w:val="7D0746CC"/>
    <w:rsid w:val="7D0F3580"/>
    <w:rsid w:val="7D0F493D"/>
    <w:rsid w:val="7D142945"/>
    <w:rsid w:val="7D1D5E89"/>
    <w:rsid w:val="7D1F60E5"/>
    <w:rsid w:val="7D2012E9"/>
    <w:rsid w:val="7D253273"/>
    <w:rsid w:val="7D264C82"/>
    <w:rsid w:val="7D2A03BA"/>
    <w:rsid w:val="7D2D5EA5"/>
    <w:rsid w:val="7D2E01E1"/>
    <w:rsid w:val="7D310A36"/>
    <w:rsid w:val="7D325483"/>
    <w:rsid w:val="7D366D5F"/>
    <w:rsid w:val="7D3D3612"/>
    <w:rsid w:val="7D3E4572"/>
    <w:rsid w:val="7D4466A2"/>
    <w:rsid w:val="7D4A0A5C"/>
    <w:rsid w:val="7D4A45B8"/>
    <w:rsid w:val="7D4C5698"/>
    <w:rsid w:val="7D4D3826"/>
    <w:rsid w:val="7D507729"/>
    <w:rsid w:val="7D5639DA"/>
    <w:rsid w:val="7D592A4D"/>
    <w:rsid w:val="7D5A004F"/>
    <w:rsid w:val="7D5C7913"/>
    <w:rsid w:val="7D6059C8"/>
    <w:rsid w:val="7D626C10"/>
    <w:rsid w:val="7D635F5A"/>
    <w:rsid w:val="7D6441E0"/>
    <w:rsid w:val="7D64774A"/>
    <w:rsid w:val="7D6610AD"/>
    <w:rsid w:val="7D665EB3"/>
    <w:rsid w:val="7D711B45"/>
    <w:rsid w:val="7D750EA1"/>
    <w:rsid w:val="7D75320B"/>
    <w:rsid w:val="7D760836"/>
    <w:rsid w:val="7D776837"/>
    <w:rsid w:val="7D791AAC"/>
    <w:rsid w:val="7D85312D"/>
    <w:rsid w:val="7D8A56AD"/>
    <w:rsid w:val="7D8E2902"/>
    <w:rsid w:val="7D9151FE"/>
    <w:rsid w:val="7D9677FD"/>
    <w:rsid w:val="7D987AF2"/>
    <w:rsid w:val="7D9A1A4A"/>
    <w:rsid w:val="7D9D470D"/>
    <w:rsid w:val="7D9E1A59"/>
    <w:rsid w:val="7D9F194C"/>
    <w:rsid w:val="7DA05D3C"/>
    <w:rsid w:val="7DA73BAE"/>
    <w:rsid w:val="7DA91177"/>
    <w:rsid w:val="7DA939D5"/>
    <w:rsid w:val="7DAF266D"/>
    <w:rsid w:val="7DAF33B1"/>
    <w:rsid w:val="7DB22F28"/>
    <w:rsid w:val="7DB3693A"/>
    <w:rsid w:val="7DB4797C"/>
    <w:rsid w:val="7DB77386"/>
    <w:rsid w:val="7DC004CE"/>
    <w:rsid w:val="7DC73BA9"/>
    <w:rsid w:val="7DCD6B6E"/>
    <w:rsid w:val="7DD90991"/>
    <w:rsid w:val="7DDF34F4"/>
    <w:rsid w:val="7DE23BDC"/>
    <w:rsid w:val="7DE32BC3"/>
    <w:rsid w:val="7DEE08AF"/>
    <w:rsid w:val="7DF74740"/>
    <w:rsid w:val="7DF81E40"/>
    <w:rsid w:val="7DF92139"/>
    <w:rsid w:val="7DFB3811"/>
    <w:rsid w:val="7DFF33FB"/>
    <w:rsid w:val="7DFF56F6"/>
    <w:rsid w:val="7E0029CC"/>
    <w:rsid w:val="7E007719"/>
    <w:rsid w:val="7E064983"/>
    <w:rsid w:val="7E094A8E"/>
    <w:rsid w:val="7E0B0077"/>
    <w:rsid w:val="7E0B01EB"/>
    <w:rsid w:val="7E0E47A2"/>
    <w:rsid w:val="7E105802"/>
    <w:rsid w:val="7E132BFC"/>
    <w:rsid w:val="7E133874"/>
    <w:rsid w:val="7E14195C"/>
    <w:rsid w:val="7E143E2F"/>
    <w:rsid w:val="7E1A0288"/>
    <w:rsid w:val="7E1B43C3"/>
    <w:rsid w:val="7E1D7CB0"/>
    <w:rsid w:val="7E270959"/>
    <w:rsid w:val="7E274BBA"/>
    <w:rsid w:val="7E291DFD"/>
    <w:rsid w:val="7E2F7D76"/>
    <w:rsid w:val="7E311644"/>
    <w:rsid w:val="7E3338BA"/>
    <w:rsid w:val="7E3C3B5E"/>
    <w:rsid w:val="7E3F5EA8"/>
    <w:rsid w:val="7E40615E"/>
    <w:rsid w:val="7E434503"/>
    <w:rsid w:val="7E44203A"/>
    <w:rsid w:val="7E447A80"/>
    <w:rsid w:val="7E5002A1"/>
    <w:rsid w:val="7E506E0A"/>
    <w:rsid w:val="7E552E17"/>
    <w:rsid w:val="7E582D05"/>
    <w:rsid w:val="7E5C0A47"/>
    <w:rsid w:val="7E5E70BB"/>
    <w:rsid w:val="7E5F22E5"/>
    <w:rsid w:val="7E6416AA"/>
    <w:rsid w:val="7E6A75F3"/>
    <w:rsid w:val="7E6C53CA"/>
    <w:rsid w:val="7E6D6E9B"/>
    <w:rsid w:val="7E6E7541"/>
    <w:rsid w:val="7E712236"/>
    <w:rsid w:val="7E723C42"/>
    <w:rsid w:val="7E725B75"/>
    <w:rsid w:val="7E7277E2"/>
    <w:rsid w:val="7E733A9D"/>
    <w:rsid w:val="7E7912F4"/>
    <w:rsid w:val="7E7A4B80"/>
    <w:rsid w:val="7E8068E0"/>
    <w:rsid w:val="7E8346E1"/>
    <w:rsid w:val="7E847D08"/>
    <w:rsid w:val="7E876CB8"/>
    <w:rsid w:val="7E8843A3"/>
    <w:rsid w:val="7E896DC3"/>
    <w:rsid w:val="7E8B3386"/>
    <w:rsid w:val="7E8B666E"/>
    <w:rsid w:val="7E8C33D8"/>
    <w:rsid w:val="7E8E6727"/>
    <w:rsid w:val="7E8F4637"/>
    <w:rsid w:val="7E903C14"/>
    <w:rsid w:val="7E933AC2"/>
    <w:rsid w:val="7E9401E1"/>
    <w:rsid w:val="7E943139"/>
    <w:rsid w:val="7E953D28"/>
    <w:rsid w:val="7E9D4FA7"/>
    <w:rsid w:val="7EA11F75"/>
    <w:rsid w:val="7EA146AC"/>
    <w:rsid w:val="7EA30411"/>
    <w:rsid w:val="7EA63720"/>
    <w:rsid w:val="7EAA3560"/>
    <w:rsid w:val="7EB075F6"/>
    <w:rsid w:val="7EB20667"/>
    <w:rsid w:val="7EB443DF"/>
    <w:rsid w:val="7EB73ECF"/>
    <w:rsid w:val="7EBA6E0B"/>
    <w:rsid w:val="7EBB576E"/>
    <w:rsid w:val="7EC07479"/>
    <w:rsid w:val="7EC3616B"/>
    <w:rsid w:val="7EC81A75"/>
    <w:rsid w:val="7ECC2BFC"/>
    <w:rsid w:val="7EDB3A51"/>
    <w:rsid w:val="7EDB76B6"/>
    <w:rsid w:val="7EDB7936"/>
    <w:rsid w:val="7EDC652F"/>
    <w:rsid w:val="7EE14909"/>
    <w:rsid w:val="7EE33139"/>
    <w:rsid w:val="7EE81CA6"/>
    <w:rsid w:val="7EE978DC"/>
    <w:rsid w:val="7EF13238"/>
    <w:rsid w:val="7EF420E8"/>
    <w:rsid w:val="7EF624AC"/>
    <w:rsid w:val="7EFA00DA"/>
    <w:rsid w:val="7EFC334E"/>
    <w:rsid w:val="7EFE565A"/>
    <w:rsid w:val="7F005818"/>
    <w:rsid w:val="7F006813"/>
    <w:rsid w:val="7F015700"/>
    <w:rsid w:val="7F0263A5"/>
    <w:rsid w:val="7F072E14"/>
    <w:rsid w:val="7F08297D"/>
    <w:rsid w:val="7F08472B"/>
    <w:rsid w:val="7F0D4B2A"/>
    <w:rsid w:val="7F0F1F7E"/>
    <w:rsid w:val="7F111831"/>
    <w:rsid w:val="7F1D0307"/>
    <w:rsid w:val="7F234CC0"/>
    <w:rsid w:val="7F2933B6"/>
    <w:rsid w:val="7F294F09"/>
    <w:rsid w:val="7F2A42E5"/>
    <w:rsid w:val="7F2F7F0A"/>
    <w:rsid w:val="7F315A30"/>
    <w:rsid w:val="7F3161E6"/>
    <w:rsid w:val="7F331417"/>
    <w:rsid w:val="7F343DDD"/>
    <w:rsid w:val="7F343E0A"/>
    <w:rsid w:val="7F38567E"/>
    <w:rsid w:val="7F39023D"/>
    <w:rsid w:val="7F3F19B2"/>
    <w:rsid w:val="7F4734A5"/>
    <w:rsid w:val="7F4777E4"/>
    <w:rsid w:val="7F4C0755"/>
    <w:rsid w:val="7F547A29"/>
    <w:rsid w:val="7F572FBC"/>
    <w:rsid w:val="7F5926ED"/>
    <w:rsid w:val="7F5E259D"/>
    <w:rsid w:val="7F623B05"/>
    <w:rsid w:val="7F651B7D"/>
    <w:rsid w:val="7F6575A6"/>
    <w:rsid w:val="7F672EB4"/>
    <w:rsid w:val="7F694B50"/>
    <w:rsid w:val="7F6F066C"/>
    <w:rsid w:val="7F7147DE"/>
    <w:rsid w:val="7F7327AE"/>
    <w:rsid w:val="7F7A3485"/>
    <w:rsid w:val="7F7E15D9"/>
    <w:rsid w:val="7F807068"/>
    <w:rsid w:val="7F8738A2"/>
    <w:rsid w:val="7F8A476C"/>
    <w:rsid w:val="7F8C05A9"/>
    <w:rsid w:val="7F955EF7"/>
    <w:rsid w:val="7F983D01"/>
    <w:rsid w:val="7F996807"/>
    <w:rsid w:val="7F9D33F7"/>
    <w:rsid w:val="7F9D4C59"/>
    <w:rsid w:val="7F9F6E3D"/>
    <w:rsid w:val="7FA63479"/>
    <w:rsid w:val="7FA92CEA"/>
    <w:rsid w:val="7FAB6659"/>
    <w:rsid w:val="7FAC5B28"/>
    <w:rsid w:val="7FAC796E"/>
    <w:rsid w:val="7FAE1DB0"/>
    <w:rsid w:val="7FB45BC6"/>
    <w:rsid w:val="7FB91A2E"/>
    <w:rsid w:val="7FB977D3"/>
    <w:rsid w:val="7FC201C0"/>
    <w:rsid w:val="7FC5577D"/>
    <w:rsid w:val="7FC83BB2"/>
    <w:rsid w:val="7FCF00AD"/>
    <w:rsid w:val="7FD642CE"/>
    <w:rsid w:val="7FD82C3F"/>
    <w:rsid w:val="7FDC12D3"/>
    <w:rsid w:val="7FDC6722"/>
    <w:rsid w:val="7FE716D8"/>
    <w:rsid w:val="7FE722D7"/>
    <w:rsid w:val="7FE7575D"/>
    <w:rsid w:val="7FE85E3E"/>
    <w:rsid w:val="7FE866F3"/>
    <w:rsid w:val="7FEB2083"/>
    <w:rsid w:val="7FEC179D"/>
    <w:rsid w:val="7FEC39B1"/>
    <w:rsid w:val="7FEE4B52"/>
    <w:rsid w:val="7FF054D1"/>
    <w:rsid w:val="7FF13411"/>
    <w:rsid w:val="7FF60A27"/>
    <w:rsid w:val="7FF73756"/>
    <w:rsid w:val="7FF80454"/>
    <w:rsid w:val="7FF81D01"/>
    <w:rsid w:val="7FF9012A"/>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iPriority="39" w:semiHidden="0" w:name="toc 2"/>
    <w:lsdException w:qFormat="1"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iPriority="39"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iPriority="99" w:semiHidden="0" w:name="toa heading"/>
    <w:lsdException w:qFormat="1" w:unhideWhenUsed="0" w:uiPriority="0" w:semiHidden="0" w:name="List"/>
    <w:lsdException w:qFormat="1"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11"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iPriority="0" w:semiHidden="0" w:name="Note Heading"/>
    <w:lsdException w:qFormat="1" w:unhideWhenUsed="0" w:uiPriority="99"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99"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unhideWhenUsed="0" w:uiPriority="0" w:semiHidden="0" w:name="HTML Typewriter"/>
    <w:lsdException w:qFormat="1"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qFormat="1"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99" w:semiHidden="0" w:name="Balloon Text"/>
    <w:lsdException w:qFormat="1" w:unhideWhenUsed="0" w:uiPriority="39"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adjustRightInd w:val="0"/>
      <w:snapToGrid w:val="0"/>
      <w:spacing w:line="360" w:lineRule="auto"/>
      <w:ind w:firstLine="400" w:firstLineChars="200"/>
      <w:jc w:val="both"/>
    </w:pPr>
    <w:rPr>
      <w:rFonts w:ascii="等线" w:hAnsi="等线" w:eastAsia="等线" w:cs="宋体"/>
      <w:szCs w:val="21"/>
    </w:rPr>
  </w:style>
  <w:style w:type="paragraph" w:styleId="6">
    <w:name w:val="heading 1"/>
    <w:basedOn w:val="7"/>
    <w:next w:val="1"/>
    <w:link w:val="82"/>
    <w:qFormat/>
    <w:uiPriority w:val="0"/>
    <w:pPr>
      <w:keepNext/>
      <w:keepLines/>
      <w:numPr>
        <w:ilvl w:val="0"/>
        <w:numId w:val="1"/>
      </w:numPr>
      <w:adjustRightInd w:val="0"/>
      <w:spacing w:before="240" w:line="480" w:lineRule="atLeast"/>
      <w:ind w:left="431" w:hanging="431"/>
      <w:textAlignment w:val="baseline"/>
      <w:outlineLvl w:val="0"/>
    </w:pPr>
    <w:rPr>
      <w:rFonts w:eastAsia="黑体"/>
      <w:kern w:val="44"/>
      <w:sz w:val="28"/>
    </w:rPr>
  </w:style>
  <w:style w:type="paragraph" w:styleId="8">
    <w:name w:val="heading 2"/>
    <w:basedOn w:val="1"/>
    <w:next w:val="1"/>
    <w:link w:val="83"/>
    <w:qFormat/>
    <w:uiPriority w:val="0"/>
    <w:pPr>
      <w:keepNext/>
      <w:keepLines/>
      <w:numPr>
        <w:ilvl w:val="1"/>
        <w:numId w:val="1"/>
      </w:numPr>
      <w:tabs>
        <w:tab w:val="clear" w:pos="576"/>
      </w:tabs>
      <w:adjustRightInd w:val="0"/>
      <w:spacing w:before="100" w:after="40" w:line="480" w:lineRule="atLeast"/>
      <w:ind w:left="0" w:firstLine="0"/>
      <w:textAlignment w:val="baseline"/>
      <w:outlineLvl w:val="1"/>
    </w:pPr>
    <w:rPr>
      <w:rFonts w:ascii="Arial" w:hAnsi="Arial" w:eastAsia="黑体"/>
      <w:kern w:val="0"/>
      <w:sz w:val="32"/>
    </w:rPr>
  </w:style>
  <w:style w:type="paragraph" w:styleId="9">
    <w:name w:val="heading 3"/>
    <w:basedOn w:val="1"/>
    <w:next w:val="1"/>
    <w:link w:val="84"/>
    <w:qFormat/>
    <w:uiPriority w:val="0"/>
    <w:pPr>
      <w:keepNext/>
      <w:keepLines/>
      <w:numPr>
        <w:ilvl w:val="2"/>
        <w:numId w:val="1"/>
      </w:numPr>
      <w:adjustRightInd w:val="0"/>
      <w:spacing w:before="60" w:line="480" w:lineRule="atLeast"/>
      <w:textAlignment w:val="baseline"/>
      <w:outlineLvl w:val="2"/>
    </w:pPr>
    <w:rPr>
      <w:rFonts w:eastAsia="黑体"/>
      <w:kern w:val="0"/>
      <w:sz w:val="30"/>
    </w:rPr>
  </w:style>
  <w:style w:type="paragraph" w:styleId="10">
    <w:name w:val="heading 4"/>
    <w:basedOn w:val="1"/>
    <w:next w:val="1"/>
    <w:link w:val="85"/>
    <w:qFormat/>
    <w:uiPriority w:val="0"/>
    <w:pPr>
      <w:keepNext/>
      <w:keepLines/>
      <w:numPr>
        <w:ilvl w:val="3"/>
        <w:numId w:val="1"/>
      </w:numPr>
      <w:adjustRightInd w:val="0"/>
      <w:spacing w:before="280" w:after="290" w:line="376" w:lineRule="atLeast"/>
      <w:textAlignment w:val="baseline"/>
      <w:outlineLvl w:val="3"/>
    </w:pPr>
    <w:rPr>
      <w:rFonts w:ascii="Arial" w:hAnsi="Arial" w:eastAsia="黑体"/>
      <w:b/>
      <w:kern w:val="0"/>
      <w:sz w:val="28"/>
    </w:rPr>
  </w:style>
  <w:style w:type="paragraph" w:styleId="11">
    <w:name w:val="heading 5"/>
    <w:basedOn w:val="1"/>
    <w:next w:val="12"/>
    <w:link w:val="86"/>
    <w:qFormat/>
    <w:uiPriority w:val="0"/>
    <w:pPr>
      <w:keepNext/>
      <w:keepLines/>
      <w:numPr>
        <w:ilvl w:val="4"/>
        <w:numId w:val="1"/>
      </w:numPr>
      <w:adjustRightInd w:val="0"/>
      <w:spacing w:before="280" w:after="290" w:line="376" w:lineRule="atLeast"/>
      <w:textAlignment w:val="baseline"/>
      <w:outlineLvl w:val="4"/>
    </w:pPr>
    <w:rPr>
      <w:b/>
      <w:kern w:val="0"/>
      <w:sz w:val="28"/>
    </w:rPr>
  </w:style>
  <w:style w:type="paragraph" w:styleId="13">
    <w:name w:val="heading 6"/>
    <w:basedOn w:val="1"/>
    <w:next w:val="12"/>
    <w:link w:val="87"/>
    <w:autoRedefine/>
    <w:qFormat/>
    <w:uiPriority w:val="0"/>
    <w:pPr>
      <w:keepNext/>
      <w:keepLines/>
      <w:numPr>
        <w:ilvl w:val="5"/>
        <w:numId w:val="1"/>
      </w:numPr>
      <w:adjustRightInd w:val="0"/>
      <w:spacing w:before="240" w:after="64" w:line="320" w:lineRule="atLeast"/>
      <w:textAlignment w:val="baseline"/>
      <w:outlineLvl w:val="5"/>
    </w:pPr>
    <w:rPr>
      <w:rFonts w:ascii="Arial" w:hAnsi="Arial" w:eastAsia="黑体"/>
      <w:b/>
      <w:kern w:val="0"/>
      <w:sz w:val="24"/>
    </w:rPr>
  </w:style>
  <w:style w:type="paragraph" w:styleId="14">
    <w:name w:val="heading 7"/>
    <w:basedOn w:val="1"/>
    <w:next w:val="12"/>
    <w:link w:val="88"/>
    <w:qFormat/>
    <w:uiPriority w:val="0"/>
    <w:pPr>
      <w:keepNext/>
      <w:keepLines/>
      <w:numPr>
        <w:ilvl w:val="6"/>
        <w:numId w:val="1"/>
      </w:numPr>
      <w:adjustRightInd w:val="0"/>
      <w:spacing w:before="240" w:after="64" w:line="320" w:lineRule="atLeast"/>
      <w:textAlignment w:val="baseline"/>
      <w:outlineLvl w:val="6"/>
    </w:pPr>
    <w:rPr>
      <w:b/>
      <w:kern w:val="0"/>
      <w:sz w:val="24"/>
    </w:rPr>
  </w:style>
  <w:style w:type="paragraph" w:styleId="15">
    <w:name w:val="heading 8"/>
    <w:basedOn w:val="1"/>
    <w:next w:val="12"/>
    <w:link w:val="89"/>
    <w:qFormat/>
    <w:uiPriority w:val="0"/>
    <w:pPr>
      <w:keepNext/>
      <w:keepLines/>
      <w:numPr>
        <w:ilvl w:val="7"/>
        <w:numId w:val="1"/>
      </w:numPr>
      <w:adjustRightInd w:val="0"/>
      <w:spacing w:before="240" w:after="64" w:line="320" w:lineRule="atLeast"/>
      <w:textAlignment w:val="baseline"/>
      <w:outlineLvl w:val="7"/>
    </w:pPr>
    <w:rPr>
      <w:rFonts w:ascii="Arial" w:hAnsi="Arial" w:eastAsia="黑体"/>
      <w:kern w:val="0"/>
      <w:sz w:val="24"/>
    </w:rPr>
  </w:style>
  <w:style w:type="paragraph" w:styleId="16">
    <w:name w:val="heading 9"/>
    <w:basedOn w:val="1"/>
    <w:next w:val="12"/>
    <w:link w:val="90"/>
    <w:autoRedefine/>
    <w:qFormat/>
    <w:uiPriority w:val="0"/>
    <w:pPr>
      <w:keepNext/>
      <w:keepLines/>
      <w:numPr>
        <w:ilvl w:val="8"/>
        <w:numId w:val="1"/>
      </w:numPr>
      <w:adjustRightInd w:val="0"/>
      <w:spacing w:before="240" w:after="64" w:line="320" w:lineRule="atLeast"/>
      <w:textAlignment w:val="baseline"/>
      <w:outlineLvl w:val="8"/>
    </w:pPr>
    <w:rPr>
      <w:rFonts w:ascii="Arial" w:hAnsi="Arial" w:eastAsia="黑体"/>
      <w:kern w:val="0"/>
      <w:sz w:val="28"/>
    </w:rPr>
  </w:style>
  <w:style w:type="character" w:default="1" w:styleId="62">
    <w:name w:val="Default Paragraph Font"/>
    <w:semiHidden/>
    <w:qFormat/>
    <w:uiPriority w:val="0"/>
  </w:style>
  <w:style w:type="table" w:default="1" w:styleId="59">
    <w:name w:val="Normal Table"/>
    <w:autoRedefin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w:basedOn w:val="1"/>
    <w:next w:val="3"/>
    <w:link w:val="107"/>
    <w:autoRedefine/>
    <w:qFormat/>
    <w:uiPriority w:val="0"/>
    <w:pPr>
      <w:spacing w:after="120"/>
      <w:ind w:firstLine="420" w:firstLineChars="100"/>
    </w:pPr>
    <w:rPr>
      <w:kern w:val="2"/>
      <w:sz w:val="21"/>
    </w:rPr>
  </w:style>
  <w:style w:type="paragraph" w:styleId="3">
    <w:name w:val="Body Text First Indent 2"/>
    <w:basedOn w:val="4"/>
    <w:next w:val="1"/>
    <w:autoRedefine/>
    <w:qFormat/>
    <w:uiPriority w:val="0"/>
    <w:pPr>
      <w:tabs>
        <w:tab w:val="left" w:pos="0"/>
      </w:tabs>
      <w:adjustRightInd w:val="0"/>
      <w:spacing w:after="120" w:line="312" w:lineRule="atLeast"/>
      <w:ind w:left="420" w:leftChars="200" w:firstLine="210" w:firstLineChars="200"/>
      <w:jc w:val="both"/>
      <w:textAlignment w:val="baseline"/>
    </w:pPr>
    <w:rPr>
      <w:b/>
      <w:kern w:val="0"/>
      <w:sz w:val="21"/>
    </w:rPr>
  </w:style>
  <w:style w:type="paragraph" w:styleId="4">
    <w:name w:val="Body Text Indent"/>
    <w:basedOn w:val="1"/>
    <w:next w:val="5"/>
    <w:link w:val="80"/>
    <w:autoRedefine/>
    <w:qFormat/>
    <w:uiPriority w:val="0"/>
    <w:pPr>
      <w:tabs>
        <w:tab w:val="left" w:pos="0"/>
      </w:tabs>
      <w:spacing w:line="440" w:lineRule="exact"/>
      <w:ind w:firstLine="560"/>
      <w:jc w:val="left"/>
    </w:pPr>
    <w:rPr>
      <w:sz w:val="28"/>
    </w:rPr>
  </w:style>
  <w:style w:type="paragraph" w:styleId="5">
    <w:name w:val="Body Text Indent 2"/>
    <w:basedOn w:val="1"/>
    <w:next w:val="1"/>
    <w:link w:val="96"/>
    <w:autoRedefine/>
    <w:qFormat/>
    <w:uiPriority w:val="0"/>
    <w:pPr>
      <w:ind w:left="-140" w:firstLine="560"/>
      <w:jc w:val="left"/>
      <w:outlineLvl w:val="0"/>
    </w:pPr>
    <w:rPr>
      <w:sz w:val="28"/>
    </w:rPr>
  </w:style>
  <w:style w:type="paragraph" w:styleId="7">
    <w:name w:val="Title"/>
    <w:basedOn w:val="1"/>
    <w:next w:val="1"/>
    <w:link w:val="105"/>
    <w:autoRedefine/>
    <w:qFormat/>
    <w:uiPriority w:val="10"/>
    <w:pPr>
      <w:spacing w:line="240" w:lineRule="atLeast"/>
      <w:jc w:val="center"/>
    </w:pPr>
    <w:rPr>
      <w:bCs/>
      <w:kern w:val="2"/>
      <w:sz w:val="23"/>
      <w:szCs w:val="32"/>
    </w:rPr>
  </w:style>
  <w:style w:type="paragraph" w:styleId="12">
    <w:name w:val="Normal Indent"/>
    <w:basedOn w:val="1"/>
    <w:next w:val="10"/>
    <w:link w:val="78"/>
    <w:autoRedefine/>
    <w:qFormat/>
    <w:uiPriority w:val="0"/>
    <w:pPr>
      <w:adjustRightInd w:val="0"/>
      <w:spacing w:line="480" w:lineRule="atLeast"/>
      <w:ind w:firstLine="595"/>
      <w:textAlignment w:val="baseline"/>
    </w:pPr>
    <w:rPr>
      <w:kern w:val="0"/>
      <w:sz w:val="28"/>
    </w:rPr>
  </w:style>
  <w:style w:type="paragraph" w:styleId="17">
    <w:name w:val="toc 7"/>
    <w:basedOn w:val="1"/>
    <w:next w:val="1"/>
    <w:autoRedefine/>
    <w:qFormat/>
    <w:uiPriority w:val="39"/>
    <w:pPr>
      <w:ind w:left="1260"/>
      <w:jc w:val="left"/>
    </w:pPr>
    <w:rPr>
      <w:kern w:val="2"/>
      <w:sz w:val="18"/>
      <w:szCs w:val="18"/>
    </w:rPr>
  </w:style>
  <w:style w:type="paragraph" w:styleId="18">
    <w:name w:val="Note Heading"/>
    <w:basedOn w:val="1"/>
    <w:next w:val="1"/>
    <w:autoRedefine/>
    <w:unhideWhenUsed/>
    <w:qFormat/>
    <w:uiPriority w:val="0"/>
    <w:pPr>
      <w:jc w:val="center"/>
    </w:pPr>
  </w:style>
  <w:style w:type="paragraph" w:styleId="19">
    <w:name w:val="E-mail Signature"/>
    <w:basedOn w:val="1"/>
    <w:next w:val="20"/>
    <w:qFormat/>
    <w:uiPriority w:val="99"/>
  </w:style>
  <w:style w:type="paragraph" w:customStyle="1" w:styleId="20">
    <w:name w:val="文章"/>
    <w:basedOn w:val="4"/>
    <w:next w:val="21"/>
    <w:qFormat/>
    <w:uiPriority w:val="0"/>
    <w:pPr>
      <w:widowControl/>
      <w:ind w:firstLine="480"/>
      <w:jc w:val="center"/>
    </w:pPr>
    <w:rPr>
      <w:sz w:val="26"/>
      <w:szCs w:val="20"/>
    </w:rPr>
  </w:style>
  <w:style w:type="paragraph" w:styleId="21">
    <w:name w:val="List"/>
    <w:basedOn w:val="1"/>
    <w:next w:val="22"/>
    <w:autoRedefine/>
    <w:qFormat/>
    <w:uiPriority w:val="0"/>
    <w:pPr>
      <w:spacing w:line="360" w:lineRule="exact"/>
      <w:ind w:firstLine="38" w:firstLineChars="18"/>
    </w:pPr>
    <w:rPr>
      <w:rFonts w:ascii="宋体"/>
      <w:szCs w:val="21"/>
    </w:rPr>
  </w:style>
  <w:style w:type="paragraph" w:styleId="22">
    <w:name w:val="List Bullet 2"/>
    <w:basedOn w:val="1"/>
    <w:next w:val="23"/>
    <w:qFormat/>
    <w:uiPriority w:val="0"/>
    <w:pPr>
      <w:numPr>
        <w:ilvl w:val="0"/>
        <w:numId w:val="2"/>
      </w:numPr>
    </w:pPr>
  </w:style>
  <w:style w:type="paragraph" w:customStyle="1" w:styleId="23">
    <w:name w:val="xl70"/>
    <w:basedOn w:val="1"/>
    <w:next w:val="24"/>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4"/>
    </w:rPr>
  </w:style>
  <w:style w:type="paragraph" w:customStyle="1" w:styleId="24">
    <w:name w:val="正文缩进1"/>
    <w:basedOn w:val="1"/>
    <w:next w:val="25"/>
    <w:qFormat/>
    <w:uiPriority w:val="0"/>
    <w:pPr>
      <w:ind w:firstLine="420"/>
    </w:pPr>
  </w:style>
  <w:style w:type="paragraph" w:customStyle="1" w:styleId="25">
    <w:name w:val="td1"/>
    <w:basedOn w:val="1"/>
    <w:next w:val="1"/>
    <w:qFormat/>
    <w:uiPriority w:val="0"/>
    <w:pPr>
      <w:widowControl/>
      <w:spacing w:before="280" w:after="280" w:line="300" w:lineRule="atLeast"/>
      <w:ind w:firstLine="200"/>
    </w:pPr>
    <w:rPr>
      <w:color w:val="000000"/>
      <w:sz w:val="18"/>
    </w:rPr>
  </w:style>
  <w:style w:type="paragraph" w:styleId="26">
    <w:name w:val="caption"/>
    <w:basedOn w:val="1"/>
    <w:next w:val="1"/>
    <w:link w:val="91"/>
    <w:autoRedefine/>
    <w:qFormat/>
    <w:uiPriority w:val="0"/>
    <w:pPr>
      <w:widowControl/>
      <w:spacing w:line="440" w:lineRule="exact"/>
      <w:jc w:val="center"/>
    </w:pPr>
    <w:rPr>
      <w:b/>
      <w:spacing w:val="4"/>
    </w:rPr>
  </w:style>
  <w:style w:type="paragraph" w:styleId="27">
    <w:name w:val="index 5"/>
    <w:basedOn w:val="1"/>
    <w:next w:val="1"/>
    <w:autoRedefine/>
    <w:qFormat/>
    <w:uiPriority w:val="0"/>
    <w:pPr>
      <w:ind w:left="1680"/>
    </w:pPr>
  </w:style>
  <w:style w:type="paragraph" w:styleId="28">
    <w:name w:val="List Bullet"/>
    <w:basedOn w:val="1"/>
    <w:autoRedefine/>
    <w:qFormat/>
    <w:uiPriority w:val="0"/>
    <w:pPr>
      <w:numPr>
        <w:ilvl w:val="0"/>
        <w:numId w:val="3"/>
      </w:numPr>
      <w:contextualSpacing/>
    </w:pPr>
  </w:style>
  <w:style w:type="paragraph" w:styleId="29">
    <w:name w:val="Document Map"/>
    <w:basedOn w:val="1"/>
    <w:link w:val="81"/>
    <w:autoRedefine/>
    <w:qFormat/>
    <w:uiPriority w:val="0"/>
    <w:pPr>
      <w:shd w:val="clear" w:color="auto" w:fill="000080"/>
    </w:pPr>
  </w:style>
  <w:style w:type="paragraph" w:styleId="30">
    <w:name w:val="toa heading"/>
    <w:basedOn w:val="1"/>
    <w:next w:val="1"/>
    <w:autoRedefine/>
    <w:unhideWhenUsed/>
    <w:qFormat/>
    <w:uiPriority w:val="99"/>
    <w:pPr>
      <w:spacing w:before="120"/>
    </w:pPr>
    <w:rPr>
      <w:rFonts w:ascii="Arial" w:hAnsi="Arial"/>
      <w:sz w:val="24"/>
    </w:rPr>
  </w:style>
  <w:style w:type="paragraph" w:styleId="31">
    <w:name w:val="annotation text"/>
    <w:basedOn w:val="1"/>
    <w:link w:val="92"/>
    <w:autoRedefine/>
    <w:qFormat/>
    <w:uiPriority w:val="0"/>
    <w:pPr>
      <w:keepNext w:val="0"/>
      <w:keepLines w:val="0"/>
      <w:widowControl w:val="0"/>
      <w:suppressLineNumbers w:val="0"/>
      <w:adjustRightInd w:val="0"/>
      <w:snapToGrid w:val="0"/>
      <w:spacing w:before="0" w:beforeAutospacing="0" w:after="0" w:afterAutospacing="0" w:line="360" w:lineRule="auto"/>
      <w:ind w:left="0" w:right="0" w:firstLine="400" w:firstLineChars="200"/>
      <w:jc w:val="left"/>
    </w:pPr>
    <w:rPr>
      <w:rFonts w:hint="default" w:ascii="Calibri" w:hAnsi="Calibri" w:eastAsia="宋体" w:cs="Times New Roman"/>
      <w:snapToGrid/>
      <w:kern w:val="0"/>
      <w:sz w:val="20"/>
      <w:szCs w:val="20"/>
      <w:lang w:val="en-US" w:eastAsia="zh-CN" w:bidi="ar"/>
    </w:rPr>
  </w:style>
  <w:style w:type="paragraph" w:styleId="32">
    <w:name w:val="Body Text 3"/>
    <w:basedOn w:val="1"/>
    <w:link w:val="93"/>
    <w:autoRedefine/>
    <w:qFormat/>
    <w:uiPriority w:val="0"/>
    <w:rPr>
      <w:sz w:val="28"/>
    </w:rPr>
  </w:style>
  <w:style w:type="paragraph" w:styleId="33">
    <w:name w:val="Body Text"/>
    <w:basedOn w:val="1"/>
    <w:link w:val="79"/>
    <w:autoRedefine/>
    <w:qFormat/>
    <w:uiPriority w:val="0"/>
    <w:rPr>
      <w:sz w:val="32"/>
    </w:rPr>
  </w:style>
  <w:style w:type="paragraph" w:styleId="34">
    <w:name w:val="List 2"/>
    <w:basedOn w:val="1"/>
    <w:autoRedefine/>
    <w:qFormat/>
    <w:uiPriority w:val="0"/>
    <w:pPr>
      <w:spacing w:line="320" w:lineRule="exact"/>
      <w:jc w:val="center"/>
    </w:pPr>
    <w:rPr>
      <w:b/>
      <w:szCs w:val="24"/>
    </w:rPr>
  </w:style>
  <w:style w:type="paragraph" w:styleId="35">
    <w:name w:val="Block Text"/>
    <w:basedOn w:val="1"/>
    <w:next w:val="29"/>
    <w:autoRedefine/>
    <w:unhideWhenUsed/>
    <w:qFormat/>
    <w:uiPriority w:val="0"/>
    <w:pPr>
      <w:adjustRightInd/>
      <w:snapToGrid/>
      <w:spacing w:after="120" w:line="240" w:lineRule="auto"/>
      <w:ind w:left="1440" w:leftChars="700" w:right="1440" w:rightChars="700" w:firstLine="0" w:firstLineChars="0"/>
    </w:pPr>
    <w:rPr>
      <w:kern w:val="2"/>
      <w:sz w:val="21"/>
      <w:szCs w:val="20"/>
    </w:rPr>
  </w:style>
  <w:style w:type="paragraph" w:styleId="36">
    <w:name w:val="toc 5"/>
    <w:basedOn w:val="1"/>
    <w:next w:val="1"/>
    <w:autoRedefine/>
    <w:qFormat/>
    <w:uiPriority w:val="39"/>
    <w:pPr>
      <w:ind w:left="840"/>
      <w:jc w:val="left"/>
    </w:pPr>
    <w:rPr>
      <w:kern w:val="2"/>
      <w:sz w:val="18"/>
      <w:szCs w:val="18"/>
    </w:rPr>
  </w:style>
  <w:style w:type="paragraph" w:styleId="37">
    <w:name w:val="toc 3"/>
    <w:basedOn w:val="1"/>
    <w:next w:val="1"/>
    <w:autoRedefine/>
    <w:unhideWhenUsed/>
    <w:qFormat/>
    <w:uiPriority w:val="39"/>
    <w:pPr>
      <w:widowControl/>
      <w:spacing w:after="100" w:line="259" w:lineRule="auto"/>
      <w:ind w:left="440"/>
      <w:jc w:val="left"/>
    </w:pPr>
    <w:rPr>
      <w:rFonts w:ascii="等线" w:hAnsi="等线" w:eastAsia="等线"/>
      <w:sz w:val="22"/>
      <w:szCs w:val="22"/>
    </w:rPr>
  </w:style>
  <w:style w:type="paragraph" w:styleId="38">
    <w:name w:val="Plain Text"/>
    <w:basedOn w:val="1"/>
    <w:link w:val="94"/>
    <w:autoRedefine/>
    <w:qFormat/>
    <w:uiPriority w:val="0"/>
    <w:rPr>
      <w:rFonts w:ascii="宋体" w:hAnsi="Courier New"/>
    </w:rPr>
  </w:style>
  <w:style w:type="paragraph" w:styleId="39">
    <w:name w:val="List Bullet 5"/>
    <w:basedOn w:val="1"/>
    <w:autoRedefine/>
    <w:qFormat/>
    <w:uiPriority w:val="0"/>
    <w:pPr>
      <w:numPr>
        <w:ilvl w:val="0"/>
        <w:numId w:val="4"/>
      </w:numPr>
    </w:pPr>
  </w:style>
  <w:style w:type="paragraph" w:styleId="40">
    <w:name w:val="toc 8"/>
    <w:basedOn w:val="1"/>
    <w:next w:val="1"/>
    <w:autoRedefine/>
    <w:unhideWhenUsed/>
    <w:qFormat/>
    <w:uiPriority w:val="39"/>
    <w:pPr>
      <w:ind w:left="2940" w:leftChars="1400" w:firstLine="200" w:firstLineChars="200"/>
    </w:pPr>
    <w:rPr>
      <w:rFonts w:cs="Times New Roman"/>
      <w:kern w:val="2"/>
      <w:sz w:val="24"/>
      <w:szCs w:val="22"/>
    </w:rPr>
  </w:style>
  <w:style w:type="paragraph" w:styleId="41">
    <w:name w:val="Date"/>
    <w:basedOn w:val="1"/>
    <w:next w:val="1"/>
    <w:link w:val="95"/>
    <w:autoRedefine/>
    <w:qFormat/>
    <w:uiPriority w:val="0"/>
    <w:pPr>
      <w:ind w:left="100"/>
    </w:pPr>
    <w:rPr>
      <w:sz w:val="28"/>
    </w:rPr>
  </w:style>
  <w:style w:type="paragraph" w:styleId="42">
    <w:name w:val="Balloon Text"/>
    <w:basedOn w:val="1"/>
    <w:link w:val="97"/>
    <w:autoRedefine/>
    <w:qFormat/>
    <w:uiPriority w:val="99"/>
    <w:rPr>
      <w:sz w:val="18"/>
      <w:szCs w:val="18"/>
    </w:rPr>
  </w:style>
  <w:style w:type="paragraph" w:styleId="43">
    <w:name w:val="footer"/>
    <w:basedOn w:val="1"/>
    <w:link w:val="98"/>
    <w:autoRedefine/>
    <w:qFormat/>
    <w:uiPriority w:val="99"/>
    <w:pPr>
      <w:tabs>
        <w:tab w:val="center" w:pos="4153"/>
        <w:tab w:val="right" w:pos="8306"/>
      </w:tabs>
      <w:snapToGrid w:val="0"/>
      <w:jc w:val="left"/>
    </w:pPr>
    <w:rPr>
      <w:sz w:val="18"/>
    </w:rPr>
  </w:style>
  <w:style w:type="paragraph" w:styleId="44">
    <w:name w:val="header"/>
    <w:basedOn w:val="1"/>
    <w:next w:val="43"/>
    <w:link w:val="99"/>
    <w:autoRedefine/>
    <w:qFormat/>
    <w:uiPriority w:val="99"/>
    <w:pPr>
      <w:pBdr>
        <w:bottom w:val="single" w:color="auto" w:sz="6" w:space="1"/>
      </w:pBdr>
      <w:tabs>
        <w:tab w:val="center" w:pos="4153"/>
        <w:tab w:val="right" w:pos="8306"/>
      </w:tabs>
      <w:snapToGrid w:val="0"/>
      <w:jc w:val="center"/>
    </w:pPr>
    <w:rPr>
      <w:sz w:val="18"/>
      <w:szCs w:val="18"/>
    </w:rPr>
  </w:style>
  <w:style w:type="paragraph" w:styleId="45">
    <w:name w:val="toc 1"/>
    <w:basedOn w:val="1"/>
    <w:next w:val="1"/>
    <w:autoRedefine/>
    <w:qFormat/>
    <w:uiPriority w:val="39"/>
    <w:pPr>
      <w:spacing w:line="360" w:lineRule="auto"/>
      <w:jc w:val="center"/>
    </w:pPr>
    <w:rPr>
      <w:bCs/>
      <w:sz w:val="18"/>
      <w:szCs w:val="18"/>
    </w:rPr>
  </w:style>
  <w:style w:type="paragraph" w:styleId="46">
    <w:name w:val="toc 4"/>
    <w:basedOn w:val="1"/>
    <w:next w:val="1"/>
    <w:autoRedefine/>
    <w:qFormat/>
    <w:uiPriority w:val="39"/>
    <w:pPr>
      <w:ind w:left="630"/>
      <w:jc w:val="left"/>
    </w:pPr>
    <w:rPr>
      <w:kern w:val="2"/>
      <w:sz w:val="18"/>
      <w:szCs w:val="18"/>
    </w:rPr>
  </w:style>
  <w:style w:type="paragraph" w:styleId="47">
    <w:name w:val="index heading"/>
    <w:basedOn w:val="1"/>
    <w:next w:val="48"/>
    <w:autoRedefine/>
    <w:qFormat/>
    <w:uiPriority w:val="0"/>
    <w:pPr>
      <w:widowControl/>
      <w:jc w:val="left"/>
    </w:pPr>
    <w:rPr>
      <w:rFonts w:ascii="Cambria" w:hAnsi="Cambria"/>
      <w:b/>
    </w:rPr>
  </w:style>
  <w:style w:type="paragraph" w:styleId="48">
    <w:name w:val="index 1"/>
    <w:basedOn w:val="1"/>
    <w:next w:val="1"/>
    <w:autoRedefine/>
    <w:qFormat/>
    <w:uiPriority w:val="0"/>
    <w:pPr>
      <w:tabs>
        <w:tab w:val="left" w:pos="5580"/>
      </w:tabs>
      <w:spacing w:line="280" w:lineRule="exact"/>
    </w:pPr>
    <w:rPr>
      <w:rFonts w:ascii="宋体" w:hAnsi="宋体"/>
      <w:spacing w:val="10"/>
      <w:szCs w:val="24"/>
    </w:rPr>
  </w:style>
  <w:style w:type="paragraph" w:styleId="49">
    <w:name w:val="Subtitle"/>
    <w:basedOn w:val="1"/>
    <w:next w:val="1"/>
    <w:link w:val="100"/>
    <w:autoRedefine/>
    <w:qFormat/>
    <w:uiPriority w:val="11"/>
    <w:pPr>
      <w:jc w:val="center"/>
      <w:outlineLvl w:val="1"/>
    </w:pPr>
    <w:rPr>
      <w:rFonts w:ascii="Cambria" w:hAnsi="Cambria" w:eastAsia="Times New Roman"/>
      <w:b/>
      <w:bCs/>
      <w:kern w:val="28"/>
      <w:sz w:val="21"/>
      <w:szCs w:val="32"/>
    </w:rPr>
  </w:style>
  <w:style w:type="paragraph" w:styleId="50">
    <w:name w:val="toc 6"/>
    <w:basedOn w:val="1"/>
    <w:next w:val="1"/>
    <w:autoRedefine/>
    <w:qFormat/>
    <w:uiPriority w:val="39"/>
    <w:pPr>
      <w:ind w:left="1050"/>
      <w:jc w:val="left"/>
    </w:pPr>
    <w:rPr>
      <w:kern w:val="2"/>
      <w:sz w:val="18"/>
      <w:szCs w:val="18"/>
    </w:rPr>
  </w:style>
  <w:style w:type="paragraph" w:styleId="51">
    <w:name w:val="Body Text Indent 3"/>
    <w:basedOn w:val="1"/>
    <w:link w:val="101"/>
    <w:autoRedefine/>
    <w:qFormat/>
    <w:uiPriority w:val="0"/>
    <w:pPr>
      <w:ind w:firstLine="406"/>
    </w:pPr>
  </w:style>
  <w:style w:type="paragraph" w:styleId="52">
    <w:name w:val="table of figures"/>
    <w:basedOn w:val="1"/>
    <w:next w:val="1"/>
    <w:autoRedefine/>
    <w:qFormat/>
    <w:uiPriority w:val="0"/>
    <w:pPr>
      <w:adjustRightInd w:val="0"/>
      <w:snapToGrid w:val="0"/>
      <w:spacing w:line="440" w:lineRule="exact"/>
    </w:pPr>
    <w:rPr>
      <w:rFonts w:ascii="Arial" w:hAnsi="Arial" w:eastAsia="黑体"/>
      <w:kern w:val="2"/>
      <w:sz w:val="24"/>
    </w:rPr>
  </w:style>
  <w:style w:type="paragraph" w:styleId="53">
    <w:name w:val="toc 2"/>
    <w:basedOn w:val="1"/>
    <w:next w:val="19"/>
    <w:autoRedefine/>
    <w:unhideWhenUsed/>
    <w:qFormat/>
    <w:uiPriority w:val="39"/>
    <w:pPr>
      <w:widowControl/>
      <w:spacing w:after="100" w:line="259" w:lineRule="auto"/>
      <w:ind w:left="220"/>
      <w:jc w:val="left"/>
    </w:pPr>
    <w:rPr>
      <w:rFonts w:ascii="等线" w:hAnsi="等线" w:eastAsia="等线"/>
      <w:sz w:val="22"/>
      <w:szCs w:val="22"/>
    </w:rPr>
  </w:style>
  <w:style w:type="paragraph" w:styleId="54">
    <w:name w:val="toc 9"/>
    <w:basedOn w:val="1"/>
    <w:next w:val="1"/>
    <w:autoRedefine/>
    <w:qFormat/>
    <w:uiPriority w:val="39"/>
    <w:pPr>
      <w:ind w:left="1680"/>
      <w:jc w:val="left"/>
    </w:pPr>
    <w:rPr>
      <w:kern w:val="2"/>
      <w:sz w:val="18"/>
      <w:szCs w:val="18"/>
    </w:rPr>
  </w:style>
  <w:style w:type="paragraph" w:styleId="55">
    <w:name w:val="Body Text 2"/>
    <w:basedOn w:val="1"/>
    <w:next w:val="1"/>
    <w:link w:val="102"/>
    <w:autoRedefine/>
    <w:qFormat/>
    <w:uiPriority w:val="99"/>
  </w:style>
  <w:style w:type="paragraph" w:styleId="56">
    <w:name w:val="HTML Preformatted"/>
    <w:basedOn w:val="1"/>
    <w:link w:val="103"/>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640" w:firstLineChars="200"/>
      <w:jc w:val="left"/>
    </w:pPr>
    <w:rPr>
      <w:rFonts w:hint="eastAsia" w:ascii="宋体" w:hAnsi="宋体"/>
      <w:sz w:val="24"/>
      <w:szCs w:val="24"/>
    </w:rPr>
  </w:style>
  <w:style w:type="paragraph" w:styleId="57">
    <w:name w:val="Normal (Web)"/>
    <w:basedOn w:val="1"/>
    <w:link w:val="104"/>
    <w:autoRedefine/>
    <w:qFormat/>
    <w:uiPriority w:val="0"/>
    <w:pPr>
      <w:widowControl/>
      <w:spacing w:before="100" w:beforeAutospacing="1" w:after="100" w:afterAutospacing="1"/>
      <w:jc w:val="left"/>
    </w:pPr>
    <w:rPr>
      <w:rFonts w:ascii="宋体" w:hAnsi="宋体"/>
      <w:kern w:val="0"/>
      <w:sz w:val="24"/>
      <w:szCs w:val="24"/>
    </w:rPr>
  </w:style>
  <w:style w:type="paragraph" w:styleId="58">
    <w:name w:val="annotation subject"/>
    <w:basedOn w:val="31"/>
    <w:next w:val="31"/>
    <w:link w:val="106"/>
    <w:autoRedefine/>
    <w:qFormat/>
    <w:uiPriority w:val="0"/>
    <w:rPr>
      <w:b/>
      <w:bCs/>
    </w:rPr>
  </w:style>
  <w:style w:type="table" w:styleId="60">
    <w:name w:val="Table Grid"/>
    <w:basedOn w:val="59"/>
    <w:autoRedefine/>
    <w:qFormat/>
    <w:uiPriority w:val="3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styleId="61">
    <w:name w:val="Table Classic 1"/>
    <w:basedOn w:val="59"/>
    <w:autoRedefine/>
    <w:qFormat/>
    <w:uiPriority w:val="0"/>
    <w:pPr>
      <w:widowControl w:val="0"/>
      <w:jc w:val="both"/>
    </w:pPr>
    <w:rPr>
      <w:sz w:val="21"/>
    </w:rPr>
    <w:tblPr>
      <w:tblBorders>
        <w:top w:val="single" w:color="000000" w:sz="12" w:space="0"/>
        <w:bottom w:val="single" w:color="000000" w:sz="12" w:space="0"/>
        <w:insideH w:val="single" w:color="auto" w:sz="4" w:space="0"/>
        <w:insideV w:val="single" w:color="auto" w:sz="4" w:space="0"/>
      </w:tblBorders>
    </w:tblPr>
    <w:tcPr>
      <w:shd w:val="clear" w:color="auto" w:fill="auto"/>
    </w:tcPr>
    <w:tblStylePr w:type="firstRow">
      <w:rPr>
        <w:i/>
        <w:iCs/>
      </w:rPr>
      <w:tblPr/>
      <w:tcPr>
        <w:tcBorders>
          <w:top w:val="nil"/>
          <w:left w:val="single" w:color="000000" w:sz="6" w:space="0"/>
          <w:bottom w:val="nil"/>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character" w:styleId="63">
    <w:name w:val="Strong"/>
    <w:autoRedefine/>
    <w:qFormat/>
    <w:uiPriority w:val="0"/>
    <w:rPr>
      <w:b/>
      <w:bCs/>
    </w:rPr>
  </w:style>
  <w:style w:type="character" w:styleId="64">
    <w:name w:val="page number"/>
    <w:basedOn w:val="62"/>
    <w:autoRedefine/>
    <w:qFormat/>
    <w:uiPriority w:val="0"/>
  </w:style>
  <w:style w:type="character" w:styleId="65">
    <w:name w:val="FollowedHyperlink"/>
    <w:autoRedefine/>
    <w:qFormat/>
    <w:uiPriority w:val="0"/>
    <w:rPr>
      <w:color w:val="800080"/>
      <w:u w:val="single"/>
    </w:rPr>
  </w:style>
  <w:style w:type="character" w:styleId="66">
    <w:name w:val="Emphasis"/>
    <w:autoRedefine/>
    <w:qFormat/>
    <w:uiPriority w:val="0"/>
  </w:style>
  <w:style w:type="character" w:styleId="67">
    <w:name w:val="HTML Definition"/>
    <w:autoRedefine/>
    <w:qFormat/>
    <w:uiPriority w:val="0"/>
  </w:style>
  <w:style w:type="character" w:styleId="68">
    <w:name w:val="HTML Variable"/>
    <w:autoRedefine/>
    <w:qFormat/>
    <w:uiPriority w:val="0"/>
  </w:style>
  <w:style w:type="character" w:styleId="69">
    <w:name w:val="Hyperlink"/>
    <w:autoRedefine/>
    <w:qFormat/>
    <w:uiPriority w:val="99"/>
    <w:rPr>
      <w:color w:val="333333"/>
      <w:u w:val="none"/>
    </w:rPr>
  </w:style>
  <w:style w:type="character" w:styleId="70">
    <w:name w:val="HTML Code"/>
    <w:autoRedefine/>
    <w:qFormat/>
    <w:uiPriority w:val="0"/>
    <w:rPr>
      <w:rFonts w:hint="default" w:ascii="Arial" w:hAnsi="Arial" w:cs="Arial"/>
      <w:sz w:val="20"/>
    </w:rPr>
  </w:style>
  <w:style w:type="character" w:styleId="71">
    <w:name w:val="annotation reference"/>
    <w:autoRedefine/>
    <w:qFormat/>
    <w:uiPriority w:val="0"/>
    <w:rPr>
      <w:sz w:val="21"/>
      <w:szCs w:val="21"/>
    </w:rPr>
  </w:style>
  <w:style w:type="character" w:styleId="72">
    <w:name w:val="HTML Cite"/>
    <w:autoRedefine/>
    <w:qFormat/>
    <w:uiPriority w:val="0"/>
  </w:style>
  <w:style w:type="character" w:styleId="73">
    <w:name w:val="HTML Keyboard"/>
    <w:autoRedefine/>
    <w:qFormat/>
    <w:uiPriority w:val="0"/>
    <w:rPr>
      <w:rFonts w:hint="default" w:ascii="Arial" w:hAnsi="Arial" w:cs="Arial"/>
      <w:sz w:val="20"/>
    </w:rPr>
  </w:style>
  <w:style w:type="character" w:styleId="74">
    <w:name w:val="HTML Sample"/>
    <w:autoRedefine/>
    <w:qFormat/>
    <w:uiPriority w:val="0"/>
    <w:rPr>
      <w:rFonts w:hint="default" w:ascii="Arial" w:hAnsi="Arial" w:cs="Arial"/>
    </w:rPr>
  </w:style>
  <w:style w:type="paragraph" w:customStyle="1" w:styleId="75">
    <w:name w:val="报告正文"/>
    <w:basedOn w:val="1"/>
    <w:link w:val="146"/>
    <w:qFormat/>
    <w:uiPriority w:val="0"/>
    <w:pPr>
      <w:adjustRightInd w:val="0"/>
      <w:snapToGrid w:val="0"/>
      <w:spacing w:line="480" w:lineRule="atLeast"/>
      <w:ind w:firstLine="480" w:firstLineChars="200"/>
      <w:jc w:val="left"/>
    </w:pPr>
    <w:rPr>
      <w:rFonts w:cs="宋体"/>
      <w:kern w:val="2"/>
      <w:sz w:val="24"/>
    </w:rPr>
  </w:style>
  <w:style w:type="paragraph" w:customStyle="1" w:styleId="76">
    <w:name w:val="样式 正文文本缩进 + 行距: 1.5 倍行距"/>
    <w:basedOn w:val="1"/>
    <w:autoRedefine/>
    <w:qFormat/>
    <w:uiPriority w:val="0"/>
    <w:pPr>
      <w:spacing w:after="120" w:line="360" w:lineRule="auto"/>
      <w:ind w:left="90" w:leftChars="32" w:firstLine="560" w:firstLineChars="200"/>
    </w:pPr>
    <w:rPr>
      <w:rFonts w:cs="宋体"/>
    </w:rPr>
  </w:style>
  <w:style w:type="paragraph" w:customStyle="1" w:styleId="77">
    <w:name w:val="样式 正文文本 + 首行缩进:  2 字符"/>
    <w:basedOn w:val="33"/>
    <w:next w:val="1"/>
    <w:autoRedefine/>
    <w:qFormat/>
    <w:uiPriority w:val="99"/>
    <w:pPr>
      <w:spacing w:after="200" w:line="480" w:lineRule="exact"/>
      <w:ind w:firstLine="480" w:firstLineChars="200"/>
    </w:pPr>
    <w:rPr>
      <w:rFonts w:ascii="宋体" w:hAnsi="宋体"/>
      <w:sz w:val="24"/>
    </w:rPr>
  </w:style>
  <w:style w:type="character" w:customStyle="1" w:styleId="78">
    <w:name w:val="正文缩进 字符1"/>
    <w:link w:val="12"/>
    <w:autoRedefine/>
    <w:qFormat/>
    <w:uiPriority w:val="0"/>
    <w:rPr>
      <w:rFonts w:eastAsia="宋体"/>
      <w:sz w:val="28"/>
      <w:lang w:val="en-US" w:eastAsia="zh-CN" w:bidi="ar-SA"/>
    </w:rPr>
  </w:style>
  <w:style w:type="character" w:customStyle="1" w:styleId="79">
    <w:name w:val="正文文本 字符1"/>
    <w:link w:val="33"/>
    <w:autoRedefine/>
    <w:qFormat/>
    <w:uiPriority w:val="0"/>
    <w:rPr>
      <w:sz w:val="32"/>
    </w:rPr>
  </w:style>
  <w:style w:type="character" w:customStyle="1" w:styleId="80">
    <w:name w:val="正文文本缩进 字符"/>
    <w:link w:val="4"/>
    <w:autoRedefine/>
    <w:qFormat/>
    <w:uiPriority w:val="0"/>
    <w:rPr>
      <w:sz w:val="28"/>
    </w:rPr>
  </w:style>
  <w:style w:type="character" w:customStyle="1" w:styleId="81">
    <w:name w:val="文档结构图 字符"/>
    <w:link w:val="29"/>
    <w:autoRedefine/>
    <w:qFormat/>
    <w:uiPriority w:val="0"/>
    <w:rPr>
      <w:shd w:val="clear" w:color="auto" w:fill="000080"/>
    </w:rPr>
  </w:style>
  <w:style w:type="character" w:customStyle="1" w:styleId="82">
    <w:name w:val="标题 1 字符"/>
    <w:link w:val="6"/>
    <w:autoRedefine/>
    <w:qFormat/>
    <w:uiPriority w:val="0"/>
    <w:rPr>
      <w:rFonts w:eastAsia="黑体"/>
      <w:kern w:val="44"/>
      <w:sz w:val="28"/>
    </w:rPr>
  </w:style>
  <w:style w:type="character" w:customStyle="1" w:styleId="83">
    <w:name w:val="标题 2 字符"/>
    <w:link w:val="8"/>
    <w:autoRedefine/>
    <w:qFormat/>
    <w:uiPriority w:val="0"/>
    <w:rPr>
      <w:rFonts w:ascii="Arial" w:hAnsi="Arial" w:eastAsia="黑体"/>
      <w:sz w:val="32"/>
    </w:rPr>
  </w:style>
  <w:style w:type="character" w:customStyle="1" w:styleId="84">
    <w:name w:val="标题 3 字符"/>
    <w:basedOn w:val="62"/>
    <w:link w:val="9"/>
    <w:qFormat/>
    <w:uiPriority w:val="0"/>
    <w:rPr>
      <w:rFonts w:eastAsia="黑体"/>
      <w:sz w:val="30"/>
    </w:rPr>
  </w:style>
  <w:style w:type="character" w:customStyle="1" w:styleId="85">
    <w:name w:val="标题 4 字符"/>
    <w:link w:val="10"/>
    <w:autoRedefine/>
    <w:qFormat/>
    <w:uiPriority w:val="0"/>
    <w:rPr>
      <w:rFonts w:ascii="Arial" w:hAnsi="Arial" w:eastAsia="黑体"/>
      <w:b/>
      <w:sz w:val="28"/>
    </w:rPr>
  </w:style>
  <w:style w:type="character" w:customStyle="1" w:styleId="86">
    <w:name w:val="标题 5 字符"/>
    <w:link w:val="11"/>
    <w:qFormat/>
    <w:uiPriority w:val="0"/>
    <w:rPr>
      <w:b/>
      <w:sz w:val="28"/>
    </w:rPr>
  </w:style>
  <w:style w:type="character" w:customStyle="1" w:styleId="87">
    <w:name w:val="标题 6 字符"/>
    <w:link w:val="13"/>
    <w:autoRedefine/>
    <w:qFormat/>
    <w:uiPriority w:val="0"/>
    <w:rPr>
      <w:rFonts w:ascii="Arial" w:hAnsi="Arial" w:eastAsia="黑体"/>
      <w:b/>
      <w:sz w:val="24"/>
    </w:rPr>
  </w:style>
  <w:style w:type="character" w:customStyle="1" w:styleId="88">
    <w:name w:val="标题 7 字符"/>
    <w:link w:val="14"/>
    <w:autoRedefine/>
    <w:qFormat/>
    <w:uiPriority w:val="0"/>
    <w:rPr>
      <w:b/>
      <w:sz w:val="24"/>
    </w:rPr>
  </w:style>
  <w:style w:type="character" w:customStyle="1" w:styleId="89">
    <w:name w:val="标题 8 字符"/>
    <w:link w:val="15"/>
    <w:autoRedefine/>
    <w:qFormat/>
    <w:uiPriority w:val="0"/>
    <w:rPr>
      <w:rFonts w:ascii="Arial" w:hAnsi="Arial" w:eastAsia="黑体"/>
      <w:sz w:val="24"/>
    </w:rPr>
  </w:style>
  <w:style w:type="character" w:customStyle="1" w:styleId="90">
    <w:name w:val="标题 9 字符"/>
    <w:link w:val="16"/>
    <w:autoRedefine/>
    <w:qFormat/>
    <w:uiPriority w:val="0"/>
    <w:rPr>
      <w:rFonts w:ascii="Arial" w:hAnsi="Arial" w:eastAsia="黑体"/>
      <w:sz w:val="28"/>
    </w:rPr>
  </w:style>
  <w:style w:type="character" w:customStyle="1" w:styleId="91">
    <w:name w:val="题注 字符"/>
    <w:link w:val="26"/>
    <w:autoRedefine/>
    <w:qFormat/>
    <w:uiPriority w:val="0"/>
    <w:rPr>
      <w:b/>
      <w:spacing w:val="4"/>
      <w:kern w:val="2"/>
      <w:sz w:val="21"/>
    </w:rPr>
  </w:style>
  <w:style w:type="character" w:customStyle="1" w:styleId="92">
    <w:name w:val="批注文字 字符"/>
    <w:link w:val="31"/>
    <w:autoRedefine/>
    <w:qFormat/>
    <w:uiPriority w:val="0"/>
  </w:style>
  <w:style w:type="character" w:customStyle="1" w:styleId="93">
    <w:name w:val="正文文本 3 字符"/>
    <w:link w:val="32"/>
    <w:autoRedefine/>
    <w:qFormat/>
    <w:uiPriority w:val="0"/>
    <w:rPr>
      <w:sz w:val="28"/>
    </w:rPr>
  </w:style>
  <w:style w:type="character" w:customStyle="1" w:styleId="94">
    <w:name w:val="纯文本 字符"/>
    <w:link w:val="38"/>
    <w:autoRedefine/>
    <w:qFormat/>
    <w:uiPriority w:val="0"/>
    <w:rPr>
      <w:rFonts w:ascii="宋体" w:hAnsi="Courier New"/>
      <w:kern w:val="2"/>
      <w:sz w:val="21"/>
    </w:rPr>
  </w:style>
  <w:style w:type="character" w:customStyle="1" w:styleId="95">
    <w:name w:val="日期 字符"/>
    <w:link w:val="41"/>
    <w:autoRedefine/>
    <w:qFormat/>
    <w:uiPriority w:val="0"/>
    <w:rPr>
      <w:sz w:val="28"/>
    </w:rPr>
  </w:style>
  <w:style w:type="character" w:customStyle="1" w:styleId="96">
    <w:name w:val="正文文本缩进 2 字符"/>
    <w:link w:val="5"/>
    <w:autoRedefine/>
    <w:qFormat/>
    <w:uiPriority w:val="0"/>
    <w:rPr>
      <w:sz w:val="28"/>
    </w:rPr>
  </w:style>
  <w:style w:type="character" w:customStyle="1" w:styleId="97">
    <w:name w:val="批注框文本 字符"/>
    <w:link w:val="42"/>
    <w:autoRedefine/>
    <w:qFormat/>
    <w:uiPriority w:val="99"/>
    <w:rPr>
      <w:sz w:val="18"/>
      <w:szCs w:val="18"/>
    </w:rPr>
  </w:style>
  <w:style w:type="character" w:customStyle="1" w:styleId="98">
    <w:name w:val="页脚 字符"/>
    <w:link w:val="43"/>
    <w:autoRedefine/>
    <w:qFormat/>
    <w:uiPriority w:val="99"/>
    <w:rPr>
      <w:sz w:val="18"/>
    </w:rPr>
  </w:style>
  <w:style w:type="character" w:customStyle="1" w:styleId="99">
    <w:name w:val="页眉 字符"/>
    <w:link w:val="44"/>
    <w:autoRedefine/>
    <w:qFormat/>
    <w:uiPriority w:val="99"/>
    <w:rPr>
      <w:sz w:val="18"/>
      <w:szCs w:val="18"/>
    </w:rPr>
  </w:style>
  <w:style w:type="character" w:customStyle="1" w:styleId="100">
    <w:name w:val="副标题 字符"/>
    <w:link w:val="49"/>
    <w:autoRedefine/>
    <w:qFormat/>
    <w:uiPriority w:val="11"/>
    <w:rPr>
      <w:rFonts w:ascii="Cambria" w:hAnsi="Cambria" w:eastAsia="Times New Roman"/>
      <w:b/>
      <w:bCs/>
      <w:kern w:val="28"/>
      <w:sz w:val="21"/>
      <w:szCs w:val="32"/>
    </w:rPr>
  </w:style>
  <w:style w:type="character" w:customStyle="1" w:styleId="101">
    <w:name w:val="正文文本缩进 3 字符"/>
    <w:link w:val="51"/>
    <w:autoRedefine/>
    <w:qFormat/>
    <w:uiPriority w:val="0"/>
  </w:style>
  <w:style w:type="character" w:customStyle="1" w:styleId="102">
    <w:name w:val="正文文本 2 字符"/>
    <w:link w:val="55"/>
    <w:qFormat/>
    <w:uiPriority w:val="99"/>
  </w:style>
  <w:style w:type="character" w:customStyle="1" w:styleId="103">
    <w:name w:val="HTML 预设格式 字符"/>
    <w:link w:val="56"/>
    <w:autoRedefine/>
    <w:qFormat/>
    <w:uiPriority w:val="0"/>
    <w:rPr>
      <w:rFonts w:ascii="宋体" w:hAnsi="宋体"/>
      <w:sz w:val="24"/>
      <w:szCs w:val="24"/>
    </w:rPr>
  </w:style>
  <w:style w:type="character" w:customStyle="1" w:styleId="104">
    <w:name w:val="普通(网站) 字符"/>
    <w:link w:val="57"/>
    <w:autoRedefine/>
    <w:qFormat/>
    <w:uiPriority w:val="0"/>
    <w:rPr>
      <w:rFonts w:ascii="宋体" w:hAnsi="宋体"/>
      <w:sz w:val="24"/>
      <w:szCs w:val="24"/>
    </w:rPr>
  </w:style>
  <w:style w:type="character" w:customStyle="1" w:styleId="105">
    <w:name w:val="标题 字符"/>
    <w:link w:val="7"/>
    <w:qFormat/>
    <w:uiPriority w:val="10"/>
    <w:rPr>
      <w:bCs/>
      <w:kern w:val="2"/>
      <w:sz w:val="23"/>
      <w:szCs w:val="32"/>
    </w:rPr>
  </w:style>
  <w:style w:type="character" w:customStyle="1" w:styleId="106">
    <w:name w:val="批注主题 字符"/>
    <w:link w:val="58"/>
    <w:autoRedefine/>
    <w:qFormat/>
    <w:uiPriority w:val="0"/>
    <w:rPr>
      <w:b/>
      <w:bCs/>
    </w:rPr>
  </w:style>
  <w:style w:type="character" w:customStyle="1" w:styleId="107">
    <w:name w:val="正文文本首行缩进 字符"/>
    <w:link w:val="2"/>
    <w:qFormat/>
    <w:uiPriority w:val="0"/>
    <w:rPr>
      <w:kern w:val="2"/>
      <w:sz w:val="21"/>
    </w:rPr>
  </w:style>
  <w:style w:type="paragraph" w:customStyle="1" w:styleId="108">
    <w:name w:val="style4"/>
    <w:basedOn w:val="1"/>
    <w:next w:val="109"/>
    <w:autoRedefine/>
    <w:qFormat/>
    <w:uiPriority w:val="0"/>
    <w:pPr>
      <w:widowControl/>
      <w:spacing w:before="280" w:after="280"/>
    </w:pPr>
    <w:rPr>
      <w:rFonts w:ascii="宋体"/>
      <w:sz w:val="18"/>
    </w:rPr>
  </w:style>
  <w:style w:type="paragraph" w:customStyle="1" w:styleId="109">
    <w:name w:val="2"/>
    <w:basedOn w:val="1"/>
    <w:next w:val="1"/>
    <w:autoRedefine/>
    <w:qFormat/>
    <w:uiPriority w:val="0"/>
    <w:pPr>
      <w:snapToGrid w:val="0"/>
      <w:spacing w:line="360" w:lineRule="auto"/>
      <w:ind w:firstLine="529" w:firstLineChars="200"/>
    </w:pPr>
  </w:style>
  <w:style w:type="character" w:customStyle="1" w:styleId="110">
    <w:name w:val="无间隔1 字符"/>
    <w:link w:val="111"/>
    <w:autoRedefine/>
    <w:qFormat/>
    <w:uiPriority w:val="99"/>
    <w:rPr>
      <w:kern w:val="2"/>
      <w:sz w:val="21"/>
      <w:szCs w:val="22"/>
    </w:rPr>
  </w:style>
  <w:style w:type="paragraph" w:customStyle="1" w:styleId="111">
    <w:name w:val="无间隔1"/>
    <w:link w:val="110"/>
    <w:autoRedefine/>
    <w:qFormat/>
    <w:uiPriority w:val="99"/>
    <w:pPr>
      <w:widowControl w:val="0"/>
      <w:jc w:val="both"/>
    </w:pPr>
    <w:rPr>
      <w:rFonts w:ascii="Times New Roman" w:hAnsi="Times New Roman" w:eastAsia="宋体" w:cs="Times New Roman"/>
      <w:kern w:val="2"/>
      <w:sz w:val="21"/>
      <w:szCs w:val="22"/>
      <w:lang w:val="en-US" w:eastAsia="zh-CN" w:bidi="ar-SA"/>
    </w:rPr>
  </w:style>
  <w:style w:type="character" w:customStyle="1" w:styleId="112">
    <w:name w:val="18"/>
    <w:autoRedefine/>
    <w:qFormat/>
    <w:uiPriority w:val="0"/>
    <w:rPr>
      <w:rFonts w:hint="eastAsia" w:ascii="宋体" w:hAnsi="宋体" w:eastAsia="宋体"/>
      <w:color w:val="000000"/>
      <w:sz w:val="20"/>
      <w:szCs w:val="20"/>
    </w:rPr>
  </w:style>
  <w:style w:type="character" w:customStyle="1" w:styleId="113">
    <w:name w:val="v-qiye"/>
    <w:autoRedefine/>
    <w:qFormat/>
    <w:uiPriority w:val="0"/>
  </w:style>
  <w:style w:type="character" w:customStyle="1" w:styleId="114">
    <w:name w:val="普通文字 Char Char1"/>
    <w:autoRedefine/>
    <w:qFormat/>
    <w:uiPriority w:val="0"/>
    <w:rPr>
      <w:rFonts w:ascii="宋体" w:hAnsi="Courier New" w:eastAsia="宋体"/>
      <w:spacing w:val="5"/>
      <w:kern w:val="2"/>
      <w:sz w:val="25"/>
      <w:szCs w:val="25"/>
      <w:lang w:val="en-US" w:eastAsia="zh-CN" w:bidi="ar-SA"/>
    </w:rPr>
  </w:style>
  <w:style w:type="character" w:customStyle="1" w:styleId="115">
    <w:name w:val="表格&amp;图标题 字符"/>
    <w:link w:val="116"/>
    <w:autoRedefine/>
    <w:qFormat/>
    <w:uiPriority w:val="0"/>
    <w:rPr>
      <w:b/>
      <w:kern w:val="2"/>
      <w:sz w:val="24"/>
    </w:rPr>
  </w:style>
  <w:style w:type="paragraph" w:customStyle="1" w:styleId="116">
    <w:name w:val="表格&amp;图标题"/>
    <w:basedOn w:val="117"/>
    <w:link w:val="115"/>
    <w:autoRedefine/>
    <w:qFormat/>
    <w:uiPriority w:val="0"/>
    <w:rPr>
      <w:sz w:val="24"/>
    </w:rPr>
  </w:style>
  <w:style w:type="paragraph" w:customStyle="1" w:styleId="117">
    <w:name w:val="表 头"/>
    <w:basedOn w:val="1"/>
    <w:link w:val="118"/>
    <w:autoRedefine/>
    <w:qFormat/>
    <w:uiPriority w:val="0"/>
    <w:pPr>
      <w:jc w:val="center"/>
    </w:pPr>
    <w:rPr>
      <w:b/>
    </w:rPr>
  </w:style>
  <w:style w:type="character" w:customStyle="1" w:styleId="118">
    <w:name w:val="表 头 字符"/>
    <w:link w:val="117"/>
    <w:qFormat/>
    <w:uiPriority w:val="0"/>
    <w:rPr>
      <w:b/>
      <w:kern w:val="2"/>
      <w:sz w:val="21"/>
    </w:rPr>
  </w:style>
  <w:style w:type="character" w:customStyle="1" w:styleId="119">
    <w:name w:val="total"/>
    <w:autoRedefine/>
    <w:qFormat/>
    <w:uiPriority w:val="0"/>
  </w:style>
  <w:style w:type="character" w:customStyle="1" w:styleId="120">
    <w:name w:val="day"/>
    <w:qFormat/>
    <w:uiPriority w:val="0"/>
    <w:rPr>
      <w:sz w:val="18"/>
      <w:szCs w:val="18"/>
    </w:rPr>
  </w:style>
  <w:style w:type="character" w:customStyle="1" w:styleId="121">
    <w:name w:val="节编号 Char"/>
    <w:link w:val="122"/>
    <w:qFormat/>
    <w:uiPriority w:val="0"/>
    <w:rPr>
      <w:rFonts w:ascii="Cambria" w:hAnsi="Cambria" w:eastAsia="黑体"/>
      <w:b/>
      <w:bCs/>
      <w:sz w:val="32"/>
      <w:szCs w:val="32"/>
    </w:rPr>
  </w:style>
  <w:style w:type="paragraph" w:customStyle="1" w:styleId="122">
    <w:name w:val="节编号"/>
    <w:basedOn w:val="8"/>
    <w:link w:val="121"/>
    <w:qFormat/>
    <w:uiPriority w:val="0"/>
    <w:pPr>
      <w:numPr>
        <w:ilvl w:val="0"/>
        <w:numId w:val="0"/>
      </w:numPr>
      <w:tabs>
        <w:tab w:val="left" w:pos="570"/>
      </w:tabs>
      <w:adjustRightInd/>
      <w:spacing w:before="0" w:beforeLines="100" w:after="0" w:line="360" w:lineRule="auto"/>
      <w:ind w:left="570" w:firstLine="113"/>
      <w:jc w:val="left"/>
      <w:textAlignment w:val="auto"/>
    </w:pPr>
    <w:rPr>
      <w:rFonts w:ascii="Cambria" w:hAnsi="Cambria"/>
      <w:b/>
      <w:bCs/>
      <w:szCs w:val="32"/>
    </w:rPr>
  </w:style>
  <w:style w:type="character" w:customStyle="1" w:styleId="123">
    <w:name w:val="表格居中 Char"/>
    <w:link w:val="124"/>
    <w:autoRedefine/>
    <w:qFormat/>
    <w:uiPriority w:val="0"/>
    <w:rPr>
      <w:kern w:val="2"/>
      <w:sz w:val="21"/>
    </w:rPr>
  </w:style>
  <w:style w:type="paragraph" w:customStyle="1" w:styleId="124">
    <w:name w:val="表格居中"/>
    <w:basedOn w:val="1"/>
    <w:link w:val="123"/>
    <w:autoRedefine/>
    <w:qFormat/>
    <w:uiPriority w:val="0"/>
    <w:pPr>
      <w:widowControl/>
      <w:snapToGrid w:val="0"/>
      <w:jc w:val="center"/>
    </w:pPr>
    <w:rPr>
      <w:kern w:val="2"/>
      <w:sz w:val="21"/>
    </w:rPr>
  </w:style>
  <w:style w:type="character" w:customStyle="1" w:styleId="125">
    <w:name w:val="正文（首行缩进两字） Char2"/>
    <w:autoRedefine/>
    <w:qFormat/>
    <w:uiPriority w:val="0"/>
    <w:rPr>
      <w:rFonts w:eastAsia="宋体"/>
      <w:kern w:val="2"/>
      <w:sz w:val="21"/>
      <w:lang w:val="en-US" w:eastAsia="zh-CN" w:bidi="ar-SA"/>
    </w:rPr>
  </w:style>
  <w:style w:type="character" w:customStyle="1" w:styleId="126">
    <w:name w:val="正文2 字符"/>
    <w:link w:val="127"/>
    <w:autoRedefine/>
    <w:qFormat/>
    <w:uiPriority w:val="0"/>
    <w:rPr>
      <w:kern w:val="2"/>
      <w:sz w:val="24"/>
      <w:szCs w:val="24"/>
    </w:rPr>
  </w:style>
  <w:style w:type="paragraph" w:customStyle="1" w:styleId="127">
    <w:name w:val="正文2"/>
    <w:basedOn w:val="1"/>
    <w:link w:val="126"/>
    <w:qFormat/>
    <w:uiPriority w:val="0"/>
    <w:pPr>
      <w:spacing w:line="360" w:lineRule="auto"/>
      <w:ind w:firstLine="480" w:firstLineChars="200"/>
      <w:jc w:val="left"/>
    </w:pPr>
    <w:rPr>
      <w:kern w:val="2"/>
      <w:sz w:val="24"/>
      <w:szCs w:val="24"/>
    </w:rPr>
  </w:style>
  <w:style w:type="character" w:customStyle="1" w:styleId="128">
    <w:name w:val="fontborder"/>
    <w:autoRedefine/>
    <w:qFormat/>
    <w:uiPriority w:val="0"/>
    <w:rPr>
      <w:bdr w:val="single" w:color="000000" w:sz="6" w:space="0"/>
    </w:rPr>
  </w:style>
  <w:style w:type="character" w:customStyle="1" w:styleId="129">
    <w:name w:val="正文（首行缩进两字） Char"/>
    <w:autoRedefine/>
    <w:qFormat/>
    <w:uiPriority w:val="0"/>
    <w:rPr>
      <w:b/>
      <w:bCs/>
      <w:sz w:val="21"/>
    </w:rPr>
  </w:style>
  <w:style w:type="character" w:customStyle="1" w:styleId="130">
    <w:name w:val="fr2"/>
    <w:autoRedefine/>
    <w:qFormat/>
    <w:uiPriority w:val="0"/>
    <w:rPr>
      <w:sz w:val="18"/>
      <w:szCs w:val="18"/>
    </w:rPr>
  </w:style>
  <w:style w:type="character" w:customStyle="1" w:styleId="131">
    <w:name w:val="Char Char"/>
    <w:autoRedefine/>
    <w:qFormat/>
    <w:uiPriority w:val="0"/>
    <w:rPr>
      <w:rFonts w:ascii="宋体" w:hAnsi="宋体" w:eastAsia="宋体"/>
      <w:bCs/>
      <w:kern w:val="2"/>
      <w:sz w:val="32"/>
      <w:lang w:val="en-US" w:eastAsia="zh-CN" w:bidi="ar-SA"/>
    </w:rPr>
  </w:style>
  <w:style w:type="character" w:customStyle="1" w:styleId="132">
    <w:name w:val="spelle"/>
    <w:autoRedefine/>
    <w:qFormat/>
    <w:uiPriority w:val="0"/>
  </w:style>
  <w:style w:type="character" w:customStyle="1" w:styleId="133">
    <w:name w:val="normal1"/>
    <w:autoRedefine/>
    <w:qFormat/>
    <w:uiPriority w:val="0"/>
    <w:rPr>
      <w:b/>
      <w:sz w:val="19"/>
      <w:szCs w:val="19"/>
    </w:rPr>
  </w:style>
  <w:style w:type="character" w:customStyle="1" w:styleId="134">
    <w:name w:val="样式3 字符"/>
    <w:link w:val="135"/>
    <w:autoRedefine/>
    <w:qFormat/>
    <w:uiPriority w:val="0"/>
    <w:rPr>
      <w:rFonts w:eastAsia="黑体"/>
      <w:kern w:val="2"/>
      <w:sz w:val="24"/>
    </w:rPr>
  </w:style>
  <w:style w:type="paragraph" w:customStyle="1" w:styleId="135">
    <w:name w:val="样式3"/>
    <w:basedOn w:val="21"/>
    <w:link w:val="134"/>
    <w:autoRedefine/>
    <w:qFormat/>
    <w:uiPriority w:val="0"/>
    <w:pPr>
      <w:snapToGrid w:val="0"/>
      <w:spacing w:line="480" w:lineRule="exact"/>
      <w:ind w:firstLine="0" w:firstLineChars="0"/>
      <w:jc w:val="center"/>
    </w:pPr>
    <w:rPr>
      <w:rFonts w:ascii="Times New Roman" w:eastAsia="黑体"/>
      <w:kern w:val="2"/>
      <w:sz w:val="24"/>
      <w:szCs w:val="20"/>
    </w:rPr>
  </w:style>
  <w:style w:type="character" w:customStyle="1" w:styleId="136">
    <w:name w:val="codeimgnew"/>
    <w:qFormat/>
    <w:uiPriority w:val="0"/>
  </w:style>
  <w:style w:type="character" w:customStyle="1" w:styleId="137">
    <w:name w:val="fs"/>
    <w:autoRedefine/>
    <w:qFormat/>
    <w:uiPriority w:val="0"/>
  </w:style>
  <w:style w:type="character" w:customStyle="1" w:styleId="138">
    <w:name w:val="Footer1 Char Char"/>
    <w:autoRedefine/>
    <w:qFormat/>
    <w:uiPriority w:val="0"/>
    <w:rPr>
      <w:rFonts w:eastAsia="宋体"/>
      <w:kern w:val="2"/>
      <w:sz w:val="18"/>
      <w:szCs w:val="18"/>
      <w:lang w:val="en-US" w:eastAsia="zh-CN" w:bidi="ar-SA"/>
    </w:rPr>
  </w:style>
  <w:style w:type="character" w:customStyle="1" w:styleId="139">
    <w:name w:val="page_next"/>
    <w:qFormat/>
    <w:uiPriority w:val="0"/>
  </w:style>
  <w:style w:type="character" w:customStyle="1" w:styleId="140">
    <w:name w:val="正文样式1 Char1"/>
    <w:link w:val="141"/>
    <w:autoRedefine/>
    <w:qFormat/>
    <w:uiPriority w:val="0"/>
    <w:rPr>
      <w:sz w:val="21"/>
    </w:rPr>
  </w:style>
  <w:style w:type="paragraph" w:customStyle="1" w:styleId="141">
    <w:name w:val="正文样式1"/>
    <w:basedOn w:val="1"/>
    <w:link w:val="140"/>
    <w:autoRedefine/>
    <w:qFormat/>
    <w:uiPriority w:val="0"/>
    <w:pPr>
      <w:adjustRightInd w:val="0"/>
      <w:ind w:firstLine="420" w:firstLineChars="200"/>
      <w:textAlignment w:val="baseline"/>
    </w:pPr>
    <w:rPr>
      <w:sz w:val="21"/>
    </w:rPr>
  </w:style>
  <w:style w:type="character" w:customStyle="1" w:styleId="142">
    <w:name w:val="表格1 Char"/>
    <w:link w:val="143"/>
    <w:autoRedefine/>
    <w:qFormat/>
    <w:uiPriority w:val="0"/>
    <w:rPr>
      <w:rFonts w:eastAsia="宋体"/>
      <w:kern w:val="2"/>
      <w:sz w:val="21"/>
      <w:lang w:val="en-US" w:eastAsia="zh-CN" w:bidi="ar-SA"/>
    </w:rPr>
  </w:style>
  <w:style w:type="paragraph" w:customStyle="1" w:styleId="143">
    <w:name w:val="表格1"/>
    <w:basedOn w:val="12"/>
    <w:next w:val="12"/>
    <w:link w:val="142"/>
    <w:autoRedefine/>
    <w:qFormat/>
    <w:uiPriority w:val="0"/>
    <w:pPr>
      <w:snapToGrid w:val="0"/>
      <w:spacing w:line="340" w:lineRule="exact"/>
      <w:ind w:firstLine="0"/>
      <w:jc w:val="center"/>
      <w:textAlignment w:val="auto"/>
    </w:pPr>
    <w:rPr>
      <w:kern w:val="2"/>
      <w:sz w:val="21"/>
    </w:rPr>
  </w:style>
  <w:style w:type="character" w:customStyle="1" w:styleId="144">
    <w:name w:val="nc-lang-cnt3"/>
    <w:autoRedefine/>
    <w:qFormat/>
    <w:uiPriority w:val="0"/>
    <w:rPr>
      <w:rtl/>
    </w:rPr>
  </w:style>
  <w:style w:type="character" w:customStyle="1" w:styleId="145">
    <w:name w:val="3zw1"/>
    <w:autoRedefine/>
    <w:qFormat/>
    <w:uiPriority w:val="0"/>
    <w:rPr>
      <w:color w:val="000000"/>
      <w:sz w:val="21"/>
      <w:szCs w:val="21"/>
    </w:rPr>
  </w:style>
  <w:style w:type="character" w:customStyle="1" w:styleId="146">
    <w:name w:val="报告正文 Char"/>
    <w:link w:val="75"/>
    <w:autoRedefine/>
    <w:qFormat/>
    <w:uiPriority w:val="0"/>
    <w:rPr>
      <w:rFonts w:cs="宋体"/>
      <w:kern w:val="2"/>
      <w:sz w:val="24"/>
      <w:szCs w:val="24"/>
    </w:rPr>
  </w:style>
  <w:style w:type="character" w:customStyle="1" w:styleId="147">
    <w:name w:val="first-child1"/>
    <w:autoRedefine/>
    <w:qFormat/>
    <w:uiPriority w:val="0"/>
    <w:rPr>
      <w:color w:val="333333"/>
      <w:spacing w:val="75"/>
      <w:sz w:val="21"/>
      <w:szCs w:val="21"/>
    </w:rPr>
  </w:style>
  <w:style w:type="character" w:customStyle="1" w:styleId="148">
    <w:name w:val="fontstyle01"/>
    <w:autoRedefine/>
    <w:qFormat/>
    <w:uiPriority w:val="0"/>
    <w:rPr>
      <w:rFonts w:hint="eastAsia" w:ascii="宋体" w:hAnsi="宋体" w:eastAsia="宋体"/>
      <w:color w:val="000000"/>
      <w:sz w:val="26"/>
      <w:szCs w:val="26"/>
    </w:rPr>
  </w:style>
  <w:style w:type="character" w:customStyle="1" w:styleId="149">
    <w:name w:val="g-more"/>
    <w:autoRedefine/>
    <w:qFormat/>
    <w:uiPriority w:val="0"/>
    <w:rPr>
      <w:sz w:val="18"/>
      <w:szCs w:val="18"/>
    </w:rPr>
  </w:style>
  <w:style w:type="character" w:customStyle="1" w:styleId="150">
    <w:name w:val="15"/>
    <w:autoRedefine/>
    <w:qFormat/>
    <w:uiPriority w:val="0"/>
    <w:rPr>
      <w:rFonts w:hint="eastAsia" w:ascii="宋体" w:hAnsi="宋体" w:eastAsia="宋体"/>
      <w:color w:val="000000"/>
      <w:sz w:val="22"/>
      <w:szCs w:val="22"/>
    </w:rPr>
  </w:style>
  <w:style w:type="character" w:customStyle="1" w:styleId="151">
    <w:name w:val="不明显强调1"/>
    <w:qFormat/>
    <w:uiPriority w:val="19"/>
    <w:rPr>
      <w:rFonts w:ascii="Times New Roman" w:hAnsi="Times New Roman" w:eastAsia="宋体"/>
      <w:b/>
      <w:iCs/>
      <w:color w:val="auto"/>
      <w:sz w:val="21"/>
    </w:rPr>
  </w:style>
  <w:style w:type="character" w:customStyle="1" w:styleId="152">
    <w:name w:val="first-child"/>
    <w:qFormat/>
    <w:uiPriority w:val="0"/>
    <w:rPr>
      <w:color w:val="333333"/>
      <w:spacing w:val="75"/>
      <w:sz w:val="21"/>
      <w:szCs w:val="21"/>
    </w:rPr>
  </w:style>
  <w:style w:type="character" w:customStyle="1" w:styleId="153">
    <w:name w:val="正文缩进4 Char1"/>
    <w:autoRedefine/>
    <w:qFormat/>
    <w:uiPriority w:val="0"/>
    <w:rPr>
      <w:rFonts w:eastAsia="宋体"/>
      <w:kern w:val="2"/>
      <w:sz w:val="28"/>
      <w:lang w:val="en-US" w:eastAsia="zh-CN"/>
    </w:rPr>
  </w:style>
  <w:style w:type="character" w:customStyle="1" w:styleId="154">
    <w:name w:val="nc-lang-cnt4"/>
    <w:autoRedefine/>
    <w:qFormat/>
    <w:uiPriority w:val="0"/>
    <w:rPr>
      <w:rtl/>
    </w:rPr>
  </w:style>
  <w:style w:type="character" w:customStyle="1" w:styleId="155">
    <w:name w:val="apple-converted-space"/>
    <w:autoRedefine/>
    <w:qFormat/>
    <w:uiPriority w:val="0"/>
  </w:style>
  <w:style w:type="character" w:customStyle="1" w:styleId="156">
    <w:name w:val="正文文本 字符"/>
    <w:qFormat/>
    <w:uiPriority w:val="0"/>
    <w:rPr>
      <w:rFonts w:ascii="Times New Roman" w:hAnsi="Times New Roman" w:eastAsia="宋体" w:cs="Times New Roman"/>
      <w:szCs w:val="20"/>
    </w:rPr>
  </w:style>
  <w:style w:type="character" w:customStyle="1" w:styleId="157">
    <w:name w:val="nc-lang-cnt6"/>
    <w:autoRedefine/>
    <w:qFormat/>
    <w:uiPriority w:val="0"/>
    <w:rPr>
      <w:rtl/>
    </w:rPr>
  </w:style>
  <w:style w:type="character" w:customStyle="1" w:styleId="158">
    <w:name w:val="fl2"/>
    <w:autoRedefine/>
    <w:qFormat/>
    <w:uiPriority w:val="0"/>
    <w:rPr>
      <w:bdr w:val="single" w:color="018BF6" w:sz="18" w:space="0"/>
    </w:rPr>
  </w:style>
  <w:style w:type="character" w:customStyle="1" w:styleId="159">
    <w:name w:val="16"/>
    <w:autoRedefine/>
    <w:qFormat/>
    <w:uiPriority w:val="0"/>
    <w:rPr>
      <w:rFonts w:hint="default" w:ascii="Times New Roman" w:hAnsi="Times New Roman" w:cs="Times New Roman"/>
      <w:color w:val="000000"/>
      <w:sz w:val="20"/>
      <w:szCs w:val="20"/>
    </w:rPr>
  </w:style>
  <w:style w:type="character" w:customStyle="1" w:styleId="160">
    <w:name w:val="page-n"/>
    <w:autoRedefine/>
    <w:qFormat/>
    <w:uiPriority w:val="0"/>
    <w:rPr>
      <w:bdr w:val="single" w:color="E3E3E3" w:sz="6" w:space="0"/>
    </w:rPr>
  </w:style>
  <w:style w:type="character" w:customStyle="1" w:styleId="161">
    <w:name w:val="纯文本 字符1"/>
    <w:qFormat/>
    <w:uiPriority w:val="0"/>
    <w:rPr>
      <w:rFonts w:ascii="宋体" w:hAnsi="Courier New"/>
      <w:kern w:val="2"/>
      <w:sz w:val="21"/>
    </w:rPr>
  </w:style>
  <w:style w:type="character" w:customStyle="1" w:styleId="162">
    <w:name w:val="表内 字符"/>
    <w:link w:val="163"/>
    <w:autoRedefine/>
    <w:qFormat/>
    <w:uiPriority w:val="0"/>
    <w:rPr>
      <w:kern w:val="2"/>
      <w:sz w:val="21"/>
      <w:szCs w:val="21"/>
    </w:rPr>
  </w:style>
  <w:style w:type="paragraph" w:customStyle="1" w:styleId="163">
    <w:name w:val="表内"/>
    <w:basedOn w:val="164"/>
    <w:link w:val="162"/>
    <w:autoRedefine/>
    <w:qFormat/>
    <w:uiPriority w:val="0"/>
    <w:pPr>
      <w:widowControl/>
      <w:snapToGrid w:val="0"/>
      <w:jc w:val="center"/>
    </w:pPr>
    <w:rPr>
      <w:szCs w:val="21"/>
    </w:rPr>
  </w:style>
  <w:style w:type="paragraph" w:customStyle="1" w:styleId="164">
    <w:name w:val="表格内容居中"/>
    <w:basedOn w:val="165"/>
    <w:next w:val="1"/>
    <w:autoRedefine/>
    <w:qFormat/>
    <w:uiPriority w:val="0"/>
    <w:pPr>
      <w:adjustRightInd w:val="0"/>
      <w:snapToGrid w:val="0"/>
      <w:jc w:val="center"/>
    </w:pPr>
    <w:rPr>
      <w:rFonts w:ascii="Times New Roman" w:hAnsi="Times New Roman" w:eastAsia="宋体" w:cs="Times New Roman"/>
      <w:snapToGrid w:val="0"/>
      <w:sz w:val="21"/>
      <w:szCs w:val="22"/>
      <w:lang w:val="en-US" w:eastAsia="zh-CN" w:bidi="ar-SA"/>
    </w:rPr>
  </w:style>
  <w:style w:type="paragraph" w:customStyle="1" w:styleId="165">
    <w:name w:val="表格内"/>
    <w:basedOn w:val="166"/>
    <w:link w:val="195"/>
    <w:autoRedefine/>
    <w:qFormat/>
    <w:uiPriority w:val="0"/>
    <w:pPr>
      <w:spacing w:line="240" w:lineRule="exact"/>
      <w:jc w:val="center"/>
    </w:pPr>
  </w:style>
  <w:style w:type="paragraph" w:styleId="166">
    <w:name w:val="No Spacing"/>
    <w:next w:val="38"/>
    <w:link w:val="189"/>
    <w:autoRedefine/>
    <w:qFormat/>
    <w:uiPriority w:val="1"/>
    <w:pPr>
      <w:widowControl w:val="0"/>
      <w:jc w:val="both"/>
    </w:pPr>
    <w:rPr>
      <w:rFonts w:ascii="Times New Roman" w:hAnsi="Times New Roman" w:eastAsia="宋体" w:cs="Times New Roman"/>
      <w:kern w:val="2"/>
      <w:sz w:val="21"/>
      <w:szCs w:val="22"/>
      <w:lang w:val="en-US" w:eastAsia="zh-CN" w:bidi="ar-SA"/>
    </w:rPr>
  </w:style>
  <w:style w:type="paragraph" w:customStyle="1" w:styleId="167">
    <w:name w:val="表头"/>
    <w:basedOn w:val="163"/>
    <w:next w:val="168"/>
    <w:link w:val="172"/>
    <w:qFormat/>
    <w:uiPriority w:val="0"/>
    <w:pPr>
      <w:snapToGrid w:val="0"/>
      <w:spacing w:line="480" w:lineRule="exact"/>
      <w:ind w:firstLine="0"/>
      <w:jc w:val="center"/>
      <w:textAlignment w:val="auto"/>
    </w:pPr>
    <w:rPr>
      <w:b/>
      <w:kern w:val="2"/>
      <w:sz w:val="24"/>
    </w:rPr>
  </w:style>
  <w:style w:type="paragraph" w:customStyle="1" w:styleId="168">
    <w:name w:val="表格"/>
    <w:basedOn w:val="169"/>
    <w:next w:val="1"/>
    <w:link w:val="173"/>
    <w:qFormat/>
    <w:uiPriority w:val="0"/>
    <w:pPr>
      <w:tabs>
        <w:tab w:val="center" w:pos="4153"/>
        <w:tab w:val="right" w:pos="8306"/>
      </w:tabs>
      <w:snapToGrid w:val="0"/>
      <w:spacing w:line="360" w:lineRule="exact"/>
      <w:ind w:firstLine="0"/>
      <w:jc w:val="center"/>
    </w:pPr>
    <w:rPr>
      <w:sz w:val="21"/>
    </w:rPr>
  </w:style>
  <w:style w:type="paragraph" w:customStyle="1" w:styleId="169">
    <w:name w:val="正文1"/>
    <w:basedOn w:val="43"/>
    <w:autoRedefine/>
    <w:qFormat/>
    <w:uiPriority w:val="0"/>
    <w:pPr>
      <w:spacing w:beforeLines="25" w:afterLines="25"/>
      <w:ind w:firstLine="480"/>
    </w:pPr>
  </w:style>
  <w:style w:type="paragraph" w:customStyle="1" w:styleId="170">
    <w:name w:val="表"/>
    <w:basedOn w:val="171"/>
    <w:next w:val="1"/>
    <w:autoRedefine/>
    <w:qFormat/>
    <w:uiPriority w:val="0"/>
    <w:pPr>
      <w:adjustRightInd w:val="0"/>
      <w:snapToGrid w:val="0"/>
      <w:jc w:val="center"/>
    </w:pPr>
    <w:rPr>
      <w:rFonts w:ascii="Times New Roman" w:hAnsi="Times New Roman" w:eastAsia="宋体" w:cs="Times New Roman"/>
      <w:kern w:val="2"/>
      <w:sz w:val="21"/>
      <w:szCs w:val="24"/>
      <w:lang w:val="en-US" w:eastAsia="zh-CN" w:bidi="ar-SA"/>
    </w:rPr>
  </w:style>
  <w:style w:type="paragraph" w:customStyle="1" w:styleId="171">
    <w:name w:val=" Char Char Char Char"/>
    <w:basedOn w:val="1"/>
    <w:autoRedefine/>
    <w:qFormat/>
    <w:uiPriority w:val="0"/>
    <w:pPr>
      <w:adjustRightInd/>
      <w:ind w:firstLine="529"/>
    </w:pPr>
    <w:rPr>
      <w:rFonts w:ascii="宋体" w:hAnsi="宋体" w:eastAsia="等线"/>
      <w:b/>
      <w:kern w:val="2"/>
      <w:sz w:val="21"/>
    </w:rPr>
  </w:style>
  <w:style w:type="character" w:customStyle="1" w:styleId="172">
    <w:name w:val="表头 Char"/>
    <w:link w:val="167"/>
    <w:autoRedefine/>
    <w:qFormat/>
    <w:uiPriority w:val="0"/>
    <w:rPr>
      <w:rFonts w:eastAsia="宋体"/>
      <w:b/>
      <w:kern w:val="2"/>
      <w:sz w:val="24"/>
      <w:lang w:val="en-US" w:eastAsia="zh-CN" w:bidi="ar-SA"/>
    </w:rPr>
  </w:style>
  <w:style w:type="character" w:customStyle="1" w:styleId="173">
    <w:name w:val="表格 Char"/>
    <w:link w:val="168"/>
    <w:qFormat/>
    <w:uiPriority w:val="0"/>
    <w:rPr>
      <w:rFonts w:eastAsia="宋体"/>
      <w:sz w:val="21"/>
      <w:lang w:val="en-US" w:eastAsia="zh-CN" w:bidi="ar-SA"/>
    </w:rPr>
  </w:style>
  <w:style w:type="character" w:customStyle="1" w:styleId="174">
    <w:name w:val="4级标题 Char Char"/>
    <w:autoRedefine/>
    <w:qFormat/>
    <w:uiPriority w:val="0"/>
    <w:rPr>
      <w:rFonts w:ascii="宋体" w:hAnsi="宋体" w:eastAsia="宋体"/>
      <w:bCs/>
      <w:kern w:val="2"/>
      <w:sz w:val="24"/>
      <w:szCs w:val="24"/>
      <w:lang w:val="en-US" w:eastAsia="zh-CN" w:bidi="ar-SA"/>
    </w:rPr>
  </w:style>
  <w:style w:type="character" w:customStyle="1" w:styleId="175">
    <w:name w:val="t-left"/>
    <w:autoRedefine/>
    <w:qFormat/>
    <w:uiPriority w:val="0"/>
    <w:rPr>
      <w:shd w:val="clear" w:color="auto" w:fill="008BF5"/>
    </w:rPr>
  </w:style>
  <w:style w:type="character" w:customStyle="1" w:styleId="176">
    <w:name w:val="三级编号 Char"/>
    <w:link w:val="177"/>
    <w:autoRedefine/>
    <w:qFormat/>
    <w:uiPriority w:val="0"/>
    <w:rPr>
      <w:b/>
      <w:bCs/>
      <w:sz w:val="30"/>
      <w:szCs w:val="32"/>
    </w:rPr>
  </w:style>
  <w:style w:type="paragraph" w:customStyle="1" w:styleId="177">
    <w:name w:val="三级编号"/>
    <w:basedOn w:val="9"/>
    <w:link w:val="176"/>
    <w:autoRedefine/>
    <w:qFormat/>
    <w:uiPriority w:val="0"/>
    <w:pPr>
      <w:keepLines w:val="0"/>
      <w:numPr>
        <w:ilvl w:val="0"/>
        <w:numId w:val="0"/>
      </w:numPr>
      <w:tabs>
        <w:tab w:val="left" w:pos="570"/>
        <w:tab w:val="clear" w:pos="720"/>
      </w:tabs>
      <w:adjustRightInd/>
      <w:spacing w:before="0" w:line="360" w:lineRule="auto"/>
      <w:ind w:left="570" w:right="100" w:rightChars="100" w:firstLine="57"/>
      <w:jc w:val="left"/>
      <w:textAlignment w:val="auto"/>
    </w:pPr>
    <w:rPr>
      <w:rFonts w:eastAsia="宋体"/>
      <w:b/>
      <w:bCs/>
      <w:szCs w:val="32"/>
    </w:rPr>
  </w:style>
  <w:style w:type="character" w:customStyle="1" w:styleId="178">
    <w:name w:val="num"/>
    <w:qFormat/>
    <w:uiPriority w:val="0"/>
    <w:rPr>
      <w:b/>
      <w:color w:val="FF7800"/>
    </w:rPr>
  </w:style>
  <w:style w:type="character" w:customStyle="1" w:styleId="179">
    <w:name w:val="required"/>
    <w:qFormat/>
    <w:uiPriority w:val="0"/>
    <w:rPr>
      <w:color w:val="FF0000"/>
    </w:rPr>
  </w:style>
  <w:style w:type="character" w:customStyle="1" w:styleId="180">
    <w:name w:val="批注文字 字符1"/>
    <w:qFormat/>
    <w:uiPriority w:val="0"/>
    <w:rPr>
      <w:sz w:val="24"/>
      <w:szCs w:val="24"/>
    </w:rPr>
  </w:style>
  <w:style w:type="character" w:customStyle="1" w:styleId="181">
    <w:name w:val="v-geren"/>
    <w:autoRedefine/>
    <w:qFormat/>
    <w:uiPriority w:val="0"/>
  </w:style>
  <w:style w:type="character" w:customStyle="1" w:styleId="182">
    <w:name w:val="nc-lang-cnt5"/>
    <w:autoRedefine/>
    <w:qFormat/>
    <w:uiPriority w:val="0"/>
    <w:rPr>
      <w:rtl/>
    </w:rPr>
  </w:style>
  <w:style w:type="character" w:customStyle="1" w:styleId="183">
    <w:name w:val="font31"/>
    <w:autoRedefine/>
    <w:qFormat/>
    <w:uiPriority w:val="0"/>
    <w:rPr>
      <w:rFonts w:hint="default" w:ascii="Times New Roman" w:hAnsi="Times New Roman" w:cs="Times New Roman"/>
      <w:color w:val="000000"/>
      <w:sz w:val="21"/>
      <w:szCs w:val="21"/>
      <w:u w:val="none"/>
    </w:rPr>
  </w:style>
  <w:style w:type="character" w:customStyle="1" w:styleId="184">
    <w:name w:val="样式 样式 正文@ + 首行缩进:  2 字符 字距调整小四 紧缩量  0.2 磅 + 首行缩进:  2 字符 Char Char"/>
    <w:link w:val="185"/>
    <w:autoRedefine/>
    <w:qFormat/>
    <w:uiPriority w:val="0"/>
    <w:rPr>
      <w:rFonts w:ascii="宋体" w:hAnsi="宋体" w:cs="宋体"/>
      <w:kern w:val="24"/>
      <w:sz w:val="24"/>
      <w:szCs w:val="24"/>
    </w:rPr>
  </w:style>
  <w:style w:type="paragraph" w:customStyle="1" w:styleId="185">
    <w:name w:val="样式 样式 正文@ + 首行缩进:  2 字符 字距调整小四 紧缩量  0.2 磅 + 首行缩进:  2 字符"/>
    <w:basedOn w:val="1"/>
    <w:link w:val="184"/>
    <w:autoRedefine/>
    <w:qFormat/>
    <w:uiPriority w:val="0"/>
    <w:pPr>
      <w:spacing w:line="360" w:lineRule="auto"/>
      <w:ind w:firstLine="480" w:firstLineChars="200"/>
    </w:pPr>
    <w:rPr>
      <w:rFonts w:ascii="宋体" w:hAnsi="宋体" w:cs="宋体"/>
      <w:kern w:val="24"/>
      <w:sz w:val="24"/>
      <w:szCs w:val="24"/>
    </w:rPr>
  </w:style>
  <w:style w:type="character" w:customStyle="1" w:styleId="186">
    <w:name w:val="strength-txt"/>
    <w:autoRedefine/>
    <w:qFormat/>
    <w:uiPriority w:val="0"/>
  </w:style>
  <w:style w:type="character" w:customStyle="1" w:styleId="187">
    <w:name w:val="w148"/>
    <w:autoRedefine/>
    <w:qFormat/>
    <w:uiPriority w:val="0"/>
  </w:style>
  <w:style w:type="character" w:customStyle="1" w:styleId="188">
    <w:name w:val="close6"/>
    <w:qFormat/>
    <w:uiPriority w:val="0"/>
  </w:style>
  <w:style w:type="character" w:customStyle="1" w:styleId="189">
    <w:name w:val="无间隔 字符"/>
    <w:link w:val="166"/>
    <w:autoRedefine/>
    <w:qFormat/>
    <w:uiPriority w:val="1"/>
    <w:rPr>
      <w:kern w:val="2"/>
      <w:sz w:val="21"/>
      <w:szCs w:val="22"/>
    </w:rPr>
  </w:style>
  <w:style w:type="character" w:customStyle="1" w:styleId="190">
    <w:name w:val="headline-content2"/>
    <w:basedOn w:val="62"/>
    <w:qFormat/>
    <w:uiPriority w:val="0"/>
  </w:style>
  <w:style w:type="character" w:customStyle="1" w:styleId="191">
    <w:name w:val="17"/>
    <w:qFormat/>
    <w:uiPriority w:val="0"/>
    <w:rPr>
      <w:rFonts w:hint="eastAsia" w:ascii="宋体" w:hAnsi="宋体" w:eastAsia="宋体"/>
      <w:color w:val="000000"/>
      <w:sz w:val="22"/>
      <w:szCs w:val="22"/>
    </w:rPr>
  </w:style>
  <w:style w:type="character" w:customStyle="1" w:styleId="192">
    <w:name w:val="表头 字符"/>
    <w:autoRedefine/>
    <w:qFormat/>
    <w:uiPriority w:val="0"/>
    <w:rPr>
      <w:b/>
      <w:kern w:val="2"/>
      <w:sz w:val="21"/>
      <w:szCs w:val="22"/>
    </w:rPr>
  </w:style>
  <w:style w:type="character" w:customStyle="1" w:styleId="193">
    <w:name w:val="样式 首行缩进:  2 字符 Char"/>
    <w:link w:val="194"/>
    <w:autoRedefine/>
    <w:qFormat/>
    <w:uiPriority w:val="0"/>
    <w:rPr>
      <w:rFonts w:cs="宋体"/>
      <w:sz w:val="24"/>
      <w:szCs w:val="24"/>
    </w:rPr>
  </w:style>
  <w:style w:type="paragraph" w:customStyle="1" w:styleId="194">
    <w:name w:val="样式 首行缩进:  2 字符"/>
    <w:basedOn w:val="1"/>
    <w:link w:val="193"/>
    <w:autoRedefine/>
    <w:qFormat/>
    <w:uiPriority w:val="0"/>
    <w:pPr>
      <w:spacing w:line="460" w:lineRule="exact"/>
      <w:ind w:firstLine="471"/>
    </w:pPr>
    <w:rPr>
      <w:rFonts w:cs="宋体"/>
      <w:sz w:val="24"/>
      <w:szCs w:val="24"/>
    </w:rPr>
  </w:style>
  <w:style w:type="character" w:customStyle="1" w:styleId="195">
    <w:name w:val="表格内 字符"/>
    <w:link w:val="165"/>
    <w:autoRedefine/>
    <w:qFormat/>
    <w:uiPriority w:val="0"/>
    <w:rPr>
      <w:kern w:val="2"/>
      <w:sz w:val="21"/>
      <w:szCs w:val="22"/>
    </w:rPr>
  </w:style>
  <w:style w:type="character" w:customStyle="1" w:styleId="196">
    <w:name w:val="段落 Char"/>
    <w:link w:val="197"/>
    <w:autoRedefine/>
    <w:qFormat/>
    <w:uiPriority w:val="0"/>
    <w:rPr>
      <w:rFonts w:ascii="宋体" w:hAnsi="宋体"/>
      <w:bCs/>
      <w:spacing w:val="-4"/>
      <w:sz w:val="24"/>
      <w:szCs w:val="24"/>
    </w:rPr>
  </w:style>
  <w:style w:type="paragraph" w:customStyle="1" w:styleId="197">
    <w:name w:val="段落"/>
    <w:basedOn w:val="1"/>
    <w:link w:val="196"/>
    <w:autoRedefine/>
    <w:qFormat/>
    <w:uiPriority w:val="0"/>
    <w:pPr>
      <w:snapToGrid w:val="0"/>
      <w:spacing w:line="440" w:lineRule="exact"/>
      <w:ind w:firstLine="466" w:firstLineChars="200"/>
      <w:jc w:val="left"/>
    </w:pPr>
    <w:rPr>
      <w:rFonts w:ascii="宋体" w:hAnsi="宋体"/>
      <w:bCs/>
      <w:spacing w:val="-4"/>
      <w:sz w:val="24"/>
      <w:szCs w:val="24"/>
    </w:rPr>
  </w:style>
  <w:style w:type="character" w:customStyle="1" w:styleId="198">
    <w:name w:val="on1"/>
    <w:autoRedefine/>
    <w:qFormat/>
    <w:uiPriority w:val="0"/>
    <w:rPr>
      <w:color w:val="2D64B3"/>
    </w:rPr>
  </w:style>
  <w:style w:type="character" w:customStyle="1" w:styleId="199">
    <w:name w:val="fontstyle21"/>
    <w:autoRedefine/>
    <w:qFormat/>
    <w:uiPriority w:val="0"/>
    <w:rPr>
      <w:rFonts w:hint="default" w:ascii="TimesNewRomanPSMT" w:hAnsi="TimesNewRomanPSMT"/>
      <w:color w:val="000000"/>
      <w:sz w:val="24"/>
      <w:szCs w:val="24"/>
    </w:rPr>
  </w:style>
  <w:style w:type="character" w:customStyle="1" w:styleId="200">
    <w:name w:val="price"/>
    <w:autoRedefine/>
    <w:qFormat/>
    <w:uiPriority w:val="0"/>
    <w:rPr>
      <w:rFonts w:ascii="微软雅黑" w:hAnsi="微软雅黑" w:eastAsia="微软雅黑" w:cs="微软雅黑"/>
      <w:b/>
      <w:color w:val="FF5A00"/>
      <w:sz w:val="33"/>
      <w:szCs w:val="33"/>
    </w:rPr>
  </w:style>
  <w:style w:type="character" w:customStyle="1" w:styleId="201">
    <w:name w:val="nc-lang-cnt"/>
    <w:autoRedefine/>
    <w:qFormat/>
    <w:uiPriority w:val="0"/>
  </w:style>
  <w:style w:type="character" w:customStyle="1" w:styleId="202">
    <w:name w:val="XX表格居中 Char"/>
    <w:link w:val="203"/>
    <w:autoRedefine/>
    <w:qFormat/>
    <w:uiPriority w:val="0"/>
    <w:rPr>
      <w:color w:val="000000"/>
      <w:kern w:val="21"/>
      <w:sz w:val="22"/>
    </w:rPr>
  </w:style>
  <w:style w:type="paragraph" w:customStyle="1" w:styleId="203">
    <w:name w:val="XX表格居中"/>
    <w:basedOn w:val="1"/>
    <w:next w:val="1"/>
    <w:link w:val="202"/>
    <w:autoRedefine/>
    <w:qFormat/>
    <w:uiPriority w:val="0"/>
    <w:pPr>
      <w:snapToGrid w:val="0"/>
      <w:jc w:val="center"/>
    </w:pPr>
    <w:rPr>
      <w:color w:val="000000"/>
      <w:kern w:val="21"/>
      <w:sz w:val="22"/>
    </w:rPr>
  </w:style>
  <w:style w:type="character" w:customStyle="1" w:styleId="204">
    <w:name w:val="style11"/>
    <w:autoRedefine/>
    <w:qFormat/>
    <w:uiPriority w:val="0"/>
    <w:rPr>
      <w:sz w:val="22"/>
      <w:szCs w:val="22"/>
    </w:rPr>
  </w:style>
  <w:style w:type="character" w:customStyle="1" w:styleId="205">
    <w:name w:val="page-cur"/>
    <w:autoRedefine/>
    <w:qFormat/>
    <w:uiPriority w:val="0"/>
    <w:rPr>
      <w:color w:val="FFFFFF"/>
      <w:bdr w:val="single" w:color="D83536" w:sz="6" w:space="0"/>
      <w:shd w:val="clear" w:color="auto" w:fill="ED494A"/>
    </w:rPr>
  </w:style>
  <w:style w:type="character" w:customStyle="1" w:styleId="206">
    <w:name w:val="正文111 Char"/>
    <w:link w:val="207"/>
    <w:autoRedefine/>
    <w:qFormat/>
    <w:uiPriority w:val="0"/>
    <w:rPr>
      <w:rFonts w:eastAsia="仿宋_GB2312"/>
      <w:sz w:val="24"/>
      <w:szCs w:val="24"/>
    </w:rPr>
  </w:style>
  <w:style w:type="paragraph" w:customStyle="1" w:styleId="207">
    <w:name w:val="正文111"/>
    <w:basedOn w:val="1"/>
    <w:link w:val="206"/>
    <w:autoRedefine/>
    <w:qFormat/>
    <w:uiPriority w:val="0"/>
    <w:pPr>
      <w:spacing w:line="520" w:lineRule="exact"/>
      <w:ind w:firstLine="480" w:firstLineChars="200"/>
    </w:pPr>
    <w:rPr>
      <w:rFonts w:eastAsia="仿宋_GB2312"/>
      <w:sz w:val="24"/>
      <w:szCs w:val="24"/>
    </w:rPr>
  </w:style>
  <w:style w:type="character" w:customStyle="1" w:styleId="208">
    <w:name w:val="纯文本 Char"/>
    <w:autoRedefine/>
    <w:qFormat/>
    <w:uiPriority w:val="0"/>
    <w:rPr>
      <w:rFonts w:ascii="宋体" w:hAnsi="Courier New" w:eastAsia="宋体" w:cs="Courier New"/>
      <w:szCs w:val="21"/>
    </w:rPr>
  </w:style>
  <w:style w:type="character" w:customStyle="1" w:styleId="209">
    <w:name w:val="样式2 字符"/>
    <w:link w:val="210"/>
    <w:autoRedefine/>
    <w:qFormat/>
    <w:uiPriority w:val="0"/>
    <w:rPr>
      <w:spacing w:val="8"/>
      <w:sz w:val="24"/>
    </w:rPr>
  </w:style>
  <w:style w:type="paragraph" w:customStyle="1" w:styleId="210">
    <w:name w:val="样式2"/>
    <w:basedOn w:val="1"/>
    <w:link w:val="209"/>
    <w:autoRedefine/>
    <w:qFormat/>
    <w:uiPriority w:val="0"/>
    <w:pPr>
      <w:wordWrap w:val="0"/>
      <w:autoSpaceDE w:val="0"/>
      <w:autoSpaceDN w:val="0"/>
      <w:adjustRightInd w:val="0"/>
      <w:spacing w:line="300" w:lineRule="auto"/>
      <w:ind w:left="170" w:right="170"/>
    </w:pPr>
    <w:rPr>
      <w:spacing w:val="8"/>
      <w:sz w:val="24"/>
    </w:rPr>
  </w:style>
  <w:style w:type="character" w:customStyle="1" w:styleId="211">
    <w:name w:val="正文文本缩进 3 Char Char"/>
    <w:autoRedefine/>
    <w:qFormat/>
    <w:uiPriority w:val="0"/>
    <w:rPr>
      <w:rFonts w:ascii="宋体" w:hAnsi="宋体" w:eastAsia="宋体"/>
      <w:b/>
      <w:bCs/>
      <w:kern w:val="2"/>
      <w:sz w:val="24"/>
      <w:lang w:val="en-US" w:eastAsia="zh-CN" w:bidi="ar-SA"/>
    </w:rPr>
  </w:style>
  <w:style w:type="character" w:customStyle="1" w:styleId="212">
    <w:name w:val="hover33"/>
    <w:autoRedefine/>
    <w:qFormat/>
    <w:uiPriority w:val="0"/>
    <w:rPr>
      <w:color w:val="EE2E2C"/>
    </w:rPr>
  </w:style>
  <w:style w:type="character" w:customStyle="1" w:styleId="213">
    <w:name w:val="fontstrikethrough"/>
    <w:autoRedefine/>
    <w:qFormat/>
    <w:uiPriority w:val="0"/>
    <w:rPr>
      <w:strike/>
    </w:rPr>
  </w:style>
  <w:style w:type="character" w:customStyle="1" w:styleId="214">
    <w:name w:val="meter-bar"/>
    <w:autoRedefine/>
    <w:qFormat/>
    <w:uiPriority w:val="0"/>
  </w:style>
  <w:style w:type="character" w:customStyle="1" w:styleId="215">
    <w:name w:val="before"/>
    <w:autoRedefine/>
    <w:qFormat/>
    <w:uiPriority w:val="0"/>
  </w:style>
  <w:style w:type="character" w:customStyle="1" w:styleId="216">
    <w:name w:val="Body text (11)_"/>
    <w:link w:val="217"/>
    <w:autoRedefine/>
    <w:qFormat/>
    <w:uiPriority w:val="99"/>
    <w:rPr>
      <w:rFonts w:ascii="Sylfaen" w:hAnsi="Sylfaen" w:cs="Sylfaen"/>
      <w:i/>
      <w:iCs/>
      <w:sz w:val="29"/>
      <w:szCs w:val="29"/>
      <w:shd w:val="clear" w:color="auto" w:fill="FFFFFF"/>
      <w:lang w:eastAsia="en-US"/>
    </w:rPr>
  </w:style>
  <w:style w:type="paragraph" w:customStyle="1" w:styleId="217">
    <w:name w:val="Body text (11)"/>
    <w:basedOn w:val="1"/>
    <w:link w:val="216"/>
    <w:autoRedefine/>
    <w:qFormat/>
    <w:uiPriority w:val="99"/>
    <w:pPr>
      <w:shd w:val="clear" w:color="auto" w:fill="FFFFFF"/>
      <w:spacing w:line="240" w:lineRule="atLeast"/>
      <w:jc w:val="center"/>
    </w:pPr>
    <w:rPr>
      <w:rFonts w:ascii="Sylfaen" w:hAnsi="Sylfaen" w:cs="Sylfaen"/>
      <w:i/>
      <w:iCs/>
      <w:sz w:val="29"/>
      <w:szCs w:val="29"/>
      <w:lang w:eastAsia="en-US"/>
    </w:rPr>
  </w:style>
  <w:style w:type="character" w:customStyle="1" w:styleId="218">
    <w:name w:val="page_prev"/>
    <w:autoRedefine/>
    <w:qFormat/>
    <w:uiPriority w:val="0"/>
  </w:style>
  <w:style w:type="character" w:customStyle="1" w:styleId="219">
    <w:name w:val="icon-qq"/>
    <w:qFormat/>
    <w:uiPriority w:val="0"/>
  </w:style>
  <w:style w:type="character" w:customStyle="1" w:styleId="220">
    <w:name w:val="表格标题 字符"/>
    <w:link w:val="221"/>
    <w:qFormat/>
    <w:uiPriority w:val="0"/>
    <w:rPr>
      <w:rFonts w:ascii="Arial" w:hAnsi="Arial"/>
      <w:b/>
      <w:kern w:val="2"/>
      <w:sz w:val="28"/>
    </w:rPr>
  </w:style>
  <w:style w:type="paragraph" w:customStyle="1" w:styleId="221">
    <w:name w:val="表格标题"/>
    <w:basedOn w:val="1"/>
    <w:next w:val="222"/>
    <w:link w:val="220"/>
    <w:autoRedefine/>
    <w:qFormat/>
    <w:uiPriority w:val="0"/>
    <w:pPr>
      <w:keepNext/>
      <w:widowControl/>
      <w:numPr>
        <w:ilvl w:val="0"/>
        <w:numId w:val="5"/>
      </w:numPr>
      <w:tabs>
        <w:tab w:val="left" w:pos="1104"/>
      </w:tabs>
      <w:overflowPunct w:val="0"/>
      <w:adjustRightInd w:val="0"/>
      <w:snapToGrid w:val="0"/>
      <w:spacing w:line="300" w:lineRule="auto"/>
      <w:ind w:left="0" w:firstLine="0"/>
      <w:textAlignment w:val="baseline"/>
    </w:pPr>
    <w:rPr>
      <w:rFonts w:ascii="Arial" w:hAnsi="Arial"/>
      <w:b/>
      <w:kern w:val="2"/>
      <w:sz w:val="28"/>
    </w:rPr>
  </w:style>
  <w:style w:type="paragraph" w:customStyle="1" w:styleId="222">
    <w:name w:val="表格内容"/>
    <w:basedOn w:val="1"/>
    <w:autoRedefine/>
    <w:qFormat/>
    <w:uiPriority w:val="0"/>
    <w:pPr>
      <w:overflowPunct w:val="0"/>
      <w:adjustRightInd w:val="0"/>
      <w:snapToGrid w:val="0"/>
      <w:spacing w:line="200" w:lineRule="atLeast"/>
      <w:textAlignment w:val="baseline"/>
    </w:pPr>
    <w:rPr>
      <w:rFonts w:ascii="Arial" w:hAnsi="Arial"/>
      <w:sz w:val="24"/>
    </w:rPr>
  </w:style>
  <w:style w:type="character" w:customStyle="1" w:styleId="223">
    <w:name w:val="无间隔 Char"/>
    <w:autoRedefine/>
    <w:qFormat/>
    <w:uiPriority w:val="1"/>
    <w:rPr>
      <w:rFonts w:ascii="Times New Roman" w:hAnsi="Times New Roman" w:eastAsia="宋体"/>
    </w:rPr>
  </w:style>
  <w:style w:type="character" w:customStyle="1" w:styleId="224">
    <w:name w:val="fontstyle11"/>
    <w:autoRedefine/>
    <w:qFormat/>
    <w:uiPriority w:val="0"/>
    <w:rPr>
      <w:rFonts w:hint="default" w:ascii="TimesNewRomanPSMT" w:hAnsi="TimesNewRomanPSMT"/>
      <w:color w:val="000000"/>
      <w:sz w:val="24"/>
      <w:szCs w:val="24"/>
    </w:rPr>
  </w:style>
  <w:style w:type="character" w:customStyle="1" w:styleId="225">
    <w:name w:val="样式 样式 样式 样式 正文 + 首行缩进:  2 字符 + 首行缩进:  2 字符 + 首行缩进:  2 字符 + Char"/>
    <w:link w:val="226"/>
    <w:autoRedefine/>
    <w:qFormat/>
    <w:uiPriority w:val="0"/>
    <w:rPr>
      <w:rFonts w:ascii="宋体" w:hAnsi="宋体" w:cs="宋体"/>
      <w:sz w:val="24"/>
    </w:rPr>
  </w:style>
  <w:style w:type="paragraph" w:customStyle="1" w:styleId="226">
    <w:name w:val="样式 样式 样式 样式 正文 + 首行缩进:  2 字符 + 首行缩进:  2 字符 + 首行缩进:  2 字符 +"/>
    <w:basedOn w:val="1"/>
    <w:link w:val="225"/>
    <w:autoRedefine/>
    <w:qFormat/>
    <w:uiPriority w:val="0"/>
    <w:pPr>
      <w:ind w:firstLine="200" w:firstLineChars="200"/>
    </w:pPr>
    <w:rPr>
      <w:rFonts w:ascii="宋体" w:hAnsi="宋体" w:cs="宋体"/>
      <w:sz w:val="24"/>
    </w:rPr>
  </w:style>
  <w:style w:type="character" w:customStyle="1" w:styleId="227">
    <w:name w:val="page-prev"/>
    <w:qFormat/>
    <w:uiPriority w:val="0"/>
    <w:rPr>
      <w:bdr w:val="single" w:color="E3E3E3" w:sz="6" w:space="0"/>
    </w:rPr>
  </w:style>
  <w:style w:type="character" w:customStyle="1" w:styleId="228">
    <w:name w:val="telleft"/>
    <w:autoRedefine/>
    <w:qFormat/>
    <w:uiPriority w:val="0"/>
  </w:style>
  <w:style w:type="character" w:customStyle="1" w:styleId="229">
    <w:name w:val="fr3"/>
    <w:autoRedefine/>
    <w:qFormat/>
    <w:uiPriority w:val="0"/>
    <w:rPr>
      <w:sz w:val="18"/>
      <w:szCs w:val="18"/>
    </w:rPr>
  </w:style>
  <w:style w:type="character" w:customStyle="1" w:styleId="230">
    <w:name w:val="dianpingtip"/>
    <w:autoRedefine/>
    <w:qFormat/>
    <w:uiPriority w:val="0"/>
  </w:style>
  <w:style w:type="character" w:customStyle="1" w:styleId="231">
    <w:name w:val="border-none"/>
    <w:autoRedefine/>
    <w:qFormat/>
    <w:uiPriority w:val="0"/>
  </w:style>
  <w:style w:type="character" w:customStyle="1" w:styleId="232">
    <w:name w:val="nc-lang-cnt1"/>
    <w:autoRedefine/>
    <w:qFormat/>
    <w:uiPriority w:val="0"/>
  </w:style>
  <w:style w:type="character" w:customStyle="1" w:styleId="233">
    <w:name w:val="表格 Char Char"/>
    <w:autoRedefine/>
    <w:qFormat/>
    <w:uiPriority w:val="0"/>
    <w:rPr>
      <w:rFonts w:ascii="Arial" w:hAnsi="Arial" w:cs="Arial"/>
      <w:sz w:val="24"/>
    </w:rPr>
  </w:style>
  <w:style w:type="character" w:customStyle="1" w:styleId="234">
    <w:name w:val="标题4 字符"/>
    <w:link w:val="235"/>
    <w:autoRedefine/>
    <w:qFormat/>
    <w:uiPriority w:val="0"/>
    <w:rPr>
      <w:b/>
      <w:kern w:val="2"/>
      <w:sz w:val="24"/>
      <w:szCs w:val="24"/>
    </w:rPr>
  </w:style>
  <w:style w:type="paragraph" w:customStyle="1" w:styleId="235">
    <w:name w:val="标题4"/>
    <w:basedOn w:val="10"/>
    <w:link w:val="234"/>
    <w:qFormat/>
    <w:uiPriority w:val="0"/>
    <w:pPr>
      <w:keepNext w:val="0"/>
      <w:keepLines w:val="0"/>
      <w:numPr>
        <w:ilvl w:val="0"/>
        <w:numId w:val="0"/>
      </w:numPr>
      <w:tabs>
        <w:tab w:val="clear" w:pos="864"/>
      </w:tabs>
      <w:adjustRightInd/>
      <w:spacing w:before="0" w:after="0" w:line="360" w:lineRule="auto"/>
      <w:jc w:val="left"/>
      <w:textAlignment w:val="auto"/>
    </w:pPr>
    <w:rPr>
      <w:rFonts w:ascii="Times New Roman" w:hAnsi="Times New Roman" w:eastAsia="宋体"/>
      <w:kern w:val="2"/>
      <w:sz w:val="24"/>
      <w:szCs w:val="24"/>
    </w:rPr>
  </w:style>
  <w:style w:type="character" w:customStyle="1" w:styleId="236">
    <w:name w:val="nc-lang-cnt2"/>
    <w:autoRedefine/>
    <w:qFormat/>
    <w:uiPriority w:val="0"/>
  </w:style>
  <w:style w:type="character" w:customStyle="1" w:styleId="237">
    <w:name w:val="font41"/>
    <w:autoRedefine/>
    <w:qFormat/>
    <w:uiPriority w:val="0"/>
    <w:rPr>
      <w:rFonts w:hint="eastAsia" w:ascii="宋体" w:hAnsi="宋体" w:eastAsia="宋体"/>
      <w:color w:val="000000"/>
      <w:sz w:val="21"/>
      <w:szCs w:val="21"/>
      <w:u w:val="none"/>
    </w:rPr>
  </w:style>
  <w:style w:type="character" w:customStyle="1" w:styleId="238">
    <w:name w:val="正文缩进 字符"/>
    <w:autoRedefine/>
    <w:qFormat/>
    <w:uiPriority w:val="0"/>
    <w:rPr>
      <w:rFonts w:eastAsia="宋体"/>
      <w:sz w:val="28"/>
      <w:lang w:val="en-US" w:eastAsia="zh-CN" w:bidi="ar-SA"/>
    </w:rPr>
  </w:style>
  <w:style w:type="character" w:customStyle="1" w:styleId="239">
    <w:name w:val="Body text (2)_"/>
    <w:link w:val="240"/>
    <w:autoRedefine/>
    <w:qFormat/>
    <w:uiPriority w:val="99"/>
    <w:rPr>
      <w:rFonts w:ascii="MingLiU" w:hAnsi="MingLiU" w:eastAsia="MingLiU" w:cs="MingLiU"/>
      <w:b/>
      <w:bCs/>
      <w:sz w:val="23"/>
      <w:szCs w:val="23"/>
      <w:shd w:val="clear" w:color="auto" w:fill="FFFFFF"/>
    </w:rPr>
  </w:style>
  <w:style w:type="paragraph" w:customStyle="1" w:styleId="240">
    <w:name w:val="Body text (2)"/>
    <w:basedOn w:val="1"/>
    <w:link w:val="239"/>
    <w:autoRedefine/>
    <w:qFormat/>
    <w:uiPriority w:val="99"/>
    <w:pPr>
      <w:shd w:val="clear" w:color="auto" w:fill="FFFFFF"/>
      <w:spacing w:line="403" w:lineRule="exact"/>
      <w:jc w:val="distribute"/>
    </w:pPr>
    <w:rPr>
      <w:rFonts w:ascii="MingLiU" w:hAnsi="MingLiU" w:eastAsia="MingLiU" w:cs="MingLiU"/>
      <w:b/>
      <w:bCs/>
      <w:sz w:val="23"/>
      <w:szCs w:val="23"/>
    </w:rPr>
  </w:style>
  <w:style w:type="paragraph" w:customStyle="1" w:styleId="241">
    <w:name w:val="font17"/>
    <w:basedOn w:val="1"/>
    <w:qFormat/>
    <w:uiPriority w:val="0"/>
    <w:pPr>
      <w:widowControl/>
      <w:spacing w:before="100" w:beforeAutospacing="1" w:after="100" w:afterAutospacing="1"/>
      <w:jc w:val="left"/>
    </w:pPr>
    <w:rPr>
      <w:rFonts w:ascii="Arial" w:hAnsi="Arial" w:cs="Arial"/>
      <w:color w:val="FF0000"/>
      <w:sz w:val="21"/>
      <w:szCs w:val="21"/>
    </w:rPr>
  </w:style>
  <w:style w:type="paragraph" w:customStyle="1" w:styleId="242">
    <w:name w:val="font21"/>
    <w:basedOn w:val="1"/>
    <w:autoRedefine/>
    <w:qFormat/>
    <w:uiPriority w:val="0"/>
    <w:pPr>
      <w:widowControl/>
      <w:spacing w:before="100" w:beforeAutospacing="1" w:after="100" w:afterAutospacing="1"/>
      <w:jc w:val="left"/>
    </w:pPr>
    <w:rPr>
      <w:rFonts w:ascii="宋体" w:hAnsi="宋体" w:cs="宋体"/>
      <w:color w:val="FF0000"/>
      <w:sz w:val="21"/>
      <w:szCs w:val="21"/>
    </w:rPr>
  </w:style>
  <w:style w:type="paragraph" w:customStyle="1" w:styleId="243">
    <w:name w:val="xl114"/>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Arial" w:hAnsi="Arial" w:cs="Arial"/>
      <w:sz w:val="21"/>
      <w:szCs w:val="21"/>
    </w:rPr>
  </w:style>
  <w:style w:type="paragraph" w:customStyle="1" w:styleId="244">
    <w:name w:val="无间隔4"/>
    <w:autoRedefine/>
    <w:qFormat/>
    <w:uiPriority w:val="99"/>
    <w:pPr>
      <w:widowControl w:val="0"/>
      <w:jc w:val="both"/>
    </w:pPr>
    <w:rPr>
      <w:rFonts w:ascii="Times New Roman" w:hAnsi="Times New Roman" w:eastAsia="宋体" w:cs="Times New Roman"/>
      <w:kern w:val="2"/>
      <w:sz w:val="21"/>
      <w:szCs w:val="22"/>
      <w:lang w:val="en-US" w:eastAsia="zh-CN" w:bidi="ar-SA"/>
    </w:rPr>
  </w:style>
  <w:style w:type="paragraph" w:customStyle="1" w:styleId="245">
    <w:name w:val="16表格内容"/>
    <w:basedOn w:val="1"/>
    <w:autoRedefine/>
    <w:qFormat/>
    <w:uiPriority w:val="0"/>
    <w:pPr>
      <w:widowControl/>
      <w:spacing w:line="0" w:lineRule="atLeast"/>
      <w:jc w:val="center"/>
    </w:pPr>
    <w:rPr>
      <w:kern w:val="0"/>
      <w:sz w:val="21"/>
      <w:szCs w:val="21"/>
    </w:rPr>
  </w:style>
  <w:style w:type="paragraph" w:customStyle="1" w:styleId="246">
    <w:name w:val="表文"/>
    <w:basedOn w:val="1"/>
    <w:autoRedefine/>
    <w:qFormat/>
    <w:uiPriority w:val="0"/>
    <w:pPr>
      <w:spacing w:line="280" w:lineRule="exact"/>
      <w:jc w:val="center"/>
    </w:pPr>
    <w:rPr>
      <w:spacing w:val="-2"/>
      <w:sz w:val="21"/>
      <w:szCs w:val="21"/>
    </w:rPr>
  </w:style>
  <w:style w:type="paragraph" w:customStyle="1" w:styleId="247">
    <w:name w:val=" Char Char Char Char Char Char Char"/>
    <w:basedOn w:val="1"/>
    <w:autoRedefine/>
    <w:qFormat/>
    <w:uiPriority w:val="0"/>
    <w:rPr>
      <w:szCs w:val="24"/>
    </w:rPr>
  </w:style>
  <w:style w:type="paragraph" w:customStyle="1" w:styleId="248">
    <w:name w:val="font22"/>
    <w:basedOn w:val="1"/>
    <w:autoRedefine/>
    <w:qFormat/>
    <w:uiPriority w:val="0"/>
    <w:pPr>
      <w:widowControl/>
      <w:spacing w:before="100" w:beforeAutospacing="1" w:after="100" w:afterAutospacing="1"/>
      <w:jc w:val="left"/>
    </w:pPr>
    <w:rPr>
      <w:rFonts w:ascii="Arial" w:hAnsi="Arial" w:cs="Arial"/>
      <w:color w:val="FF0000"/>
      <w:sz w:val="21"/>
      <w:szCs w:val="21"/>
    </w:rPr>
  </w:style>
  <w:style w:type="paragraph" w:customStyle="1" w:styleId="249">
    <w:name w:val="样式4"/>
    <w:basedOn w:val="12"/>
    <w:autoRedefine/>
    <w:qFormat/>
    <w:uiPriority w:val="0"/>
    <w:pPr>
      <w:adjustRightInd/>
      <w:snapToGrid w:val="0"/>
      <w:spacing w:line="460" w:lineRule="exact"/>
      <w:ind w:firstLine="420"/>
      <w:textAlignment w:val="auto"/>
    </w:pPr>
    <w:rPr>
      <w:rFonts w:ascii="Arial" w:hAnsi="Arial"/>
      <w:kern w:val="2"/>
      <w:sz w:val="24"/>
    </w:rPr>
  </w:style>
  <w:style w:type="paragraph" w:customStyle="1" w:styleId="250">
    <w:name w:val="正文＋缩进"/>
    <w:basedOn w:val="1"/>
    <w:autoRedefine/>
    <w:qFormat/>
    <w:uiPriority w:val="0"/>
    <w:pPr>
      <w:autoSpaceDE w:val="0"/>
      <w:autoSpaceDN w:val="0"/>
      <w:adjustRightInd w:val="0"/>
      <w:spacing w:line="380" w:lineRule="atLeast"/>
      <w:ind w:firstLine="482"/>
      <w:jc w:val="left"/>
      <w:textAlignment w:val="baseline"/>
    </w:pPr>
    <w:rPr>
      <w:spacing w:val="4"/>
      <w:sz w:val="28"/>
    </w:rPr>
  </w:style>
  <w:style w:type="paragraph" w:customStyle="1" w:styleId="251">
    <w:name w:val="正文缩进2"/>
    <w:basedOn w:val="1"/>
    <w:autoRedefine/>
    <w:qFormat/>
    <w:uiPriority w:val="0"/>
    <w:pPr>
      <w:spacing w:line="360" w:lineRule="auto"/>
      <w:ind w:firstLine="420"/>
    </w:pPr>
    <w:rPr>
      <w:rFonts w:hint="eastAsia"/>
      <w:kern w:val="2"/>
      <w:sz w:val="26"/>
      <w:szCs w:val="26"/>
    </w:rPr>
  </w:style>
  <w:style w:type="paragraph" w:customStyle="1" w:styleId="252">
    <w:name w:val="图头"/>
    <w:basedOn w:val="1"/>
    <w:autoRedefine/>
    <w:qFormat/>
    <w:uiPriority w:val="0"/>
    <w:pPr>
      <w:spacing w:afterLines="50" w:line="240" w:lineRule="auto"/>
      <w:ind w:firstLine="0" w:firstLineChars="0"/>
      <w:jc w:val="center"/>
    </w:pPr>
    <w:rPr>
      <w:b/>
      <w:sz w:val="21"/>
    </w:rPr>
  </w:style>
  <w:style w:type="paragraph" w:customStyle="1" w:styleId="253">
    <w:name w:val="Char Char Char Char Char Char Char"/>
    <w:basedOn w:val="1"/>
    <w:autoRedefine/>
    <w:qFormat/>
    <w:uiPriority w:val="0"/>
    <w:rPr>
      <w:szCs w:val="21"/>
    </w:rPr>
  </w:style>
  <w:style w:type="paragraph" w:customStyle="1" w:styleId="254">
    <w:name w:val="xl10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w:hAnsi="Arial" w:cs="Arial"/>
      <w:sz w:val="21"/>
      <w:szCs w:val="21"/>
    </w:rPr>
  </w:style>
  <w:style w:type="paragraph" w:customStyle="1" w:styleId="255">
    <w:name w:val="xl10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w:hAnsi="Arial" w:cs="Arial"/>
      <w:sz w:val="21"/>
      <w:szCs w:val="21"/>
    </w:rPr>
  </w:style>
  <w:style w:type="paragraph" w:customStyle="1" w:styleId="256">
    <w:name w:val="样式 四号 首行缩进:  2 字符"/>
    <w:basedOn w:val="1"/>
    <w:autoRedefine/>
    <w:qFormat/>
    <w:uiPriority w:val="0"/>
    <w:pPr>
      <w:spacing w:line="480" w:lineRule="atLeast"/>
      <w:ind w:firstLine="200" w:firstLineChars="200"/>
    </w:pPr>
    <w:rPr>
      <w:kern w:val="2"/>
      <w:sz w:val="24"/>
      <w:szCs w:val="24"/>
    </w:rPr>
  </w:style>
  <w:style w:type="paragraph" w:customStyle="1" w:styleId="257">
    <w:name w:val="正文999"/>
    <w:basedOn w:val="1"/>
    <w:autoRedefine/>
    <w:semiHidden/>
    <w:qFormat/>
    <w:uiPriority w:val="0"/>
    <w:pPr>
      <w:spacing w:line="360" w:lineRule="auto"/>
      <w:ind w:firstLine="480" w:firstLineChars="200"/>
    </w:pPr>
    <w:rPr>
      <w:rFonts w:ascii="宋体" w:hAnsi="宋体" w:cs="宋体"/>
      <w:kern w:val="2"/>
      <w:sz w:val="24"/>
      <w:szCs w:val="24"/>
    </w:rPr>
  </w:style>
  <w:style w:type="paragraph" w:customStyle="1" w:styleId="258">
    <w:name w:val="xl103"/>
    <w:basedOn w:val="1"/>
    <w:qFormat/>
    <w:uiPriority w:val="0"/>
    <w:pPr>
      <w:widowControl/>
      <w:pBdr>
        <w:top w:val="single" w:color="auto" w:sz="4" w:space="0"/>
        <w:left w:val="single" w:color="auto" w:sz="4" w:space="0"/>
        <w:bottom w:val="single" w:color="auto" w:sz="4" w:space="0"/>
        <w:right w:val="single" w:color="auto" w:sz="4" w:space="0"/>
      </w:pBdr>
      <w:shd w:val="clear" w:color="000000" w:fill="CCFFFF"/>
      <w:spacing w:before="100" w:beforeAutospacing="1" w:after="100" w:afterAutospacing="1"/>
      <w:jc w:val="left"/>
    </w:pPr>
    <w:rPr>
      <w:rFonts w:ascii="Arial" w:hAnsi="Arial" w:cs="Arial"/>
      <w:b/>
      <w:bCs/>
      <w:sz w:val="21"/>
      <w:szCs w:val="21"/>
    </w:rPr>
  </w:style>
  <w:style w:type="paragraph" w:customStyle="1" w:styleId="259">
    <w:name w:val="xl132"/>
    <w:basedOn w:val="1"/>
    <w:autoRedefine/>
    <w:qFormat/>
    <w:uiPriority w:val="0"/>
    <w:pPr>
      <w:widowControl/>
      <w:pBdr>
        <w:left w:val="single" w:color="auto" w:sz="4" w:space="0"/>
        <w:right w:val="single" w:color="auto" w:sz="4" w:space="0"/>
      </w:pBdr>
      <w:shd w:val="clear" w:color="000000" w:fill="C5D9F1"/>
      <w:spacing w:before="100" w:beforeAutospacing="1" w:after="100" w:afterAutospacing="1"/>
      <w:jc w:val="left"/>
    </w:pPr>
    <w:rPr>
      <w:rFonts w:ascii="Arial" w:hAnsi="Arial" w:cs="Arial"/>
      <w:sz w:val="21"/>
      <w:szCs w:val="21"/>
    </w:rPr>
  </w:style>
  <w:style w:type="paragraph" w:customStyle="1" w:styleId="260">
    <w:name w:val="Char2"/>
    <w:basedOn w:val="1"/>
    <w:autoRedefine/>
    <w:qFormat/>
    <w:uiPriority w:val="0"/>
    <w:pPr>
      <w:widowControl/>
      <w:topLinePunct/>
      <w:snapToGrid w:val="0"/>
      <w:spacing w:line="480" w:lineRule="exact"/>
      <w:jc w:val="left"/>
    </w:pPr>
    <w:rPr>
      <w:rFonts w:eastAsia="仿宋_GB2312"/>
      <w:w w:val="90"/>
      <w:sz w:val="28"/>
      <w:szCs w:val="36"/>
      <w:lang w:val="en-GB" w:eastAsia="en-GB"/>
    </w:rPr>
  </w:style>
  <w:style w:type="paragraph" w:customStyle="1" w:styleId="261">
    <w:name w:val=" Char Char Char Char Char Char1 Char Char Char Char Char Char Char Char Char Char Char Char Char"/>
    <w:basedOn w:val="1"/>
    <w:autoRedefine/>
    <w:qFormat/>
    <w:uiPriority w:val="0"/>
    <w:pPr>
      <w:adjustRightInd/>
      <w:snapToGrid/>
      <w:spacing w:line="240" w:lineRule="auto"/>
      <w:ind w:firstLine="0" w:firstLineChars="0"/>
    </w:pPr>
    <w:rPr>
      <w:kern w:val="2"/>
      <w:sz w:val="21"/>
    </w:rPr>
  </w:style>
  <w:style w:type="paragraph" w:customStyle="1" w:styleId="262">
    <w:name w:val="xl134"/>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Arial" w:hAnsi="Arial" w:cs="Arial"/>
      <w:sz w:val="21"/>
      <w:szCs w:val="21"/>
    </w:rPr>
  </w:style>
  <w:style w:type="paragraph" w:customStyle="1" w:styleId="263">
    <w:name w:val="XX表头居中粗"/>
    <w:next w:val="38"/>
    <w:autoRedefine/>
    <w:qFormat/>
    <w:uiPriority w:val="0"/>
    <w:pPr>
      <w:keepNext/>
      <w:widowControl w:val="0"/>
      <w:tabs>
        <w:tab w:val="center" w:pos="501"/>
      </w:tabs>
      <w:jc w:val="center"/>
    </w:pPr>
    <w:rPr>
      <w:rFonts w:ascii="Times New Roman" w:hAnsi="Times New Roman" w:eastAsia="宋体" w:cs="Times New Roman"/>
      <w:b/>
      <w:color w:val="000000"/>
      <w:sz w:val="24"/>
      <w:lang w:val="en-US" w:eastAsia="zh-CN" w:bidi="ar-SA"/>
    </w:rPr>
  </w:style>
  <w:style w:type="paragraph" w:customStyle="1" w:styleId="264">
    <w:name w:val="M表格竖"/>
    <w:basedOn w:val="1"/>
    <w:qFormat/>
    <w:uiPriority w:val="99"/>
    <w:pPr>
      <w:jc w:val="center"/>
    </w:pPr>
    <w:rPr>
      <w:kern w:val="2"/>
      <w:sz w:val="18"/>
      <w:szCs w:val="18"/>
    </w:rPr>
  </w:style>
  <w:style w:type="paragraph" w:customStyle="1" w:styleId="265">
    <w:name w:val="_Style 255"/>
    <w:basedOn w:val="6"/>
    <w:next w:val="1"/>
    <w:autoRedefine/>
    <w:qFormat/>
    <w:uiPriority w:val="39"/>
    <w:pPr>
      <w:widowControl/>
      <w:numPr>
        <w:ilvl w:val="0"/>
        <w:numId w:val="0"/>
      </w:numPr>
      <w:tabs>
        <w:tab w:val="clear" w:pos="432"/>
      </w:tabs>
      <w:adjustRightInd/>
      <w:spacing w:line="259" w:lineRule="auto"/>
      <w:jc w:val="left"/>
      <w:textAlignment w:val="auto"/>
      <w:outlineLvl w:val="9"/>
    </w:pPr>
    <w:rPr>
      <w:rFonts w:ascii="等线 Light" w:hAnsi="等线 Light" w:eastAsia="等线 Light" w:cs="Times New Roman"/>
      <w:color w:val="2E74B5"/>
      <w:kern w:val="0"/>
      <w:sz w:val="32"/>
      <w:szCs w:val="32"/>
    </w:rPr>
  </w:style>
  <w:style w:type="paragraph" w:customStyle="1" w:styleId="266">
    <w:name w:val="font9"/>
    <w:basedOn w:val="1"/>
    <w:autoRedefine/>
    <w:qFormat/>
    <w:uiPriority w:val="0"/>
    <w:pPr>
      <w:widowControl/>
      <w:spacing w:before="100" w:beforeAutospacing="1" w:after="100" w:afterAutospacing="1"/>
      <w:jc w:val="left"/>
    </w:pPr>
    <w:rPr>
      <w:rFonts w:ascii="宋体" w:hAnsi="宋体" w:cs="宋体"/>
      <w:sz w:val="18"/>
      <w:szCs w:val="18"/>
    </w:rPr>
  </w:style>
  <w:style w:type="paragraph" w:customStyle="1" w:styleId="267">
    <w:name w:val="font13"/>
    <w:basedOn w:val="1"/>
    <w:autoRedefine/>
    <w:qFormat/>
    <w:uiPriority w:val="0"/>
    <w:pPr>
      <w:widowControl/>
      <w:spacing w:before="100" w:beforeAutospacing="1" w:after="100" w:afterAutospacing="1"/>
      <w:jc w:val="left"/>
    </w:pPr>
    <w:rPr>
      <w:rFonts w:ascii="Arial" w:hAnsi="Arial" w:cs="Arial"/>
      <w:sz w:val="21"/>
      <w:szCs w:val="21"/>
    </w:rPr>
  </w:style>
  <w:style w:type="paragraph" w:customStyle="1" w:styleId="268">
    <w:name w:val="表格-表头"/>
    <w:basedOn w:val="1"/>
    <w:autoRedefine/>
    <w:qFormat/>
    <w:uiPriority w:val="0"/>
    <w:pPr>
      <w:spacing w:after="120" w:line="0" w:lineRule="atLeast"/>
      <w:ind w:firstLine="720" w:firstLineChars="200"/>
      <w:jc w:val="center"/>
    </w:pPr>
    <w:rPr>
      <w:b/>
      <w:kern w:val="2"/>
      <w:sz w:val="24"/>
      <w:szCs w:val="22"/>
    </w:rPr>
  </w:style>
  <w:style w:type="paragraph" w:customStyle="1" w:styleId="269">
    <w:name w:val="中文报告书"/>
    <w:basedOn w:val="1"/>
    <w:autoRedefine/>
    <w:qFormat/>
    <w:uiPriority w:val="0"/>
    <w:pPr>
      <w:adjustRightInd w:val="0"/>
      <w:spacing w:after="80" w:line="360" w:lineRule="auto"/>
      <w:jc w:val="left"/>
      <w:textAlignment w:val="baseline"/>
    </w:pPr>
    <w:rPr>
      <w:rFonts w:ascii="宋体"/>
      <w:sz w:val="24"/>
      <w:lang w:val="zh-CN"/>
    </w:rPr>
  </w:style>
  <w:style w:type="paragraph" w:customStyle="1" w:styleId="270">
    <w:name w:val="font7"/>
    <w:basedOn w:val="1"/>
    <w:autoRedefine/>
    <w:qFormat/>
    <w:uiPriority w:val="0"/>
    <w:pPr>
      <w:widowControl/>
      <w:spacing w:before="100" w:beforeAutospacing="1" w:after="100" w:afterAutospacing="1"/>
      <w:jc w:val="left"/>
    </w:pPr>
    <w:rPr>
      <w:rFonts w:ascii="Arial" w:hAnsi="Arial" w:cs="Arial"/>
      <w:sz w:val="21"/>
      <w:szCs w:val="21"/>
    </w:rPr>
  </w:style>
  <w:style w:type="paragraph" w:customStyle="1" w:styleId="271">
    <w:name w:val="font16"/>
    <w:basedOn w:val="1"/>
    <w:autoRedefine/>
    <w:qFormat/>
    <w:uiPriority w:val="0"/>
    <w:pPr>
      <w:widowControl/>
      <w:spacing w:before="100" w:beforeAutospacing="1" w:after="100" w:afterAutospacing="1"/>
      <w:jc w:val="left"/>
    </w:pPr>
    <w:rPr>
      <w:rFonts w:ascii="宋体" w:hAnsi="宋体" w:cs="宋体"/>
      <w:sz w:val="21"/>
      <w:szCs w:val="21"/>
    </w:rPr>
  </w:style>
  <w:style w:type="paragraph" w:customStyle="1" w:styleId="272">
    <w:name w:val="font18"/>
    <w:basedOn w:val="1"/>
    <w:autoRedefine/>
    <w:qFormat/>
    <w:uiPriority w:val="0"/>
    <w:pPr>
      <w:widowControl/>
      <w:spacing w:before="100" w:beforeAutospacing="1" w:after="100" w:afterAutospacing="1"/>
      <w:jc w:val="left"/>
    </w:pPr>
    <w:rPr>
      <w:rFonts w:ascii="宋体" w:hAnsi="宋体" w:cs="宋体"/>
      <w:color w:val="FF0000"/>
      <w:sz w:val="21"/>
      <w:szCs w:val="21"/>
    </w:rPr>
  </w:style>
  <w:style w:type="paragraph" w:customStyle="1" w:styleId="273">
    <w:name w:val="xl136"/>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w:hAnsi="Arial" w:cs="Arial"/>
      <w:sz w:val="21"/>
      <w:szCs w:val="21"/>
    </w:rPr>
  </w:style>
  <w:style w:type="paragraph" w:customStyle="1" w:styleId="274">
    <w:name w:val="样式1"/>
    <w:basedOn w:val="44"/>
    <w:next w:val="275"/>
    <w:autoRedefine/>
    <w:qFormat/>
    <w:uiPriority w:val="0"/>
    <w:pPr>
      <w:suppressAutoHyphens/>
      <w:adjustRightInd w:val="0"/>
      <w:spacing w:line="520" w:lineRule="atLeast"/>
      <w:textAlignment w:val="baseline"/>
    </w:pPr>
    <w:rPr>
      <w:spacing w:val="18"/>
      <w:kern w:val="0"/>
      <w:sz w:val="32"/>
    </w:rPr>
  </w:style>
  <w:style w:type="paragraph" w:customStyle="1" w:styleId="275">
    <w:name w:val="标题样式2"/>
    <w:basedOn w:val="8"/>
    <w:next w:val="57"/>
    <w:qFormat/>
    <w:uiPriority w:val="0"/>
    <w:pPr>
      <w:tabs>
        <w:tab w:val="left" w:pos="576"/>
      </w:tabs>
      <w:adjustRightInd w:val="0"/>
      <w:spacing w:before="0" w:after="0" w:line="360" w:lineRule="auto"/>
      <w:jc w:val="left"/>
      <w:textAlignment w:val="baseline"/>
    </w:pPr>
    <w:rPr>
      <w:rFonts w:ascii="黑体"/>
      <w:kern w:val="0"/>
      <w:sz w:val="24"/>
      <w:szCs w:val="24"/>
    </w:rPr>
  </w:style>
  <w:style w:type="paragraph" w:customStyle="1" w:styleId="276">
    <w:name w:val="xl14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w:hAnsi="Arial" w:cs="Arial"/>
      <w:color w:val="FF0000"/>
      <w:sz w:val="21"/>
      <w:szCs w:val="21"/>
    </w:rPr>
  </w:style>
  <w:style w:type="paragraph" w:customStyle="1" w:styleId="277">
    <w:name w:val="table footnote"/>
    <w:autoRedefine/>
    <w:qFormat/>
    <w:uiPriority w:val="0"/>
    <w:pPr>
      <w:spacing w:before="60" w:after="30"/>
      <w:jc w:val="right"/>
    </w:pPr>
    <w:rPr>
      <w:rFonts w:ascii="Times New Roman" w:hAnsi="Times New Roman" w:eastAsia="宋体" w:cs="Times New Roman"/>
      <w:sz w:val="12"/>
      <w:szCs w:val="12"/>
      <w:lang w:val="en-US" w:eastAsia="en-US" w:bidi="ar-SA"/>
    </w:rPr>
  </w:style>
  <w:style w:type="paragraph" w:customStyle="1" w:styleId="278">
    <w:name w:val="Char Char Char Char Char Char Char Char Char Char"/>
    <w:basedOn w:val="1"/>
    <w:autoRedefine/>
    <w:qFormat/>
    <w:uiPriority w:val="0"/>
    <w:pPr>
      <w:spacing w:line="240" w:lineRule="exact"/>
      <w:ind w:firstLine="200" w:firstLineChars="200"/>
    </w:pPr>
    <w:rPr>
      <w:snapToGrid w:val="0"/>
      <w:color w:val="000000"/>
      <w:sz w:val="24"/>
    </w:rPr>
  </w:style>
  <w:style w:type="paragraph" w:customStyle="1" w:styleId="279">
    <w:name w:val="+正文标题"/>
    <w:basedOn w:val="1"/>
    <w:autoRedefine/>
    <w:qFormat/>
    <w:uiPriority w:val="0"/>
    <w:pPr>
      <w:spacing w:beforeLines="100" w:afterLines="100" w:line="360" w:lineRule="auto"/>
      <w:jc w:val="center"/>
    </w:pPr>
    <w:rPr>
      <w:rFonts w:eastAsia="黑体"/>
      <w:b/>
      <w:kern w:val="2"/>
      <w:sz w:val="32"/>
      <w:szCs w:val="32"/>
    </w:rPr>
  </w:style>
  <w:style w:type="paragraph" w:customStyle="1" w:styleId="280">
    <w:name w:val="_Style 1"/>
    <w:basedOn w:val="1"/>
    <w:qFormat/>
    <w:uiPriority w:val="0"/>
    <w:pPr>
      <w:widowControl/>
      <w:jc w:val="left"/>
    </w:pPr>
    <w:rPr>
      <w:rFonts w:ascii="Calibri" w:hAnsi="Calibri"/>
      <w:kern w:val="0"/>
      <w:sz w:val="22"/>
      <w:szCs w:val="22"/>
      <w:lang w:eastAsia="en-US" w:bidi="en-US"/>
    </w:rPr>
  </w:style>
  <w:style w:type="paragraph" w:customStyle="1" w:styleId="281">
    <w:name w:val="无间隔2"/>
    <w:autoRedefine/>
    <w:qFormat/>
    <w:uiPriority w:val="1"/>
    <w:pPr>
      <w:widowControl w:val="0"/>
      <w:jc w:val="both"/>
    </w:pPr>
    <w:rPr>
      <w:rFonts w:ascii="Times New Roman" w:hAnsi="Times New Roman" w:eastAsia="宋体" w:cs="Times New Roman"/>
      <w:kern w:val="2"/>
      <w:sz w:val="21"/>
      <w:szCs w:val="22"/>
      <w:lang w:val="en-US" w:eastAsia="zh-CN" w:bidi="ar-SA"/>
    </w:rPr>
  </w:style>
  <w:style w:type="paragraph" w:customStyle="1" w:styleId="282">
    <w:name w:val="In Table"/>
    <w:basedOn w:val="1"/>
    <w:autoRedefine/>
    <w:qFormat/>
    <w:uiPriority w:val="0"/>
    <w:pPr>
      <w:tabs>
        <w:tab w:val="left" w:pos="2200"/>
        <w:tab w:val="left" w:pos="3960"/>
        <w:tab w:val="left" w:pos="5280"/>
      </w:tabs>
      <w:spacing w:before="96" w:after="96" w:line="0" w:lineRule="atLeast"/>
      <w:jc w:val="center"/>
    </w:pPr>
    <w:rPr>
      <w:rFonts w:ascii="Tahoma" w:hAnsi="Tahoma" w:eastAsia="华文中宋"/>
    </w:rPr>
  </w:style>
  <w:style w:type="paragraph" w:customStyle="1" w:styleId="283">
    <w:name w:val="xl133"/>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sz w:val="21"/>
      <w:szCs w:val="21"/>
    </w:rPr>
  </w:style>
  <w:style w:type="paragraph" w:customStyle="1" w:styleId="284">
    <w:name w:val="兰天/报告书/表/正文字体/蓝色"/>
    <w:basedOn w:val="1"/>
    <w:autoRedefine/>
    <w:qFormat/>
    <w:uiPriority w:val="0"/>
    <w:pPr>
      <w:spacing w:line="480" w:lineRule="exact"/>
      <w:ind w:firstLine="200" w:firstLineChars="200"/>
    </w:pPr>
    <w:rPr>
      <w:color w:val="0070C0"/>
      <w:sz w:val="24"/>
      <w:szCs w:val="24"/>
    </w:rPr>
  </w:style>
  <w:style w:type="paragraph" w:customStyle="1" w:styleId="285">
    <w:name w:val="正文小四"/>
    <w:basedOn w:val="1"/>
    <w:qFormat/>
    <w:uiPriority w:val="0"/>
    <w:pPr>
      <w:spacing w:line="360" w:lineRule="auto"/>
      <w:ind w:firstLine="200" w:firstLineChars="200"/>
      <w:jc w:val="left"/>
    </w:pPr>
    <w:rPr>
      <w:kern w:val="2"/>
      <w:sz w:val="24"/>
      <w:szCs w:val="24"/>
    </w:rPr>
  </w:style>
  <w:style w:type="paragraph" w:customStyle="1" w:styleId="286">
    <w:name w:val="font6"/>
    <w:basedOn w:val="1"/>
    <w:next w:val="53"/>
    <w:autoRedefine/>
    <w:qFormat/>
    <w:uiPriority w:val="0"/>
    <w:pPr>
      <w:widowControl/>
      <w:spacing w:before="100" w:beforeAutospacing="1" w:after="100" w:afterAutospacing="1"/>
      <w:jc w:val="left"/>
    </w:pPr>
    <w:rPr>
      <w:rFonts w:ascii="黑体" w:hAnsi="宋体" w:eastAsia="黑体" w:cs="宋体"/>
      <w:b/>
      <w:bCs/>
      <w:sz w:val="21"/>
      <w:szCs w:val="21"/>
    </w:rPr>
  </w:style>
  <w:style w:type="paragraph" w:customStyle="1" w:styleId="287">
    <w:name w:val="xl101"/>
    <w:basedOn w:val="1"/>
    <w:autoRedefine/>
    <w:qFormat/>
    <w:uiPriority w:val="0"/>
    <w:pPr>
      <w:widowControl/>
      <w:spacing w:before="100" w:beforeAutospacing="1" w:after="100" w:afterAutospacing="1"/>
      <w:jc w:val="center"/>
    </w:pPr>
    <w:rPr>
      <w:rFonts w:ascii="Arial" w:hAnsi="Arial" w:cs="Arial"/>
      <w:sz w:val="24"/>
      <w:szCs w:val="24"/>
    </w:rPr>
  </w:style>
  <w:style w:type="paragraph" w:customStyle="1" w:styleId="288">
    <w:name w:val="16表格标题"/>
    <w:basedOn w:val="1"/>
    <w:autoRedefine/>
    <w:qFormat/>
    <w:uiPriority w:val="0"/>
    <w:pPr>
      <w:widowControl/>
      <w:spacing w:line="480" w:lineRule="exact"/>
      <w:jc w:val="center"/>
    </w:pPr>
    <w:rPr>
      <w:rFonts w:ascii="Calibri" w:hAnsi="Calibri" w:eastAsia="宋体" w:cs="Times New Roman"/>
      <w:b/>
      <w:bCs/>
      <w:sz w:val="21"/>
      <w:szCs w:val="22"/>
    </w:rPr>
  </w:style>
  <w:style w:type="paragraph" w:customStyle="1" w:styleId="289">
    <w:name w:val="xl110"/>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w:hAnsi="Arial" w:cs="Arial"/>
      <w:sz w:val="21"/>
      <w:szCs w:val="21"/>
    </w:rPr>
  </w:style>
  <w:style w:type="paragraph" w:customStyle="1" w:styleId="290">
    <w:name w:val="reader-word-layer reader-word-s4-2"/>
    <w:basedOn w:val="1"/>
    <w:autoRedefine/>
    <w:qFormat/>
    <w:uiPriority w:val="0"/>
    <w:pPr>
      <w:widowControl/>
      <w:spacing w:before="100" w:beforeAutospacing="1" w:after="100" w:afterAutospacing="1"/>
      <w:jc w:val="left"/>
    </w:pPr>
    <w:rPr>
      <w:rFonts w:ascii="宋体" w:hAnsi="宋体" w:cs="宋体"/>
      <w:sz w:val="24"/>
      <w:szCs w:val="24"/>
    </w:rPr>
  </w:style>
  <w:style w:type="paragraph" w:customStyle="1" w:styleId="291">
    <w:name w:val="xl129"/>
    <w:basedOn w:val="1"/>
    <w:autoRedefine/>
    <w:qFormat/>
    <w:uiPriority w:val="0"/>
    <w:pPr>
      <w:widowControl/>
      <w:pBdr>
        <w:left w:val="single" w:color="auto" w:sz="4" w:space="0"/>
        <w:right w:val="single" w:color="auto" w:sz="4" w:space="0"/>
      </w:pBdr>
      <w:spacing w:before="100" w:beforeAutospacing="1" w:after="100" w:afterAutospacing="1"/>
      <w:jc w:val="center"/>
    </w:pPr>
    <w:rPr>
      <w:rFonts w:ascii="宋体" w:hAnsi="宋体" w:cs="宋体"/>
      <w:color w:val="FF0000"/>
      <w:sz w:val="21"/>
      <w:szCs w:val="21"/>
    </w:rPr>
  </w:style>
  <w:style w:type="paragraph" w:customStyle="1" w:styleId="292">
    <w:name w:val="样式 居中4"/>
    <w:basedOn w:val="1"/>
    <w:qFormat/>
    <w:uiPriority w:val="0"/>
    <w:pPr>
      <w:spacing w:line="300" w:lineRule="auto"/>
      <w:ind w:firstLine="640" w:firstLineChars="200"/>
      <w:jc w:val="center"/>
    </w:pPr>
    <w:rPr>
      <w:rFonts w:cs="宋体"/>
      <w:kern w:val="2"/>
      <w:sz w:val="24"/>
    </w:rPr>
  </w:style>
  <w:style w:type="paragraph" w:customStyle="1" w:styleId="293">
    <w:name w:val="Normal"/>
    <w:basedOn w:val="1"/>
    <w:autoRedefine/>
    <w:qFormat/>
    <w:uiPriority w:val="0"/>
    <w:pPr>
      <w:widowControl/>
    </w:pPr>
    <w:rPr>
      <w:rFonts w:ascii="等线" w:hAnsi="等线" w:eastAsia="等线" w:cs="宋体"/>
      <w:szCs w:val="21"/>
    </w:rPr>
  </w:style>
  <w:style w:type="paragraph" w:customStyle="1" w:styleId="294">
    <w:name w:val="xl131"/>
    <w:basedOn w:val="1"/>
    <w:autoRedefine/>
    <w:qFormat/>
    <w:uiPriority w:val="0"/>
    <w:pPr>
      <w:widowControl/>
      <w:pBdr>
        <w:left w:val="single" w:color="auto" w:sz="4" w:space="0"/>
        <w:right w:val="single" w:color="auto" w:sz="4" w:space="0"/>
      </w:pBdr>
      <w:shd w:val="clear" w:color="000000" w:fill="C5D9F1"/>
      <w:spacing w:before="100" w:beforeAutospacing="1" w:after="100" w:afterAutospacing="1"/>
      <w:jc w:val="center"/>
    </w:pPr>
    <w:rPr>
      <w:rFonts w:ascii="Arial" w:hAnsi="Arial" w:cs="Arial"/>
      <w:sz w:val="21"/>
      <w:szCs w:val="21"/>
    </w:rPr>
  </w:style>
  <w:style w:type="paragraph" w:customStyle="1" w:styleId="295">
    <w:name w:val="xl11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w:hAnsi="Arial" w:cs="Arial"/>
      <w:color w:val="FF0000"/>
      <w:sz w:val="21"/>
      <w:szCs w:val="21"/>
    </w:rPr>
  </w:style>
  <w:style w:type="paragraph" w:customStyle="1" w:styleId="296">
    <w:name w:val="reader-word-layer reader-word-s4-13"/>
    <w:basedOn w:val="1"/>
    <w:autoRedefine/>
    <w:qFormat/>
    <w:uiPriority w:val="0"/>
    <w:pPr>
      <w:widowControl/>
      <w:spacing w:before="100" w:beforeAutospacing="1" w:after="100" w:afterAutospacing="1"/>
      <w:jc w:val="left"/>
    </w:pPr>
    <w:rPr>
      <w:rFonts w:ascii="宋体" w:hAnsi="宋体" w:cs="宋体"/>
      <w:sz w:val="24"/>
      <w:szCs w:val="24"/>
    </w:rPr>
  </w:style>
  <w:style w:type="paragraph" w:customStyle="1" w:styleId="297">
    <w:name w:val="xl126"/>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left"/>
    </w:pPr>
    <w:rPr>
      <w:rFonts w:ascii="Arial" w:hAnsi="Arial" w:cs="Arial"/>
      <w:sz w:val="21"/>
      <w:szCs w:val="21"/>
    </w:rPr>
  </w:style>
  <w:style w:type="paragraph" w:customStyle="1" w:styleId="298">
    <w:name w:val="深泽正文"/>
    <w:basedOn w:val="111"/>
    <w:next w:val="43"/>
    <w:autoRedefine/>
    <w:qFormat/>
    <w:uiPriority w:val="0"/>
    <w:pPr>
      <w:spacing w:line="440" w:lineRule="exact"/>
      <w:ind w:firstLine="488" w:firstLineChars="200"/>
    </w:pPr>
    <w:rPr>
      <w:spacing w:val="4"/>
      <w:kern w:val="0"/>
      <w:sz w:val="24"/>
      <w:szCs w:val="24"/>
    </w:rPr>
  </w:style>
  <w:style w:type="paragraph" w:customStyle="1" w:styleId="299">
    <w:name w:val="宋体 13 磅 行距: 固定值 24 磅"/>
    <w:basedOn w:val="1"/>
    <w:autoRedefine/>
    <w:qFormat/>
    <w:uiPriority w:val="0"/>
    <w:pPr>
      <w:spacing w:line="480" w:lineRule="exact"/>
      <w:ind w:firstLine="520" w:firstLineChars="200"/>
      <w:jc w:val="left"/>
    </w:pPr>
    <w:rPr>
      <w:rFonts w:ascii="宋体" w:hAnsi="宋体" w:cs="宋体"/>
      <w:kern w:val="2"/>
      <w:sz w:val="26"/>
    </w:rPr>
  </w:style>
  <w:style w:type="paragraph" w:customStyle="1" w:styleId="300">
    <w:name w:val="reader-word-layer reader-word-s4-14"/>
    <w:basedOn w:val="1"/>
    <w:autoRedefine/>
    <w:qFormat/>
    <w:uiPriority w:val="0"/>
    <w:pPr>
      <w:widowControl/>
      <w:spacing w:before="100" w:beforeAutospacing="1" w:after="100" w:afterAutospacing="1"/>
      <w:jc w:val="left"/>
    </w:pPr>
    <w:rPr>
      <w:rFonts w:ascii="宋体" w:hAnsi="宋体" w:cs="宋体"/>
      <w:sz w:val="24"/>
      <w:szCs w:val="24"/>
    </w:rPr>
  </w:style>
  <w:style w:type="paragraph" w:customStyle="1" w:styleId="301">
    <w:name w:val="font5"/>
    <w:basedOn w:val="1"/>
    <w:autoRedefine/>
    <w:qFormat/>
    <w:uiPriority w:val="0"/>
    <w:pPr>
      <w:widowControl/>
      <w:spacing w:before="100" w:beforeAutospacing="1" w:after="100" w:afterAutospacing="1"/>
      <w:jc w:val="left"/>
    </w:pPr>
    <w:rPr>
      <w:rFonts w:ascii="宋体" w:hAnsi="宋体" w:cs="宋体"/>
      <w:sz w:val="18"/>
      <w:szCs w:val="18"/>
    </w:rPr>
  </w:style>
  <w:style w:type="paragraph" w:customStyle="1" w:styleId="302">
    <w:name w:val="xl102"/>
    <w:basedOn w:val="1"/>
    <w:autoRedefine/>
    <w:qFormat/>
    <w:uiPriority w:val="0"/>
    <w:pPr>
      <w:widowControl/>
      <w:spacing w:before="100" w:beforeAutospacing="1" w:after="100" w:afterAutospacing="1"/>
      <w:jc w:val="left"/>
    </w:pPr>
    <w:rPr>
      <w:rFonts w:ascii="Arial" w:hAnsi="Arial" w:cs="Arial"/>
      <w:sz w:val="24"/>
      <w:szCs w:val="24"/>
    </w:rPr>
  </w:style>
  <w:style w:type="paragraph" w:customStyle="1" w:styleId="303">
    <w:name w:val="Char Char1 Char Char Char Char"/>
    <w:basedOn w:val="1"/>
    <w:autoRedefine/>
    <w:qFormat/>
    <w:uiPriority w:val="0"/>
    <w:rPr>
      <w:kern w:val="2"/>
      <w:sz w:val="21"/>
      <w:szCs w:val="24"/>
    </w:rPr>
  </w:style>
  <w:style w:type="paragraph" w:customStyle="1" w:styleId="304">
    <w:name w:val="+正文"/>
    <w:basedOn w:val="1"/>
    <w:autoRedefine/>
    <w:qFormat/>
    <w:uiPriority w:val="0"/>
    <w:pPr>
      <w:spacing w:line="360" w:lineRule="auto"/>
      <w:ind w:firstLine="200" w:firstLineChars="200"/>
    </w:pPr>
    <w:rPr>
      <w:kern w:val="2"/>
      <w:sz w:val="28"/>
      <w:szCs w:val="28"/>
    </w:rPr>
  </w:style>
  <w:style w:type="paragraph" w:customStyle="1" w:styleId="305">
    <w:name w:val="xl120"/>
    <w:basedOn w:val="1"/>
    <w:autoRedefine/>
    <w:qFormat/>
    <w:uiPriority w:val="0"/>
    <w:pPr>
      <w:widowControl/>
      <w:pBdr>
        <w:top w:val="single" w:color="auto" w:sz="4" w:space="0"/>
        <w:left w:val="single" w:color="auto" w:sz="4" w:space="0"/>
        <w:right w:val="single" w:color="auto" w:sz="4" w:space="0"/>
      </w:pBdr>
      <w:shd w:val="clear" w:color="000000" w:fill="C5D9F1"/>
      <w:spacing w:before="100" w:beforeAutospacing="1" w:after="100" w:afterAutospacing="1"/>
      <w:jc w:val="center"/>
    </w:pPr>
    <w:rPr>
      <w:rFonts w:ascii="Arial" w:hAnsi="Arial" w:cs="Arial"/>
      <w:sz w:val="21"/>
      <w:szCs w:val="21"/>
    </w:rPr>
  </w:style>
  <w:style w:type="paragraph" w:customStyle="1" w:styleId="306">
    <w:name w:val="Char Char Char Char Char Char Char Char Char Char Char Char Char"/>
    <w:basedOn w:val="9"/>
    <w:qFormat/>
    <w:uiPriority w:val="0"/>
    <w:pPr>
      <w:numPr>
        <w:ilvl w:val="0"/>
        <w:numId w:val="0"/>
      </w:numPr>
      <w:tabs>
        <w:tab w:val="left" w:pos="360"/>
        <w:tab w:val="left" w:pos="900"/>
        <w:tab w:val="clear" w:pos="720"/>
      </w:tabs>
      <w:adjustRightInd/>
      <w:snapToGrid w:val="0"/>
      <w:spacing w:before="120" w:after="120" w:line="360" w:lineRule="auto"/>
      <w:ind w:left="542" w:leftChars="-12" w:firstLine="200" w:firstLineChars="200"/>
      <w:jc w:val="left"/>
      <w:textAlignment w:val="auto"/>
    </w:pPr>
    <w:rPr>
      <w:snapToGrid w:val="0"/>
      <w:kern w:val="2"/>
      <w:sz w:val="24"/>
      <w:szCs w:val="24"/>
    </w:rPr>
  </w:style>
  <w:style w:type="paragraph" w:customStyle="1" w:styleId="307">
    <w:name w:val="M表头"/>
    <w:basedOn w:val="1"/>
    <w:next w:val="1"/>
    <w:autoRedefine/>
    <w:qFormat/>
    <w:uiPriority w:val="99"/>
    <w:pPr>
      <w:spacing w:beforeLines="70" w:line="360" w:lineRule="auto"/>
      <w:ind w:firstLine="200" w:firstLineChars="200"/>
    </w:pPr>
    <w:rPr>
      <w:rFonts w:eastAsia="黑体"/>
      <w:bCs/>
      <w:kern w:val="2"/>
      <w:sz w:val="24"/>
      <w:szCs w:val="21"/>
    </w:rPr>
  </w:style>
  <w:style w:type="paragraph" w:customStyle="1" w:styleId="308">
    <w:name w:val="WPS Plain"/>
    <w:qFormat/>
    <w:uiPriority w:val="0"/>
    <w:rPr>
      <w:rFonts w:ascii="Times New Roman" w:hAnsi="Times New Roman" w:eastAsia="宋体" w:cs="Times New Roman"/>
      <w:lang w:val="en-US" w:eastAsia="zh-CN" w:bidi="ar-SA"/>
    </w:rPr>
  </w:style>
  <w:style w:type="paragraph" w:customStyle="1" w:styleId="309">
    <w:name w:val="xl119"/>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w:hAnsi="Arial" w:cs="Arial"/>
      <w:color w:val="FF0000"/>
      <w:sz w:val="21"/>
      <w:szCs w:val="21"/>
    </w:rPr>
  </w:style>
  <w:style w:type="paragraph" w:customStyle="1" w:styleId="310">
    <w:name w:val="报告表正文"/>
    <w:basedOn w:val="1"/>
    <w:autoRedefine/>
    <w:qFormat/>
    <w:uiPriority w:val="0"/>
    <w:pPr>
      <w:adjustRightInd w:val="0"/>
      <w:spacing w:line="312" w:lineRule="auto"/>
      <w:ind w:left="113" w:right="113" w:firstLine="482"/>
      <w:jc w:val="left"/>
      <w:textAlignment w:val="baseline"/>
    </w:pPr>
    <w:rPr>
      <w:sz w:val="24"/>
    </w:rPr>
  </w:style>
  <w:style w:type="paragraph" w:customStyle="1" w:styleId="311">
    <w:name w:val="Char Char Char Char"/>
    <w:basedOn w:val="1"/>
    <w:autoRedefine/>
    <w:qFormat/>
    <w:uiPriority w:val="0"/>
    <w:pPr>
      <w:adjustRightInd w:val="0"/>
      <w:spacing w:line="360" w:lineRule="auto"/>
    </w:pPr>
    <w:rPr>
      <w:sz w:val="24"/>
      <w:szCs w:val="24"/>
    </w:rPr>
  </w:style>
  <w:style w:type="paragraph" w:customStyle="1" w:styleId="312">
    <w:name w:val="Char"/>
    <w:basedOn w:val="1"/>
    <w:autoRedefine/>
    <w:qFormat/>
    <w:uiPriority w:val="0"/>
    <w:pPr>
      <w:widowControl/>
      <w:spacing w:after="160" w:line="240" w:lineRule="exact"/>
      <w:ind w:left="100" w:leftChars="-100" w:hanging="200" w:hangingChars="200"/>
      <w:jc w:val="left"/>
    </w:pPr>
    <w:rPr>
      <w:rFonts w:ascii="Verdana" w:hAnsi="Verdana"/>
      <w:spacing w:val="8"/>
      <w:kern w:val="0"/>
      <w:sz w:val="20"/>
      <w:lang w:eastAsia="en-US"/>
    </w:rPr>
  </w:style>
  <w:style w:type="paragraph" w:customStyle="1" w:styleId="313">
    <w:name w:val="p15"/>
    <w:basedOn w:val="1"/>
    <w:autoRedefine/>
    <w:qFormat/>
    <w:uiPriority w:val="0"/>
    <w:pPr>
      <w:widowControl/>
      <w:ind w:firstLine="420"/>
    </w:pPr>
    <w:rPr>
      <w:rFonts w:ascii="Calibri" w:hAnsi="Calibri" w:cs="宋体"/>
      <w:sz w:val="21"/>
      <w:szCs w:val="21"/>
    </w:rPr>
  </w:style>
  <w:style w:type="paragraph" w:customStyle="1" w:styleId="314">
    <w:name w:val="xl135"/>
    <w:basedOn w:val="1"/>
    <w:autoRedefine/>
    <w:qFormat/>
    <w:uiPriority w:val="0"/>
    <w:pPr>
      <w:widowControl/>
      <w:pBdr>
        <w:left w:val="single" w:color="auto" w:sz="4" w:space="0"/>
        <w:right w:val="single" w:color="auto" w:sz="4" w:space="0"/>
      </w:pBdr>
      <w:spacing w:before="100" w:beforeAutospacing="1" w:after="100" w:afterAutospacing="1"/>
      <w:jc w:val="left"/>
    </w:pPr>
    <w:rPr>
      <w:rFonts w:ascii="Arial" w:hAnsi="Arial" w:cs="Arial"/>
      <w:sz w:val="21"/>
      <w:szCs w:val="21"/>
    </w:rPr>
  </w:style>
  <w:style w:type="paragraph" w:customStyle="1" w:styleId="315">
    <w:name w:val="列出段落2"/>
    <w:basedOn w:val="1"/>
    <w:qFormat/>
    <w:uiPriority w:val="34"/>
    <w:pPr>
      <w:ind w:firstLine="420" w:firstLineChars="200"/>
    </w:pPr>
    <w:rPr>
      <w:rFonts w:ascii="Calibri" w:hAnsi="Calibri"/>
      <w:kern w:val="2"/>
      <w:sz w:val="21"/>
      <w:szCs w:val="21"/>
    </w:rPr>
  </w:style>
  <w:style w:type="paragraph" w:customStyle="1" w:styleId="316">
    <w:name w:val="深泽图名"/>
    <w:basedOn w:val="1"/>
    <w:autoRedefine/>
    <w:qFormat/>
    <w:uiPriority w:val="0"/>
    <w:pPr>
      <w:spacing w:line="440" w:lineRule="exact"/>
      <w:ind w:firstLine="640" w:firstLineChars="200"/>
      <w:jc w:val="center"/>
    </w:pPr>
    <w:rPr>
      <w:b/>
      <w:kern w:val="2"/>
      <w:sz w:val="24"/>
      <w:szCs w:val="21"/>
    </w:rPr>
  </w:style>
  <w:style w:type="paragraph" w:customStyle="1" w:styleId="317">
    <w:name w:val="无间隔11"/>
    <w:autoRedefine/>
    <w:qFormat/>
    <w:uiPriority w:val="1"/>
    <w:pPr>
      <w:widowControl w:val="0"/>
      <w:jc w:val="both"/>
    </w:pPr>
    <w:rPr>
      <w:rFonts w:ascii="Times New Roman" w:hAnsi="Times New Roman" w:eastAsia="宋体" w:cs="Times New Roman"/>
      <w:kern w:val="2"/>
      <w:sz w:val="21"/>
      <w:szCs w:val="22"/>
      <w:lang w:val="en-US" w:eastAsia="zh-CN" w:bidi="ar-SA"/>
    </w:rPr>
  </w:style>
  <w:style w:type="paragraph" w:customStyle="1" w:styleId="318">
    <w:name w:val="Default"/>
    <w:basedOn w:val="319"/>
    <w:next w:val="321"/>
    <w:qFormat/>
    <w:uiPriority w:val="0"/>
    <w:pPr>
      <w:widowControl w:val="0"/>
      <w:autoSpaceDE w:val="0"/>
      <w:autoSpaceDN w:val="0"/>
      <w:adjustRightInd w:val="0"/>
    </w:pPr>
    <w:rPr>
      <w:rFonts w:ascii="黑体" w:hAnsi="Times New Roman" w:eastAsia="黑体" w:cs="黑体"/>
      <w:color w:val="000000"/>
      <w:sz w:val="24"/>
      <w:szCs w:val="24"/>
      <w:lang w:val="en-US" w:eastAsia="zh-CN" w:bidi="ar-SA"/>
    </w:rPr>
  </w:style>
  <w:style w:type="paragraph" w:customStyle="1" w:styleId="319">
    <w:name w:val="纯文本1"/>
    <w:basedOn w:val="320"/>
    <w:qFormat/>
    <w:uiPriority w:val="1650"/>
    <w:rPr>
      <w:rFonts w:ascii="宋体" w:hAnsi="宋体" w:cs="Courier New"/>
    </w:rPr>
  </w:style>
  <w:style w:type="paragraph" w:customStyle="1" w:styleId="320">
    <w:name w:val="正文_0"/>
    <w:next w:val="319"/>
    <w:qFormat/>
    <w:uiPriority w:val="0"/>
    <w:pPr>
      <w:widowControl w:val="0"/>
      <w:jc w:val="both"/>
    </w:pPr>
    <w:rPr>
      <w:rFonts w:ascii="Calibri" w:hAnsi="Calibri" w:eastAsia="仿宋_GB2312" w:cs="Times New Roman"/>
      <w:kern w:val="2"/>
      <w:sz w:val="32"/>
      <w:szCs w:val="24"/>
      <w:lang w:val="en-US" w:eastAsia="zh-CN" w:bidi="ar-SA"/>
    </w:rPr>
  </w:style>
  <w:style w:type="paragraph" w:customStyle="1" w:styleId="321">
    <w:name w:val="样式35"/>
    <w:basedOn w:val="322"/>
    <w:next w:val="286"/>
    <w:qFormat/>
    <w:uiPriority w:val="0"/>
    <w:pPr>
      <w:spacing w:line="312" w:lineRule="auto"/>
      <w:ind w:firstLine="567"/>
    </w:pPr>
    <w:rPr>
      <w:rFonts w:ascii="宋体"/>
      <w:szCs w:val="20"/>
    </w:rPr>
  </w:style>
  <w:style w:type="paragraph" w:customStyle="1" w:styleId="322">
    <w:name w:val="表 内容"/>
    <w:basedOn w:val="1"/>
    <w:qFormat/>
    <w:uiPriority w:val="0"/>
    <w:pPr>
      <w:adjustRightInd w:val="0"/>
      <w:snapToGrid w:val="0"/>
      <w:spacing w:beforeLines="15" w:afterLines="15"/>
      <w:jc w:val="center"/>
    </w:pPr>
    <w:rPr>
      <w:b/>
      <w:sz w:val="24"/>
      <w:szCs w:val="21"/>
    </w:rPr>
  </w:style>
  <w:style w:type="paragraph" w:customStyle="1" w:styleId="323">
    <w:name w:val="表内容@"/>
    <w:basedOn w:val="1"/>
    <w:qFormat/>
    <w:uiPriority w:val="0"/>
    <w:pPr>
      <w:adjustRightInd w:val="0"/>
      <w:spacing w:line="0" w:lineRule="atLeast"/>
      <w:jc w:val="center"/>
    </w:pPr>
    <w:rPr>
      <w:rFonts w:ascii="宋体" w:hAnsi="宋体" w:cs="Arial"/>
      <w:sz w:val="21"/>
      <w:szCs w:val="21"/>
    </w:rPr>
  </w:style>
  <w:style w:type="paragraph" w:customStyle="1" w:styleId="324">
    <w:name w:val=" Char Char Char Char Char Char Char Char Char Char Char Char Char"/>
    <w:basedOn w:val="9"/>
    <w:next w:val="325"/>
    <w:qFormat/>
    <w:uiPriority w:val="0"/>
    <w:pPr>
      <w:tabs>
        <w:tab w:val="left" w:pos="360"/>
        <w:tab w:val="left" w:pos="900"/>
      </w:tabs>
      <w:snapToGrid w:val="0"/>
      <w:spacing w:before="120" w:after="120" w:line="360" w:lineRule="auto"/>
      <w:ind w:left="542" w:leftChars="-12" w:firstLine="200" w:firstLineChars="200"/>
      <w:jc w:val="left"/>
    </w:pPr>
    <w:rPr>
      <w:rFonts w:eastAsia="黑体"/>
      <w:snapToGrid w:val="0"/>
      <w:sz w:val="24"/>
      <w:szCs w:val="24"/>
    </w:rPr>
  </w:style>
  <w:style w:type="paragraph" w:customStyle="1" w:styleId="325">
    <w:name w:val="point101"/>
    <w:basedOn w:val="1"/>
    <w:next w:val="274"/>
    <w:qFormat/>
    <w:uiPriority w:val="0"/>
    <w:pPr>
      <w:widowControl/>
      <w:spacing w:before="100" w:beforeAutospacing="1" w:after="100" w:afterAutospacing="1" w:line="390" w:lineRule="atLeast"/>
      <w:jc w:val="left"/>
    </w:pPr>
    <w:rPr>
      <w:rFonts w:hAnsi="宋体" w:cs="宋体"/>
      <w:spacing w:val="0"/>
      <w:kern w:val="0"/>
      <w:sz w:val="18"/>
      <w:szCs w:val="18"/>
    </w:rPr>
  </w:style>
  <w:style w:type="paragraph" w:customStyle="1" w:styleId="326">
    <w:name w:val="Table Paragraph"/>
    <w:basedOn w:val="1"/>
    <w:autoRedefine/>
    <w:qFormat/>
    <w:uiPriority w:val="0"/>
    <w:pPr>
      <w:autoSpaceDE w:val="0"/>
      <w:autoSpaceDN w:val="0"/>
      <w:adjustRightInd w:val="0"/>
      <w:jc w:val="left"/>
    </w:pPr>
    <w:rPr>
      <w:sz w:val="24"/>
      <w:szCs w:val="24"/>
    </w:rPr>
  </w:style>
  <w:style w:type="paragraph" w:customStyle="1" w:styleId="327">
    <w:name w:val="正文王"/>
    <w:basedOn w:val="38"/>
    <w:autoRedefine/>
    <w:qFormat/>
    <w:uiPriority w:val="0"/>
    <w:pPr>
      <w:spacing w:line="440" w:lineRule="exact"/>
    </w:pPr>
    <w:rPr>
      <w:rFonts w:ascii="Arial" w:hAnsi="Arial"/>
      <w:snapToGrid w:val="0"/>
      <w:sz w:val="24"/>
      <w:szCs w:val="24"/>
      <w:lang w:val="zh-CN"/>
    </w:rPr>
  </w:style>
  <w:style w:type="paragraph" w:customStyle="1" w:styleId="328">
    <w:name w:val="Char1"/>
    <w:basedOn w:val="1"/>
    <w:autoRedefine/>
    <w:qFormat/>
    <w:uiPriority w:val="0"/>
    <w:rPr>
      <w:kern w:val="2"/>
      <w:sz w:val="21"/>
      <w:szCs w:val="24"/>
    </w:rPr>
  </w:style>
  <w:style w:type="paragraph" w:customStyle="1" w:styleId="329">
    <w:name w:val="font11"/>
    <w:basedOn w:val="1"/>
    <w:autoRedefine/>
    <w:qFormat/>
    <w:uiPriority w:val="0"/>
    <w:pPr>
      <w:widowControl/>
      <w:spacing w:before="100" w:beforeAutospacing="1" w:after="100" w:afterAutospacing="1"/>
      <w:jc w:val="left"/>
    </w:pPr>
    <w:rPr>
      <w:rFonts w:ascii="Arial" w:hAnsi="Arial" w:cs="Arial"/>
      <w:color w:val="FF0000"/>
      <w:sz w:val="21"/>
      <w:szCs w:val="21"/>
    </w:rPr>
  </w:style>
  <w:style w:type="paragraph" w:customStyle="1" w:styleId="330">
    <w:name w:val="Char Char Char Char Char Char Char Char Char Char Char Char Char1"/>
    <w:basedOn w:val="9"/>
    <w:autoRedefine/>
    <w:qFormat/>
    <w:uiPriority w:val="0"/>
    <w:pPr>
      <w:widowControl/>
      <w:numPr>
        <w:ilvl w:val="0"/>
        <w:numId w:val="0"/>
      </w:numPr>
      <w:tabs>
        <w:tab w:val="left" w:pos="360"/>
        <w:tab w:val="left" w:pos="900"/>
        <w:tab w:val="clear" w:pos="720"/>
      </w:tabs>
      <w:adjustRightInd/>
      <w:snapToGrid w:val="0"/>
      <w:spacing w:before="120" w:after="120" w:line="360" w:lineRule="auto"/>
      <w:ind w:left="542" w:leftChars="-12" w:firstLine="200" w:firstLineChars="200"/>
      <w:jc w:val="left"/>
      <w:textAlignment w:val="auto"/>
    </w:pPr>
    <w:rPr>
      <w:snapToGrid w:val="0"/>
      <w:sz w:val="24"/>
      <w:szCs w:val="24"/>
    </w:rPr>
  </w:style>
  <w:style w:type="paragraph" w:customStyle="1" w:styleId="331">
    <w:name w:val="Char2 Char Char Char"/>
    <w:basedOn w:val="1"/>
    <w:autoRedefine/>
    <w:qFormat/>
    <w:uiPriority w:val="0"/>
    <w:pPr>
      <w:autoSpaceDE w:val="0"/>
      <w:autoSpaceDN w:val="0"/>
      <w:adjustRightInd w:val="0"/>
      <w:snapToGrid w:val="0"/>
      <w:spacing w:before="50" w:after="50" w:line="360" w:lineRule="auto"/>
      <w:ind w:firstLine="560" w:firstLineChars="200"/>
    </w:pPr>
    <w:rPr>
      <w:rFonts w:ascii="宋体" w:hAnsi="宋体" w:eastAsia="仿宋_GB2312"/>
      <w:color w:val="000000"/>
      <w:kern w:val="2"/>
      <w:sz w:val="24"/>
      <w:szCs w:val="24"/>
    </w:rPr>
  </w:style>
  <w:style w:type="paragraph" w:customStyle="1" w:styleId="332">
    <w:name w:val="xl109"/>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w:hAnsi="Arial" w:cs="Arial"/>
      <w:sz w:val="21"/>
      <w:szCs w:val="21"/>
    </w:rPr>
  </w:style>
  <w:style w:type="paragraph" w:customStyle="1" w:styleId="333">
    <w:name w:val="font23"/>
    <w:basedOn w:val="1"/>
    <w:autoRedefine/>
    <w:qFormat/>
    <w:uiPriority w:val="0"/>
    <w:pPr>
      <w:widowControl/>
      <w:spacing w:before="100" w:beforeAutospacing="1" w:after="100" w:afterAutospacing="1"/>
      <w:jc w:val="left"/>
    </w:pPr>
    <w:rPr>
      <w:rFonts w:ascii="宋体" w:hAnsi="宋体" w:cs="宋体"/>
      <w:color w:val="FF0000"/>
      <w:sz w:val="21"/>
      <w:szCs w:val="21"/>
    </w:rPr>
  </w:style>
  <w:style w:type="paragraph" w:customStyle="1" w:styleId="334">
    <w:name w:val="列出段落1"/>
    <w:basedOn w:val="1"/>
    <w:autoRedefine/>
    <w:qFormat/>
    <w:uiPriority w:val="34"/>
    <w:pPr>
      <w:ind w:firstLine="420" w:firstLineChars="200"/>
    </w:pPr>
    <w:rPr>
      <w:rFonts w:ascii="Calibri" w:hAnsi="Calibri"/>
      <w:kern w:val="2"/>
      <w:sz w:val="21"/>
      <w:szCs w:val="22"/>
    </w:rPr>
  </w:style>
  <w:style w:type="paragraph" w:styleId="335">
    <w:name w:val="List Paragraph"/>
    <w:basedOn w:val="1"/>
    <w:autoRedefine/>
    <w:qFormat/>
    <w:uiPriority w:val="34"/>
    <w:pPr>
      <w:ind w:firstLine="420" w:firstLineChars="200"/>
    </w:pPr>
  </w:style>
  <w:style w:type="paragraph" w:customStyle="1" w:styleId="336">
    <w:name w:val="报告书正文"/>
    <w:basedOn w:val="1"/>
    <w:autoRedefine/>
    <w:qFormat/>
    <w:uiPriority w:val="0"/>
    <w:pPr>
      <w:spacing w:line="400" w:lineRule="exact"/>
      <w:ind w:firstLine="200" w:firstLineChars="200"/>
    </w:pPr>
    <w:rPr>
      <w:kern w:val="2"/>
      <w:sz w:val="24"/>
      <w:szCs w:val="24"/>
    </w:rPr>
  </w:style>
  <w:style w:type="paragraph" w:customStyle="1" w:styleId="337">
    <w:name w:val="正文正版"/>
    <w:basedOn w:val="33"/>
    <w:autoRedefine/>
    <w:qFormat/>
    <w:uiPriority w:val="0"/>
    <w:pPr>
      <w:spacing w:line="460" w:lineRule="exact"/>
      <w:ind w:firstLine="480" w:firstLineChars="200"/>
    </w:pPr>
    <w:rPr>
      <w:b/>
      <w:bCs/>
      <w:sz w:val="24"/>
      <w:szCs w:val="24"/>
    </w:rPr>
  </w:style>
  <w:style w:type="paragraph" w:customStyle="1" w:styleId="338">
    <w:name w:val=" Char Char Char Char Char Char1 Char Char Char Char"/>
    <w:basedOn w:val="1"/>
    <w:autoRedefine/>
    <w:qFormat/>
    <w:uiPriority w:val="0"/>
    <w:pPr>
      <w:widowControl/>
      <w:spacing w:after="160" w:line="240" w:lineRule="exact"/>
      <w:jc w:val="left"/>
    </w:pPr>
    <w:rPr>
      <w:rFonts w:ascii="Verdana" w:hAnsi="Verdana"/>
      <w:kern w:val="0"/>
      <w:sz w:val="20"/>
      <w:lang w:eastAsia="en-US"/>
    </w:rPr>
  </w:style>
  <w:style w:type="paragraph" w:customStyle="1" w:styleId="339">
    <w:name w:val="xl13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z w:val="21"/>
      <w:szCs w:val="21"/>
    </w:rPr>
  </w:style>
  <w:style w:type="paragraph" w:customStyle="1" w:styleId="340">
    <w:name w:val="_Style 19"/>
    <w:basedOn w:val="1"/>
    <w:next w:val="12"/>
    <w:autoRedefine/>
    <w:qFormat/>
    <w:uiPriority w:val="0"/>
    <w:pPr>
      <w:adjustRightInd w:val="0"/>
      <w:spacing w:line="480" w:lineRule="atLeast"/>
      <w:ind w:firstLine="595"/>
      <w:textAlignment w:val="baseline"/>
    </w:pPr>
    <w:rPr>
      <w:kern w:val="0"/>
      <w:sz w:val="28"/>
    </w:rPr>
  </w:style>
  <w:style w:type="paragraph" w:customStyle="1" w:styleId="341">
    <w:name w:val="xl106"/>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C0C0C0"/>
      <w:spacing w:before="100" w:beforeAutospacing="1" w:after="100" w:afterAutospacing="1"/>
      <w:jc w:val="center"/>
    </w:pPr>
    <w:rPr>
      <w:rFonts w:ascii="Arial" w:hAnsi="Arial" w:cs="Arial"/>
      <w:b/>
      <w:bCs/>
      <w:sz w:val="21"/>
      <w:szCs w:val="21"/>
    </w:rPr>
  </w:style>
  <w:style w:type="paragraph" w:customStyle="1" w:styleId="342">
    <w:name w:val="font15"/>
    <w:basedOn w:val="1"/>
    <w:autoRedefine/>
    <w:qFormat/>
    <w:uiPriority w:val="0"/>
    <w:pPr>
      <w:widowControl/>
      <w:spacing w:before="100" w:beforeAutospacing="1" w:after="100" w:afterAutospacing="1"/>
      <w:jc w:val="left"/>
    </w:pPr>
    <w:rPr>
      <w:rFonts w:ascii="Arial" w:hAnsi="Arial" w:cs="Arial"/>
      <w:color w:val="FF0000"/>
      <w:sz w:val="21"/>
      <w:szCs w:val="21"/>
    </w:rPr>
  </w:style>
  <w:style w:type="paragraph" w:customStyle="1" w:styleId="343">
    <w:name w:val="样式333333"/>
    <w:basedOn w:val="1"/>
    <w:autoRedefine/>
    <w:qFormat/>
    <w:uiPriority w:val="0"/>
    <w:pPr>
      <w:snapToGrid w:val="0"/>
      <w:spacing w:line="484" w:lineRule="atLeast"/>
      <w:outlineLvl w:val="2"/>
    </w:pPr>
    <w:rPr>
      <w:b/>
      <w:bCs/>
      <w:kern w:val="2"/>
      <w:sz w:val="28"/>
      <w:szCs w:val="28"/>
    </w:rPr>
  </w:style>
  <w:style w:type="paragraph" w:customStyle="1" w:styleId="344">
    <w:name w:val="font12"/>
    <w:basedOn w:val="1"/>
    <w:autoRedefine/>
    <w:qFormat/>
    <w:uiPriority w:val="0"/>
    <w:pPr>
      <w:widowControl/>
      <w:spacing w:before="100" w:beforeAutospacing="1" w:after="100" w:afterAutospacing="1"/>
      <w:jc w:val="left"/>
    </w:pPr>
    <w:rPr>
      <w:rFonts w:ascii="宋体" w:hAnsi="宋体" w:cs="宋体"/>
      <w:sz w:val="21"/>
      <w:szCs w:val="21"/>
    </w:rPr>
  </w:style>
  <w:style w:type="paragraph" w:customStyle="1" w:styleId="345">
    <w:name w:val="我的样式（正文）"/>
    <w:basedOn w:val="1"/>
    <w:autoRedefine/>
    <w:qFormat/>
    <w:uiPriority w:val="0"/>
    <w:pPr>
      <w:spacing w:line="440" w:lineRule="exact"/>
    </w:pPr>
    <w:rPr>
      <w:rFonts w:ascii="宋体"/>
      <w:kern w:val="2"/>
      <w:sz w:val="28"/>
      <w:szCs w:val="22"/>
    </w:rPr>
  </w:style>
  <w:style w:type="paragraph" w:customStyle="1" w:styleId="346">
    <w:name w:val="标准正文"/>
    <w:autoRedefine/>
    <w:qFormat/>
    <w:uiPriority w:val="0"/>
    <w:pPr>
      <w:spacing w:line="400" w:lineRule="exact"/>
    </w:pPr>
    <w:rPr>
      <w:rFonts w:ascii="Times New Roman" w:hAnsi="Times New Roman" w:eastAsia="宋体" w:cs="Times New Roman"/>
      <w:color w:val="000000"/>
      <w:sz w:val="21"/>
      <w:szCs w:val="22"/>
      <w:lang w:val="en-US" w:eastAsia="zh-CN" w:bidi="ar-SA"/>
    </w:rPr>
  </w:style>
  <w:style w:type="paragraph" w:customStyle="1" w:styleId="347">
    <w:name w:val="0"/>
    <w:basedOn w:val="1"/>
    <w:autoRedefine/>
    <w:qFormat/>
    <w:uiPriority w:val="0"/>
    <w:pPr>
      <w:widowControl/>
      <w:snapToGrid w:val="0"/>
    </w:pPr>
    <w:rPr>
      <w:sz w:val="24"/>
    </w:rPr>
  </w:style>
  <w:style w:type="paragraph" w:customStyle="1" w:styleId="348">
    <w:name w:val="表格-五号字体"/>
    <w:basedOn w:val="1"/>
    <w:autoRedefine/>
    <w:qFormat/>
    <w:uiPriority w:val="0"/>
    <w:pPr>
      <w:autoSpaceDE w:val="0"/>
      <w:autoSpaceDN w:val="0"/>
      <w:adjustRightInd w:val="0"/>
      <w:snapToGrid w:val="0"/>
      <w:jc w:val="center"/>
    </w:pPr>
    <w:rPr>
      <w:rFonts w:ascii="Times New Roman" w:hAnsi="Times New Roman" w:eastAsia="宋体" w:cs="Times New Roman"/>
      <w:szCs w:val="24"/>
      <w:lang w:val="zh-CN"/>
    </w:rPr>
  </w:style>
  <w:style w:type="paragraph" w:customStyle="1" w:styleId="349">
    <w:name w:val="xl112"/>
    <w:basedOn w:val="1"/>
    <w:autoRedefine/>
    <w:qFormat/>
    <w:uiPriority w:val="0"/>
    <w:pPr>
      <w:widowControl/>
      <w:pBdr>
        <w:left w:val="single" w:color="auto" w:sz="4" w:space="0"/>
        <w:right w:val="single" w:color="auto" w:sz="4" w:space="0"/>
      </w:pBdr>
      <w:spacing w:before="100" w:beforeAutospacing="1" w:after="100" w:afterAutospacing="1"/>
      <w:jc w:val="center"/>
    </w:pPr>
    <w:rPr>
      <w:rFonts w:ascii="Arial" w:hAnsi="Arial" w:cs="Arial"/>
      <w:sz w:val="21"/>
      <w:szCs w:val="21"/>
    </w:rPr>
  </w:style>
  <w:style w:type="paragraph" w:customStyle="1" w:styleId="350">
    <w:name w:val="表格2"/>
    <w:basedOn w:val="1"/>
    <w:autoRedefine/>
    <w:qFormat/>
    <w:uiPriority w:val="0"/>
    <w:pPr>
      <w:adjustRightInd w:val="0"/>
      <w:spacing w:line="320" w:lineRule="atLeast"/>
      <w:jc w:val="center"/>
    </w:pPr>
    <w:rPr>
      <w:sz w:val="24"/>
    </w:rPr>
  </w:style>
  <w:style w:type="paragraph" w:customStyle="1" w:styleId="351">
    <w:name w:val="可研文字小四"/>
    <w:basedOn w:val="1"/>
    <w:autoRedefine/>
    <w:qFormat/>
    <w:uiPriority w:val="0"/>
    <w:pPr>
      <w:spacing w:line="360" w:lineRule="auto"/>
      <w:ind w:firstLine="200" w:firstLineChars="200"/>
    </w:pPr>
    <w:rPr>
      <w:rFonts w:ascii="宋体" w:hAnsi="宋体"/>
      <w:snapToGrid w:val="0"/>
      <w:kern w:val="32"/>
      <w:sz w:val="24"/>
      <w:szCs w:val="32"/>
    </w:rPr>
  </w:style>
  <w:style w:type="paragraph" w:customStyle="1" w:styleId="352">
    <w:name w:val="xl104"/>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CCFFFF"/>
      <w:spacing w:before="100" w:beforeAutospacing="1" w:after="100" w:afterAutospacing="1"/>
      <w:jc w:val="center"/>
    </w:pPr>
    <w:rPr>
      <w:rFonts w:ascii="Arial" w:hAnsi="Arial" w:cs="Arial"/>
      <w:b/>
      <w:bCs/>
      <w:sz w:val="21"/>
      <w:szCs w:val="21"/>
    </w:rPr>
  </w:style>
  <w:style w:type="paragraph" w:customStyle="1" w:styleId="353">
    <w:name w:val="xl123"/>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center"/>
    </w:pPr>
    <w:rPr>
      <w:rFonts w:ascii="Arial" w:hAnsi="Arial" w:cs="Arial"/>
      <w:sz w:val="21"/>
      <w:szCs w:val="21"/>
    </w:rPr>
  </w:style>
  <w:style w:type="paragraph" w:customStyle="1" w:styleId="354">
    <w:name w:val="xl138"/>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w:hAnsi="Arial" w:cs="Arial"/>
      <w:color w:val="FF0000"/>
      <w:sz w:val="21"/>
      <w:szCs w:val="21"/>
    </w:rPr>
  </w:style>
  <w:style w:type="paragraph" w:customStyle="1" w:styleId="355">
    <w:name w:val="1.1.1"/>
    <w:basedOn w:val="1"/>
    <w:autoRedefine/>
    <w:qFormat/>
    <w:uiPriority w:val="0"/>
    <w:pPr>
      <w:ind w:firstLine="200"/>
    </w:pPr>
    <w:rPr>
      <w:rFonts w:ascii="Times New Roman" w:hAnsi="Times New Roman" w:eastAsia="宋体"/>
    </w:rPr>
  </w:style>
  <w:style w:type="paragraph" w:customStyle="1" w:styleId="356">
    <w:name w:val="reader-word-layer"/>
    <w:basedOn w:val="1"/>
    <w:autoRedefine/>
    <w:qFormat/>
    <w:uiPriority w:val="0"/>
    <w:pPr>
      <w:widowControl/>
      <w:spacing w:before="100" w:beforeAutospacing="1" w:after="100" w:afterAutospacing="1"/>
      <w:jc w:val="left"/>
    </w:pPr>
    <w:rPr>
      <w:rFonts w:ascii="宋体" w:hAnsi="宋体" w:cs="宋体"/>
      <w:sz w:val="24"/>
      <w:szCs w:val="24"/>
    </w:rPr>
  </w:style>
  <w:style w:type="paragraph" w:customStyle="1" w:styleId="357">
    <w:name w:val="xl139"/>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Arial" w:hAnsi="Arial" w:cs="Arial"/>
      <w:color w:val="FF0000"/>
      <w:sz w:val="21"/>
      <w:szCs w:val="21"/>
    </w:rPr>
  </w:style>
  <w:style w:type="paragraph" w:customStyle="1" w:styleId="358">
    <w:name w:val="font14"/>
    <w:basedOn w:val="1"/>
    <w:autoRedefine/>
    <w:qFormat/>
    <w:uiPriority w:val="0"/>
    <w:pPr>
      <w:widowControl/>
      <w:spacing w:before="100" w:beforeAutospacing="1" w:after="100" w:afterAutospacing="1"/>
      <w:jc w:val="left"/>
    </w:pPr>
    <w:rPr>
      <w:rFonts w:ascii="宋体" w:hAnsi="宋体" w:cs="宋体"/>
      <w:color w:val="FF0000"/>
      <w:sz w:val="21"/>
      <w:szCs w:val="21"/>
    </w:rPr>
  </w:style>
  <w:style w:type="paragraph" w:customStyle="1" w:styleId="359">
    <w:name w:val="三级标题"/>
    <w:basedOn w:val="1"/>
    <w:next w:val="1"/>
    <w:autoRedefine/>
    <w:qFormat/>
    <w:uiPriority w:val="0"/>
    <w:pPr>
      <w:spacing w:line="360" w:lineRule="auto"/>
    </w:pPr>
    <w:rPr>
      <w:kern w:val="2"/>
      <w:sz w:val="24"/>
      <w:szCs w:val="24"/>
    </w:rPr>
  </w:style>
  <w:style w:type="paragraph" w:customStyle="1" w:styleId="360">
    <w:name w:val="xl121"/>
    <w:basedOn w:val="1"/>
    <w:autoRedefine/>
    <w:qFormat/>
    <w:uiPriority w:val="0"/>
    <w:pPr>
      <w:widowControl/>
      <w:pBdr>
        <w:top w:val="single" w:color="auto" w:sz="4" w:space="0"/>
        <w:left w:val="single" w:color="auto" w:sz="4" w:space="0"/>
        <w:right w:val="single" w:color="auto" w:sz="4" w:space="0"/>
      </w:pBdr>
      <w:shd w:val="clear" w:color="000000" w:fill="C5D9F1"/>
      <w:spacing w:before="100" w:beforeAutospacing="1" w:after="100" w:afterAutospacing="1"/>
      <w:jc w:val="left"/>
    </w:pPr>
    <w:rPr>
      <w:rFonts w:ascii="Arial" w:hAnsi="Arial" w:cs="Arial"/>
      <w:sz w:val="21"/>
      <w:szCs w:val="21"/>
    </w:rPr>
  </w:style>
  <w:style w:type="paragraph" w:customStyle="1" w:styleId="361">
    <w:name w:val="标题4 1.1.1.1"/>
    <w:basedOn w:val="1"/>
    <w:next w:val="1"/>
    <w:autoRedefine/>
    <w:qFormat/>
    <w:uiPriority w:val="0"/>
    <w:pPr>
      <w:widowControl/>
      <w:spacing w:line="480" w:lineRule="exact"/>
      <w:jc w:val="left"/>
      <w:outlineLvl w:val="3"/>
    </w:pPr>
    <w:rPr>
      <w:b/>
      <w:bCs/>
      <w:kern w:val="2"/>
      <w:sz w:val="24"/>
      <w:szCs w:val="24"/>
    </w:rPr>
  </w:style>
  <w:style w:type="paragraph" w:customStyle="1" w:styleId="362">
    <w:name w:val="xl105"/>
    <w:basedOn w:val="1"/>
    <w:autoRedefine/>
    <w:qFormat/>
    <w:uiPriority w:val="0"/>
    <w:pPr>
      <w:widowControl/>
      <w:spacing w:before="100" w:beforeAutospacing="1" w:after="100" w:afterAutospacing="1"/>
    </w:pPr>
    <w:rPr>
      <w:rFonts w:ascii="Arial" w:hAnsi="Arial" w:cs="Arial"/>
      <w:sz w:val="21"/>
      <w:szCs w:val="21"/>
    </w:rPr>
  </w:style>
  <w:style w:type="paragraph" w:customStyle="1" w:styleId="363">
    <w:name w:val="xl140"/>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w:hAnsi="Arial" w:cs="Arial"/>
      <w:color w:val="FF0000"/>
      <w:sz w:val="21"/>
      <w:szCs w:val="21"/>
    </w:rPr>
  </w:style>
  <w:style w:type="paragraph" w:customStyle="1" w:styleId="364">
    <w:name w:val="p0"/>
    <w:basedOn w:val="1"/>
    <w:autoRedefine/>
    <w:qFormat/>
    <w:uiPriority w:val="0"/>
    <w:pPr>
      <w:widowControl/>
    </w:pPr>
    <w:rPr>
      <w:rFonts w:ascii="Calibri" w:hAnsi="Calibri" w:cs="宋体"/>
      <w:sz w:val="21"/>
      <w:szCs w:val="21"/>
    </w:rPr>
  </w:style>
  <w:style w:type="paragraph" w:customStyle="1" w:styleId="365">
    <w:name w:val="Char Char Char Char1"/>
    <w:basedOn w:val="1"/>
    <w:autoRedefine/>
    <w:qFormat/>
    <w:uiPriority w:val="0"/>
    <w:pPr>
      <w:snapToGrid w:val="0"/>
      <w:spacing w:line="440" w:lineRule="atLeast"/>
    </w:pPr>
    <w:rPr>
      <w:rFonts w:ascii="宋体"/>
      <w:kern w:val="2"/>
      <w:sz w:val="24"/>
      <w:szCs w:val="24"/>
    </w:rPr>
  </w:style>
  <w:style w:type="paragraph" w:customStyle="1" w:styleId="366">
    <w:name w:val="font10"/>
    <w:basedOn w:val="1"/>
    <w:autoRedefine/>
    <w:qFormat/>
    <w:uiPriority w:val="0"/>
    <w:pPr>
      <w:widowControl/>
      <w:spacing w:before="100" w:beforeAutospacing="1" w:after="100" w:afterAutospacing="1"/>
      <w:jc w:val="left"/>
    </w:pPr>
    <w:rPr>
      <w:rFonts w:ascii="Arial" w:hAnsi="Arial" w:cs="Arial"/>
      <w:sz w:val="21"/>
      <w:szCs w:val="21"/>
    </w:rPr>
  </w:style>
  <w:style w:type="paragraph" w:customStyle="1" w:styleId="367">
    <w:name w:val="font8"/>
    <w:basedOn w:val="1"/>
    <w:autoRedefine/>
    <w:qFormat/>
    <w:uiPriority w:val="0"/>
    <w:pPr>
      <w:widowControl/>
      <w:spacing w:before="100" w:beforeAutospacing="1" w:after="100" w:afterAutospacing="1"/>
      <w:jc w:val="left"/>
    </w:pPr>
    <w:rPr>
      <w:rFonts w:ascii="Arial" w:hAnsi="Arial" w:cs="Arial"/>
      <w:b/>
      <w:bCs/>
      <w:sz w:val="21"/>
      <w:szCs w:val="21"/>
    </w:rPr>
  </w:style>
  <w:style w:type="paragraph" w:customStyle="1" w:styleId="368">
    <w:name w:val="xl10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w:hAnsi="Arial" w:cs="Arial"/>
      <w:sz w:val="21"/>
      <w:szCs w:val="21"/>
    </w:rPr>
  </w:style>
  <w:style w:type="paragraph" w:customStyle="1" w:styleId="369">
    <w:name w:val="无间隔3"/>
    <w:autoRedefine/>
    <w:qFormat/>
    <w:uiPriority w:val="99"/>
    <w:pPr>
      <w:widowControl w:val="0"/>
      <w:jc w:val="both"/>
    </w:pPr>
    <w:rPr>
      <w:rFonts w:ascii="Times New Roman" w:hAnsi="Times New Roman" w:eastAsia="宋体" w:cs="Times New Roman"/>
      <w:kern w:val="2"/>
      <w:sz w:val="21"/>
      <w:szCs w:val="22"/>
      <w:lang w:val="en-US" w:eastAsia="zh-CN" w:bidi="ar-SA"/>
    </w:rPr>
  </w:style>
  <w:style w:type="paragraph" w:customStyle="1" w:styleId="370">
    <w:name w:val="xl118"/>
    <w:basedOn w:val="1"/>
    <w:autoRedefine/>
    <w:qFormat/>
    <w:uiPriority w:val="0"/>
    <w:pPr>
      <w:widowControl/>
      <w:pBdr>
        <w:left w:val="single" w:color="auto" w:sz="4" w:space="0"/>
        <w:right w:val="single" w:color="auto" w:sz="4" w:space="0"/>
      </w:pBdr>
      <w:spacing w:before="100" w:beforeAutospacing="1" w:after="100" w:afterAutospacing="1"/>
      <w:jc w:val="left"/>
    </w:pPr>
    <w:rPr>
      <w:rFonts w:ascii="Arial" w:hAnsi="Arial" w:cs="Arial"/>
      <w:color w:val="FF0000"/>
      <w:sz w:val="21"/>
      <w:szCs w:val="21"/>
    </w:rPr>
  </w:style>
  <w:style w:type="paragraph" w:customStyle="1" w:styleId="371">
    <w:name w:val="xl12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w:hAnsi="Arial" w:cs="Arial"/>
      <w:color w:val="FF0000"/>
      <w:sz w:val="21"/>
      <w:szCs w:val="21"/>
    </w:rPr>
  </w:style>
  <w:style w:type="paragraph" w:customStyle="1" w:styleId="372">
    <w:name w:val="无间隔12"/>
    <w:autoRedefine/>
    <w:qFormat/>
    <w:uiPriority w:val="1"/>
    <w:pPr>
      <w:widowControl w:val="0"/>
      <w:jc w:val="both"/>
    </w:pPr>
    <w:rPr>
      <w:rFonts w:ascii="Times New Roman" w:hAnsi="Times New Roman" w:eastAsia="宋体" w:cs="Times New Roman"/>
      <w:kern w:val="2"/>
      <w:sz w:val="21"/>
      <w:szCs w:val="22"/>
      <w:lang w:val="en-US" w:eastAsia="zh-CN" w:bidi="ar-SA"/>
    </w:rPr>
  </w:style>
  <w:style w:type="paragraph" w:customStyle="1" w:styleId="373">
    <w:name w:val="深泽表头"/>
    <w:basedOn w:val="4"/>
    <w:autoRedefine/>
    <w:qFormat/>
    <w:uiPriority w:val="0"/>
    <w:pPr>
      <w:tabs>
        <w:tab w:val="clear" w:pos="0"/>
      </w:tabs>
      <w:spacing w:before="120" w:after="100" w:afterAutospacing="1"/>
      <w:ind w:firstLine="0"/>
      <w:jc w:val="center"/>
    </w:pPr>
    <w:rPr>
      <w:b/>
      <w:bCs/>
      <w:spacing w:val="4"/>
      <w:kern w:val="2"/>
      <w:sz w:val="21"/>
      <w:szCs w:val="21"/>
    </w:rPr>
  </w:style>
  <w:style w:type="paragraph" w:customStyle="1" w:styleId="374">
    <w:name w:val="正文曹"/>
    <w:basedOn w:val="4"/>
    <w:autoRedefine/>
    <w:qFormat/>
    <w:uiPriority w:val="0"/>
    <w:pPr>
      <w:tabs>
        <w:tab w:val="clear" w:pos="0"/>
      </w:tabs>
      <w:spacing w:line="40" w:lineRule="exact"/>
      <w:ind w:firstLine="0"/>
      <w:jc w:val="both"/>
    </w:pPr>
    <w:rPr>
      <w:rFonts w:hAnsi="宋体"/>
      <w:sz w:val="24"/>
      <w:szCs w:val="24"/>
    </w:rPr>
  </w:style>
  <w:style w:type="paragraph" w:customStyle="1" w:styleId="375">
    <w:name w:val="xl124"/>
    <w:basedOn w:val="1"/>
    <w:autoRedefine/>
    <w:qFormat/>
    <w:uiPriority w:val="0"/>
    <w:pPr>
      <w:widowControl/>
      <w:pBdr>
        <w:left w:val="single" w:color="auto" w:sz="4" w:space="0"/>
        <w:bottom w:val="single" w:color="auto" w:sz="4" w:space="0"/>
        <w:right w:val="single" w:color="auto" w:sz="4" w:space="0"/>
      </w:pBdr>
      <w:shd w:val="clear" w:color="000000" w:fill="C5D9F1"/>
      <w:spacing w:before="100" w:beforeAutospacing="1" w:after="100" w:afterAutospacing="1"/>
      <w:jc w:val="center"/>
    </w:pPr>
    <w:rPr>
      <w:rFonts w:ascii="Arial" w:hAnsi="Arial" w:cs="Arial"/>
      <w:sz w:val="21"/>
      <w:szCs w:val="21"/>
    </w:rPr>
  </w:style>
  <w:style w:type="paragraph" w:customStyle="1" w:styleId="376">
    <w:name w:val="xl122"/>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C5D9F1"/>
      <w:spacing w:before="100" w:beforeAutospacing="1" w:after="100" w:afterAutospacing="1"/>
      <w:jc w:val="left"/>
    </w:pPr>
    <w:rPr>
      <w:rFonts w:ascii="Arial" w:hAnsi="Arial" w:cs="Arial"/>
      <w:sz w:val="21"/>
      <w:szCs w:val="21"/>
    </w:rPr>
  </w:style>
  <w:style w:type="paragraph" w:customStyle="1" w:styleId="377">
    <w:name w:val="text"/>
    <w:basedOn w:val="1"/>
    <w:autoRedefine/>
    <w:qFormat/>
    <w:uiPriority w:val="0"/>
    <w:pPr>
      <w:widowControl/>
      <w:spacing w:before="100" w:beforeAutospacing="1" w:after="100" w:afterAutospacing="1"/>
      <w:jc w:val="left"/>
    </w:pPr>
    <w:rPr>
      <w:rFonts w:ascii="宋体" w:hAnsi="宋体"/>
      <w:kern w:val="0"/>
      <w:sz w:val="24"/>
      <w:szCs w:val="24"/>
    </w:rPr>
  </w:style>
  <w:style w:type="paragraph" w:customStyle="1" w:styleId="378">
    <w:name w:val="样式6"/>
    <w:basedOn w:val="1"/>
    <w:next w:val="75"/>
    <w:autoRedefine/>
    <w:qFormat/>
    <w:uiPriority w:val="0"/>
    <w:pPr>
      <w:pBdr>
        <w:bottom w:val="thinThickSmallGap" w:color="auto" w:sz="12" w:space="0"/>
      </w:pBdr>
      <w:tabs>
        <w:tab w:val="center" w:pos="4153"/>
        <w:tab w:val="right" w:pos="8306"/>
      </w:tabs>
      <w:snapToGrid w:val="0"/>
      <w:jc w:val="left"/>
    </w:pPr>
    <w:rPr>
      <w:kern w:val="2"/>
      <w:sz w:val="18"/>
      <w:szCs w:val="18"/>
    </w:rPr>
  </w:style>
  <w:style w:type="paragraph" w:customStyle="1" w:styleId="379">
    <w:name w:val="正文正1"/>
    <w:basedOn w:val="1"/>
    <w:autoRedefine/>
    <w:qFormat/>
    <w:uiPriority w:val="0"/>
    <w:pPr>
      <w:tabs>
        <w:tab w:val="left" w:pos="0"/>
      </w:tabs>
      <w:spacing w:line="320" w:lineRule="exact"/>
      <w:ind w:right="-105" w:rightChars="-50"/>
    </w:pPr>
    <w:rPr>
      <w:spacing w:val="-8"/>
      <w:kern w:val="0"/>
      <w:szCs w:val="21"/>
    </w:rPr>
  </w:style>
  <w:style w:type="paragraph" w:customStyle="1" w:styleId="380">
    <w:name w:val="xl130"/>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color w:val="FF0000"/>
      <w:sz w:val="21"/>
      <w:szCs w:val="21"/>
    </w:rPr>
  </w:style>
  <w:style w:type="paragraph" w:customStyle="1" w:styleId="381">
    <w:name w:val="TOC 标题1"/>
    <w:basedOn w:val="6"/>
    <w:next w:val="1"/>
    <w:autoRedefine/>
    <w:qFormat/>
    <w:uiPriority w:val="39"/>
    <w:pPr>
      <w:widowControl/>
      <w:numPr>
        <w:ilvl w:val="0"/>
        <w:numId w:val="6"/>
      </w:numPr>
      <w:adjustRightInd/>
      <w:spacing w:before="480" w:line="276" w:lineRule="auto"/>
      <w:jc w:val="left"/>
      <w:textAlignment w:val="auto"/>
      <w:outlineLvl w:val="9"/>
    </w:pPr>
    <w:rPr>
      <w:rFonts w:ascii="Cambria" w:hAnsi="Cambria" w:eastAsia="宋体"/>
      <w:b/>
      <w:color w:val="365F91"/>
      <w:kern w:val="0"/>
      <w:szCs w:val="28"/>
    </w:rPr>
  </w:style>
  <w:style w:type="paragraph" w:customStyle="1" w:styleId="382">
    <w:name w:val="xl11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w:hAnsi="Arial" w:cs="Arial"/>
      <w:sz w:val="21"/>
      <w:szCs w:val="21"/>
    </w:rPr>
  </w:style>
  <w:style w:type="paragraph" w:customStyle="1" w:styleId="383">
    <w:name w:val="正文新 Char"/>
    <w:basedOn w:val="1"/>
    <w:autoRedefine/>
    <w:qFormat/>
    <w:uiPriority w:val="0"/>
    <w:pPr>
      <w:spacing w:line="360" w:lineRule="auto"/>
      <w:ind w:firstLine="480" w:firstLineChars="200"/>
    </w:pPr>
    <w:rPr>
      <w:rFonts w:cs="宋体"/>
      <w:sz w:val="24"/>
    </w:rPr>
  </w:style>
  <w:style w:type="paragraph" w:customStyle="1" w:styleId="384">
    <w:name w:val="xl11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sz w:val="21"/>
      <w:szCs w:val="21"/>
    </w:rPr>
  </w:style>
  <w:style w:type="paragraph" w:customStyle="1" w:styleId="385">
    <w:name w:val="char"/>
    <w:basedOn w:val="1"/>
    <w:autoRedefine/>
    <w:qFormat/>
    <w:uiPriority w:val="0"/>
    <w:pPr>
      <w:widowControl/>
      <w:spacing w:after="160" w:line="240" w:lineRule="exact"/>
      <w:jc w:val="left"/>
    </w:pPr>
    <w:rPr>
      <w:rFonts w:ascii="Verdana" w:hAnsi="Verdana" w:eastAsia="仿宋_GB2312" w:cs="”“Times New Roman”“"/>
      <w:kern w:val="0"/>
      <w:sz w:val="24"/>
      <w:lang w:eastAsia="en-US"/>
    </w:rPr>
  </w:style>
  <w:style w:type="paragraph" w:customStyle="1" w:styleId="386">
    <w:name w:val="表字"/>
    <w:next w:val="1"/>
    <w:autoRedefine/>
    <w:qFormat/>
    <w:uiPriority w:val="0"/>
    <w:pPr>
      <w:snapToGrid w:val="0"/>
      <w:jc w:val="center"/>
    </w:pPr>
    <w:rPr>
      <w:rFonts w:ascii="Times New Roman" w:hAnsi="Times New Roman" w:eastAsia="宋体" w:cs="Times New Roman"/>
      <w:sz w:val="21"/>
      <w:szCs w:val="24"/>
      <w:lang w:val="en-US" w:eastAsia="zh-CN" w:bidi="ar-SA"/>
    </w:rPr>
  </w:style>
  <w:style w:type="paragraph" w:customStyle="1" w:styleId="387">
    <w:name w:val="xl113"/>
    <w:basedOn w:val="1"/>
    <w:autoRedefine/>
    <w:qFormat/>
    <w:uiPriority w:val="0"/>
    <w:pPr>
      <w:widowControl/>
      <w:pBdr>
        <w:left w:val="single" w:color="auto" w:sz="4" w:space="0"/>
        <w:right w:val="single" w:color="auto" w:sz="4" w:space="0"/>
      </w:pBdr>
      <w:spacing w:before="100" w:beforeAutospacing="1" w:after="100" w:afterAutospacing="1"/>
      <w:jc w:val="left"/>
    </w:pPr>
    <w:rPr>
      <w:rFonts w:ascii="Arial" w:hAnsi="Arial" w:cs="Arial"/>
      <w:sz w:val="21"/>
      <w:szCs w:val="21"/>
    </w:rPr>
  </w:style>
  <w:style w:type="paragraph" w:customStyle="1" w:styleId="388">
    <w:name w:val="xl128"/>
    <w:basedOn w:val="1"/>
    <w:autoRedefine/>
    <w:qFormat/>
    <w:uiPriority w:val="0"/>
    <w:pPr>
      <w:widowControl/>
      <w:pBdr>
        <w:left w:val="single" w:color="auto" w:sz="4" w:space="0"/>
        <w:right w:val="single" w:color="auto" w:sz="4" w:space="0"/>
      </w:pBdr>
      <w:spacing w:before="100" w:beforeAutospacing="1" w:after="100" w:afterAutospacing="1"/>
      <w:jc w:val="left"/>
    </w:pPr>
    <w:rPr>
      <w:rFonts w:ascii="宋体" w:hAnsi="宋体" w:cs="宋体"/>
      <w:color w:val="FF0000"/>
      <w:sz w:val="21"/>
      <w:szCs w:val="21"/>
    </w:rPr>
  </w:style>
  <w:style w:type="paragraph" w:customStyle="1" w:styleId="389">
    <w:name w:val="xl117"/>
    <w:basedOn w:val="1"/>
    <w:autoRedefine/>
    <w:qFormat/>
    <w:uiPriority w:val="0"/>
    <w:pPr>
      <w:widowControl/>
      <w:pBdr>
        <w:left w:val="single" w:color="auto" w:sz="4" w:space="0"/>
        <w:right w:val="single" w:color="auto" w:sz="4" w:space="0"/>
      </w:pBdr>
      <w:spacing w:before="100" w:beforeAutospacing="1" w:after="100" w:afterAutospacing="1"/>
      <w:jc w:val="center"/>
    </w:pPr>
    <w:rPr>
      <w:rFonts w:ascii="Arial" w:hAnsi="Arial" w:cs="Arial"/>
      <w:color w:val="FF0000"/>
      <w:sz w:val="21"/>
      <w:szCs w:val="21"/>
    </w:rPr>
  </w:style>
  <w:style w:type="paragraph" w:customStyle="1" w:styleId="390">
    <w:name w:val="font20"/>
    <w:basedOn w:val="1"/>
    <w:autoRedefine/>
    <w:qFormat/>
    <w:uiPriority w:val="0"/>
    <w:pPr>
      <w:widowControl/>
      <w:spacing w:before="100" w:beforeAutospacing="1" w:after="100" w:afterAutospacing="1"/>
      <w:jc w:val="left"/>
    </w:pPr>
    <w:rPr>
      <w:rFonts w:ascii="Arial" w:hAnsi="Arial" w:cs="Arial"/>
      <w:color w:val="FF0000"/>
      <w:sz w:val="21"/>
      <w:szCs w:val="21"/>
    </w:rPr>
  </w:style>
  <w:style w:type="paragraph" w:customStyle="1" w:styleId="391">
    <w:name w:val="首缩"/>
    <w:basedOn w:val="1"/>
    <w:autoRedefine/>
    <w:qFormat/>
    <w:uiPriority w:val="0"/>
    <w:pPr>
      <w:adjustRightInd w:val="0"/>
      <w:spacing w:line="312" w:lineRule="atLeast"/>
      <w:ind w:firstLine="454"/>
      <w:textAlignment w:val="baseline"/>
    </w:pPr>
    <w:rPr>
      <w:sz w:val="21"/>
    </w:rPr>
  </w:style>
  <w:style w:type="paragraph" w:customStyle="1" w:styleId="392">
    <w:name w:val="Default1"/>
    <w:autoRedefine/>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393">
    <w:name w:val="xl125"/>
    <w:basedOn w:val="1"/>
    <w:autoRedefine/>
    <w:qFormat/>
    <w:uiPriority w:val="0"/>
    <w:pPr>
      <w:widowControl/>
      <w:pBdr>
        <w:left w:val="single" w:color="auto" w:sz="4" w:space="0"/>
        <w:bottom w:val="single" w:color="auto" w:sz="4" w:space="0"/>
        <w:right w:val="single" w:color="auto" w:sz="4" w:space="0"/>
      </w:pBdr>
      <w:shd w:val="clear" w:color="000000" w:fill="C5D9F1"/>
      <w:spacing w:before="100" w:beforeAutospacing="1" w:after="100" w:afterAutospacing="1"/>
      <w:jc w:val="left"/>
    </w:pPr>
    <w:rPr>
      <w:rFonts w:ascii="Arial" w:hAnsi="Arial" w:cs="Arial"/>
      <w:sz w:val="21"/>
      <w:szCs w:val="21"/>
    </w:rPr>
  </w:style>
  <w:style w:type="paragraph" w:customStyle="1" w:styleId="394">
    <w:name w:val="font19"/>
    <w:basedOn w:val="1"/>
    <w:autoRedefine/>
    <w:qFormat/>
    <w:uiPriority w:val="0"/>
    <w:pPr>
      <w:widowControl/>
      <w:spacing w:before="100" w:beforeAutospacing="1" w:after="100" w:afterAutospacing="1"/>
      <w:jc w:val="left"/>
    </w:pPr>
    <w:rPr>
      <w:rFonts w:ascii="宋体" w:hAnsi="宋体" w:cs="宋体"/>
      <w:sz w:val="21"/>
      <w:szCs w:val="21"/>
    </w:rPr>
  </w:style>
  <w:style w:type="table" w:customStyle="1" w:styleId="395">
    <w:name w:val="111"/>
    <w:basedOn w:val="59"/>
    <w:autoRedefine/>
    <w:qFormat/>
    <w:uiPriority w:val="0"/>
    <w:pPr>
      <w:jc w:val="center"/>
    </w:pPr>
    <w:rPr>
      <w:kern w:val="2"/>
      <w:sz w:val="21"/>
      <w:szCs w:val="21"/>
    </w:rPr>
    <w:tblP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left w:w="0" w:type="dxa"/>
        <w:right w:w="0" w:type="dxa"/>
      </w:tblCellMar>
    </w:tblPr>
    <w:tcPr>
      <w:vAlign w:val="center"/>
    </w:tcPr>
  </w:style>
  <w:style w:type="paragraph" w:customStyle="1" w:styleId="396">
    <w:name w:val="文1"/>
    <w:basedOn w:val="1"/>
    <w:autoRedefine/>
    <w:qFormat/>
    <w:uiPriority w:val="0"/>
    <w:pPr>
      <w:snapToGrid w:val="0"/>
      <w:spacing w:line="300" w:lineRule="auto"/>
      <w:ind w:firstLine="480"/>
    </w:pPr>
    <w:rPr>
      <w:rFonts w:ascii="幼圆" w:hAnsi="Times New Roman" w:eastAsia="幼圆"/>
      <w:sz w:val="24"/>
    </w:rPr>
  </w:style>
  <w:style w:type="paragraph" w:customStyle="1" w:styleId="397">
    <w:name w:val="...正文"/>
    <w:autoRedefine/>
    <w:qFormat/>
    <w:uiPriority w:val="0"/>
    <w:pPr>
      <w:spacing w:before="60" w:line="360" w:lineRule="auto"/>
      <w:ind w:firstLine="200" w:firstLineChars="200"/>
      <w:jc w:val="both"/>
    </w:pPr>
    <w:rPr>
      <w:rFonts w:ascii="Times New Roman" w:hAnsi="Times New Roman" w:eastAsia="宋体" w:cs="Times New Roman"/>
      <w:color w:val="000000"/>
      <w:spacing w:val="4"/>
      <w:sz w:val="24"/>
      <w:szCs w:val="24"/>
      <w:lang w:val="en-US" w:eastAsia="zh-CN" w:bidi="ar-SA"/>
    </w:rPr>
  </w:style>
  <w:style w:type="table" w:customStyle="1" w:styleId="398">
    <w:name w:val="报告表表格"/>
    <w:basedOn w:val="59"/>
    <w:autoRedefine/>
    <w:qFormat/>
    <w:uiPriority w:val="0"/>
    <w:pPr>
      <w:keepLines/>
      <w:widowControl w:val="0"/>
      <w:contextualSpacing/>
      <w:jc w:val="center"/>
    </w:pPr>
    <w:rPr>
      <w:sz w:val="21"/>
    </w:rPr>
    <w:tblPr>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
    <w:trPr>
      <w:cantSplit/>
      <w:jc w:val="center"/>
    </w:trPr>
    <w:tcPr>
      <w:vAlign w:val="center"/>
    </w:tcPr>
  </w:style>
  <w:style w:type="paragraph" w:customStyle="1" w:styleId="399">
    <w:name w:val="正文文本 21"/>
    <w:basedOn w:val="1"/>
    <w:next w:val="400"/>
    <w:autoRedefine/>
    <w:qFormat/>
    <w:uiPriority w:val="0"/>
    <w:pPr>
      <w:spacing w:line="432" w:lineRule="auto"/>
      <w:ind w:left="480" w:firstLine="3808"/>
    </w:pPr>
  </w:style>
  <w:style w:type="paragraph" w:customStyle="1" w:styleId="400">
    <w:name w:val="2级"/>
    <w:basedOn w:val="1"/>
    <w:next w:val="1"/>
    <w:autoRedefine/>
    <w:qFormat/>
    <w:uiPriority w:val="0"/>
    <w:rPr>
      <w:rFonts w:eastAsia="黑体"/>
      <w:b/>
      <w:sz w:val="28"/>
    </w:rPr>
  </w:style>
  <w:style w:type="paragraph" w:customStyle="1" w:styleId="401">
    <w:name w:val="正文报告"/>
    <w:basedOn w:val="1"/>
    <w:autoRedefine/>
    <w:qFormat/>
    <w:uiPriority w:val="0"/>
    <w:pPr>
      <w:autoSpaceDE w:val="0"/>
      <w:autoSpaceDN w:val="0"/>
      <w:adjustRightInd w:val="0"/>
      <w:snapToGrid w:val="0"/>
      <w:spacing w:line="360" w:lineRule="auto"/>
      <w:ind w:firstLine="200" w:firstLineChars="200"/>
    </w:pPr>
    <w:rPr>
      <w:rFonts w:cs="宋体"/>
      <w:kern w:val="0"/>
      <w:sz w:val="24"/>
      <w:szCs w:val="21"/>
    </w:rPr>
  </w:style>
  <w:style w:type="paragraph" w:customStyle="1" w:styleId="402">
    <w:name w:val="...表格内容"/>
    <w:basedOn w:val="1"/>
    <w:next w:val="1"/>
    <w:autoRedefine/>
    <w:qFormat/>
    <w:uiPriority w:val="0"/>
    <w:pPr>
      <w:widowControl w:val="0"/>
      <w:spacing w:line="240" w:lineRule="auto"/>
      <w:ind w:firstLine="0" w:firstLineChars="0"/>
      <w:jc w:val="center"/>
      <w:textAlignment w:val="auto"/>
    </w:pPr>
    <w:rPr>
      <w:kern w:val="0"/>
      <w:sz w:val="21"/>
      <w:szCs w:val="21"/>
    </w:rPr>
  </w:style>
  <w:style w:type="table" w:customStyle="1" w:styleId="403">
    <w:name w:val="hu"/>
    <w:basedOn w:val="59"/>
    <w:autoRedefine/>
    <w:qFormat/>
    <w:uiPriority w:val="0"/>
    <w:pPr>
      <w:jc w:val="center"/>
    </w:pPr>
    <w:rPr>
      <w:sz w:val="21"/>
    </w:rPr>
    <w:tblP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
    <w:tcPr>
      <w:vAlign w:val="center"/>
    </w:tcPr>
  </w:style>
  <w:style w:type="paragraph" w:customStyle="1" w:styleId="404">
    <w:name w:val="题注1"/>
    <w:basedOn w:val="1"/>
    <w:next w:val="1"/>
    <w:autoRedefine/>
    <w:qFormat/>
    <w:uiPriority w:val="0"/>
    <w:pPr>
      <w:jc w:val="center"/>
    </w:pPr>
    <w:rPr>
      <w:b/>
      <w:bCs/>
      <w:color w:val="000000"/>
      <w:sz w:val="24"/>
      <w:szCs w:val="24"/>
    </w:rPr>
  </w:style>
  <w:style w:type="table" w:customStyle="1" w:styleId="405">
    <w:name w:val="hu11"/>
    <w:basedOn w:val="59"/>
    <w:autoRedefine/>
    <w:qFormat/>
    <w:uiPriority w:val="0"/>
    <w:pPr>
      <w:jc w:val="center"/>
    </w:pPr>
    <w:tblP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
    <w:tcPr>
      <w:vAlign w:val="center"/>
    </w:tcPr>
  </w:style>
  <w:style w:type="paragraph" w:customStyle="1" w:styleId="406">
    <w:name w:val="2表格内正文"/>
    <w:basedOn w:val="1"/>
    <w:autoRedefine/>
    <w:qFormat/>
    <w:uiPriority w:val="0"/>
    <w:pPr>
      <w:jc w:val="center"/>
    </w:pPr>
    <w:rPr>
      <w:sz w:val="24"/>
    </w:rPr>
  </w:style>
  <w:style w:type="paragraph" w:customStyle="1" w:styleId="407">
    <w:name w:val="1正文2重点"/>
    <w:basedOn w:val="408"/>
    <w:autoRedefine/>
    <w:qFormat/>
    <w:uiPriority w:val="0"/>
    <w:pPr>
      <w:ind w:firstLine="562"/>
    </w:pPr>
    <w:rPr>
      <w:rFonts w:cs="宋体"/>
      <w:b/>
      <w:bCs/>
      <w:szCs w:val="20"/>
    </w:rPr>
  </w:style>
  <w:style w:type="paragraph" w:customStyle="1" w:styleId="408">
    <w:name w:val="1正文"/>
    <w:basedOn w:val="1"/>
    <w:autoRedefine/>
    <w:qFormat/>
    <w:uiPriority w:val="0"/>
    <w:pPr>
      <w:adjustRightInd w:val="0"/>
      <w:snapToGrid w:val="0"/>
      <w:spacing w:line="360" w:lineRule="auto"/>
      <w:ind w:firstLine="560" w:firstLineChars="200"/>
    </w:pPr>
    <w:rPr>
      <w:rFonts w:eastAsia="仿宋" w:cs="Times New Roman"/>
      <w:spacing w:val="5"/>
      <w:sz w:val="28"/>
      <w:szCs w:val="28"/>
    </w:rPr>
  </w:style>
  <w:style w:type="paragraph" w:customStyle="1" w:styleId="409">
    <w:name w:val="Other|1"/>
    <w:basedOn w:val="1"/>
    <w:autoRedefine/>
    <w:qFormat/>
    <w:uiPriority w:val="0"/>
    <w:pPr>
      <w:widowControl w:val="0"/>
      <w:shd w:val="clear" w:color="auto" w:fill="auto"/>
      <w:spacing w:line="480" w:lineRule="auto"/>
      <w:ind w:firstLine="400"/>
    </w:pPr>
    <w:rPr>
      <w:rFonts w:ascii="宋体" w:hAnsi="宋体" w:eastAsia="宋体" w:cs="宋体"/>
      <w:sz w:val="22"/>
      <w:szCs w:val="22"/>
      <w:u w:val="none"/>
      <w:shd w:val="clear" w:color="auto" w:fill="auto"/>
      <w:lang w:val="zh-TW" w:eastAsia="zh-TW" w:bidi="zh-TW"/>
    </w:rPr>
  </w:style>
  <w:style w:type="character" w:customStyle="1" w:styleId="410">
    <w:name w:val="jianjie_index"/>
    <w:basedOn w:val="62"/>
    <w:autoRedefine/>
    <w:qFormat/>
    <w:uiPriority w:val="0"/>
  </w:style>
  <w:style w:type="paragraph" w:customStyle="1" w:styleId="411">
    <w:name w:val="样式 表内容 + 行距: 固定值 28 磅"/>
    <w:basedOn w:val="412"/>
    <w:autoRedefine/>
    <w:qFormat/>
    <w:uiPriority w:val="99"/>
    <w:pPr>
      <w:spacing w:line="240" w:lineRule="auto"/>
      <w:ind w:firstLine="0" w:firstLineChars="0"/>
      <w:jc w:val="center"/>
    </w:pPr>
    <w:rPr>
      <w:rFonts w:hAnsi="宋体" w:cs="宋体"/>
      <w:spacing w:val="5"/>
      <w:sz w:val="21"/>
      <w:szCs w:val="20"/>
    </w:rPr>
  </w:style>
  <w:style w:type="paragraph" w:customStyle="1" w:styleId="412">
    <w:name w:val="表内容"/>
    <w:basedOn w:val="1"/>
    <w:next w:val="1"/>
    <w:autoRedefine/>
    <w:qFormat/>
    <w:uiPriority w:val="0"/>
    <w:pPr>
      <w:spacing w:line="320" w:lineRule="exact"/>
      <w:jc w:val="center"/>
    </w:pPr>
    <w:rPr>
      <w:rFonts w:ascii="Times New Roman"/>
      <w:spacing w:val="0"/>
      <w:sz w:val="21"/>
      <w:szCs w:val="20"/>
    </w:rPr>
  </w:style>
  <w:style w:type="paragraph" w:customStyle="1" w:styleId="413">
    <w:name w:val="04 正文"/>
    <w:basedOn w:val="1"/>
    <w:autoRedefine/>
    <w:qFormat/>
    <w:uiPriority w:val="0"/>
    <w:pPr>
      <w:spacing w:line="400" w:lineRule="exact"/>
      <w:ind w:firstLine="420" w:firstLineChars="200"/>
      <w:jc w:val="both"/>
    </w:pPr>
    <w:rPr>
      <w:bCs/>
      <w:color w:val="000000"/>
      <w:sz w:val="24"/>
      <w:szCs w:val="21"/>
    </w:rPr>
  </w:style>
  <w:style w:type="paragraph" w:customStyle="1" w:styleId="414">
    <w:name w:val="报告表3级"/>
    <w:next w:val="1"/>
    <w:autoRedefine/>
    <w:qFormat/>
    <w:uiPriority w:val="99"/>
    <w:pPr>
      <w:spacing w:line="360" w:lineRule="auto"/>
    </w:pPr>
    <w:rPr>
      <w:rFonts w:ascii="Times New Roman" w:hAnsi="Times New Roman" w:eastAsia="宋体" w:cs="Times New Roman"/>
      <w:b/>
      <w:bCs/>
      <w:kern w:val="2"/>
      <w:sz w:val="24"/>
      <w:szCs w:val="24"/>
      <w:lang w:val="en-US" w:eastAsia="zh-CN" w:bidi="ar-SA"/>
    </w:rPr>
  </w:style>
  <w:style w:type="paragraph" w:customStyle="1" w:styleId="415">
    <w:name w:val="样式 样式 样式 四号 左侧:  1.53 厘米 + 首行缩进:  2 字符 + 居中 左侧:  2 字符 首行缩进:  2..."/>
    <w:basedOn w:val="416"/>
    <w:autoRedefine/>
    <w:qFormat/>
    <w:uiPriority w:val="0"/>
    <w:pPr>
      <w:ind w:firstLine="0" w:firstLineChars="0"/>
      <w:jc w:val="center"/>
    </w:pPr>
  </w:style>
  <w:style w:type="paragraph" w:customStyle="1" w:styleId="416">
    <w:name w:val="样式 样式 四号 左侧:  1.53 厘米 + 首行缩进:  2 字符"/>
    <w:basedOn w:val="417"/>
    <w:autoRedefine/>
    <w:qFormat/>
    <w:uiPriority w:val="0"/>
    <w:pPr>
      <w:ind w:left="200" w:leftChars="200"/>
    </w:pPr>
    <w:rPr>
      <w:szCs w:val="20"/>
    </w:rPr>
  </w:style>
  <w:style w:type="paragraph" w:customStyle="1" w:styleId="417">
    <w:name w:val="样式 四号 左侧:  1.53 厘米"/>
    <w:basedOn w:val="1"/>
    <w:autoRedefine/>
    <w:qFormat/>
    <w:uiPriority w:val="0"/>
    <w:pPr>
      <w:adjustRightInd w:val="0"/>
    </w:pPr>
    <w:rPr>
      <w:w w:val="90"/>
      <w:sz w:val="28"/>
      <w:szCs w:val="28"/>
    </w:rPr>
  </w:style>
  <w:style w:type="paragraph" w:customStyle="1" w:styleId="418">
    <w:name w:val="li_正文"/>
    <w:basedOn w:val="1"/>
    <w:autoRedefine/>
    <w:qFormat/>
    <w:uiPriority w:val="99"/>
    <w:pPr>
      <w:ind w:firstLine="200" w:firstLineChars="200"/>
      <w:jc w:val="left"/>
    </w:pPr>
    <w:rPr>
      <w:rFonts w:ascii="Calibri" w:hAnsi="Calibri" w:eastAsia="宋体"/>
      <w:sz w:val="28"/>
      <w:szCs w:val="28"/>
    </w:rPr>
  </w:style>
  <w:style w:type="paragraph" w:customStyle="1" w:styleId="419">
    <w:name w:val="No Spacing1"/>
    <w:basedOn w:val="1"/>
    <w:autoRedefine/>
    <w:qFormat/>
    <w:uiPriority w:val="0"/>
    <w:rPr>
      <w:rFonts w:ascii="Calibri" w:hAnsi="Calibri"/>
      <w:szCs w:val="21"/>
    </w:rPr>
  </w:style>
  <w:style w:type="paragraph" w:customStyle="1" w:styleId="420">
    <w:name w:val="正文首行缩进 21"/>
    <w:basedOn w:val="4"/>
    <w:next w:val="1"/>
    <w:autoRedefine/>
    <w:qFormat/>
    <w:uiPriority w:val="0"/>
    <w:pPr>
      <w:spacing w:before="100" w:beforeAutospacing="1"/>
      <w:ind w:firstLine="420" w:firstLineChars="200"/>
    </w:pPr>
    <w:rPr>
      <w:rFonts w:ascii="Calibri" w:hAnsi="Calibri" w:cs="Calibri"/>
      <w:kern w:val="2"/>
      <w:sz w:val="21"/>
      <w:szCs w:val="21"/>
    </w:rPr>
  </w:style>
  <w:style w:type="paragraph" w:customStyle="1" w:styleId="421">
    <w:name w:val="List Paragraph1"/>
    <w:basedOn w:val="1"/>
    <w:autoRedefine/>
    <w:qFormat/>
    <w:uiPriority w:val="0"/>
    <w:pPr>
      <w:ind w:firstLine="420" w:firstLineChars="200"/>
    </w:pPr>
    <w:rPr>
      <w:szCs w:val="21"/>
    </w:rPr>
  </w:style>
  <w:style w:type="paragraph" w:customStyle="1" w:styleId="422">
    <w:name w:val="正文3"/>
    <w:basedOn w:val="1"/>
    <w:autoRedefine/>
    <w:qFormat/>
    <w:uiPriority w:val="0"/>
    <w:pPr>
      <w:widowControl/>
    </w:pPr>
    <w:rPr>
      <w:rFonts w:ascii="Times New Roman" w:hAnsi="Times New Roman"/>
      <w:szCs w:val="21"/>
    </w:rPr>
  </w:style>
  <w:style w:type="paragraph" w:customStyle="1" w:styleId="423">
    <w:name w:val="表格11111"/>
    <w:basedOn w:val="222"/>
    <w:autoRedefine/>
    <w:qFormat/>
    <w:uiPriority w:val="0"/>
    <w:rPr>
      <w:rFonts w:eastAsia="黑体"/>
    </w:rPr>
  </w:style>
  <w:style w:type="paragraph" w:customStyle="1" w:styleId="424">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25">
    <w:name w:val="样式 样式 样式 样式 正文@ + 首行缩进:  2 字符 字距调整小四 紧缩量  0.2 磅 + 首行缩进:  2 字符 + ...1"/>
    <w:basedOn w:val="426"/>
    <w:autoRedefine/>
    <w:qFormat/>
    <w:uiPriority w:val="0"/>
    <w:pPr>
      <w:spacing w:line="312" w:lineRule="auto"/>
    </w:pPr>
    <w:rPr>
      <w:kern w:val="0"/>
    </w:rPr>
  </w:style>
  <w:style w:type="paragraph" w:customStyle="1" w:styleId="426">
    <w:name w:val="样式 样式 样式 正文@ + 首行缩进:  2 字符 字距调整小四 紧缩量  0.2 磅 + 首行缩进:  2 字符 + 首行缩..."/>
    <w:basedOn w:val="185"/>
    <w:autoRedefine/>
    <w:qFormat/>
    <w:uiPriority w:val="0"/>
    <w:pPr>
      <w:ind w:firstLine="438"/>
    </w:pPr>
    <w:rPr>
      <w:szCs w:val="20"/>
    </w:rPr>
  </w:style>
  <w:style w:type="paragraph" w:customStyle="1" w:styleId="427">
    <w:name w:val="06 表格内容"/>
    <w:basedOn w:val="1"/>
    <w:autoRedefine/>
    <w:qFormat/>
    <w:uiPriority w:val="0"/>
    <w:pPr>
      <w:spacing w:line="0" w:lineRule="atLeast"/>
    </w:pPr>
    <w:rPr>
      <w:szCs w:val="21"/>
    </w:rPr>
  </w:style>
  <w:style w:type="paragraph" w:customStyle="1" w:styleId="428">
    <w:name w:val="标题111"/>
    <w:autoRedefine/>
    <w:qFormat/>
    <w:uiPriority w:val="0"/>
    <w:pPr>
      <w:widowControl w:val="0"/>
      <w:spacing w:line="480" w:lineRule="exact"/>
      <w:jc w:val="both"/>
    </w:pPr>
    <w:rPr>
      <w:rFonts w:ascii="Calibri" w:hAnsi="Calibri" w:eastAsia="宋体" w:cs="Times New Roman"/>
      <w:b/>
      <w:kern w:val="1"/>
      <w:sz w:val="24"/>
      <w:szCs w:val="24"/>
      <w:lang w:val="en-US" w:eastAsia="zh-CN" w:bidi="ar-SA"/>
    </w:rPr>
  </w:style>
  <w:style w:type="paragraph" w:customStyle="1" w:styleId="429">
    <w:name w:val="表头hu"/>
    <w:basedOn w:val="167"/>
    <w:autoRedefine/>
    <w:qFormat/>
    <w:uiPriority w:val="0"/>
    <w:pPr>
      <w:widowControl/>
      <w:adjustRightInd/>
      <w:snapToGrid/>
      <w:textAlignment w:val="auto"/>
    </w:pPr>
    <w:rPr>
      <w:rFonts w:cs="Times New Roman"/>
      <w:kern w:val="0"/>
      <w:sz w:val="21"/>
    </w:rPr>
  </w:style>
  <w:style w:type="paragraph" w:customStyle="1" w:styleId="430">
    <w:name w:val="Table Text"/>
    <w:basedOn w:val="1"/>
    <w:semiHidden/>
    <w:qFormat/>
    <w:uiPriority w:val="0"/>
    <w:rPr>
      <w:rFonts w:ascii="宋体" w:hAnsi="宋体" w:eastAsia="宋体" w:cs="宋体"/>
      <w:sz w:val="18"/>
      <w:szCs w:val="18"/>
      <w:lang w:val="en-US" w:eastAsia="en-US" w:bidi="ar-SA"/>
    </w:rPr>
  </w:style>
  <w:style w:type="table" w:customStyle="1" w:styleId="431">
    <w:name w:val="Table Normal"/>
    <w:unhideWhenUsed/>
    <w:qFormat/>
    <w:uiPriority w:val="0"/>
    <w:tblPr>
      <w:tblCellMar>
        <w:top w:w="0" w:type="dxa"/>
        <w:left w:w="0" w:type="dxa"/>
        <w:bottom w:w="0" w:type="dxa"/>
        <w:right w:w="0" w:type="dxa"/>
      </w:tblCellMar>
    </w:tblPr>
  </w:style>
  <w:style w:type="table" w:customStyle="1" w:styleId="432">
    <w:name w:val="网格型1"/>
    <w:basedOn w:val="5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33">
    <w:name w:val="font61"/>
    <w:basedOn w:val="62"/>
    <w:qFormat/>
    <w:uiPriority w:val="0"/>
    <w:rPr>
      <w:rFonts w:hint="eastAsia" w:ascii="宋体" w:hAnsi="宋体" w:eastAsia="宋体" w:cs="宋体"/>
      <w:color w:val="424242"/>
      <w:sz w:val="27"/>
      <w:szCs w:val="27"/>
      <w:u w:val="none"/>
    </w:rPr>
  </w:style>
  <w:style w:type="character" w:customStyle="1" w:styleId="434">
    <w:name w:val="font71"/>
    <w:basedOn w:val="62"/>
    <w:qFormat/>
    <w:uiPriority w:val="0"/>
    <w:rPr>
      <w:rFonts w:hint="eastAsia" w:ascii="宋体" w:hAnsi="宋体" w:eastAsia="宋体" w:cs="宋体"/>
      <w:color w:val="5B5B5B"/>
      <w:sz w:val="27"/>
      <w:szCs w:val="27"/>
      <w:u w:val="none"/>
    </w:rPr>
  </w:style>
  <w:style w:type="character" w:customStyle="1" w:styleId="435">
    <w:name w:val="font101"/>
    <w:basedOn w:val="62"/>
    <w:qFormat/>
    <w:uiPriority w:val="0"/>
    <w:rPr>
      <w:rFonts w:hint="eastAsia" w:ascii="宋体" w:hAnsi="宋体" w:eastAsia="宋体" w:cs="宋体"/>
      <w:color w:val="2B2B2B"/>
      <w:sz w:val="27"/>
      <w:szCs w:val="27"/>
      <w:u w:val="none"/>
    </w:rPr>
  </w:style>
  <w:style w:type="character" w:customStyle="1" w:styleId="436">
    <w:name w:val="font81"/>
    <w:basedOn w:val="62"/>
    <w:qFormat/>
    <w:uiPriority w:val="0"/>
    <w:rPr>
      <w:rFonts w:hint="eastAsia" w:ascii="宋体" w:hAnsi="宋体" w:eastAsia="宋体" w:cs="宋体"/>
      <w:color w:val="707070"/>
      <w:sz w:val="27"/>
      <w:szCs w:val="27"/>
      <w:u w:val="none"/>
    </w:rPr>
  </w:style>
  <w:style w:type="character" w:customStyle="1" w:styleId="437">
    <w:name w:val="font112"/>
    <w:basedOn w:val="62"/>
    <w:qFormat/>
    <w:uiPriority w:val="0"/>
    <w:rPr>
      <w:rFonts w:hint="default" w:ascii="Times New Roman" w:hAnsi="Times New Roman" w:cs="Times New Roman"/>
      <w:color w:val="5B5B5B"/>
      <w:sz w:val="29"/>
      <w:szCs w:val="29"/>
      <w:u w:val="none"/>
    </w:rPr>
  </w:style>
  <w:style w:type="character" w:customStyle="1" w:styleId="438">
    <w:name w:val="font121"/>
    <w:basedOn w:val="62"/>
    <w:qFormat/>
    <w:uiPriority w:val="0"/>
    <w:rPr>
      <w:rFonts w:hint="default" w:ascii="Times New Roman" w:hAnsi="Times New Roman" w:cs="Times New Roman"/>
      <w:color w:val="424242"/>
      <w:sz w:val="29"/>
      <w:szCs w:val="29"/>
      <w:u w:val="none"/>
    </w:rPr>
  </w:style>
  <w:style w:type="character" w:customStyle="1" w:styleId="439">
    <w:name w:val="font131"/>
    <w:basedOn w:val="62"/>
    <w:qFormat/>
    <w:uiPriority w:val="0"/>
    <w:rPr>
      <w:rFonts w:hint="default" w:ascii="Times New Roman" w:hAnsi="Times New Roman" w:cs="Times New Roman"/>
      <w:color w:val="151511"/>
      <w:sz w:val="29"/>
      <w:szCs w:val="29"/>
      <w:u w:val="none"/>
    </w:rPr>
  </w:style>
  <w:style w:type="character" w:customStyle="1" w:styleId="440">
    <w:name w:val="font141"/>
    <w:basedOn w:val="62"/>
    <w:qFormat/>
    <w:uiPriority w:val="0"/>
    <w:rPr>
      <w:rFonts w:hint="default" w:ascii="Times New Roman" w:hAnsi="Times New Roman" w:cs="Times New Roman"/>
      <w:color w:val="010101"/>
      <w:sz w:val="29"/>
      <w:szCs w:val="29"/>
      <w:u w:val="none"/>
    </w:rPr>
  </w:style>
  <w:style w:type="character" w:customStyle="1" w:styleId="441">
    <w:name w:val="font151"/>
    <w:basedOn w:val="62"/>
    <w:qFormat/>
    <w:uiPriority w:val="0"/>
    <w:rPr>
      <w:rFonts w:hint="eastAsia" w:ascii="宋体" w:hAnsi="宋体" w:eastAsia="宋体" w:cs="宋体"/>
      <w:color w:val="CF4949"/>
      <w:sz w:val="68"/>
      <w:szCs w:val="68"/>
      <w:u w:val="none"/>
      <w:vertAlign w:val="subscript"/>
    </w:rPr>
  </w:style>
  <w:style w:type="character" w:customStyle="1" w:styleId="442">
    <w:name w:val="font161"/>
    <w:basedOn w:val="62"/>
    <w:qFormat/>
    <w:uiPriority w:val="0"/>
    <w:rPr>
      <w:rFonts w:hint="default" w:ascii="Times New Roman" w:hAnsi="Times New Roman" w:cs="Times New Roman"/>
      <w:color w:val="9C4450"/>
      <w:sz w:val="22"/>
      <w:szCs w:val="22"/>
      <w:u w:val="none"/>
    </w:rPr>
  </w:style>
  <w:style w:type="character" w:customStyle="1" w:styleId="443">
    <w:name w:val="font171"/>
    <w:basedOn w:val="62"/>
    <w:qFormat/>
    <w:uiPriority w:val="0"/>
    <w:rPr>
      <w:rFonts w:hint="default" w:ascii="Times New Roman" w:hAnsi="Times New Roman" w:cs="Times New Roman"/>
      <w:color w:val="CF4949"/>
      <w:sz w:val="29"/>
      <w:szCs w:val="29"/>
      <w:u w:val="none"/>
    </w:rPr>
  </w:style>
  <w:style w:type="character" w:customStyle="1" w:styleId="444">
    <w:name w:val="font181"/>
    <w:basedOn w:val="62"/>
    <w:qFormat/>
    <w:uiPriority w:val="0"/>
    <w:rPr>
      <w:rFonts w:hint="eastAsia" w:ascii="宋体" w:hAnsi="宋体" w:eastAsia="宋体" w:cs="宋体"/>
      <w:color w:val="AC3D3F"/>
      <w:sz w:val="23"/>
      <w:szCs w:val="23"/>
      <w:u w:val="none"/>
    </w:rPr>
  </w:style>
  <w:style w:type="character" w:customStyle="1" w:styleId="445">
    <w:name w:val="font191"/>
    <w:basedOn w:val="62"/>
    <w:qFormat/>
    <w:uiPriority w:val="0"/>
    <w:rPr>
      <w:rFonts w:ascii="Arial" w:hAnsi="Arial" w:cs="Arial"/>
      <w:color w:val="AC3D3F"/>
      <w:sz w:val="14"/>
      <w:szCs w:val="14"/>
      <w:u w:val="none"/>
    </w:rPr>
  </w:style>
  <w:style w:type="character" w:customStyle="1" w:styleId="446">
    <w:name w:val="font201"/>
    <w:basedOn w:val="62"/>
    <w:qFormat/>
    <w:uiPriority w:val="0"/>
    <w:rPr>
      <w:rFonts w:hint="eastAsia" w:ascii="宋体" w:hAnsi="宋体" w:eastAsia="宋体" w:cs="宋体"/>
      <w:color w:val="AC3D3F"/>
      <w:sz w:val="22"/>
      <w:szCs w:val="22"/>
      <w:u w:val="none"/>
    </w:rPr>
  </w:style>
  <w:style w:type="character" w:customStyle="1" w:styleId="447">
    <w:name w:val="font91"/>
    <w:basedOn w:val="62"/>
    <w:qFormat/>
    <w:uiPriority w:val="0"/>
    <w:rPr>
      <w:rFonts w:hint="eastAsia" w:ascii="宋体" w:hAnsi="宋体" w:eastAsia="宋体" w:cs="宋体"/>
      <w:color w:val="2D2D03"/>
      <w:sz w:val="27"/>
      <w:szCs w:val="27"/>
      <w:u w:val="none"/>
    </w:rPr>
  </w:style>
  <w:style w:type="paragraph" w:customStyle="1" w:styleId="448">
    <w:name w:val="书正文"/>
    <w:basedOn w:val="1"/>
    <w:qFormat/>
    <w:uiPriority w:val="0"/>
    <w:pPr>
      <w:spacing w:line="500" w:lineRule="exact"/>
      <w:ind w:firstLine="640"/>
    </w:pPr>
    <w:rPr>
      <w:szCs w:val="24"/>
    </w:rPr>
  </w:style>
  <w:style w:type="paragraph" w:customStyle="1" w:styleId="449">
    <w:name w:val="表格内容1"/>
    <w:basedOn w:val="1"/>
    <w:qFormat/>
    <w:uiPriority w:val="1"/>
    <w:pPr>
      <w:adjustRightInd w:val="0"/>
      <w:snapToGrid w:val="0"/>
      <w:spacing w:line="0" w:lineRule="atLeast"/>
      <w:ind w:firstLine="0" w:firstLineChars="0"/>
      <w:jc w:val="center"/>
    </w:pPr>
    <w:rPr>
      <w:sz w:val="21"/>
      <w:szCs w:val="21"/>
    </w:rPr>
  </w:style>
  <w:style w:type="paragraph" w:customStyle="1" w:styleId="450">
    <w:name w:val="正文-小四首行缩进+1.5行距"/>
    <w:basedOn w:val="1"/>
    <w:qFormat/>
    <w:uiPriority w:val="0"/>
    <w:pPr>
      <w:widowControl/>
      <w:spacing w:line="360" w:lineRule="auto"/>
      <w:ind w:firstLine="480" w:firstLineChars="200"/>
    </w:pPr>
    <w:rPr>
      <w:rFonts w:ascii="Times New Roman" w:hAnsi="Times New Roman" w:eastAsia="宋体"/>
      <w:color w:val="000000"/>
      <w:kern w:val="0"/>
      <w:sz w:val="24"/>
      <w:lang w:bidi="ar"/>
    </w:rPr>
  </w:style>
  <w:style w:type="paragraph" w:customStyle="1" w:styleId="451">
    <w:name w:val="lh-正文-报告表"/>
    <w:basedOn w:val="1"/>
    <w:qFormat/>
    <w:uiPriority w:val="0"/>
    <w:pPr>
      <w:spacing w:line="360" w:lineRule="auto"/>
      <w:ind w:firstLine="480" w:firstLineChars="200"/>
    </w:pPr>
    <w:rPr>
      <w:kern w:val="0"/>
      <w:sz w:val="24"/>
      <w:szCs w:val="21"/>
    </w:rPr>
  </w:style>
  <w:style w:type="paragraph" w:customStyle="1" w:styleId="452">
    <w:name w:val="表&amp;图头"/>
    <w:basedOn w:val="1"/>
    <w:qFormat/>
    <w:uiPriority w:val="0"/>
    <w:pPr>
      <w:spacing w:line="360" w:lineRule="auto"/>
      <w:jc w:val="center"/>
    </w:pPr>
    <w:rPr>
      <w:rFonts w:ascii="等线 Light" w:hAnsi="等线 Light" w:eastAsia="等线"/>
      <w:b/>
      <w:color w:val="000000"/>
      <w:sz w:val="24"/>
      <w:szCs w:val="22"/>
    </w:rPr>
  </w:style>
  <w:style w:type="character" w:customStyle="1" w:styleId="453">
    <w:name w:val="font51"/>
    <w:basedOn w:val="62"/>
    <w:qFormat/>
    <w:uiPriority w:val="0"/>
    <w:rPr>
      <w:rFonts w:hint="eastAsia" w:ascii="宋体" w:hAnsi="宋体" w:eastAsia="宋体" w:cs="宋体"/>
      <w:color w:val="000000"/>
      <w:sz w:val="21"/>
      <w:szCs w:val="21"/>
      <w:u w:val="none"/>
    </w:rPr>
  </w:style>
  <w:style w:type="paragraph" w:customStyle="1" w:styleId="454">
    <w:name w:val="正文缩进2字符"/>
    <w:basedOn w:val="1"/>
    <w:qFormat/>
    <w:uiPriority w:val="0"/>
    <w:pPr>
      <w:spacing w:line="360" w:lineRule="auto"/>
      <w:ind w:firstLine="720" w:firstLineChars="200"/>
    </w:pPr>
    <w:rPr>
      <w:rFonts w:ascii="Times New Roman" w:hAnsi="Times New Roman"/>
      <w:sz w:val="24"/>
    </w:rPr>
  </w:style>
  <w:style w:type="paragraph" w:customStyle="1" w:styleId="455">
    <w:name w:val="正文文字 6"/>
    <w:basedOn w:val="456"/>
    <w:next w:val="1"/>
    <w:qFormat/>
    <w:uiPriority w:val="0"/>
    <w:pPr>
      <w:widowControl w:val="0"/>
      <w:ind w:left="240"/>
      <w:jc w:val="both"/>
    </w:pPr>
    <w:rPr>
      <w:rFonts w:ascii="宋体" w:hAnsi="Calibri" w:eastAsia="宋体" w:cs="Times New Roman"/>
      <w:bCs/>
      <w:kern w:val="2"/>
      <w:sz w:val="32"/>
      <w:szCs w:val="32"/>
      <w:lang w:val="en-US" w:eastAsia="zh-CN" w:bidi="ar-SA"/>
    </w:rPr>
  </w:style>
  <w:style w:type="paragraph" w:customStyle="1" w:styleId="456">
    <w:name w:val="TT标题"/>
    <w:basedOn w:val="1"/>
    <w:qFormat/>
    <w:uiPriority w:val="0"/>
    <w:pPr>
      <w:spacing w:line="240" w:lineRule="auto"/>
      <w:jc w:val="center"/>
    </w:pPr>
    <w:rPr>
      <w:rFonts w:cs="宋体"/>
      <w:b/>
      <w:szCs w:val="20"/>
    </w:rPr>
  </w:style>
</w:styles>
</file>

<file path=word/_rels/document.xml.rels><?xml version="1.0" encoding="UTF-8" standalone="yes"?>
<Relationships xmlns="http://schemas.openxmlformats.org/package/2006/relationships"><Relationship Id="rId9" Type="http://schemas.openxmlformats.org/officeDocument/2006/relationships/header" Target="header2.xml"/><Relationship Id="rId8" Type="http://schemas.openxmlformats.org/officeDocument/2006/relationships/footer" Target="footer3.xml"/><Relationship Id="rId79" Type="http://schemas.openxmlformats.org/officeDocument/2006/relationships/fontTable" Target="fontTable.xml"/><Relationship Id="rId78" Type="http://schemas.openxmlformats.org/officeDocument/2006/relationships/customXml" Target="../customXml/item2.xml"/><Relationship Id="rId77" Type="http://schemas.openxmlformats.org/officeDocument/2006/relationships/numbering" Target="numbering.xml"/><Relationship Id="rId76" Type="http://schemas.openxmlformats.org/officeDocument/2006/relationships/customXml" Target="../customXml/item1.xml"/><Relationship Id="rId75" Type="http://schemas.openxmlformats.org/officeDocument/2006/relationships/image" Target="media/image55.png"/><Relationship Id="rId74" Type="http://schemas.openxmlformats.org/officeDocument/2006/relationships/image" Target="media/image54.jpeg"/><Relationship Id="rId73" Type="http://schemas.openxmlformats.org/officeDocument/2006/relationships/image" Target="media/image53.jpeg"/><Relationship Id="rId72" Type="http://schemas.openxmlformats.org/officeDocument/2006/relationships/image" Target="media/image52.jpeg"/><Relationship Id="rId71" Type="http://schemas.openxmlformats.org/officeDocument/2006/relationships/image" Target="media/image51.jpeg"/><Relationship Id="rId70" Type="http://schemas.openxmlformats.org/officeDocument/2006/relationships/image" Target="media/image50.jpeg"/><Relationship Id="rId7" Type="http://schemas.openxmlformats.org/officeDocument/2006/relationships/footer" Target="footer2.xml"/><Relationship Id="rId69" Type="http://schemas.openxmlformats.org/officeDocument/2006/relationships/image" Target="media/image49.jpeg"/><Relationship Id="rId68" Type="http://schemas.openxmlformats.org/officeDocument/2006/relationships/image" Target="media/image48.jpeg"/><Relationship Id="rId67" Type="http://schemas.openxmlformats.org/officeDocument/2006/relationships/image" Target="media/image47.jpeg"/><Relationship Id="rId66" Type="http://schemas.openxmlformats.org/officeDocument/2006/relationships/image" Target="media/image46.jpeg"/><Relationship Id="rId65" Type="http://schemas.openxmlformats.org/officeDocument/2006/relationships/image" Target="media/image45.jpeg"/><Relationship Id="rId64" Type="http://schemas.openxmlformats.org/officeDocument/2006/relationships/image" Target="media/image44.jpeg"/><Relationship Id="rId63" Type="http://schemas.openxmlformats.org/officeDocument/2006/relationships/image" Target="media/image43.jpeg"/><Relationship Id="rId62" Type="http://schemas.openxmlformats.org/officeDocument/2006/relationships/image" Target="media/image42.jpeg"/><Relationship Id="rId61" Type="http://schemas.openxmlformats.org/officeDocument/2006/relationships/image" Target="media/image41.jpeg"/><Relationship Id="rId60" Type="http://schemas.openxmlformats.org/officeDocument/2006/relationships/image" Target="media/image40.jpeg"/><Relationship Id="rId6" Type="http://schemas.openxmlformats.org/officeDocument/2006/relationships/header" Target="header1.xml"/><Relationship Id="rId59" Type="http://schemas.openxmlformats.org/officeDocument/2006/relationships/image" Target="media/image39.jpeg"/><Relationship Id="rId58" Type="http://schemas.openxmlformats.org/officeDocument/2006/relationships/image" Target="media/image38.jpeg"/><Relationship Id="rId57" Type="http://schemas.openxmlformats.org/officeDocument/2006/relationships/image" Target="media/image37.jpeg"/><Relationship Id="rId56" Type="http://schemas.openxmlformats.org/officeDocument/2006/relationships/image" Target="media/image36.jpeg"/><Relationship Id="rId55" Type="http://schemas.openxmlformats.org/officeDocument/2006/relationships/image" Target="media/image35.jpeg"/><Relationship Id="rId54" Type="http://schemas.openxmlformats.org/officeDocument/2006/relationships/image" Target="media/image34.jpeg"/><Relationship Id="rId53" Type="http://schemas.openxmlformats.org/officeDocument/2006/relationships/image" Target="media/image33.jpeg"/><Relationship Id="rId52" Type="http://schemas.openxmlformats.org/officeDocument/2006/relationships/image" Target="media/image32.jpeg"/><Relationship Id="rId51" Type="http://schemas.openxmlformats.org/officeDocument/2006/relationships/image" Target="media/image31.jpeg"/><Relationship Id="rId50" Type="http://schemas.openxmlformats.org/officeDocument/2006/relationships/image" Target="media/image30.jpeg"/><Relationship Id="rId5" Type="http://schemas.openxmlformats.org/officeDocument/2006/relationships/footer" Target="footer1.xml"/><Relationship Id="rId49" Type="http://schemas.openxmlformats.org/officeDocument/2006/relationships/image" Target="media/image29.jpeg"/><Relationship Id="rId48" Type="http://schemas.openxmlformats.org/officeDocument/2006/relationships/image" Target="media/image28.jpeg"/><Relationship Id="rId47" Type="http://schemas.openxmlformats.org/officeDocument/2006/relationships/image" Target="media/image27.jpeg"/><Relationship Id="rId46" Type="http://schemas.openxmlformats.org/officeDocument/2006/relationships/image" Target="media/image26.jpeg"/><Relationship Id="rId45" Type="http://schemas.openxmlformats.org/officeDocument/2006/relationships/image" Target="media/image25.jpeg"/><Relationship Id="rId44" Type="http://schemas.openxmlformats.org/officeDocument/2006/relationships/image" Target="media/image24.jpeg"/><Relationship Id="rId43" Type="http://schemas.openxmlformats.org/officeDocument/2006/relationships/image" Target="media/image23.jpeg"/><Relationship Id="rId42" Type="http://schemas.openxmlformats.org/officeDocument/2006/relationships/image" Target="media/image22.jpeg"/><Relationship Id="rId41" Type="http://schemas.openxmlformats.org/officeDocument/2006/relationships/image" Target="media/image21.jpeg"/><Relationship Id="rId40" Type="http://schemas.openxmlformats.org/officeDocument/2006/relationships/image" Target="media/image20.jpeg"/><Relationship Id="rId4" Type="http://schemas.openxmlformats.org/officeDocument/2006/relationships/endnotes" Target="endnotes.xml"/><Relationship Id="rId39" Type="http://schemas.openxmlformats.org/officeDocument/2006/relationships/image" Target="media/image19.emf"/><Relationship Id="rId38" Type="http://schemas.openxmlformats.org/officeDocument/2006/relationships/oleObject" Target="embeddings/oleObject5.bin"/><Relationship Id="rId37" Type="http://schemas.openxmlformats.org/officeDocument/2006/relationships/image" Target="media/image18.png"/><Relationship Id="rId36" Type="http://schemas.openxmlformats.org/officeDocument/2006/relationships/image" Target="media/image17.png"/><Relationship Id="rId35" Type="http://schemas.openxmlformats.org/officeDocument/2006/relationships/image" Target="media/image16.jpeg"/><Relationship Id="rId34" Type="http://schemas.openxmlformats.org/officeDocument/2006/relationships/image" Target="media/image15.emf"/><Relationship Id="rId33" Type="http://schemas.openxmlformats.org/officeDocument/2006/relationships/oleObject" Target="embeddings/oleObject4.bin"/><Relationship Id="rId32" Type="http://schemas.openxmlformats.org/officeDocument/2006/relationships/image" Target="media/image14.jpeg"/><Relationship Id="rId31" Type="http://schemas.openxmlformats.org/officeDocument/2006/relationships/image" Target="media/image13.png"/><Relationship Id="rId30" Type="http://schemas.openxmlformats.org/officeDocument/2006/relationships/image" Target="media/image12.png"/><Relationship Id="rId3" Type="http://schemas.openxmlformats.org/officeDocument/2006/relationships/footnotes" Target="footnotes.xml"/><Relationship Id="rId29" Type="http://schemas.openxmlformats.org/officeDocument/2006/relationships/image" Target="media/image11.png"/><Relationship Id="rId28" Type="http://schemas.openxmlformats.org/officeDocument/2006/relationships/image" Target="media/image10.png"/><Relationship Id="rId27" Type="http://schemas.openxmlformats.org/officeDocument/2006/relationships/image" Target="media/image9.wmf"/><Relationship Id="rId26" Type="http://schemas.openxmlformats.org/officeDocument/2006/relationships/oleObject" Target="embeddings/oleObject3.bin"/><Relationship Id="rId25" Type="http://schemas.openxmlformats.org/officeDocument/2006/relationships/image" Target="media/image8.wmf"/><Relationship Id="rId24" Type="http://schemas.openxmlformats.org/officeDocument/2006/relationships/oleObject" Target="embeddings/oleObject2.bin"/><Relationship Id="rId23" Type="http://schemas.openxmlformats.org/officeDocument/2006/relationships/image" Target="media/image7.wmf"/><Relationship Id="rId22" Type="http://schemas.openxmlformats.org/officeDocument/2006/relationships/oleObject" Target="embeddings/oleObject1.bin"/><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footer" Target="footer6.xml"/><Relationship Id="rId13" Type="http://schemas.openxmlformats.org/officeDocument/2006/relationships/header" Target="header4.xml"/><Relationship Id="rId12" Type="http://schemas.openxmlformats.org/officeDocument/2006/relationships/footer" Target="footer5.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Exts>
</s:customData>
</file>

<file path=customXml/item2.xml><?xml version="1.0" encoding="utf-8"?>
<contractReview xmlns="http://schemas.wps.cn/vas-ai-hub/contract-review">
  <reviewItems>
    <reviewItem>
      <errorID>15fab7ec-2dd6-40c8-b881-47b316438886</errorID>
      <errorWord>-</errorWord>
      <group>L1_Format</group>
      <groupName>格式问题</groupName>
      <ability>L2_HalfPunc</ability>
      <abilityName>全半角检查</abilityName>
      <candidateList>
        <item>－</item>
      </candidateList>
      <explain>文本全半角错误。</explain>
      <paraID>5E4A4565</paraID>
      <start>33</start>
      <end>34</end>
      <status>unmodified</status>
      <modifiedWord/>
      <trackRevisions>false</trackRevisions>
    </reviewItem>
    <reviewItem>
      <errorID>e164df99-13c6-45c8-9b1e-c792ba1ab975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2F51B313</paraID>
      <start>29</start>
      <end>30</end>
      <status>unmodified</status>
      <modifiedWord/>
      <trackRevisions>false</trackRevisions>
    </reviewItem>
    <reviewItem>
      <errorID>7a103aad-87fe-4e22-8c39-cfcd2775e839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35B2F6A9</paraID>
      <start>35</start>
      <end>36</end>
      <status>unmodified</status>
      <modifiedWord/>
      <trackRevisions>false</trackRevisions>
    </reviewItem>
    <reviewItem>
      <errorID>9fc26069-69e5-437f-8bb7-e9c1b5f50e86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553B61CE</paraID>
      <start>0</start>
      <end>2</end>
      <status>unmodified</status>
      <modifiedWord/>
      <trackRevisions>false</trackRevisions>
    </reviewItem>
    <reviewItem>
      <errorID>45cbbd01-7b89-466b-b123-51213cf19c32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5FBCD661</paraID>
      <start>46</start>
      <end>47</end>
      <status>unmodified</status>
      <modifiedWord/>
      <trackRevisions>false</trackRevisions>
    </reviewItem>
    <reviewItem>
      <errorID>5593e8b2-8c24-46cc-8aba-4b246d1c7df9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1DEA070D</paraID>
      <start>17</start>
      <end>18</end>
      <status>unmodified</status>
      <modifiedWord/>
      <trackRevisions>false</trackRevisions>
    </reviewItem>
    <reviewItem>
      <errorID>09231a84-8eea-4406-b44d-bae7f9ee4371</errorID>
      <errorWord>、</errorWord>
      <group>L1_Word</group>
      <groupName>字词问题</groupName>
      <ability>L2_Typo</ability>
      <abilityName>字词错误</abilityName>
      <candidateList>
        <item>、以</item>
      </candidateList>
      <explain/>
      <paraID>13877807</paraID>
      <start>41</start>
      <end>42</end>
      <status>unmodified</status>
      <modifiedWord/>
      <trackRevisions>false</trackRevisions>
    </reviewItem>
    <reviewItem>
      <errorID>0c63c791-13e0-46f1-8673-56c9dd4ce381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3720F602</paraID>
      <start>0</start>
      <end>2</end>
      <status>unmodified</status>
      <modifiedWord/>
      <trackRevisions>false</trackRevisions>
    </reviewItem>
    <reviewItem>
      <errorID>e69fc3f8-42a4-4336-a75f-56ed515a2ee8</errorID>
      <errorWord>~</errorWord>
      <group>L1_Format</group>
      <groupName>格式问题</groupName>
      <ability>L2_HalfPunc</ability>
      <abilityName>全半角检查</abilityName>
      <candidateList>
        <item>～</item>
      </candidateList>
      <explain>文本全半角错误。</explain>
      <paraID>14645818</paraID>
      <start>258</start>
      <end>259</end>
      <status>unmodified</status>
      <modifiedWord/>
      <trackRevisions>false</trackRevisions>
    </reviewItem>
    <reviewItem>
      <errorID>45eeb9d0-6cf9-4ace-a5e6-6fda9c3a0d91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491E9D0B</paraID>
      <start>0</start>
      <end>2</end>
      <status>unmodified</status>
      <modifiedWord/>
      <trackRevisions>false</trackRevisions>
    </reviewItem>
    <reviewItem>
      <errorID>52400e61-5c5f-4c66-8025-cee061c99e97</errorID>
      <errorWord>本</errorWord>
      <group>L1_Word</group>
      <groupName>字词问题</groupName>
      <ability>L2_Typo</ability>
      <abilityName>字词错误</abilityName>
      <candidateList>
        <item>本次</item>
      </candidateList>
      <explain/>
      <paraID>5CAE4583</paraID>
      <start>0</start>
      <end>1</end>
      <status>unmodified</status>
      <modifiedWord/>
      <trackRevisions>false</trackRevisions>
    </reviewItem>
    <reviewItem>
      <errorID>b0be65fa-99d3-40a2-b07a-122dddac2d11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12399611</paraID>
      <start>119</start>
      <end>120</end>
      <status>unmodified</status>
      <modifiedWord/>
      <trackRevisions>false</trackRevisions>
    </reviewItem>
    <reviewItem>
      <errorID>5e24264d-83e8-491e-b520-2365df50d667</errorID>
      <errorWord>上线</errorWord>
      <group>L1_Word</group>
      <groupName>字词问题</groupName>
      <ability>L2_Typo</ability>
      <abilityName>字词错误</abilityName>
      <candidateList>
        <item>上限</item>
      </candidateList>
      <explain/>
      <paraID>42F98AF4</paraID>
      <start>114</start>
      <end>116</end>
      <status>unmodified</status>
      <modifiedWord/>
      <trackRevisions>false</trackRevisions>
    </reviewItem>
    <reviewItem>
      <errorID>dcf46b9c-e045-46c0-9cd6-df01bacf04e3</errorID>
      <errorWord>上线</errorWord>
      <group>L1_Word</group>
      <groupName>字词问题</groupName>
      <ability>L2_Typo</ability>
      <abilityName>字词错误</abilityName>
      <candidateList>
        <item>上限</item>
      </candidateList>
      <explain/>
      <paraID>42F98AF4</paraID>
      <start>139</start>
      <end>141</end>
      <status>unmodified</status>
      <modifiedWord/>
      <trackRevisions>false</trackRevisions>
    </reviewItem>
    <reviewItem>
      <errorID>7fa6368d-b3a1-4474-9ec8-528ec9db2c3a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70CF76F2</paraID>
      <start>0</start>
      <end>2</end>
      <status>unmodified</status>
      <modifiedWord/>
      <trackRevisions>false</trackRevisions>
    </reviewItem>
    <reviewItem>
      <errorID>38253a09-4199-40a3-b6f3-d79502619542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5B39ED69</paraID>
      <start>0</start>
      <end>2</end>
      <status>unmodified</status>
      <modifiedWord/>
      <trackRevisions>false</trackRevisions>
    </reviewItem>
    <reviewItem>
      <errorID>1294d6a1-f75e-4160-af86-72bdf2cd826d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756BBA58</paraID>
      <start>0</start>
      <end>2</end>
      <status>unmodified</status>
      <modifiedWord/>
      <trackRevisions>false</trackRevisions>
    </reviewItem>
    <reviewItem>
      <errorID>d2512062-8a57-4068-96d3-38a18103e10a</errorID>
      <errorWord>上线</errorWord>
      <group>L1_Word</group>
      <groupName>字词问题</groupName>
      <ability>L2_Typo</ability>
      <abilityName>字词错误</abilityName>
      <candidateList>
        <item>上限</item>
      </candidateList>
      <explain/>
      <paraID>5ACD047B</paraID>
      <start>57</start>
      <end>59</end>
      <status>unmodified</status>
      <modifiedWord/>
      <trackRevisions>false</trackRevisions>
    </reviewItem>
    <reviewItem>
      <errorID>7beb3811-940e-4c98-ab11-93f3154749c8</errorID>
      <errorWord>上线</errorWord>
      <group>L1_Word</group>
      <groupName>字词问题</groupName>
      <ability>L2_Typo</ability>
      <abilityName>字词错误</abilityName>
      <candidateList>
        <item>上限</item>
      </candidateList>
      <explain/>
      <paraID>5A612A53</paraID>
      <start>107</start>
      <end>109</end>
      <status>unmodified</status>
      <modifiedWord/>
      <trackRevisions>false</trackRevisions>
    </reviewItem>
    <reviewItem>
      <errorID>64c288b6-bd86-42f1-91e1-eabedee7b725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13EA3026</paraID>
      <start>0</start>
      <end>2</end>
      <status>unmodified</status>
      <modifiedWord/>
      <trackRevisions>false</trackRevisions>
    </reviewItem>
    <reviewItem>
      <errorID>1ee20de4-2e3a-400d-ab4c-2df10faf8a3f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97AFCCF</paraID>
      <start>26</start>
      <end>27</end>
      <status>unmodified</status>
      <modifiedWord/>
      <trackRevisions>false</trackRevisions>
    </reviewItem>
    <reviewItem>
      <errorID>10c0f477-ce3f-4bfd-9616-87d0b462dcae</errorID>
      <errorWord>:</errorWord>
      <group>L1_Format</group>
      <groupName>格式问题</groupName>
      <ability>L2_HalfPunc</ability>
      <abilityName>全半角检查</abilityName>
      <candidateList>
        <item>：</item>
      </candidateList>
      <explain>文本全半角错误。</explain>
      <paraID>74C12804</paraID>
      <start>31</start>
      <end>32</end>
      <status>unmodified</status>
      <modifiedWord/>
      <trackRevisions>false</trackRevisions>
    </reviewItem>
    <reviewItem>
      <errorID>2084d568-4fec-4e42-82c7-0af0545cf9af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1E34C908</paraID>
      <start>110</start>
      <end>111</end>
      <status>unmodified</status>
      <modifiedWord/>
      <trackRevisions>false</trackRevisions>
    </reviewItem>
    <reviewItem>
      <errorID>20ad604a-88eb-4279-9a50-bd8458c42d16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6A3A770A</paraID>
      <start>0</start>
      <end>2</end>
      <status>unmodified</status>
      <modifiedWord/>
      <trackRevisions>false</trackRevisions>
    </reviewItem>
    <reviewItem>
      <errorID>45da2ae5-1bee-401a-a521-4d7dc290c355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66FCB3EA</paraID>
      <start>0</start>
      <end>2</end>
      <status>unmodified</status>
      <modifiedWord/>
      <trackRevisions>false</trackRevisions>
    </reviewItem>
    <reviewItem>
      <errorID>b590d6d8-23b8-4b2b-9e65-7c4516a1d8a0</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5D337E97</paraID>
      <start>0</start>
      <end>2</end>
      <status>unmodified</status>
      <modifiedWord/>
      <trackRevisions>false</trackRevisions>
    </reviewItem>
    <reviewItem>
      <errorID>fb11912f-dbec-4290-9adf-693b9564a314</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1B8CD259</paraID>
      <start>0</start>
      <end>2</end>
      <status>unmodified</status>
      <modifiedWord/>
      <trackRevisions>false</trackRevisions>
    </reviewItem>
    <reviewItem>
      <errorID>a18fff89-aefb-44ca-b0d3-002620e6eb09</errorID>
      <errorWord>环保治理</errorWord>
      <group>L1_Word</group>
      <groupName>字词问题</groupName>
      <ability>L2_Typo</ability>
      <abilityName>字词错误</abilityName>
      <candidateList>
        <item>环境治理</item>
      </candidateList>
      <explain/>
      <paraID>1B8CD259</paraID>
      <start>79</start>
      <end>83</end>
      <status>unmodified</status>
      <modifiedWord/>
      <trackRevisions>false</trackRevisions>
    </reviewItem>
    <reviewItem>
      <errorID>42ffc114-c42c-4f8f-8a15-7dd6da52abae</errorID>
      <errorWord>距</errorWord>
      <group>L1_Word</group>
      <groupName>字词问题</groupName>
      <ability>L2_Typo</ability>
      <abilityName>字词错误</abilityName>
      <candidateList>
        <item>距离</item>
      </candidateList>
      <explain>❶〈动〉在空间或时间上相隔：天津～北京约有一百二十公里｜现在～唐代已经有一千多年。❷〈名〉相隔的长度：等～｜拉开一定的～◇他的看法和你有～。</explain>
      <paraID>17ADEF41</paraID>
      <start>5</start>
      <end>6</end>
      <status>unmodified</status>
      <modifiedWord/>
      <trackRevisions>false</trackRevisions>
    </reviewItem>
    <reviewItem>
      <errorID>ab7bf67b-5d47-49bd-beed-0263495ed607</errorID>
      <errorWord>锂电子</errorWord>
      <group>L1_Word</group>
      <groupName>字词问题</groupName>
      <ability>L2_Typo</ability>
      <abilityName>字词错误</abilityName>
      <candidateList>
        <item>锂离子</item>
      </candidateList>
      <explain/>
      <paraID>58F69B97</paraID>
      <start>10</start>
      <end>13</end>
      <status>unmodified</status>
      <modifiedWord/>
      <trackRevisions>false</trackRevisions>
    </reviewItem>
    <reviewItem>
      <errorID>c074b3c5-ab6a-4d1a-8048-1a4e218d3227</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58F69B97</paraID>
      <start>51</start>
      <end>54</end>
      <status>unmodified</status>
      <modifiedWord/>
      <trackRevisions>false</trackRevisions>
    </reviewItem>
    <reviewItem>
      <errorID>a2d7018a-6cb0-4f61-b81e-40ca7ef27a12</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CA65E5B</paraID>
      <start>34</start>
      <end>37</end>
      <status>unmodified</status>
      <modifiedWord/>
      <trackRevisions>false</trackRevisions>
    </reviewItem>
    <reviewItem>
      <errorID>4c111234-c263-4f44-bbdf-14fe9de4594e</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12664D98</paraID>
      <start>53</start>
      <end>56</end>
      <status>unmodified</status>
      <modifiedWord/>
      <trackRevisions>false</trackRevisions>
    </reviewItem>
    <reviewItem>
      <errorID>718d4e8c-74bc-43ab-8f58-065c0428d70d</errorID>
      <errorWord>距</errorWord>
      <group>L1_Word</group>
      <groupName>字词问题</groupName>
      <ability>L2_Typo</ability>
      <abilityName>字词错误</abilityName>
      <candidateList>
        <item>距离</item>
      </candidateList>
      <explain>❶〈动〉在空间或时间上相隔：天津～北京约有一百二十公里｜现在～唐代已经有一千多年。❷〈名〉相隔的长度：等～｜拉开一定的～◇他的看法和你有～。</explain>
      <paraID>3115CDC1</paraID>
      <start>7</start>
      <end>8</end>
      <status>unmodified</status>
      <modifiedWord/>
      <trackRevisions>false</trackRevisions>
    </reviewItem>
    <reviewItem>
      <errorID>af282c70-414c-4c05-abdc-9c141836f94d</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66811D61</paraID>
      <start>0</start>
      <end>2</end>
      <status>unmodified</status>
      <modifiedWord/>
      <trackRevisions>false</trackRevisions>
    </reviewItem>
    <reviewItem>
      <errorID>41a68d54-63e7-445d-aa77-8e804348ab22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32C4AA2B</paraID>
      <start>28</start>
      <end>29</end>
      <status>unmodified</status>
      <modifiedWord/>
      <trackRevisions>false</trackRevisions>
    </reviewItem>
    <reviewItem>
      <errorID>27a05393-dc36-42cc-9028-22ac560e7c32</errorID>
      <errorWord>上线</errorWord>
      <group>L1_Word</group>
      <groupName>字词问题</groupName>
      <ability>L2_Typo</ability>
      <abilityName>字词错误</abilityName>
      <candidateList>
        <item>上限</item>
      </candidateList>
      <explain/>
      <paraID> BB9124F</paraID>
      <start>35</start>
      <end>37</end>
      <status>unmodified</status>
      <modifiedWord/>
      <trackRevisions>false</trackRevisions>
    </reviewItem>
    <reviewItem>
      <errorID>3c4fb121-9899-4963-b404-49fe357d1eae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46B81E44</paraID>
      <start>0</start>
      <end>2</end>
      <status>unmodified</status>
      <modifiedWord/>
      <trackRevisions>false</trackRevisions>
    </reviewItem>
    <reviewItem>
      <errorID>91c073dd-76f3-4aea-a8cd-765b2d9639a6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2C389FAE</paraID>
      <start>0</start>
      <end>2</end>
      <status>unmodified</status>
      <modifiedWord/>
      <trackRevisions>false</trackRevisions>
    </reviewItem>
    <reviewItem>
      <errorID>3cc81e1c-557f-48a6-acbc-f84655d27012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5772BF8F</paraID>
      <start>0</start>
      <end>2</end>
      <status>unmodified</status>
      <modifiedWord/>
      <trackRevisions>false</trackRevisions>
    </reviewItem>
    <reviewItem>
      <errorID>1c09da97-5d52-43f2-9d90-42da1f56af43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5FDB6ECB</paraID>
      <start>0</start>
      <end>2</end>
      <status>unmodified</status>
      <modifiedWord/>
      <trackRevisions>false</trackRevisions>
    </reviewItem>
    <reviewItem>
      <errorID>0cc6952b-d3dc-460d-a002-47513507fa9e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9E890F0</paraID>
      <start>0</start>
      <end>2</end>
      <status>unmodified</status>
      <modifiedWord/>
      <trackRevisions>false</trackRevisions>
    </reviewItem>
    <reviewItem>
      <errorID>a82abe26-462b-4742-9b7a-e9965eaf96cb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C2FC1E1</paraID>
      <start>0</start>
      <end>2</end>
      <status>unmodified</status>
      <modifiedWord/>
      <trackRevisions>false</trackRevisions>
    </reviewItem>
    <reviewItem>
      <errorID>20ce4992-0aa2-4bc7-8740-83986d4e7836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51A58CCB</paraID>
      <start>0</start>
      <end>2</end>
      <status>unmodified</status>
      <modifiedWord/>
      <trackRevisions>false</trackRevisions>
    </reviewItem>
    <reviewItem>
      <errorID>5d163ccb-7c5c-4ca6-b460-3be68196d227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8E9FCE7</paraID>
      <start>0</start>
      <end>2</end>
      <status>unmodified</status>
      <modifiedWord/>
      <trackRevisions>false</trackRevisions>
    </reviewItem>
    <reviewItem>
      <errorID>c3cf5030-969b-4250-b9cb-d915e1881f93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75B169D</paraID>
      <start>0</start>
      <end>2</end>
      <status>unmodified</status>
      <modifiedWord/>
      <trackRevisions>false</trackRevisions>
    </reviewItem>
    <reviewItem>
      <errorID>7e661cce-926e-4c0f-a00f-ff527a77e4ef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2DD0B341</paraID>
      <start>0</start>
      <end>2</end>
      <status>unmodified</status>
      <modifiedWord/>
      <trackRevisions>false</trackRevisions>
    </reviewItem>
    <reviewItem>
      <errorID>374ef322-5783-4e39-8af8-8bdb4e86eb63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1347F0D0</paraID>
      <start>0</start>
      <end>2</end>
      <status>unmodified</status>
      <modifiedWord/>
      <trackRevisions>false</trackRevisions>
    </reviewItem>
    <reviewItem>
      <errorID>2fb2407a-e4bf-423b-94be-4487348ee6e6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6CBB0897</paraID>
      <start>0</start>
      <end>2</end>
      <status>unmodified</status>
      <modifiedWord/>
      <trackRevisions>false</trackRevisions>
    </reviewItem>
    <reviewItem>
      <errorID>85c137f6-f66b-4445-b7a2-f8795cfa6811</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5921675B</paraID>
      <start>0</start>
      <end>2</end>
      <status>unmodified</status>
      <modifiedWord/>
      <trackRevisions>false</trackRevisions>
    </reviewItem>
    <reviewItem>
      <errorID>d38c4b1c-6f3c-4d79-9b01-8b5589f25c27</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30B993FC</paraID>
      <start>0</start>
      <end>2</end>
      <status>unmodified</status>
      <modifiedWord/>
      <trackRevisions>false</trackRevisions>
    </reviewItem>
    <reviewItem>
      <errorID>e6a880dc-4093-4e71-99ae-28b2b0549450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3F6AB019</paraID>
      <start>0</start>
      <end>2</end>
      <status>unmodified</status>
      <modifiedWord/>
      <trackRevisions>false</trackRevisions>
    </reviewItem>
    <reviewItem>
      <errorID>f710ed11-3ce9-4298-9983-e8cad30e7383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61034315</paraID>
      <start>0</start>
      <end>2</end>
      <status>unmodified</status>
      <modifiedWord/>
      <trackRevisions>false</trackRevisions>
    </reviewItem>
    <reviewItem>
      <errorID>76f18550-b498-4be7-bbb6-ae001d6ab245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7D8F0DA6</paraID>
      <start>0</start>
      <end>2</end>
      <status>unmodified</status>
      <modifiedWord/>
      <trackRevisions>false</trackRevisions>
    </reviewItem>
    <reviewItem>
      <errorID>237e2a4d-d66b-4049-8ac6-ee69c9035db7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2890587E</paraID>
      <start>0</start>
      <end>2</end>
      <status>unmodified</status>
      <modifiedWord/>
      <trackRevisions>false</trackRevisions>
    </reviewItem>
    <reviewItem>
      <errorID>c3ba9069-8d90-48c7-976a-e854dfb16f40</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3EDCCAFE</paraID>
      <start>0</start>
      <end>2</end>
      <status>unmodified</status>
      <modifiedWord/>
      <trackRevisions>false</trackRevisions>
    </reviewItem>
    <reviewItem>
      <errorID>f360bac5-2346-47af-bb49-73cbfd90a263</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5E5FEC5C</paraID>
      <start>0</start>
      <end>2</end>
      <status>unmodified</status>
      <modifiedWord/>
      <trackRevisions>false</trackRevisions>
    </reviewItem>
    <reviewItem>
      <errorID>c5505e85-31cc-43b8-8249-08de0acb3d1e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7676B76</paraID>
      <start>0</start>
      <end>2</end>
      <status>unmodified</status>
      <modifiedWord/>
      <trackRevisions>false</trackRevisions>
    </reviewItem>
    <reviewItem>
      <errorID>810af797-7aa2-4b55-9cbc-caf20f339fb1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4DC97047</paraID>
      <start>0</start>
      <end>2</end>
      <status>unmodified</status>
      <modifiedWord/>
      <trackRevisions>false</trackRevisions>
    </reviewItem>
    <reviewItem>
      <errorID>14fd97d0-247d-4b42-9f90-d76c7531c7ed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3D5CD8FD</paraID>
      <start>0</start>
      <end>2</end>
      <status>unmodified</status>
      <modifiedWord/>
      <trackRevisions>false</trackRevisions>
    </reviewItem>
    <reviewItem>
      <errorID>1464a325-454b-4214-88f0-45540b4ac260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547D0E6D</paraID>
      <start>0</start>
      <end>2</end>
      <status>unmodified</status>
      <modifiedWord/>
      <trackRevisions>false</trackRevisions>
    </reviewItem>
    <reviewItem>
      <errorID>e31bdda4-d3b3-4fd2-8e0d-37f852c5de8e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50D2D71D</paraID>
      <start>0</start>
      <end>2</end>
      <status>unmodified</status>
      <modifiedWord/>
      <trackRevisions>false</trackRevisions>
    </reviewItem>
    <reviewItem>
      <errorID>38ed331d-7726-4465-bd54-b890f46da4d7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5741D7E4</paraID>
      <start>0</start>
      <end>2</end>
      <status>unmodified</status>
      <modifiedWord/>
      <trackRevisions>false</trackRevisions>
    </reviewItem>
    <reviewItem>
      <errorID>8b266f46-65dc-46d4-926f-a5869f36af17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1C8FEDDD</paraID>
      <start>0</start>
      <end>2</end>
      <status>unmodified</status>
      <modifiedWord/>
      <trackRevisions>false</trackRevisions>
    </reviewItem>
    <reviewItem>
      <errorID>5a769211-7e82-408f-97e2-dfcfe49ba538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34144C6A</paraID>
      <start>0</start>
      <end>2</end>
      <status>unmodified</status>
      <modifiedWord/>
      <trackRevisions>false</trackRevisions>
    </reviewItem>
    <reviewItem>
      <errorID>ee32cdf3-75ac-4699-a28e-2a789a096463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627489C3</paraID>
      <start>0</start>
      <end>2</end>
      <status>unmodified</status>
      <modifiedWord/>
      <trackRevisions>false</trackRevisions>
    </reviewItem>
    <reviewItem>
      <errorID>60273d6b-8a03-4af2-a375-32cc58e3a402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10E7DD43</paraID>
      <start>0</start>
      <end>2</end>
      <status>unmodified</status>
      <modifiedWord/>
      <trackRevisions>false</trackRevisions>
    </reviewItem>
    <reviewItem>
      <errorID>fa0224bc-9d01-4b3f-b3fb-1f3cc5dfd784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2F57EFEF</paraID>
      <start>0</start>
      <end>2</end>
      <status>unmodified</status>
      <modifiedWord/>
      <trackRevisions>false</trackRevisions>
    </reviewItem>
    <reviewItem>
      <errorID>76e721c5-67e5-44d6-826e-9deec4721d34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291C7740</paraID>
      <start>0</start>
      <end>2</end>
      <status>unmodified</status>
      <modifiedWord/>
      <trackRevisions>false</trackRevisions>
    </reviewItem>
    <reviewItem>
      <errorID>7daa12e5-4df3-4001-b1a2-b39a4846aeea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50F3094A</paraID>
      <start>0</start>
      <end>2</end>
      <status>unmodified</status>
      <modifiedWord/>
      <trackRevisions>false</trackRevisions>
    </reviewItem>
    <reviewItem>
      <errorID>3f912fae-4ab9-45b0-bac3-96ad331cdf79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7DFBE5C5</paraID>
      <start>0</start>
      <end>2</end>
      <status>unmodified</status>
      <modifiedWord/>
      <trackRevisions>false</trackRevisions>
    </reviewItem>
    <reviewItem>
      <errorID>6337afd0-28ed-43ca-8132-9bfdbfe307ac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5F0EE945</paraID>
      <start>0</start>
      <end>2</end>
      <status>unmodified</status>
      <modifiedWord/>
      <trackRevisions>false</trackRevisions>
    </reviewItem>
    <reviewItem>
      <errorID>1ff133c3-5ae2-4fcf-bcf3-43bc3d720f2a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3559BD71</paraID>
      <start>0</start>
      <end>2</end>
      <status>unmodified</status>
      <modifiedWord/>
      <trackRevisions>false</trackRevisions>
    </reviewItem>
    <reviewItem>
      <errorID>2b2326af-411a-418e-845a-9c879a2bf296</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6F5354CE</paraID>
      <start>0</start>
      <end>2</end>
      <status>unmodified</status>
      <modifiedWord/>
      <trackRevisions>false</trackRevisions>
    </reviewItem>
    <reviewItem>
      <errorID>bc0427d2-b0e6-4be2-950a-513c59fcbef7</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783D9C81</paraID>
      <start>0</start>
      <end>2</end>
      <status>unmodified</status>
      <modifiedWord/>
      <trackRevisions>false</trackRevisions>
    </reviewItem>
    <reviewItem>
      <errorID>02c9afa2-c05a-4ad7-92eb-e96ea0ff1cda</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7BD9DBA5</paraID>
      <start>0</start>
      <end>2</end>
      <status>unmodified</status>
      <modifiedWord/>
      <trackRevisions>false</trackRevisions>
    </reviewItem>
    <reviewItem>
      <errorID>d339474b-06b1-4d9a-be7f-df9f53d457f0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384E0649</paraID>
      <start>0</start>
      <end>2</end>
      <status>unmodified</status>
      <modifiedWord/>
      <trackRevisions>false</trackRevisions>
    </reviewItem>
    <reviewItem>
      <errorID>00c2ce8a-6b8d-48ab-b1cf-4ad951e7129f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18D4865E</paraID>
      <start>0</start>
      <end>2</end>
      <status>unmodified</status>
      <modifiedWord/>
      <trackRevisions>false</trackRevisions>
    </reviewItem>
    <reviewItem>
      <errorID>e2d39eee-275e-41e7-a427-283cf2199e71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37230166</paraID>
      <start>0</start>
      <end>2</end>
      <status>unmodified</status>
      <modifiedWord/>
      <trackRevisions>false</trackRevisions>
    </reviewItem>
    <reviewItem>
      <errorID>97630bdb-4732-4458-907d-79ec4d37c6af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78E731C7</paraID>
      <start>0</start>
      <end>2</end>
      <status>unmodified</status>
      <modifiedWord/>
      <trackRevisions>false</trackRevisions>
    </reviewItem>
    <reviewItem>
      <errorID>6bc4eabc-d6f1-496c-af8b-9bd4c6215c21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789027F6</paraID>
      <start>0</start>
      <end>2</end>
      <status>unmodified</status>
      <modifiedWord/>
      <trackRevisions>false</trackRevisions>
    </reviewItem>
    <reviewItem>
      <errorID>79442b0c-c576-4362-9d72-4e178b105ce3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7BF5582B</paraID>
      <start>0</start>
      <end>2</end>
      <status>unmodified</status>
      <modifiedWord/>
      <trackRevisions>false</trackRevisions>
    </reviewItem>
    <reviewItem>
      <errorID>b73fbd9b-4795-447a-aaad-a7a375078e79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61490E58</paraID>
      <start>0</start>
      <end>2</end>
      <status>unmodified</status>
      <modifiedWord/>
      <trackRevisions>false</trackRevisions>
    </reviewItem>
    <reviewItem>
      <errorID>62395212-1259-4a6f-a6c0-d02cd625e5be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5BCF013D</paraID>
      <start>0</start>
      <end>2</end>
      <status>unmodified</status>
      <modifiedWord/>
      <trackRevisions>false</trackRevisions>
    </reviewItem>
    <reviewItem>
      <errorID>56e58fa5-8114-4dc9-a31a-810f0d6f4203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30D5863B</paraID>
      <start>0</start>
      <end>2</end>
      <status>unmodified</status>
      <modifiedWord/>
      <trackRevisions>false</trackRevisions>
    </reviewItem>
    <reviewItem>
      <errorID>e4cee1dc-17f8-423e-b641-ae9e0e77f264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1ED8BFEB</paraID>
      <start>0</start>
      <end>2</end>
      <status>unmodified</status>
      <modifiedWord/>
      <trackRevisions>false</trackRevisions>
    </reviewItem>
    <reviewItem>
      <errorID>18a743f5-ef92-4285-9abf-69bb13115c5a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4BC901B1</paraID>
      <start>0</start>
      <end>2</end>
      <status>unmodified</status>
      <modifiedWord/>
      <trackRevisions>false</trackRevisions>
    </reviewItem>
    <reviewItem>
      <errorID>8100dd18-7a34-4401-bd86-e45f4418fd3d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46C5182B</paraID>
      <start>0</start>
      <end>2</end>
      <status>unmodified</status>
      <modifiedWord/>
      <trackRevisions>false</trackRevisions>
    </reviewItem>
    <reviewItem>
      <errorID>a3bc5116-7f35-4038-b3b8-97045049e6ee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4089D7</paraID>
      <start>0</start>
      <end>2</end>
      <status>unmodified</status>
      <modifiedWord/>
      <trackRevisions>false</trackRevisions>
    </reviewItem>
    <reviewItem>
      <errorID>2edd297b-a222-4396-9670-0dcc3ed6c732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4FDDBA1F</paraID>
      <start>0</start>
      <end>2</end>
      <status>unmodified</status>
      <modifiedWord/>
      <trackRevisions>false</trackRevisions>
    </reviewItem>
    <reviewItem>
      <errorID>3c09ea3c-aabe-491c-aa4b-1daf48908895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596B8CDC</paraID>
      <start>0</start>
      <end>2</end>
      <status>unmodified</status>
      <modifiedWord/>
      <trackRevisions>false</trackRevisions>
    </reviewItem>
    <reviewItem>
      <errorID>4bfaa5fc-f98e-4fdc-a49b-041f264c4cc8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ADF3413</paraID>
      <start>0</start>
      <end>2</end>
      <status>unmodified</status>
      <modifiedWord/>
      <trackRevisions>false</trackRevisions>
    </reviewItem>
    <reviewItem>
      <errorID>0f7f36da-3279-4f4c-8196-7b483282e225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24910C1B</paraID>
      <start>0</start>
      <end>2</end>
      <status>unmodified</status>
      <modifiedWord/>
      <trackRevisions>false</trackRevisions>
    </reviewItem>
    <reviewItem>
      <errorID>b001b5d3-44da-478c-85b5-0387203cf7e2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38CD5B87</paraID>
      <start>0</start>
      <end>2</end>
      <status>unmodified</status>
      <modifiedWord/>
      <trackRevisions>false</trackRevisions>
    </reviewItem>
    <reviewItem>
      <errorID>806808f7-2b14-4d15-9577-46d3eed85f10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30F406A5</paraID>
      <start>0</start>
      <end>2</end>
      <status>unmodified</status>
      <modifiedWord/>
      <trackRevisions>false</trackRevisions>
    </reviewItem>
    <reviewItem>
      <errorID>f94b4cab-1f08-46fd-bcdf-aa294aaab430</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10C356E4</paraID>
      <start>0</start>
      <end>2</end>
      <status>unmodified</status>
      <modifiedWord/>
      <trackRevisions>false</trackRevisions>
    </reviewItem>
    <reviewItem>
      <errorID>ecb1fb9d-42b6-4578-a1eb-665b3882a5eb</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811536</paraID>
      <start>0</start>
      <end>2</end>
      <status>unmodified</status>
      <modifiedWord/>
      <trackRevisions>false</trackRevisions>
    </reviewItem>
    <reviewItem>
      <errorID>67d9e09d-8bb6-4cd4-ba33-8e025e5b78ce</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7C6E5796</paraID>
      <start>0</start>
      <end>2</end>
      <status>unmodified</status>
      <modifiedWord/>
      <trackRevisions>false</trackRevisions>
    </reviewItem>
    <reviewItem>
      <errorID>29ae3bcd-55c6-4f22-80ca-a5de747ceee6</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3E852009</paraID>
      <start>0</start>
      <end>2</end>
      <status>unmodified</status>
      <modifiedWord/>
      <trackRevisions>false</trackRevisions>
    </reviewItem>
    <reviewItem>
      <errorID>f18d1287-a381-4f10-8a98-3569c12e18a4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2FED3E70</paraID>
      <start>0</start>
      <end>2</end>
      <status>unmodified</status>
      <modifiedWord/>
      <trackRevisions>false</trackRevisions>
    </reviewItem>
    <reviewItem>
      <errorID>0a7bb8d7-0c7e-4638-9633-a542eff49fb9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33FBD4D</paraID>
      <start>0</start>
      <end>2</end>
      <status>unmodified</status>
      <modifiedWord/>
      <trackRevisions>false</trackRevisions>
    </reviewItem>
    <reviewItem>
      <errorID>6f8b348e-2118-4aa3-aacf-ac4ab41efe5c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378A6232</paraID>
      <start>0</start>
      <end>2</end>
      <status>unmodified</status>
      <modifiedWord/>
      <trackRevisions>false</trackRevisions>
    </reviewItem>
    <reviewItem>
      <errorID>9847ff38-51d7-4415-8f4f-8e28568ed2ea</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4B806E1</paraID>
      <start>0</start>
      <end>2</end>
      <status>unmodified</status>
      <modifiedWord/>
      <trackRevisions>false</trackRevisions>
    </reviewItem>
    <reviewItem>
      <errorID>f78aca6a-c282-43ac-927d-73a77682efcb</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1214D474</paraID>
      <start>0</start>
      <end>2</end>
      <status>unmodified</status>
      <modifiedWord/>
      <trackRevisions>false</trackRevisions>
    </reviewItem>
    <reviewItem>
      <errorID>0070d2ec-2ecf-47e6-9b78-466d6e151d8d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50CE5C16</paraID>
      <start>0</start>
      <end>2</end>
      <status>unmodified</status>
      <modifiedWord/>
      <trackRevisions>false</trackRevisions>
    </reviewItem>
    <reviewItem>
      <errorID>f297f1b2-a096-411f-9c7d-f11615957dc2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17863C12</paraID>
      <start>0</start>
      <end>2</end>
      <status>unmodified</status>
      <modifiedWord/>
      <trackRevisions>false</trackRevisions>
    </reviewItem>
    <reviewItem>
      <errorID>770bd410-9b44-46eb-bf04-02f19dabe3a1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5EA63356</paraID>
      <start>0</start>
      <end>2</end>
      <status>unmodified</status>
      <modifiedWord/>
      <trackRevisions>false</trackRevisions>
    </reviewItem>
    <reviewItem>
      <errorID>f149909c-640b-4e0b-8a1f-b3872bad080c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3BE4714C</paraID>
      <start>0</start>
      <end>2</end>
      <status>unmodified</status>
      <modifiedWord/>
      <trackRevisions>false</trackRevisions>
    </reviewItem>
    <reviewItem>
      <errorID>c17b7e45-f33b-4b87-b3a7-91b54a59de45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11631B8</paraID>
      <start>0</start>
      <end>2</end>
      <status>unmodified</status>
      <modifiedWord/>
      <trackRevisions>false</trackRevisions>
    </reviewItem>
    <reviewItem>
      <errorID>cf3278c4-872b-4e34-86f7-1e0666d28dd7</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25E60D8C</paraID>
      <start>0</start>
      <end>2</end>
      <status>unmodified</status>
      <modifiedWord/>
      <trackRevisions>false</trackRevisions>
    </reviewItem>
    <reviewItem>
      <errorID>e37be7df-65c5-4e82-8904-1793d8d5a1d5</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4C80D93</paraID>
      <start>0</start>
      <end>2</end>
      <status>unmodified</status>
      <modifiedWord/>
      <trackRevisions>false</trackRevisions>
    </reviewItem>
    <reviewItem>
      <errorID>f730c343-34c2-4b77-ab52-9446b40866eb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6EBAE326</paraID>
      <start>0</start>
      <end>2</end>
      <status>unmodified</status>
      <modifiedWord/>
      <trackRevisions>false</trackRevisions>
    </reviewItem>
    <reviewItem>
      <errorID>cd28624b-25e4-4635-a601-73c438176432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3F856D72</paraID>
      <start>0</start>
      <end>2</end>
      <status>unmodified</status>
      <modifiedWord/>
      <trackRevisions>false</trackRevisions>
    </reviewItem>
    <reviewItem>
      <errorID>e621a806-268a-4fc8-9f42-7b87023eb6f4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7CFA7D4A</paraID>
      <start>0</start>
      <end>2</end>
      <status>unmodified</status>
      <modifiedWord/>
      <trackRevisions>false</trackRevisions>
    </reviewItem>
    <reviewItem>
      <errorID>af21c402-f765-4a7a-9837-698d62664fce</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1609F86A</paraID>
      <start>0</start>
      <end>2</end>
      <status>unmodified</status>
      <modifiedWord/>
      <trackRevisions>false</trackRevisions>
    </reviewItem>
    <reviewItem>
      <errorID>1f256f62-6898-42db-9ab2-b0eee1342985</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4BFD21DB</paraID>
      <start>0</start>
      <end>2</end>
      <status>unmodified</status>
      <modifiedWord/>
      <trackRevisions>false</trackRevisions>
    </reviewItem>
    <reviewItem>
      <errorID>8ce33fd6-e884-43e5-be8b-5bd0ff586047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6C1E9E19</paraID>
      <start>0</start>
      <end>2</end>
      <status>unmodified</status>
      <modifiedWord/>
      <trackRevisions>false</trackRevisions>
    </reviewItem>
    <reviewItem>
      <errorID>6eb706ed-27eb-4731-a1f1-d00f11cf6101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236881BE</paraID>
      <start>0</start>
      <end>2</end>
      <status>unmodified</status>
      <modifiedWord/>
      <trackRevisions>false</trackRevisions>
    </reviewItem>
    <reviewItem>
      <errorID>c9b3cbce-a6b8-4b30-81e7-ea1799f4c993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1268456E</paraID>
      <start>0</start>
      <end>2</end>
      <status>unmodified</status>
      <modifiedWord/>
      <trackRevisions>false</trackRevisions>
    </reviewItem>
    <reviewItem>
      <errorID>172ea10e-b4b7-43d8-a78b-833d93c107a8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4738C940</paraID>
      <start>0</start>
      <end>2</end>
      <status>unmodified</status>
      <modifiedWord/>
      <trackRevisions>false</trackRevisions>
    </reviewItem>
    <reviewItem>
      <errorID>5418fa26-c699-499d-8fb5-3f55351eea33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4F9ACFE4</paraID>
      <start>0</start>
      <end>2</end>
      <status>unmodified</status>
      <modifiedWord/>
      <trackRevisions>false</trackRevisions>
    </reviewItem>
    <reviewItem>
      <errorID>546cca0b-f4b2-4ddf-bc09-450b951af068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20A00DE9</paraID>
      <start>0</start>
      <end>2</end>
      <status>unmodified</status>
      <modifiedWord/>
      <trackRevisions>false</trackRevisions>
    </reviewItem>
    <reviewItem>
      <errorID>98340226-1c10-4bcb-aff8-c2535893ddba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3C4C1A5C</paraID>
      <start>0</start>
      <end>2</end>
      <status>unmodified</status>
      <modifiedWord/>
      <trackRevisions>false</trackRevisions>
    </reviewItem>
    <reviewItem>
      <errorID>55ec8363-d550-4aba-9460-19eb58ccd7fd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3CA3FB73</paraID>
      <start>0</start>
      <end>2</end>
      <status>unmodified</status>
      <modifiedWord/>
      <trackRevisions>false</trackRevisions>
    </reviewItem>
    <reviewItem>
      <errorID>0ac69d43-be12-427d-8e30-9273f64a2103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79243B6E</paraID>
      <start>0</start>
      <end>2</end>
      <status>unmodified</status>
      <modifiedWord/>
      <trackRevisions>false</trackRevisions>
    </reviewItem>
    <reviewItem>
      <errorID>fb4dd709-a34c-431d-a718-f5b2c1121d45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43B32F15</paraID>
      <start>0</start>
      <end>2</end>
      <status>unmodified</status>
      <modifiedWord/>
      <trackRevisions>false</trackRevisions>
    </reviewItem>
    <reviewItem>
      <errorID>89bb2924-ec43-4caf-a3ab-7c21baa225db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BB1AA9</paraID>
      <start>0</start>
      <end>2</end>
      <status>unmodified</status>
      <modifiedWord/>
      <trackRevisions>false</trackRevisions>
    </reviewItem>
    <reviewItem>
      <errorID>999252b8-adcc-435d-8722-cb5dffb5909c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1F21FC35</paraID>
      <start>0</start>
      <end>2</end>
      <status>unmodified</status>
      <modifiedWord/>
      <trackRevisions>false</trackRevisions>
    </reviewItem>
    <reviewItem>
      <errorID>9eb7bf1e-7807-4a79-8f64-0da4bec0095c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2FB4ABD1</paraID>
      <start>0</start>
      <end>2</end>
      <status>unmodified</status>
      <modifiedWord/>
      <trackRevisions>false</trackRevisions>
    </reviewItem>
    <reviewItem>
      <errorID>3f06f859-de41-46a9-afd5-4c503fe3f271</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33FACFE</paraID>
      <start>0</start>
      <end>2</end>
      <status>unmodified</status>
      <modifiedWord/>
      <trackRevisions>false</trackRevisions>
    </reviewItem>
    <reviewItem>
      <errorID>7a64d2ae-f332-443d-bf20-985b0a2b26d9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6AF41AF0</paraID>
      <start>0</start>
      <end>2</end>
      <status>unmodified</status>
      <modifiedWord/>
      <trackRevisions>false</trackRevisions>
    </reviewItem>
    <reviewItem>
      <errorID>4d51dc84-717b-4a4a-9153-796b138c61ba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2E70BE18</paraID>
      <start>0</start>
      <end>2</end>
      <status>unmodified</status>
      <modifiedWord/>
      <trackRevisions>false</trackRevisions>
    </reviewItem>
    <reviewItem>
      <errorID>598a92c5-73af-4042-b03d-6ecbbc182150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437A3B48</paraID>
      <start>0</start>
      <end>2</end>
      <status>unmodified</status>
      <modifiedWord/>
      <trackRevisions>false</trackRevisions>
    </reviewItem>
    <reviewItem>
      <errorID>597e5a59-f92a-4a38-b1f0-63180fbdbf74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45DD1EAD</paraID>
      <start>0</start>
      <end>2</end>
      <status>unmodified</status>
      <modifiedWord/>
      <trackRevisions>false</trackRevisions>
    </reviewItem>
    <reviewItem>
      <errorID>75cb9811-1716-4ef2-874c-ac2e146413f8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7B7CB6C5</paraID>
      <start>0</start>
      <end>2</end>
      <status>unmodified</status>
      <modifiedWord/>
      <trackRevisions>false</trackRevisions>
    </reviewItem>
    <reviewItem>
      <errorID>2a3fffd3-51cf-4d53-a6d3-db36f41ce005</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30F53F73</paraID>
      <start>0</start>
      <end>2</end>
      <status>unmodified</status>
      <modifiedWord/>
      <trackRevisions>false</trackRevisions>
    </reviewItem>
    <reviewItem>
      <errorID>baf7048d-c5d7-4a6d-9ffc-4b8b05b02f98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76198AFE</paraID>
      <start>0</start>
      <end>2</end>
      <status>unmodified</status>
      <modifiedWord/>
      <trackRevisions>false</trackRevisions>
    </reviewItem>
    <reviewItem>
      <errorID>6fe9e9ff-6201-460e-9075-4932f9b34413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5E8B49A1</paraID>
      <start>0</start>
      <end>2</end>
      <status>unmodified</status>
      <modifiedWord/>
      <trackRevisions>false</trackRevisions>
    </reviewItem>
    <reviewItem>
      <errorID>f9ef82af-6717-4514-a623-517c4ac43339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38FFAF2B</paraID>
      <start>0</start>
      <end>2</end>
      <status>unmodified</status>
      <modifiedWord/>
      <trackRevisions>false</trackRevisions>
    </reviewItem>
    <reviewItem>
      <errorID>921373b8-b05a-4299-90ea-14b741f539c2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33F7C729</paraID>
      <start>0</start>
      <end>2</end>
      <status>unmodified</status>
      <modifiedWord/>
      <trackRevisions>false</trackRevisions>
    </reviewItem>
    <reviewItem>
      <errorID>cd350e69-7dc7-46f7-a728-46268f7dde6b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4267D3B1</paraID>
      <start>0</start>
      <end>2</end>
      <status>unmodified</status>
      <modifiedWord/>
      <trackRevisions>false</trackRevisions>
    </reviewItem>
    <reviewItem>
      <errorID>e56a3298-abe2-40c9-a4db-a411a2126fd5</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4267D3B1</paraID>
      <start>19</start>
      <end>22</end>
      <status>unmodified</status>
      <modifiedWord/>
      <trackRevisions>false</trackRevisions>
    </reviewItem>
    <reviewItem>
      <errorID>ed0fa338-7344-40b3-819c-a3cf7bc8dd83</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4267D3B1</paraID>
      <start>30</start>
      <end>33</end>
      <status>unmodified</status>
      <modifiedWord/>
      <trackRevisions>false</trackRevisions>
    </reviewItem>
    <reviewItem>
      <errorID>f809d56a-924e-43fd-bda3-7c6be650748e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24AFB7D1</paraID>
      <start>0</start>
      <end>2</end>
      <status>unmodified</status>
      <modifiedWord/>
      <trackRevisions>false</trackRevisions>
    </reviewItem>
    <reviewItem>
      <errorID>cdc1bb35-b17f-4127-9d9e-83f78abdef4c</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24AFB7D1</paraID>
      <start>59</start>
      <end>62</end>
      <status>unmodified</status>
      <modifiedWord/>
      <trackRevisions>false</trackRevisions>
    </reviewItem>
    <reviewItem>
      <errorID>7361e718-9cfa-4970-a889-391deee033e8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6E2ACACA</paraID>
      <start>0</start>
      <end>2</end>
      <status>unmodified</status>
      <modifiedWord/>
      <trackRevisions>false</trackRevisions>
    </reviewItem>
    <reviewItem>
      <errorID>a9c7e450-a539-4570-80f4-3aa606dd9b01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4B78B355</paraID>
      <start>0</start>
      <end>2</end>
      <status>unmodified</status>
      <modifiedWord/>
      <trackRevisions>false</trackRevisions>
    </reviewItem>
    <reviewItem>
      <errorID>34eeecde-2f23-4afb-be8c-fab5cc7273b1</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16ABDD66</paraID>
      <start>0</start>
      <end>2</end>
      <status>unmodified</status>
      <modifiedWord/>
      <trackRevisions>false</trackRevisions>
    </reviewItem>
    <reviewItem>
      <errorID>27e03bff-1839-4a1e-b151-848772631359</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3EC5086</paraID>
      <start>0</start>
      <end>2</end>
      <status>unmodified</status>
      <modifiedWord/>
      <trackRevisions>false</trackRevisions>
    </reviewItem>
    <reviewItem>
      <errorID>f22a5f1c-9785-43e5-acbe-56612abb18c0</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113DC6FF</paraID>
      <start>0</start>
      <end>2</end>
      <status>unmodified</status>
      <modifiedWord/>
      <trackRevisions>false</trackRevisions>
    </reviewItem>
    <reviewItem>
      <errorID>84b697ec-994d-4a8f-95f1-4aa883db46d4</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54EBD92C</paraID>
      <start>0</start>
      <end>2</end>
      <status>unmodified</status>
      <modifiedWord/>
      <trackRevisions>false</trackRevisions>
    </reviewItem>
    <reviewItem>
      <errorID>1937f609-0f48-4936-9a85-a099ac080315</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ED779A7</paraID>
      <start>0</start>
      <end>2</end>
      <status>unmodified</status>
      <modifiedWord/>
      <trackRevisions>false</trackRevisions>
    </reviewItem>
    <reviewItem>
      <errorID>cb1f5860-29f5-4973-b89b-e70f6a5d72c4</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191EA01</paraID>
      <start>0</start>
      <end>3</end>
      <status>unmodified</status>
      <modifiedWord/>
      <trackRevisions>false</trackRevisions>
    </reviewItem>
    <reviewItem>
      <errorID>c0729c56-0311-4c5e-9683-dc5493db3900</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62CFED60</paraID>
      <start>0</start>
      <end>3</end>
      <status>unmodified</status>
      <modifiedWord/>
      <trackRevisions>false</trackRevisions>
    </reviewItem>
    <reviewItem>
      <errorID>f1c922ce-8a9e-445e-b4f4-a3e88e558608</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41EF48B5</paraID>
      <start>0</start>
      <end>3</end>
      <status>unmodified</status>
      <modifiedWord/>
      <trackRevisions>false</trackRevisions>
    </reviewItem>
    <reviewItem>
      <errorID>a15dce35-efa1-4370-9b9d-c9c20475bc98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7F3978DA</paraID>
      <start>0</start>
      <end>2</end>
      <status>unmodified</status>
      <modifiedWord/>
      <trackRevisions>false</trackRevisions>
    </reviewItem>
    <reviewItem>
      <errorID>6efab899-aa30-410e-8a44-295abb878b83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1BB96793</paraID>
      <start>0</start>
      <end>2</end>
      <status>unmodified</status>
      <modifiedWord/>
      <trackRevisions>false</trackRevisions>
    </reviewItem>
    <reviewItem>
      <errorID>a6e20ab7-c044-493c-9656-7292f52a65c9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5835E289</paraID>
      <start>0</start>
      <end>2</end>
      <status>unmodified</status>
      <modifiedWord/>
      <trackRevisions>false</trackRevisions>
    </reviewItem>
    <reviewItem>
      <errorID>7b92e243-8f06-46b8-9a58-e55e573a3f49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4D2B4227</paraID>
      <start>0</start>
      <end>2</end>
      <status>unmodified</status>
      <modifiedWord/>
      <trackRevisions>false</trackRevisions>
    </reviewItem>
    <reviewItem>
      <errorID>c8a1247b-119f-4ddc-84b1-bbe3add93ffb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A00260C</paraID>
      <start>0</start>
      <end>2</end>
      <status>unmodified</status>
      <modifiedWord/>
      <trackRevisions>false</trackRevisions>
    </reviewItem>
    <reviewItem>
      <errorID>1111320d-a515-4d38-b5dc-b3a5aa7ccd68</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5DCF2BF2</paraID>
      <start>0</start>
      <end>2</end>
      <status>unmodified</status>
      <modifiedWord/>
      <trackRevisions>false</trackRevisions>
    </reviewItem>
    <reviewItem>
      <errorID>35397ef5-aea1-4b5e-8a18-47c9c568609b</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4DC226D1</paraID>
      <start>0</start>
      <end>2</end>
      <status>unmodified</status>
      <modifiedWord/>
      <trackRevisions>false</trackRevisions>
    </reviewItem>
    <reviewItem>
      <errorID>7f3853ad-a049-4c29-b62e-6f08e6841e4c</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5D000687</paraID>
      <start>0</start>
      <end>2</end>
      <status>unmodified</status>
      <modifiedWord/>
      <trackRevisions>false</trackRevisions>
    </reviewItem>
    <reviewItem>
      <errorID>b783b426-0aab-4138-8ac3-3ff060bfe590</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1798553F</paraID>
      <start>0</start>
      <end>2</end>
      <status>unmodified</status>
      <modifiedWord/>
      <trackRevisions>false</trackRevisions>
    </reviewItem>
    <reviewItem>
      <errorID>4e933bbd-a6ed-4781-8d48-b8863aad0558</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630AF0B2</paraID>
      <start>0</start>
      <end>3</end>
      <status>unmodified</status>
      <modifiedWord/>
      <trackRevisions>false</trackRevisions>
    </reviewItem>
    <reviewItem>
      <errorID>d1a7e400-01a8-48e9-bb63-af01369230dc</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4D9E8098</paraID>
      <start>0</start>
      <end>3</end>
      <status>unmodified</status>
      <modifiedWord/>
      <trackRevisions>false</trackRevisions>
    </reviewItem>
    <reviewItem>
      <errorID>9859950a-870e-46cd-ba06-06eacbe31537</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47C692DB</paraID>
      <start>0</start>
      <end>3</end>
      <status>unmodified</status>
      <modifiedWord/>
      <trackRevisions>false</trackRevisions>
    </reviewItem>
    <reviewItem>
      <errorID>ba1bd4f6-1483-498e-9c41-9be44b651b37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5E981C84</paraID>
      <start>0</start>
      <end>2</end>
      <status>unmodified</status>
      <modifiedWord/>
      <trackRevisions>false</trackRevisions>
    </reviewItem>
    <reviewItem>
      <errorID>58a4a252-d4bb-4a7d-8561-f3cc73bf807e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526D54CC</paraID>
      <start>0</start>
      <end>2</end>
      <status>unmodified</status>
      <modifiedWord/>
      <trackRevisions>false</trackRevisions>
    </reviewItem>
    <reviewItem>
      <errorID>78ff3a79-04a3-403e-9822-0c46d32e6c66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6704A8B4</paraID>
      <start>0</start>
      <end>2</end>
      <status>unmodified</status>
      <modifiedWord/>
      <trackRevisions>false</trackRevisions>
    </reviewItem>
    <reviewItem>
      <errorID>afb9f713-87b4-423c-95b8-509bec944175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462E4B32</paraID>
      <start>0</start>
      <end>2</end>
      <status>unmodified</status>
      <modifiedWord/>
      <trackRevisions>false</trackRevisions>
    </reviewItem>
    <reviewItem>
      <errorID>93f3e46b-2537-4989-97dc-8105a209f746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548C02B3</paraID>
      <start>0</start>
      <end>2</end>
      <status>unmodified</status>
      <modifiedWord/>
      <trackRevisions>false</trackRevisions>
    </reviewItem>
    <reviewItem>
      <errorID>c2e22d41-2186-4f83-a51e-f3a31d713707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169B7FD4</paraID>
      <start>0</start>
      <end>2</end>
      <status>unmodified</status>
      <modifiedWord/>
      <trackRevisions>false</trackRevisions>
    </reviewItem>
    <reviewItem>
      <errorID>b1b05ffd-8c6a-4a5c-aae7-be204356ce47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3044331</paraID>
      <start>0</start>
      <end>2</end>
      <status>unmodified</status>
      <modifiedWord/>
      <trackRevisions>false</trackRevisions>
    </reviewItem>
    <reviewItem>
      <errorID>b3200469-ba73-433e-828b-6742c8992749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24C1CC3E</paraID>
      <start>60</start>
      <end>61</end>
      <status>unmodified</status>
      <modifiedWord/>
      <trackRevisions>false</trackRevisions>
    </reviewItem>
    <reviewItem>
      <errorID>d783339e-1928-4437-bc0c-e355e74b64f4</errorID>
      <errorWord>河北省水污染防治条例</errorWord>
      <group>L1_Knowledge</group>
      <groupName>知识性问题</groupName>
      <ability>L2_Knowledge</ability>
      <abilityName>其他知识</abilityName>
      <candidateList/>
      <explain>该法规已废止，请注意检查引用是否正确。</explain>
      <paraID>24FD4135</paraID>
      <start>1</start>
      <end>11</end>
      <status>unmodified</status>
      <modifiedWord/>
      <trackRevisions>false</trackRevisions>
    </reviewItem>
    <reviewItem>
      <errorID>7ba7da18-3a46-431a-b4ef-265ebf4ea0cc</errorID>
      <errorWord>河北省水污染防治条例</errorWord>
      <group>L1_Knowledge</group>
      <groupName>知识性问题</groupName>
      <ability>L2_Knowledge</ability>
      <abilityName>其他知识</abilityName>
      <candidateList/>
      <explain>该法规已废止，请注意检查引用是否正确。</explain>
      <paraID>4CCB62D3</paraID>
      <start>1</start>
      <end>11</end>
      <status>unmodified</status>
      <modifiedWord/>
      <trackRevisions>false</trackRevisions>
    </reviewItem>
    <reviewItem>
      <errorID>c056ca93-9354-420d-80d1-968f871a3b20</errorID>
      <errorWord>、与</errorWord>
      <group>L1_Word</group>
      <groupName>字词问题</groupName>
      <ability>L2_Typo</ability>
      <abilityName>字词错误</abilityName>
      <candidateList>
        <item>、</item>
      </candidateList>
      <explain/>
      <paraID>65FB9795</paraID>
      <start>1</start>
      <end>3</end>
      <status>unmodified</status>
      <modifiedWord/>
      <trackRevisions>false</trackRevisions>
    </reviewItem>
    <reviewItem>
      <errorID>1bb3e242-a0f8-4b7b-bdcf-5741688c256c</errorID>
      <errorWord>绩效评级</errorWord>
      <group>L1_Word</group>
      <groupName>字词问题</groupName>
      <ability>L2_Typo</ability>
      <abilityName>字词错误</abilityName>
      <candidateList>
        <item>绩效评价</item>
      </candidateList>
      <explain>存在发音相近字词的误用。</explain>
      <paraID>65FB9795</paraID>
      <start>3</start>
      <end>7</end>
      <status>unmodified</status>
      <modifiedWord/>
      <trackRevisions>false</trackRevisions>
    </reviewItem>
    <reviewItem>
      <errorID>9ff90c6b-f5f1-4960-a121-95d1d81073a3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8D1E27A</paraID>
      <start>0</start>
      <end>2</end>
      <status>unmodified</status>
      <modifiedWord/>
      <trackRevisions>false</trackRevisions>
    </reviewItem>
    <reviewItem>
      <errorID>c8afd941-f225-4128-8843-ab3a1c126e5f</errorID>
      <errorWord>年产年产</errorWord>
      <group>L1_Word</group>
      <groupName>字词问题</groupName>
      <ability>L2_Typo</ability>
      <abilityName>字词错误</abilityName>
      <candidateList>
        <item>年产</item>
      </candidateList>
      <explain/>
      <paraID>4E30E987</paraID>
      <start>211</start>
      <end>213</end>
      <status>modified</status>
      <modifiedWord>年产</modifiedWord>
      <trackRevisions>false</trackRevisions>
    </reviewItem>
    <reviewItem>
      <errorID>4940d1af-fdb5-4bd4-bd01-0f33c60c2b8c</errorID>
      <errorWord>“</errorWord>
      <group>L1_Punc</group>
      <groupName>标点问题</groupName>
      <ability>L2_Punc</ability>
      <abilityName>标点符号检查</abilityName>
      <candidateList/>
      <explain/>
      <paraID>7C4D188B</paraID>
      <start>38</start>
      <end>39</end>
      <status>unmodified</status>
      <modifiedWord/>
      <trackRevisions>false</trackRevisions>
    </reviewItem>
    <reviewItem>
      <errorID>7516b365-b07f-43dd-aff1-7f40c63d5087</errorID>
      <errorWord>-</errorWord>
      <group>L1_Format</group>
      <groupName>格式问题</groupName>
      <ability>L2_HalfPunc</ability>
      <abilityName>全半角检查</abilityName>
      <candidateList>
        <item>－</item>
      </candidateList>
      <explain>文本全半角错误。</explain>
      <paraID>7C4D188B</paraID>
      <start>73</start>
      <end>74</end>
      <status>unmodified</status>
      <modifiedWord/>
      <trackRevisions>false</trackRevisions>
    </reviewItem>
    <reviewItem>
      <errorID>4225f39c-c4bb-4c79-a424-be86e3f89783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303022E7</paraID>
      <start>0</start>
      <end>2</end>
      <status>unmodified</status>
      <modifiedWord/>
      <trackRevisions>false</trackRevisions>
    </reviewItem>
    <reviewItem>
      <errorID>1deeb607-c714-4aff-bb3b-3177569c517a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32B1E350</paraID>
      <start>0</start>
      <end>2</end>
      <status>unmodified</status>
      <modifiedWord/>
      <trackRevisions>false</trackRevisions>
    </reviewItem>
    <reviewItem>
      <errorID>eeb6fbe6-2131-4992-9f97-fa48687a7d68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1764595A</paraID>
      <start>0</start>
      <end>2</end>
      <status>unmodified</status>
      <modifiedWord/>
      <trackRevisions>false</trackRevisions>
    </reviewItem>
    <reviewItem>
      <errorID>3452236a-740c-41b9-aa8c-93d602ff20c8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2F8CC64F</paraID>
      <start>0</start>
      <end>2</end>
      <status>unmodified</status>
      <modifiedWord/>
      <trackRevisions>false</trackRevisions>
    </reviewItem>
    <reviewItem>
      <errorID>26ad5495-7c71-4553-9337-553e14583fa8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CC5DD5B</paraID>
      <start>3</start>
      <end>4</end>
      <status>unmodified</status>
      <modifiedWord/>
      <trackRevisions>false</trackRevisions>
    </reviewItem>
    <reviewItem>
      <errorID>9b94b7ed-631a-46f9-80dd-0478ccf9c65b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F141E0B</paraID>
      <start>3</start>
      <end>4</end>
      <status>unmodified</status>
      <modifiedWord/>
      <trackRevisions>false</trackRevisions>
    </reviewItem>
    <reviewItem>
      <errorID>71568b5c-af87-4106-a172-9158b8fd7b3f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5014270D</paraID>
      <start>3</start>
      <end>4</end>
      <status>unmodified</status>
      <modifiedWord/>
      <trackRevisions>false</trackRevisions>
    </reviewItem>
    <reviewItem>
      <errorID>d8a2f098-62b4-4734-89a1-80853b97f6b7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1C4F168F</paraID>
      <start>3</start>
      <end>4</end>
      <status>unmodified</status>
      <modifiedWord/>
      <trackRevisions>false</trackRevisions>
    </reviewItem>
    <reviewItem>
      <errorID>9b77de73-8aed-450c-87e4-bf42376efd2b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32884E97</paraID>
      <start>3</start>
      <end>4</end>
      <status>unmodified</status>
      <modifiedWord/>
      <trackRevisions>false</trackRevisions>
    </reviewItem>
    <reviewItem>
      <errorID>26b00c8c-34c3-4b03-9176-aee50658c245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760C0E75</paraID>
      <start>3</start>
      <end>4</end>
      <status>unmodified</status>
      <modifiedWord/>
      <trackRevisions>false</trackRevisions>
    </reviewItem>
    <reviewItem>
      <errorID>b19d983d-c5b5-4955-81f1-1c69796fddf3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297109D0</paraID>
      <start>3</start>
      <end>4</end>
      <status>unmodified</status>
      <modifiedWord/>
      <trackRevisions>false</trackRevisions>
    </reviewItem>
    <reviewItem>
      <errorID>30e18250-465b-4823-80c2-d84da1150118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63669483</paraID>
      <start>3</start>
      <end>4</end>
      <status>unmodified</status>
      <modifiedWord/>
      <trackRevisions>false</trackRevisions>
    </reviewItem>
    <reviewItem>
      <errorID>105e167e-357f-40c8-a37b-02e431d385ca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79C427ED</paraID>
      <start>3</start>
      <end>4</end>
      <status>unmodified</status>
      <modifiedWord/>
      <trackRevisions>false</trackRevisions>
    </reviewItem>
    <reviewItem>
      <errorID>92551d0c-4e8d-45b6-9df1-2eefcbc9941f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53C163EF</paraID>
      <start>3</start>
      <end>4</end>
      <status>unmodified</status>
      <modifiedWord/>
      <trackRevisions>false</trackRevisions>
    </reviewItem>
    <reviewItem>
      <errorID>a5e8c107-ea80-47b4-b887-79c50d053fae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3A5C7CD2</paraID>
      <start>3</start>
      <end>4</end>
      <status>unmodified</status>
      <modifiedWord/>
      <trackRevisions>false</trackRevisions>
    </reviewItem>
    <reviewItem>
      <errorID>898e4531-66a0-4cc7-921c-e05484fe23ab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7EC8F070</paraID>
      <start>3</start>
      <end>4</end>
      <status>unmodified</status>
      <modifiedWord/>
      <trackRevisions>false</trackRevisions>
    </reviewItem>
    <reviewItem>
      <errorID>69bb38cc-1018-4b53-ad89-afe0e8da48c3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756E6D73</paraID>
      <start>3</start>
      <end>4</end>
      <status>unmodified</status>
      <modifiedWord/>
      <trackRevisions>false</trackRevisions>
    </reviewItem>
    <reviewItem>
      <errorID>3f357233-a53d-4690-afc3-e0781ed78e78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1B90AB41</paraID>
      <start>3</start>
      <end>4</end>
      <status>unmodified</status>
      <modifiedWord/>
      <trackRevisions>false</trackRevisions>
    </reviewItem>
    <reviewItem>
      <errorID>5d3347f1-512d-49ab-ab45-dc95aa865d33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7BA4521E</paraID>
      <start>3</start>
      <end>4</end>
      <status>unmodified</status>
      <modifiedWord/>
      <trackRevisions>false</trackRevisions>
    </reviewItem>
    <reviewItem>
      <errorID>c36fccae-87e2-45f1-b78e-f3e0f8e2af6a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5FEBBB30</paraID>
      <start>3</start>
      <end>4</end>
      <status>unmodified</status>
      <modifiedWord/>
      <trackRevisions>false</trackRevisions>
    </reviewItem>
    <reviewItem>
      <errorID>4e5a8d6f-32ae-4c85-849a-60e2e1323c02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ECA9869</paraID>
      <start>3</start>
      <end>4</end>
      <status>unmodified</status>
      <modifiedWord/>
      <trackRevisions>false</trackRevisions>
    </reviewItem>
    <reviewItem>
      <errorID>d6b87650-0b00-4a6c-8f30-76da9c71b3b6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45B7DF95</paraID>
      <start>3</start>
      <end>4</end>
      <status>unmodified</status>
      <modifiedWord/>
      <trackRevisions>false</trackRevisions>
    </reviewItem>
    <reviewItem>
      <errorID>a7aaf423-5dc2-484e-968d-db5b73d98604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4F74BF9E</paraID>
      <start>3</start>
      <end>4</end>
      <status>unmodified</status>
      <modifiedWord/>
      <trackRevisions>false</trackRevisions>
    </reviewItem>
    <reviewItem>
      <errorID>9ce748c5-c698-44d0-8ada-3d59910d6e27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2F19EDDE</paraID>
      <start>3</start>
      <end>4</end>
      <status>unmodified</status>
      <modifiedWord/>
      <trackRevisions>false</trackRevisions>
    </reviewItem>
    <reviewItem>
      <errorID>d37a6dd9-8e89-4e03-88f4-155970766909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5DD18546</paraID>
      <start>3</start>
      <end>4</end>
      <status>unmodified</status>
      <modifiedWord/>
      <trackRevisions>false</trackRevisions>
    </reviewItem>
    <reviewItem>
      <errorID>11de7871-4b7b-4385-9772-e3d022fa2926</errorID>
      <errorWord>-</errorWord>
      <group>L1_Format</group>
      <groupName>格式问题</groupName>
      <ability>L2_HalfPunc</ability>
      <abilityName>全半角检查</abilityName>
      <candidateList>
        <item>－</item>
      </candidateList>
      <explain>文本全半角错误。</explain>
      <paraID> E77676A</paraID>
      <start>7</start>
      <end>8</end>
      <status>unmodified</status>
      <modifiedWord/>
      <trackRevisions>false</trackRevisions>
    </reviewItem>
    <reviewItem>
      <errorID>68f2a8ca-702a-48bb-bbfd-2a759b904727</errorID>
      <errorWord>-</errorWord>
      <group>L1_Format</group>
      <groupName>格式问题</groupName>
      <ability>L2_HalfPunc</ability>
      <abilityName>全半角检查</abilityName>
      <candidateList>
        <item>－</item>
      </candidateList>
      <explain>文本全半角错误。</explain>
      <paraID>1664213D</paraID>
      <start>7</start>
      <end>8</end>
      <status>unmodified</status>
      <modifiedWord/>
      <trackRevisions>false</trackRevisions>
    </reviewItem>
    <reviewItem>
      <errorID>a905c276-309b-4c6c-8d50-3981fc29a8e7</errorID>
      <errorWord>-</errorWord>
      <group>L1_Format</group>
      <groupName>格式问题</groupName>
      <ability>L2_HalfPunc</ability>
      <abilityName>全半角检查</abilityName>
      <candidateList>
        <item>－</item>
      </candidateList>
      <explain>文本全半角错误。</explain>
      <paraID>44C439E6</paraID>
      <start>7</start>
      <end>8</end>
      <status>unmodified</status>
      <modifiedWord/>
      <trackRevisions>false</trackRevisions>
    </reviewItem>
    <reviewItem>
      <errorID>f1a30b5f-dd98-4170-9cae-edf2a41ed338</errorID>
      <errorWord>-</errorWord>
      <group>L1_Format</group>
      <groupName>格式问题</groupName>
      <ability>L2_HalfPunc</ability>
      <abilityName>全半角检查</abilityName>
      <candidateList>
        <item>－</item>
      </candidateList>
      <explain>文本全半角错误。</explain>
      <paraID>7DFA6F24</paraID>
      <start>7</start>
      <end>8</end>
      <status>unmodified</status>
      <modifiedWord/>
      <trackRevisions>false</trackRevisions>
    </reviewItem>
    <reviewItem>
      <errorID>fd37bd3c-4452-43a9-8c3e-32c53cd14214</errorID>
      <errorWord>-</errorWord>
      <group>L1_Format</group>
      <groupName>格式问题</groupName>
      <ability>L2_HalfPunc</ability>
      <abilityName>全半角检查</abilityName>
      <candidateList>
        <item>－</item>
      </candidateList>
      <explain>文本全半角错误。</explain>
      <paraID> E6A80BB</paraID>
      <start>7</start>
      <end>8</end>
      <status>unmodified</status>
      <modifiedWord/>
      <trackRevisions>false</trackRevisions>
    </reviewItem>
    <reviewItem>
      <errorID>31e4710b-8d0a-4d88-aa7b-15ca3a06fe61</errorID>
      <errorWord>-</errorWord>
      <group>L1_Format</group>
      <groupName>格式问题</groupName>
      <ability>L2_HalfPunc</ability>
      <abilityName>全半角检查</abilityName>
      <candidateList>
        <item>－</item>
      </candidateList>
      <explain>文本全半角错误。</explain>
      <paraID>29103999</paraID>
      <start>7</start>
      <end>8</end>
      <status>unmodified</status>
      <modifiedWord/>
      <trackRevisions>false</trackRevisions>
    </reviewItem>
    <reviewItem>
      <errorID>e3c4139b-7d66-4608-bcf0-436b3d1117fd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58BB269F</paraID>
      <start>4</start>
      <end>5</end>
      <status>unmodified</status>
      <modifiedWord/>
      <trackRevisions>false</trackRevisions>
    </reviewItem>
    <reviewItem>
      <errorID>0e9c315b-7f66-4c40-8663-19a1174aefad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2871791</paraID>
      <start>4</start>
      <end>5</end>
      <status>unmodified</status>
      <modifiedWord/>
      <trackRevisions>false</trackRevisions>
    </reviewItem>
    <reviewItem>
      <errorID>d1e42d90-b4bb-442a-8133-3d4c7b09a92b</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6EA86587</paraID>
      <start>0</start>
      <end>2</end>
      <status>unmodified</status>
      <modifiedWord/>
      <trackRevisions>false</trackRevisions>
    </reviewItem>
    <reviewItem>
      <errorID>f68da803-fccd-40b7-9680-f4b1780c6cc6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5205329</paraID>
      <start>78</start>
      <end>79</end>
      <status>unmodified</status>
      <modifiedWord/>
      <trackRevisions>false</trackRevisions>
    </reviewItem>
    <reviewItem>
      <errorID>bb1459fd-922b-4b9f-a39b-e1ba5e1c47c2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90D71EB</paraID>
      <start>42</start>
      <end>43</end>
      <status>unmodified</status>
      <modifiedWord/>
      <trackRevisions>false</trackRevisions>
    </reviewItem>
    <reviewItem>
      <errorID>062db37d-7408-4e3f-bc42-2fefbe854830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7D97F89C</paraID>
      <start>114</start>
      <end>115</end>
      <status>unmodified</status>
      <modifiedWord/>
      <trackRevisions>false</trackRevisions>
    </reviewItem>
    <reviewItem>
      <errorID>e4c3e774-30db-459c-a74b-3b533d589978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194EEAAA</paraID>
      <start>86</start>
      <end>87</end>
      <status>unmodified</status>
      <modifiedWord/>
      <trackRevisions>false</trackRevisions>
    </reviewItem>
    <reviewItem>
      <errorID>af0d4a48-56e9-42d3-aa29-e49d0fd4147e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1B7D1757</paraID>
      <start>89</start>
      <end>90</end>
      <status>unmodified</status>
      <modifiedWord/>
      <trackRevisions>false</trackRevisions>
    </reviewItem>
    <reviewItem>
      <errorID>cbcf1fdb-2388-4848-bbdb-a218c58c628e</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4EEF77AF</paraID>
      <start>0</start>
      <end>2</end>
      <status>unmodified</status>
      <modifiedWord/>
      <trackRevisions>false</trackRevisions>
    </reviewItem>
    <reviewItem>
      <errorID>f9aacbf7-b77e-4017-b71d-bb55de8641d0</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709C0828</paraID>
      <start>0</start>
      <end>2</end>
      <status>unmodified</status>
      <modifiedWord/>
      <trackRevisions>false</trackRevisions>
    </reviewItem>
    <reviewItem>
      <errorID>dc8251e7-1b36-43e5-a05f-3e63f3be7726</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74797C43</paraID>
      <start>0</start>
      <end>2</end>
      <status>unmodified</status>
      <modifiedWord/>
      <trackRevisions>false</trackRevisions>
    </reviewItem>
    <reviewItem>
      <errorID>2b73ebe2-ffef-4c98-ad24-dd4e8700d49b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2AAF19B9</paraID>
      <start>0</start>
      <end>2</end>
      <status>unmodified</status>
      <modifiedWord/>
      <trackRevisions>false</trackRevisions>
    </reviewItem>
    <reviewItem>
      <errorID>2c633499-b925-417f-9886-bbd7e94e6bb2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13445B2B</paraID>
      <start>0</start>
      <end>2</end>
      <status>unmodified</status>
      <modifiedWord/>
      <trackRevisions>false</trackRevisions>
    </reviewItem>
    <reviewItem>
      <errorID>b43da5a9-10f5-47be-a6b7-110dde2eea08</errorID>
      <errorWord>程</errorWord>
      <group>L1_Word</group>
      <groupName>字词问题</groupName>
      <ability>L2_Typo</ability>
      <abilityName>字词错误</abilityName>
      <candidateList>
        <item>程中</item>
      </candidateList>
      <explain/>
      <paraID>4D70A38C</paraID>
      <start>84</start>
      <end>86</end>
      <status>modified</status>
      <modifiedWord>程中</modifiedWord>
      <trackRevisions>false</trackRevisions>
    </reviewItem>
    <reviewItem>
      <errorID>3bf7bf4c-40e8-4867-abec-9e6806237bf3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368300C</paraID>
      <start>0</start>
      <end>2</end>
      <status>unmodified</status>
      <modifiedWord/>
      <trackRevisions>false</trackRevisions>
    </reviewItem>
    <reviewItem>
      <errorID>d08145ca-2a9b-4d79-887e-7ccc752e7e44</errorID>
      <errorWord>交有</errorWord>
      <group>L1_Word</group>
      <groupName>字词问题</groupName>
      <ability>L2_Typo</ability>
      <abilityName>字词错误</abilityName>
      <candidateList>
        <item>交由</item>
      </candidateList>
      <explain>存在发音相同字词的误用。</explain>
      <paraID>745B679F</paraID>
      <start>178</start>
      <end>180</end>
      <status>unmodified</status>
      <modifiedWord/>
      <trackRevisions>false</trackRevisions>
    </reviewItem>
    <reviewItem>
      <errorID>7e8bba93-163f-40a2-aad8-0dcf8772edf0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6696BE08</paraID>
      <start>0</start>
      <end>2</end>
      <status>unmodified</status>
      <modifiedWord/>
      <trackRevisions>false</trackRevisions>
    </reviewItem>
    <reviewItem>
      <errorID>8a2623c2-3e37-4856-b4ed-db7890d1e453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6664872B</paraID>
      <start>0</start>
      <end>2</end>
      <status>unmodified</status>
      <modifiedWord/>
      <trackRevisions>false</trackRevisions>
    </reviewItem>
    <reviewItem>
      <errorID>15ba8ef1-19fa-4eba-b4f4-07da10373af5</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2278E63C</paraID>
      <start>0</start>
      <end>2</end>
      <status>unmodified</status>
      <modifiedWord/>
      <trackRevisions>false</trackRevisions>
    </reviewItem>
    <reviewItem>
      <errorID>0dd5da59-736f-4afd-840e-d7078a6c05ff</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16FB4B71</paraID>
      <start>0</start>
      <end>2</end>
      <status>unmodified</status>
      <modifiedWord/>
      <trackRevisions>false</trackRevisions>
    </reviewItem>
    <reviewItem>
      <errorID>087d1877-e821-440a-a5ea-2796adcdb9c5</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207B2562</paraID>
      <start>0</start>
      <end>2</end>
      <status>unmodified</status>
      <modifiedWord/>
      <trackRevisions>false</trackRevisions>
    </reviewItem>
    <reviewItem>
      <errorID>880e8d0a-7b1c-4ccf-bcef-354abb7b08d3</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233015F1</paraID>
      <start>0</start>
      <end>2</end>
      <status>unmodified</status>
      <modifiedWord/>
      <trackRevisions>false</trackRevisions>
    </reviewItem>
    <reviewItem>
      <errorID>43555725-c487-4aba-a325-4339a6ec0397</errorID>
      <errorWord>激号</errorWord>
      <group>L1_Word</group>
      <groupName>字词问题</groupName>
      <ability>L2_Typo</ability>
      <abilityName>字词错误</abilityName>
      <candidateList>
        <item>激光</item>
      </candidateList>
      <explain/>
      <paraID>6C59ADB1</paraID>
      <start>10</start>
      <end>12</end>
      <status>unmodified</status>
      <modifiedWord/>
      <trackRevisions>false</trackRevisions>
    </reviewItem>
    <reviewItem>
      <errorID>bf420d82-ab3f-4b89-8ee3-cd7579f5145a</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3C5DC3A3</paraID>
      <start>0</start>
      <end>3</end>
      <status>unmodified</status>
      <modifiedWord/>
      <trackRevisions>false</trackRevisions>
    </reviewItem>
    <reviewItem>
      <errorID>c579e2c1-30d4-4b29-a36d-6709b7d70c6f</errorID>
      <errorWord>交有</errorWord>
      <group>L1_Word</group>
      <groupName>字词问题</groupName>
      <ability>L2_Typo</ability>
      <abilityName>字词错误</abilityName>
      <candidateList>
        <item>交由</item>
      </candidateList>
      <explain>存在发音相同字词的误用。</explain>
      <paraID>24CD97BB</paraID>
      <start>104</start>
      <end>106</end>
      <status>unmodified</status>
      <modifiedWord/>
      <trackRevisions>false</trackRevisions>
    </reviewItem>
    <reviewItem>
      <errorID>9558ec7b-2b3e-472e-bd30-aa4fbc326403</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12A94808</paraID>
      <start>0</start>
      <end>3</end>
      <status>unmodified</status>
      <modifiedWord/>
      <trackRevisions>false</trackRevisions>
    </reviewItem>
    <reviewItem>
      <errorID>a7de74c0-abd4-48b6-b7fb-d3bacf92d20c</errorID>
      <errorWord>交有</errorWord>
      <group>L1_Word</group>
      <groupName>字词问题</groupName>
      <ability>L2_Typo</ability>
      <abilityName>字词错误</abilityName>
      <candidateList>
        <item>交由</item>
      </candidateList>
      <explain>存在发音相同字词的误用。</explain>
      <paraID>58A45790</paraID>
      <start>142</start>
      <end>144</end>
      <status>unmodified</status>
      <modifiedWord/>
      <trackRevisions>false</trackRevisions>
    </reviewItem>
    <reviewItem>
      <errorID>72ab950a-bbf1-4953-964b-0027cc6bcf05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62930783</paraID>
      <start>0</start>
      <end>2</end>
      <status>unmodified</status>
      <modifiedWord/>
      <trackRevisions>false</trackRevisions>
    </reviewItem>
    <reviewItem>
      <errorID>4b9ead3d-cefd-4381-825c-387189d024bf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398CD9D</paraID>
      <start>0</start>
      <end>2</end>
      <status>unmodified</status>
      <modifiedWord/>
      <trackRevisions>false</trackRevisions>
    </reviewItem>
    <reviewItem>
      <errorID>0ae50944-5fb2-4487-b3e7-b681d728b74e</errorID>
      <errorWord>程</errorWord>
      <group>L1_Word</group>
      <groupName>字词问题</groupName>
      <ability>L2_Typo</ability>
      <abilityName>字词错误</abilityName>
      <candidateList>
        <item>程中</item>
      </candidateList>
      <explain/>
      <paraID>65D24163</paraID>
      <start>76</start>
      <end>77</end>
      <status>unmodified</status>
      <modifiedWord/>
      <trackRevisions>false</trackRevisions>
    </reviewItem>
    <reviewItem>
      <errorID>eddb9066-d173-4ad9-b79b-36fd9ccd9731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224E0F5B</paraID>
      <start>0</start>
      <end>2</end>
      <status>unmodified</status>
      <modifiedWord/>
      <trackRevisions>false</trackRevisions>
    </reviewItem>
    <reviewItem>
      <errorID>975c55d3-297d-4531-b1bd-7dd1a14970cd</errorID>
      <errorWord>交有</errorWord>
      <group>L1_Word</group>
      <groupName>字词问题</groupName>
      <ability>L2_Typo</ability>
      <abilityName>字词错误</abilityName>
      <candidateList>
        <item>交由</item>
      </candidateList>
      <explain>存在发音相同字词的误用。</explain>
      <paraID>5FD89543</paraID>
      <start>178</start>
      <end>180</end>
      <status>unmodified</status>
      <modifiedWord/>
      <trackRevisions>false</trackRevisions>
    </reviewItem>
    <reviewItem>
      <errorID>de1ea393-68c6-495d-b308-84b461a76bfc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714A7E23</paraID>
      <start>0</start>
      <end>2</end>
      <status>unmodified</status>
      <modifiedWord/>
      <trackRevisions>false</trackRevisions>
    </reviewItem>
    <reviewItem>
      <errorID>1a46f994-1a63-4e5b-8685-9f364e7d7cdf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41B16A57</paraID>
      <start>0</start>
      <end>2</end>
      <status>unmodified</status>
      <modifiedWord/>
      <trackRevisions>false</trackRevisions>
    </reviewItem>
    <reviewItem>
      <errorID>0f27c470-89b7-45b5-aa2f-a8a60f5a9e1e</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2B2D6780</paraID>
      <start>0</start>
      <end>2</end>
      <status>unmodified</status>
      <modifiedWord/>
      <trackRevisions>false</trackRevisions>
    </reviewItem>
    <reviewItem>
      <errorID>2a3715bd-1e23-480b-aa69-e91c029194c9</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51DBB068</paraID>
      <start>0</start>
      <end>2</end>
      <status>unmodified</status>
      <modifiedWord/>
      <trackRevisions>false</trackRevisions>
    </reviewItem>
    <reviewItem>
      <errorID>c249948d-375f-446b-bff3-6e3f638748d2</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6BDFB241</paraID>
      <start>0</start>
      <end>2</end>
      <status>unmodified</status>
      <modifiedWord/>
      <trackRevisions>false</trackRevisions>
    </reviewItem>
    <reviewItem>
      <errorID>908e8ae8-aa04-4b4f-b3b2-37494f503614</errorID>
      <errorWord>激号</errorWord>
      <group>L1_Word</group>
      <groupName>字词问题</groupName>
      <ability>L2_Typo</ability>
      <abilityName>字词错误</abilityName>
      <candidateList>
        <item>激光</item>
      </candidateList>
      <explain/>
      <paraID>5D0A2875</paraID>
      <start>10</start>
      <end>12</end>
      <status>unmodified</status>
      <modifiedWord/>
      <trackRevisions>false</trackRevisions>
    </reviewItem>
    <reviewItem>
      <errorID>01b2ba16-ef3f-4104-89cf-188fd9617bf4</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9DD7D25</paraID>
      <start>0</start>
      <end>2</end>
      <status>unmodified</status>
      <modifiedWord/>
      <trackRevisions>false</trackRevisions>
    </reviewItem>
    <reviewItem>
      <errorID>09461d48-4b66-4d3d-8189-0ee1f1ebf722</errorID>
      <errorWord>交有</errorWord>
      <group>L1_Word</group>
      <groupName>字词问题</groupName>
      <ability>L2_Typo</ability>
      <abilityName>字词错误</abilityName>
      <candidateList>
        <item>交由</item>
      </candidateList>
      <explain>存在发音相同字词的误用。</explain>
      <paraID>476FAE3F</paraID>
      <start>104</start>
      <end>106</end>
      <status>unmodified</status>
      <modifiedWord/>
      <trackRevisions>false</trackRevisions>
    </reviewItem>
    <reviewItem>
      <errorID>75324481-99af-453c-89b6-909a053fd049</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3001EA68</paraID>
      <start>0</start>
      <end>3</end>
      <status>unmodified</status>
      <modifiedWord/>
      <trackRevisions>false</trackRevisions>
    </reviewItem>
    <reviewItem>
      <errorID>7e729378-20cb-494b-b341-1d53c77ccdec</errorID>
      <errorWord>交有</errorWord>
      <group>L1_Word</group>
      <groupName>字词问题</groupName>
      <ability>L2_Typo</ability>
      <abilityName>字词错误</abilityName>
      <candidateList>
        <item>交由</item>
      </candidateList>
      <explain>存在发音相同字词的误用。</explain>
      <paraID>36D2C034</paraID>
      <start>142</start>
      <end>144</end>
      <status>unmodified</status>
      <modifiedWord/>
      <trackRevisions>false</trackRevisions>
    </reviewItem>
    <reviewItem>
      <errorID>320929b1-9eb5-4ac4-982e-3ff8e695c67d</errorID>
      <errorWord>交有</errorWord>
      <group>L1_Word</group>
      <groupName>字词问题</groupName>
      <ability>L2_Typo</ability>
      <abilityName>字词错误</abilityName>
      <candidateList>
        <item>交由</item>
      </candidateList>
      <explain>存在发音相同字词的误用。</explain>
      <paraID>7CA31611</paraID>
      <start>11</start>
      <end>13</end>
      <status>unmodified</status>
      <modifiedWord/>
      <trackRevisions>false</trackRevisions>
    </reviewItem>
    <reviewItem>
      <errorID>0a97d0e2-2e75-466d-af54-0d1fea953a9b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54B4108E</paraID>
      <start>0</start>
      <end>2</end>
      <status>unmodified</status>
      <modifiedWord/>
      <trackRevisions>false</trackRevisions>
    </reviewItem>
    <reviewItem>
      <errorID>97439455-9505-47f1-801c-b98fcf403604</errorID>
      <errorWord>年</errorWord>
      <group>L1_Word</group>
      <groupName>字词问题</groupName>
      <ability>L2_Typo</ability>
      <abilityName>字词错误</abilityName>
      <candidateList>
        <item>年度</item>
      </candidateList>
      <explain/>
      <paraID>674475A8</paraID>
      <start>0</start>
      <end>1</end>
      <status>unmodified</status>
      <modifiedWord/>
      <trackRevisions>false</trackRevisions>
    </reviewItem>
    <reviewItem>
      <errorID>0809ae3c-c2f9-4ce8-a1bb-08eb1f522f72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11A5D6E8</paraID>
      <start>94</start>
      <end>95</end>
      <status>unmodified</status>
      <modifiedWord/>
      <trackRevisions>false</trackRevisions>
    </reviewItem>
    <reviewItem>
      <errorID>5253f379-582b-4960-bb8c-4d830ce265f7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11A5D6E8</paraID>
      <start>172</start>
      <end>173</end>
      <status>unmodified</status>
      <modifiedWord/>
      <trackRevisions>false</trackRevisions>
    </reviewItem>
    <reviewItem>
      <errorID>c3718b5e-872f-4a6f-ae35-76fc59bf0150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39EA50FB</paraID>
      <start>10</start>
      <end>11</end>
      <status>unmodified</status>
      <modifiedWord/>
      <trackRevisions>false</trackRevisions>
    </reviewItem>
    <reviewItem>
      <errorID>346f8e51-9081-4ba6-863a-4626ee0fb91c</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7AA37409</paraID>
      <start>0</start>
      <end>2</end>
      <status>unmodified</status>
      <modifiedWord/>
      <trackRevisions>false</trackRevisions>
    </reviewItem>
    <reviewItem>
      <errorID>cea4d009-4455-4ae9-95da-812a7ca153c0</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472F8316</paraID>
      <start>0</start>
      <end>2</end>
      <status>unmodified</status>
      <modifiedWord/>
      <trackRevisions>false</trackRevisions>
    </reviewItem>
    <reviewItem>
      <errorID>61cbe641-3027-4bc2-938c-d50d67b373df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3D75B45A</paraID>
      <start>0</start>
      <end>2</end>
      <status>unmodified</status>
      <modifiedWord/>
      <trackRevisions>false</trackRevisions>
    </reviewItem>
    <reviewItem>
      <errorID>82eaf8f9-ae86-461f-9e90-c1e70638058d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2C2A98B8</paraID>
      <start>80</start>
      <end>81</end>
      <status>unmodified</status>
      <modifiedWord/>
      <trackRevisions>false</trackRevisions>
    </reviewItem>
    <reviewItem>
      <errorID>22e81140-ec7e-4ff4-9ce7-f5c29fec3c17</errorID>
      <errorWord>IV类</errorWord>
      <group>L1_Knowledge</group>
      <groupName>知识性问题</groupName>
      <ability>L2_Knowledge</ability>
      <abilityName>其他知识</abilityName>
      <candidateList>
        <item>Ⅳ类</item>
      </candidateList>
      <explain/>
      <paraID>2C2A98B8</paraID>
      <start>142</start>
      <end>145</end>
      <status>unmodified</status>
      <modifiedWord/>
      <trackRevisions>false</trackRevisions>
    </reviewItem>
    <reviewItem>
      <errorID>8abaa71f-297d-4673-8514-0590b6f21331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5173E79E</paraID>
      <start>0</start>
      <end>2</end>
      <status>unmodified</status>
      <modifiedWord/>
      <trackRevisions>false</trackRevisions>
    </reviewItem>
    <reviewItem>
      <errorID>86302d2e-38c7-458e-a669-37c7e6b47694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1BEC9D99</paraID>
      <start>0</start>
      <end>2</end>
      <status>unmodified</status>
      <modifiedWord/>
      <trackRevisions>false</trackRevisions>
    </reviewItem>
    <reviewItem>
      <errorID>2e6d0bfe-ee15-4eb0-9d8f-18c728a21250</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63A3B77</paraID>
      <start>0</start>
      <end>2</end>
      <status>unmodified</status>
      <modifiedWord/>
      <trackRevisions>false</trackRevisions>
    </reviewItem>
    <reviewItem>
      <errorID>2fcbe510-319c-4ce6-99a1-8e2d8a1d7fc8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3D28BAD8</paraID>
      <start>0</start>
      <end>2</end>
      <status>unmodified</status>
      <modifiedWord/>
      <trackRevisions>false</trackRevisions>
    </reviewItem>
    <reviewItem>
      <errorID>4dfd8371-5d46-41be-ae96-43363b3c3079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32DE31C2</paraID>
      <start>0</start>
      <end>2</end>
      <status>unmodified</status>
      <modifiedWord/>
      <trackRevisions>false</trackRevisions>
    </reviewItem>
    <reviewItem>
      <errorID>6b3f7ef4-12a1-4370-b603-7fb710fd9561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1352434B</paraID>
      <start>0</start>
      <end>2</end>
      <status>unmodified</status>
      <modifiedWord/>
      <trackRevisions>false</trackRevisions>
    </reviewItem>
    <reviewItem>
      <errorID>de1d9436-a0c3-42d7-937c-bc57062605fd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16991848</paraID>
      <start>0</start>
      <end>2</end>
      <status>unmodified</status>
      <modifiedWord/>
      <trackRevisions>false</trackRevisions>
    </reviewItem>
    <reviewItem>
      <errorID>f2242fc6-b67d-49af-a4ba-6c9292731eaa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625F151B</paraID>
      <start>0</start>
      <end>2</end>
      <status>unmodified</status>
      <modifiedWord/>
      <trackRevisions>false</trackRevisions>
    </reviewItem>
    <reviewItem>
      <errorID>3a52c026-c566-4d64-8d33-7c0f8b9104aa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31017B67</paraID>
      <start>0</start>
      <end>2</end>
      <status>unmodified</status>
      <modifiedWord/>
      <trackRevisions>false</trackRevisions>
    </reviewItem>
    <reviewItem>
      <errorID>e9b7d725-d5c5-4906-85eb-a54204b906f1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4BFE7317</paraID>
      <start>0</start>
      <end>2</end>
      <status>unmodified</status>
      <modifiedWord/>
      <trackRevisions>false</trackRevisions>
    </reviewItem>
    <reviewItem>
      <errorID>b7b1231e-ddbe-4286-8f0d-64710b301dc2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1D0EAF6A</paraID>
      <start>0</start>
      <end>2</end>
      <status>unmodified</status>
      <modifiedWord/>
      <trackRevisions>false</trackRevisions>
    </reviewItem>
    <reviewItem>
      <errorID>c97d9eb8-46d8-47eb-8c56-3e02a6acefb6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46F6F7E2</paraID>
      <start>0</start>
      <end>2</end>
      <status>unmodified</status>
      <modifiedWord/>
      <trackRevisions>false</trackRevisions>
    </reviewItem>
    <reviewItem>
      <errorID>775fcf0b-95b5-4bab-9af7-bbf4b8bad377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44D4501A</paraID>
      <start>0</start>
      <end>2</end>
      <status>unmodified</status>
      <modifiedWord/>
      <trackRevisions>false</trackRevisions>
    </reviewItem>
    <reviewItem>
      <errorID>ef765183-4bd2-4fdd-b6aa-8b93193420fd</errorID>
      <errorWord>16号</errorWord>
      <group>L1_Knowledge</group>
      <groupName>知识性问题</groupName>
      <ability>L2_Time</ability>
      <abilityName>日期时间</abilityName>
      <candidateList>
        <item>16日</item>
      </candidateList>
      <explain>日期表达规范为x月x日。</explain>
      <paraID>2491A630</paraID>
      <start>53</start>
      <end>56</end>
      <status>modified</status>
      <modifiedWord>16日</modifiedWord>
      <trackRevisions>false</trackRevisions>
    </reviewItem>
    <reviewItem>
      <errorID>d689a880-f81e-45c8-966a-2fc65e3a621c</errorID>
      <errorWord>)</errorWord>
      <group>L1_Format</group>
      <groupName>格式问题</groupName>
      <ability>L2_HalfPunc</ability>
      <abilityName>全半角检查</abilityName>
      <candidateList>
        <item>）</item>
      </candidateList>
      <explain>文本全半角错误。</explain>
      <paraID>22885EDF</paraID>
      <start>24</start>
      <end>25</end>
      <status>modified</status>
      <modifiedWord>）</modifiedWord>
      <trackRevisions>false</trackRevisions>
    </reviewItem>
    <reviewItem>
      <errorID>6e985150-6f9c-4897-b129-96668c221877</errorID>
      <errorWord>)</errorWord>
      <group>L1_Format</group>
      <groupName>格式问题</groupName>
      <ability>L2_HalfPunc</ability>
      <abilityName>全半角检查</abilityName>
      <candidateList>
        <item>）</item>
      </candidateList>
      <explain>文本全半角错误。</explain>
      <paraID>22885EDF</paraID>
      <start>34</start>
      <end>35</end>
      <status>modified</status>
      <modifiedWord>）</modifiedWord>
      <trackRevisions>false</trackRevisions>
    </reviewItem>
    <reviewItem>
      <errorID>b5fe1a01-34b3-4ff3-a82b-e4fd7334bdff</errorID>
      <errorWord>)</errorWord>
      <group>L1_Format</group>
      <groupName>格式问题</groupName>
      <ability>L2_HalfPunc</ability>
      <abilityName>全半角检查</abilityName>
      <candidateList>
        <item>）</item>
      </candidateList>
      <explain>文本全半角错误。</explain>
      <paraID>22885EDF</paraID>
      <start>44</start>
      <end>45</end>
      <status>modified</status>
      <modifiedWord>）</modifiedWord>
      <trackRevisions>false</trackRevisions>
    </reviewItem>
    <reviewItem>
      <errorID>a85a9d2a-6792-4854-8ed5-043e6fab7fe6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218A821D</paraID>
      <start>0</start>
      <end>2</end>
      <status>unmodified</status>
      <modifiedWord/>
      <trackRevisions>false</trackRevisions>
    </reviewItem>
    <reviewItem>
      <errorID>1f3c2347-7779-423f-8df0-a5727cd831b4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3E27ABAA</paraID>
      <start>0</start>
      <end>2</end>
      <status>unmodified</status>
      <modifiedWord/>
      <trackRevisions>false</trackRevisions>
    </reviewItem>
    <reviewItem>
      <errorID>68941df9-8ebd-4813-8794-7d57e5368827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5DABBEB2</paraID>
      <start>0</start>
      <end>2</end>
      <status>unmodified</status>
      <modifiedWord/>
      <trackRevisions>false</trackRevisions>
    </reviewItem>
    <reviewItem>
      <errorID>1c70c425-4cf0-44ec-93bf-84b6ce600c2f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223E1A20</paraID>
      <start>0</start>
      <end>2</end>
      <status>unmodified</status>
      <modifiedWord/>
      <trackRevisions>false</trackRevisions>
    </reviewItem>
    <reviewItem>
      <errorID>03b5beaf-5f05-48e1-a0cd-f6d4e2a37fb7</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4783D8C5</paraID>
      <start>0</start>
      <end>2</end>
      <status>unmodified</status>
      <modifiedWord/>
      <trackRevisions>false</trackRevisions>
    </reviewItem>
    <reviewItem>
      <errorID>a66a7e67-942e-4df5-a17c-b3942e739b1d</errorID>
      <errorWord>泼洒</errorWord>
      <group>L1_Word</group>
      <groupName>字词问题</groupName>
      <ability>L2_Typo</ability>
      <abilityName>字词错误</abilityName>
      <candidateList>
        <item>喷洒</item>
      </candidateList>
      <explain>〈动〉喷射散落（多用于液体）：～农药。</explain>
      <paraID>4EB54798</paraID>
      <start>55</start>
      <end>57</end>
      <status>unmodified</status>
      <modifiedWord/>
      <trackRevisions>false</trackRevisions>
    </reviewItem>
    <reviewItem>
      <errorID>a5f44932-cfc6-48a2-8176-617b79082ddc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4E9A211B</paraID>
      <start>0</start>
      <end>2</end>
      <status>unmodified</status>
      <modifiedWord/>
      <trackRevisions>false</trackRevisions>
    </reviewItem>
    <reviewItem>
      <errorID>21b42b01-a8e5-4070-adba-4c737ff534d0</errorID>
      <errorWord>-</errorWord>
      <group>L1_Format</group>
      <groupName>格式问题</groupName>
      <ability>L2_HalfPunc</ability>
      <abilityName>全半角检查</abilityName>
      <candidateList>
        <item>－</item>
      </candidateList>
      <explain>文本全半角错误。</explain>
      <paraID>761A0652</paraID>
      <start>70</start>
      <end>71</end>
      <status>unmodified</status>
      <modifiedWord/>
      <trackRevisions>false</trackRevisions>
    </reviewItem>
    <reviewItem>
      <errorID>60e16fee-8cbf-4883-8e45-84fa66a7ec3f</errorID>
      <errorWord>-</errorWord>
      <group>L1_Format</group>
      <groupName>格式问题</groupName>
      <ability>L2_HalfPunc</ability>
      <abilityName>全半角检查</abilityName>
      <candidateList>
        <item>－</item>
      </candidateList>
      <explain>文本全半角错误。</explain>
      <paraID>428E7822</paraID>
      <start>70</start>
      <end>71</end>
      <status>unmodified</status>
      <modifiedWord/>
      <trackRevisions>false</trackRevisions>
    </reviewItem>
    <reviewItem>
      <errorID>29ac228e-b8c0-4f89-9c52-7d13f491666c</errorID>
      <errorWord>:</errorWord>
      <group>L1_Format</group>
      <groupName>格式问题</groupName>
      <ability>L2_HalfPunc</ability>
      <abilityName>全半角检查</abilityName>
      <candidateList>
        <item>：</item>
      </candidateList>
      <explain>文本全半角错误。</explain>
      <paraID>20A7FF84</paraID>
      <start>24</start>
      <end>25</end>
      <status>unmodified</status>
      <modifiedWord/>
      <trackRevisions>false</trackRevisions>
    </reviewItem>
    <reviewItem>
      <errorID>379e83c8-202c-406f-8b24-257050a20144</errorID>
      <errorWord>海拔高度</errorWord>
      <group>L1_Word</group>
      <groupName>字词问题</groupName>
      <ability>L2_Typo</ability>
      <abilityName>字词错误</abilityName>
      <candidateList>
        <item>海拔</item>
      </candidateList>
      <explain>〈名〉从平均海平面起算的高度。</explain>
      <paraID>35C501B1</paraID>
      <start>0</start>
      <end>2</end>
      <status>modified</status>
      <modifiedWord>海拔</modifiedWord>
      <trackRevisions>false</trackRevisions>
    </reviewItem>
    <reviewItem>
      <errorID>20fd0d93-c940-415e-bcc2-ef780bb189b8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9AD652</paraID>
      <start>0</start>
      <end>2</end>
      <status>unmodified</status>
      <modifiedWord/>
      <trackRevisions>false</trackRevisions>
    </reviewItem>
    <reviewItem>
      <errorID>74b93b7f-0e46-43e8-9b1e-ef2b9bd2e271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3D307628</paraID>
      <start>0</start>
      <end>2</end>
      <status>unmodified</status>
      <modifiedWord/>
      <trackRevisions>false</trackRevisions>
    </reviewItem>
    <reviewItem>
      <errorID>4e4ce40a-df27-46d3-b1fc-0e632c70e473</errorID>
      <errorWord>源源</errorWord>
      <group>L1_Word</group>
      <groupName>字词问题</groupName>
      <ability>L2_Typo</ability>
      <abilityName>字词错误</abilityName>
      <candidateList>
        <item>源</item>
      </candidateList>
      <explain/>
      <paraID>79320F06</paraID>
      <start>1</start>
      <end>3</end>
      <status>unmodified</status>
      <modifiedWord/>
      <trackRevisions>false</trackRevisions>
    </reviewItem>
    <reviewItem>
      <errorID>00a03468-9840-4c62-92ff-b28a4dfa0de3</errorID>
      <errorWord>跳动检测</errorWord>
      <group>L1_Word</group>
      <groupName>字词问题</groupName>
      <ability>L2_Typo</ability>
      <abilityName>字词错误</abilityName>
      <candidateList>
        <item>跳动监测</item>
      </candidateList>
      <explain/>
      <paraID>12EBEE9E</paraID>
      <start>0</start>
      <end>4</end>
      <status>unmodified</status>
      <modifiedWord/>
      <trackRevisions>false</trackRevisions>
    </reviewItem>
    <reviewItem>
      <errorID>7eca0bd5-8a9f-4412-8b6d-f4a9e53fd51f</errorID>
      <errorWord>振动检测</errorWord>
      <group>L1_Word</group>
      <groupName>字词问题</groupName>
      <ability>L2_Typo</ability>
      <abilityName>字词错误</abilityName>
      <candidateList>
        <item>振动监测</item>
      </candidateList>
      <explain/>
      <paraID>718326D2</paraID>
      <start>0</start>
      <end>4</end>
      <status>unmodified</status>
      <modifiedWord/>
      <trackRevisions>false</trackRevisions>
    </reviewItem>
    <reviewItem>
      <errorID>5a47ab80-6e99-4e09-aa16-e79d1bcd87a5</errorID>
      <errorWord>-</errorWord>
      <group>L1_Format</group>
      <groupName>格式问题</groupName>
      <ability>L2_HalfPunc</ability>
      <abilityName>全半角检查</abilityName>
      <candidateList>
        <item>－</item>
      </candidateList>
      <explain>文本全半角错误。</explain>
      <paraID>6C10F5B0</paraID>
      <start>7</start>
      <end>8</end>
      <status>unmodified</status>
      <modifiedWord/>
      <trackRevisions>false</trackRevisions>
    </reviewItem>
    <reviewItem>
      <errorID>90dde954-c5ac-4ffe-8db1-9fa0344528d4</errorID>
      <errorWord>-</errorWord>
      <group>L1_Format</group>
      <groupName>格式问题</groupName>
      <ability>L2_HalfPunc</ability>
      <abilityName>全半角检查</abilityName>
      <candidateList>
        <item>－</item>
      </candidateList>
      <explain>文本全半角错误。</explain>
      <paraID>619C9289</paraID>
      <start>7</start>
      <end>8</end>
      <status>unmodified</status>
      <modifiedWord/>
      <trackRevisions>false</trackRevisions>
    </reviewItem>
    <reviewItem>
      <errorID>d17f27ee-eee4-4e7d-943f-212b1bd42990</errorID>
      <errorWord>-</errorWord>
      <group>L1_Format</group>
      <groupName>格式问题</groupName>
      <ability>L2_HalfPunc</ability>
      <abilityName>全半角检查</abilityName>
      <candidateList>
        <item>－</item>
      </candidateList>
      <explain>文本全半角错误。</explain>
      <paraID> DF045FB</paraID>
      <start>7</start>
      <end>8</end>
      <status>unmodified</status>
      <modifiedWord/>
      <trackRevisions>false</trackRevisions>
    </reviewItem>
    <reviewItem>
      <errorID>d319a741-f9d0-40b2-bc26-90461f0a81aa</errorID>
      <errorWord>-</errorWord>
      <group>L1_Format</group>
      <groupName>格式问题</groupName>
      <ability>L2_HalfPunc</ability>
      <abilityName>全半角检查</abilityName>
      <candidateList>
        <item>－</item>
      </candidateList>
      <explain>文本全半角错误。</explain>
      <paraID>5C346756</paraID>
      <start>7</start>
      <end>8</end>
      <status>unmodified</status>
      <modifiedWord/>
      <trackRevisions>false</trackRevisions>
    </reviewItem>
    <reviewItem>
      <errorID>8a0c5090-a9e2-42ac-9e40-4bd6c1f4c978</errorID>
      <errorWord>-</errorWord>
      <group>L1_Format</group>
      <groupName>格式问题</groupName>
      <ability>L2_HalfPunc</ability>
      <abilityName>全半角检查</abilityName>
      <candidateList>
        <item>－</item>
      </candidateList>
      <explain>文本全半角错误。</explain>
      <paraID>78CD71CA</paraID>
      <start>7</start>
      <end>8</end>
      <status>unmodified</status>
      <modifiedWord/>
      <trackRevisions>false</trackRevisions>
    </reviewItem>
    <reviewItem>
      <errorID>b133d270-eb7e-4738-9ec3-17d64a774e54</errorID>
      <errorWord>(</errorWord>
      <group>L1_Format</group>
      <groupName>格式问题</groupName>
      <ability>L2_HalfPunc</ability>
      <abilityName>全半角检查</abilityName>
      <candidateList>
        <item>（</item>
      </candidateList>
      <explain>文本全半角错误。</explain>
      <paraID>684FFE53</paraID>
      <start>7</start>
      <end>8</end>
      <status>modified</status>
      <modifiedWord>（</modifiedWord>
      <trackRevisions>false</trackRevisions>
    </reviewItem>
    <reviewItem>
      <errorID>18381774-a5f2-4e0e-ac24-32f442a1dee0</errorID>
      <errorWord>(</errorWord>
      <group>L1_Format</group>
      <groupName>格式问题</groupName>
      <ability>L2_HalfPunc</ability>
      <abilityName>全半角检查</abilityName>
      <candidateList>
        <item>（</item>
      </candidateList>
      <explain>文本全半角错误。</explain>
      <paraID>53BBD7DA</paraID>
      <start>7</start>
      <end>8</end>
      <status>modified</status>
      <modifiedWord>（</modifiedWord>
      <trackRevisions>false</trackRevisions>
    </reviewItem>
    <reviewItem>
      <errorID>fb8a149e-130b-4e07-a579-23dc72ecd73d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6C396373</paraID>
      <start>0</start>
      <end>2</end>
      <status>unmodified</status>
      <modifiedWord/>
      <trackRevisions>false</trackRevisions>
    </reviewItem>
    <reviewItem>
      <errorID>669701d0-c25c-4963-bc20-5fb6fd616840</errorID>
      <errorWord>交有</errorWord>
      <group>L1_Word</group>
      <groupName>字词问题</groupName>
      <ability>L2_Typo</ability>
      <abilityName>字词错误</abilityName>
      <candidateList>
        <item>交由</item>
      </candidateList>
      <explain>存在发音相同字词的误用。</explain>
      <paraID>1E087340</paraID>
      <start>8</start>
      <end>10</end>
      <status>unmodified</status>
      <modifiedWord/>
      <trackRevisions>false</trackRevisions>
    </reviewItem>
    <reviewItem>
      <errorID>2f15e553-8d22-4aae-b41e-7fe677324d07</errorID>
      <errorWord>，</errorWord>
      <group>L1_Format</group>
      <groupName>格式问题</groupName>
      <ability>L2_HalfPunc</ability>
      <abilityName>全半角检查</abilityName>
      <candidateList>
        <item>, </item>
      </candidateList>
      <explain>文本全半角错误。</explain>
      <paraID>5ED896E6</paraID>
      <start>1</start>
      <end>2</end>
      <status>unmodified</status>
      <modifiedWord/>
      <trackRevisions>false</trackRevisions>
    </reviewItem>
    <reviewItem>
      <errorID>9f55a88f-51f5-4541-88f4-fe24ed2469ef</errorID>
      <errorWord>，</errorWord>
      <group>L1_Format</group>
      <groupName>格式问题</groupName>
      <ability>L2_HalfPunc</ability>
      <abilityName>全半角检查</abilityName>
      <candidateList>
        <item>, </item>
      </candidateList>
      <explain>文本全半角错误。</explain>
      <paraID>3634B99E</paraID>
      <start>1</start>
      <end>2</end>
      <status>unmodified</status>
      <modifiedWord/>
      <trackRevisions>false</trackRevisions>
    </reviewItem>
    <reviewItem>
      <errorID>03fdcb1d-615b-41d3-8ac5-0235f8165c57</errorID>
      <errorWord>，</errorWord>
      <group>L1_Format</group>
      <groupName>格式问题</groupName>
      <ability>L2_HalfPunc</ability>
      <abilityName>全半角检查</abilityName>
      <candidateList>
        <item>, </item>
      </candidateList>
      <explain>文本全半角错误。</explain>
      <paraID> 81EA3E0</paraID>
      <start>1</start>
      <end>2</end>
      <status>unmodified</status>
      <modifiedWord/>
      <trackRevisions>false</trackRevisions>
    </reviewItem>
    <reviewItem>
      <errorID>7ba112f2-b462-4743-8c32-d579aa6cf1ce</errorID>
      <errorWord>，</errorWord>
      <group>L1_Format</group>
      <groupName>格式问题</groupName>
      <ability>L2_HalfPunc</ability>
      <abilityName>全半角检查</abilityName>
      <candidateList>
        <item>, </item>
      </candidateList>
      <explain>文本全半角错误。</explain>
      <paraID>2E058120</paraID>
      <start>1</start>
      <end>2</end>
      <status>unmodified</status>
      <modifiedWord/>
      <trackRevisions>false</trackRevisions>
    </reviewItem>
    <reviewItem>
      <errorID>bc6e1c6b-6c17-4bce-8559-fc61b7191ccd</errorID>
      <errorWord>，</errorWord>
      <group>L1_Format</group>
      <groupName>格式问题</groupName>
      <ability>L2_HalfPunc</ability>
      <abilityName>全半角检查</abilityName>
      <candidateList>
        <item>, </item>
      </candidateList>
      <explain>文本全半角错误。</explain>
      <paraID>250B6E8C</paraID>
      <start>1</start>
      <end>2</end>
      <status>unmodified</status>
      <modifiedWord/>
      <trackRevisions>false</trackRevisions>
    </reviewItem>
    <reviewItem>
      <errorID>89566200-ace1-4b69-b79b-8e469b61d645</errorID>
      <errorWord>，</errorWord>
      <group>L1_Format</group>
      <groupName>格式问题</groupName>
      <ability>L2_HalfPunc</ability>
      <abilityName>全半角检查</abilityName>
      <candidateList>
        <item>, </item>
      </candidateList>
      <explain>文本全半角错误。</explain>
      <paraID>28BEFAE2</paraID>
      <start>1</start>
      <end>2</end>
      <status>unmodified</status>
      <modifiedWord/>
      <trackRevisions>false</trackRevisions>
    </reviewItem>
    <reviewItem>
      <errorID>932e5d6e-8108-4ad6-89d0-db32eb3cb796</errorID>
      <errorWord>，</errorWord>
      <group>L1_Format</group>
      <groupName>格式问题</groupName>
      <ability>L2_HalfPunc</ability>
      <abilityName>全半角检查</abilityName>
      <candidateList>
        <item>, </item>
      </candidateList>
      <explain>文本全半角错误。</explain>
      <paraID>43043709</paraID>
      <start>1</start>
      <end>2</end>
      <status>unmodified</status>
      <modifiedWord/>
      <trackRevisions>false</trackRevisions>
    </reviewItem>
    <reviewItem>
      <errorID>64316166-81fe-4f46-9fae-2efea1def777</errorID>
      <errorWord>，</errorWord>
      <group>L1_Format</group>
      <groupName>格式问题</groupName>
      <ability>L2_HalfPunc</ability>
      <abilityName>全半角检查</abilityName>
      <candidateList>
        <item>, </item>
      </candidateList>
      <explain>文本全半角错误。</explain>
      <paraID>633968F7</paraID>
      <start>1</start>
      <end>2</end>
      <status>unmodified</status>
      <modifiedWord/>
      <trackRevisions>false</trackRevisions>
    </reviewItem>
    <reviewItem>
      <errorID>032961e7-6650-4dbe-b414-be24b3dac765</errorID>
      <errorWord>，</errorWord>
      <group>L1_Format</group>
      <groupName>格式问题</groupName>
      <ability>L2_HalfPunc</ability>
      <abilityName>全半角检查</abilityName>
      <candidateList>
        <item>, </item>
      </candidateList>
      <explain>文本全半角错误。</explain>
      <paraID>7E5AF51F</paraID>
      <start>1</start>
      <end>2</end>
      <status>unmodified</status>
      <modifiedWord/>
      <trackRevisions>false</trackRevisions>
    </reviewItem>
    <reviewItem>
      <errorID>e71976fb-5cca-42fc-892b-570cc5ea8076</errorID>
      <errorWord>，</errorWord>
      <group>L1_Format</group>
      <groupName>格式问题</groupName>
      <ability>L2_HalfPunc</ability>
      <abilityName>全半角检查</abilityName>
      <candidateList>
        <item>, </item>
      </candidateList>
      <explain>文本全半角错误。</explain>
      <paraID> 6AEF835</paraID>
      <start>1</start>
      <end>2</end>
      <status>unmodified</status>
      <modifiedWord/>
      <trackRevisions>false</trackRevisions>
    </reviewItem>
    <reviewItem>
      <errorID>1be5ab1b-85ca-45f8-9b24-39bece53d597</errorID>
      <errorWord>，</errorWord>
      <group>L1_Format</group>
      <groupName>格式问题</groupName>
      <ability>L2_HalfPunc</ability>
      <abilityName>全半角检查</abilityName>
      <candidateList>
        <item>, </item>
      </candidateList>
      <explain>文本全半角错误。</explain>
      <paraID>5C8378C6</paraID>
      <start>1</start>
      <end>2</end>
      <status>unmodified</status>
      <modifiedWord/>
      <trackRevisions>false</trackRevisions>
    </reviewItem>
    <reviewItem>
      <errorID>b73ed723-af5c-4893-beb6-cfc999d0b742</errorID>
      <errorWord>，</errorWord>
      <group>L1_Format</group>
      <groupName>格式问题</groupName>
      <ability>L2_HalfPunc</ability>
      <abilityName>全半角检查</abilityName>
      <candidateList>
        <item>, </item>
      </candidateList>
      <explain>文本全半角错误。</explain>
      <paraID>38D5BC8F</paraID>
      <start>1</start>
      <end>2</end>
      <status>unmodified</status>
      <modifiedWord/>
      <trackRevisions>false</trackRevisions>
    </reviewItem>
    <reviewItem>
      <errorID>0386cd9d-9e77-4dff-b203-7e9a89758d45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77664A20</paraID>
      <start>326</start>
      <end>327</end>
      <status>unmodified</status>
      <modifiedWord/>
      <trackRevisions>false</trackRevisions>
    </reviewItem>
    <reviewItem>
      <errorID>dd5f7679-75a1-4528-9629-8a7eb5faed5f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77664A20</paraID>
      <start>365</start>
      <end>366</end>
      <status>unmodified</status>
      <modifiedWord/>
      <trackRevisions>false</trackRevisions>
    </reviewItem>
    <reviewItem>
      <errorID>8bee235f-8b32-4930-bbb3-af32773a174d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6303F328</paraID>
      <start>21</start>
      <end>22</end>
      <status>unmodified</status>
      <modifiedWord/>
      <trackRevisions>false</trackRevisions>
    </reviewItem>
    <reviewItem>
      <errorID>f382a018-4ca4-4465-aa24-92936cd5020a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6303F328</paraID>
      <start>60</start>
      <end>61</end>
      <status>unmodified</status>
      <modifiedWord/>
      <trackRevisions>false</trackRevisions>
    </reviewItem>
    <reviewItem>
      <errorID>ba18c46f-8b9f-4778-a413-96f267f7f18f</errorID>
      <errorWord>一般固废暂存一般固废暂存</errorWord>
      <group>L1_Word</group>
      <groupName>字词问题</groupName>
      <ability>L2_Typo</ability>
      <abilityName>字词错误</abilityName>
      <candidateList>
        <item>一般固废暂存</item>
      </candidateList>
      <explain/>
      <paraID>789E3271</paraID>
      <start>22</start>
      <end>34</end>
      <status>unmodified</status>
      <modifiedWord/>
      <trackRevisions>false</trackRevisions>
    </reviewItem>
    <reviewItem>
      <errorID>9702955b-b741-46d4-84e1-51c799909cbc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1FDA2876</paraID>
      <start>0</start>
      <end>2</end>
      <status>unmodified</status>
      <modifiedWord/>
      <trackRevisions>false</trackRevisions>
    </reviewItem>
    <reviewItem>
      <errorID>2c26a6fd-4422-402a-9516-0560125c9840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385974CB</paraID>
      <start>26</start>
      <end>27</end>
      <status>unmodified</status>
      <modifiedWord/>
      <trackRevisions>false</trackRevisions>
    </reviewItem>
    <reviewItem>
      <errorID>0a35eced-613c-4d41-9343-ae3bb217c5f0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385974CB</paraID>
      <start>68</start>
      <end>69</end>
      <status>unmodified</status>
      <modifiedWord/>
      <trackRevisions>false</trackRevisions>
    </reviewItem>
    <reviewItem>
      <errorID>86113fe2-708a-464a-be05-d7735e83ceb0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6DC2D1C6</paraID>
      <start>28</start>
      <end>29</end>
      <status>unmodified</status>
      <modifiedWord/>
      <trackRevisions>false</trackRevisions>
    </reviewItem>
    <reviewItem>
      <errorID>3b115525-f2e5-4a38-9fb0-421e0ee120f3</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45C8A85B</paraID>
      <start>0</start>
      <end>2</end>
      <status>unmodified</status>
      <modifiedWord/>
      <trackRevisions>false</trackRevisions>
    </reviewItem>
    <reviewItem>
      <errorID>c867efc4-1a8a-40b4-be45-881b8a1804fd</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67ADD41</paraID>
      <start>0</start>
      <end>2</end>
      <status>unmodified</status>
      <modifiedWord/>
      <trackRevisions>false</trackRevisions>
    </reviewItem>
    <reviewItem>
      <errorID>ea84a939-0917-45ad-b6f8-fc07dae7073c</errorID>
      <errorWord>减少对</errorWord>
      <group>L1_Word</group>
      <groupName>字词问题</groupName>
      <ability>L2_Typo</ability>
      <abilityName>字词错误</abilityName>
      <candidateList>
        <item>减少</item>
      </candidateList>
      <explain>〈动〉减去一部分：～人员｜～麻烦｜工作中的缺点～了。</explain>
      <paraID>3CE041E8</paraID>
      <start>49</start>
      <end>51</end>
      <status>modified</status>
      <modifiedWord>减少</modifiedWord>
      <trackRevisions>false</trackRevisions>
    </reviewItem>
    <reviewItem>
      <errorID>eb873e69-f11d-48d0-bb46-b5e2baba7490</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4915B0E0</paraID>
      <start>0</start>
      <end>2</end>
      <status>unmodified</status>
      <modifiedWord/>
      <trackRevisions>false</trackRevisions>
    </reviewItem>
    <reviewItem>
      <errorID>c1c7d4e8-2a7d-4c03-8bd4-3870833f54ca</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47F9A873</paraID>
      <start>0</start>
      <end>2</end>
      <status>unmodified</status>
      <modifiedWord/>
      <trackRevisions>false</trackRevisions>
    </reviewItem>
    <reviewItem>
      <errorID>e4648e81-a808-4aee-80f7-06030e835762</errorID>
      <errorWord>交有</errorWord>
      <group>L1_Word</group>
      <groupName>字词问题</groupName>
      <ability>L2_Typo</ability>
      <abilityName>字词错误</abilityName>
      <candidateList>
        <item>交由</item>
      </candidateList>
      <explain>存在发音相同字词的误用。</explain>
      <paraID>785CCC78</paraID>
      <start>8</start>
      <end>10</end>
      <status>unmodified</status>
      <modifiedWord/>
      <trackRevisions>false</trackRevisions>
    </reviewItem>
    <reviewItem>
      <errorID>bc4ea34e-4c1d-42cb-9975-bd8fd1d54176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5C5D5F59</paraID>
      <start>26</start>
      <end>27</end>
      <status>unmodified</status>
      <modifiedWord/>
      <trackRevisions>false</trackRevisions>
    </reviewItem>
    <reviewItem>
      <errorID>16286dd5-9f27-47c2-a386-03787359bd96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5C5D5F59</paraID>
      <start>68</start>
      <end>69</end>
      <status>unmodified</status>
      <modifiedWord/>
      <trackRevisions>false</trackRevisions>
    </reviewItem>
    <reviewItem>
      <errorID>4d9f98bc-ca12-48e3-8beb-cb76a030b233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1C17FA2A</paraID>
      <start>28</start>
      <end>29</end>
      <status>unmodified</status>
      <modifiedWord/>
      <trackRevisions>false</trackRevisions>
    </reviewItem>
    <reviewItem>
      <errorID>71e33959-ccf0-454f-b601-748ea6d58f81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39E178F8</paraID>
      <start>0</start>
      <end>2</end>
      <status>unmodified</status>
      <modifiedWord/>
      <trackRevisions>false</trackRevisions>
    </reviewItem>
    <reviewItem>
      <errorID>92691795-70de-474a-a9d0-e3f915e09645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245011</paraID>
      <start>0</start>
      <end>2</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47109ee-dd33-41f5-a48f-f89011da5e39}">
  <ds:schemaRefs/>
</ds:datastoreItem>
</file>

<file path=docProps/app.xml><?xml version="1.0" encoding="utf-8"?>
<Properties xmlns="http://schemas.openxmlformats.org/officeDocument/2006/extended-properties" xmlns:vt="http://schemas.openxmlformats.org/officeDocument/2006/docPropsVTypes">
  <Template>Normal</Template>
  <Company>zhs</Company>
  <Pages>115</Pages>
  <Words>470</Words>
  <Characters>497</Characters>
  <Lines>322</Lines>
  <Paragraphs>90</Paragraphs>
  <TotalTime>16</TotalTime>
  <ScaleCrop>false</ScaleCrop>
  <LinksUpToDate>false</LinksUpToDate>
  <CharactersWithSpaces>577</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2020-11-25T03:48:00Z</dcterms:created>
  <dc:creator>ssl</dc:creator>
  <cp:lastModifiedBy>-'Lucky</cp:lastModifiedBy>
  <cp:lastPrinted>2026-04-17T06:43:00Z</cp:lastPrinted>
  <dcterms:modified xsi:type="dcterms:W3CDTF">2026-06-15T02:18:34Z</dcterms:modified>
  <dc:title>建设项目基本情况</dc:title>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79088F49C1664B018DE995EEEBAD5617_13</vt:lpwstr>
  </property>
  <property fmtid="{D5CDD505-2E9C-101B-9397-08002B2CF9AE}" pid="4" name="commondata">
    <vt:lpwstr>eyJoZGlkIjoiY2ZlNWNkNzExNTI0NjU1ZjM1OWI4NGFhYjFmOTU1NDMifQ==</vt:lpwstr>
  </property>
  <property fmtid="{D5CDD505-2E9C-101B-9397-08002B2CF9AE}" pid="5" name="KSOTemplateDocerSaveRecord">
    <vt:lpwstr>eyJoZGlkIjoiMGRjMjA5MWY5Y2VmNzU4ZDRkYjQzZGViODlmNjZiMTAiLCJ1c2VySWQiOiI2NzQ0NTAwMzIifQ==</vt:lpwstr>
  </property>
</Properties>
</file>