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17.odttf" ContentType="application/vnd.openxmlformats-officedocument.obfuscatedFont"/>
  <Override PartName="/word/fonts/font18.odttf" ContentType="application/vnd.openxmlformats-officedocument.obfuscatedFont"/>
  <Override PartName="/word/fonts/font19.odttf" ContentType="application/vnd.openxmlformats-officedocument.obfuscatedFont"/>
  <Override PartName="/word/fonts/font2.odttf" ContentType="application/vnd.openxmlformats-officedocument.obfuscatedFont"/>
  <Override PartName="/word/fonts/font20.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94FA8C">
      <w:pPr>
        <w:adjustRightInd w:val="0"/>
        <w:snapToGrid w:val="0"/>
        <w:ind w:firstLine="0" w:firstLineChars="0"/>
        <w:jc w:val="center"/>
        <w:rPr>
          <w:rFonts w:ascii="仿宋_GB2312" w:hAnsi="仿宋_GB2312" w:eastAsia="仿宋_GB2312" w:cs="仿宋_GB2312"/>
          <w:sz w:val="36"/>
          <w:szCs w:val="36"/>
        </w:rPr>
      </w:pPr>
    </w:p>
    <w:p w14:paraId="289FD41D">
      <w:pPr>
        <w:adjustRightInd w:val="0"/>
        <w:snapToGrid w:val="0"/>
        <w:ind w:firstLine="0" w:firstLineChars="0"/>
        <w:jc w:val="center"/>
        <w:rPr>
          <w:rFonts w:ascii="仿宋_GB2312" w:hAnsi="仿宋_GB2312" w:eastAsia="仿宋_GB2312" w:cs="仿宋_GB2312"/>
          <w:sz w:val="36"/>
          <w:szCs w:val="36"/>
        </w:rPr>
      </w:pPr>
    </w:p>
    <w:p w14:paraId="0EB69353">
      <w:pPr>
        <w:adjustRightInd w:val="0"/>
        <w:snapToGrid w:val="0"/>
        <w:ind w:firstLine="0" w:firstLineChars="0"/>
        <w:jc w:val="center"/>
        <w:rPr>
          <w:rFonts w:hint="eastAsia" w:ascii="仿宋_GB2312" w:hAnsi="仿宋_GB2312" w:eastAsia="仿宋_GB2312" w:cs="仿宋_GB2312"/>
          <w:sz w:val="36"/>
          <w:szCs w:val="36"/>
        </w:rPr>
      </w:pPr>
    </w:p>
    <w:p w14:paraId="735CA13A">
      <w:pPr>
        <w:adjustRightInd w:val="0"/>
        <w:snapToGrid w:val="0"/>
        <w:ind w:firstLine="0" w:firstLineChars="0"/>
        <w:jc w:val="center"/>
        <w:rPr>
          <w:rFonts w:ascii="方正小标宋_GBK" w:eastAsia="方正小标宋_GBK"/>
          <w:b/>
          <w:sz w:val="72"/>
          <w:szCs w:val="72"/>
        </w:rPr>
      </w:pPr>
      <w:r>
        <w:rPr>
          <w:rFonts w:hint="eastAsia" w:ascii="方正小标宋_GBK" w:eastAsia="方正小标宋_GBK"/>
          <w:b/>
          <w:sz w:val="72"/>
          <w:szCs w:val="72"/>
        </w:rPr>
        <w:t>建设项目环境影响报告表</w:t>
      </w:r>
    </w:p>
    <w:p w14:paraId="43A21C24">
      <w:pPr>
        <w:adjustRightInd w:val="0"/>
        <w:snapToGrid w:val="0"/>
        <w:spacing w:before="192" w:beforeLines="80"/>
        <w:ind w:firstLine="0" w:firstLineChars="0"/>
        <w:jc w:val="center"/>
        <w:rPr>
          <w:rFonts w:hint="eastAsia" w:ascii="华文仿宋" w:hAnsi="华文仿宋" w:eastAsia="华文仿宋" w:cs="华文仿宋"/>
          <w:b/>
          <w:kern w:val="44"/>
          <w:sz w:val="44"/>
          <w:szCs w:val="44"/>
        </w:rPr>
      </w:pPr>
      <w:r>
        <w:rPr>
          <w:rFonts w:hint="eastAsia" w:ascii="楷体_GB2312" w:eastAsia="楷体_GB2312"/>
          <w:b/>
          <w:sz w:val="48"/>
          <w:szCs w:val="48"/>
        </w:rPr>
        <w:t>（污染影响类）</w:t>
      </w:r>
    </w:p>
    <w:p w14:paraId="3D1E6479">
      <w:pPr>
        <w:ind w:firstLine="0" w:firstLineChars="0"/>
        <w:jc w:val="center"/>
        <w:rPr>
          <w:rFonts w:eastAsia="仿宋"/>
          <w:b/>
          <w:bCs/>
          <w:sz w:val="40"/>
          <w:szCs w:val="40"/>
        </w:rPr>
      </w:pPr>
      <w:r>
        <w:rPr>
          <w:rFonts w:hint="eastAsia" w:eastAsia="仿宋"/>
          <w:b/>
          <w:bCs/>
          <w:sz w:val="40"/>
          <w:szCs w:val="40"/>
        </w:rPr>
        <w:t>（公示本）</w:t>
      </w:r>
    </w:p>
    <w:p w14:paraId="5201562A">
      <w:pPr>
        <w:ind w:firstLine="880"/>
        <w:rPr>
          <w:rFonts w:eastAsia="仿宋"/>
          <w:sz w:val="44"/>
          <w:szCs w:val="44"/>
        </w:rPr>
      </w:pPr>
    </w:p>
    <w:p w14:paraId="18536BCB">
      <w:pPr>
        <w:ind w:firstLine="880"/>
        <w:rPr>
          <w:rFonts w:eastAsia="仿宋"/>
          <w:sz w:val="44"/>
          <w:szCs w:val="44"/>
        </w:rPr>
      </w:pPr>
    </w:p>
    <w:p w14:paraId="535AF8C0">
      <w:pPr>
        <w:ind w:firstLine="880"/>
        <w:rPr>
          <w:rFonts w:eastAsia="仿宋"/>
          <w:sz w:val="44"/>
          <w:szCs w:val="44"/>
        </w:rPr>
      </w:pPr>
    </w:p>
    <w:p w14:paraId="6405CBD1">
      <w:pPr>
        <w:adjustRightInd w:val="0"/>
        <w:snapToGrid w:val="0"/>
        <w:spacing w:line="480" w:lineRule="auto"/>
        <w:ind w:firstLine="851" w:firstLineChars="265"/>
        <w:rPr>
          <w:rFonts w:ascii="仿宋_GB2312" w:eastAsia="仿宋_GB2312"/>
          <w:b/>
          <w:bCs/>
          <w:sz w:val="32"/>
          <w:szCs w:val="32"/>
          <w:u w:val="single"/>
        </w:rPr>
      </w:pPr>
      <w:r>
        <w:rPr>
          <w:rFonts w:hint="eastAsia" w:ascii="仿宋_GB2312" w:eastAsia="仿宋_GB2312"/>
          <w:b/>
          <w:bCs/>
          <w:sz w:val="32"/>
          <w:szCs w:val="32"/>
        </w:rPr>
        <w:t>项目名称：</w:t>
      </w:r>
      <w:r>
        <w:rPr>
          <w:rFonts w:hint="eastAsia" w:ascii="仿宋_GB2312" w:eastAsia="仿宋_GB2312"/>
          <w:b/>
          <w:bCs/>
          <w:sz w:val="32"/>
          <w:szCs w:val="32"/>
          <w:u w:val="single"/>
        </w:rPr>
        <w:t xml:space="preserve">     </w:t>
      </w:r>
      <w:bookmarkStart w:id="0" w:name="OLE_LINK14"/>
      <w:r>
        <w:rPr>
          <w:rFonts w:hint="eastAsia" w:ascii="仿宋_GB2312" w:eastAsia="仿宋_GB2312"/>
          <w:b/>
          <w:bCs/>
          <w:sz w:val="32"/>
          <w:szCs w:val="32"/>
          <w:u w:val="single"/>
        </w:rPr>
        <w:t>汽车内外饰件及模具制造项目</w:t>
      </w:r>
      <w:bookmarkEnd w:id="0"/>
      <w:r>
        <w:rPr>
          <w:rFonts w:ascii="仿宋_GB2312" w:eastAsia="仿宋_GB2312"/>
          <w:b/>
          <w:bCs/>
          <w:sz w:val="32"/>
          <w:szCs w:val="32"/>
          <w:u w:val="single"/>
        </w:rPr>
        <w:t xml:space="preserve"> </w:t>
      </w:r>
      <w:r>
        <w:rPr>
          <w:rFonts w:hint="eastAsia" w:ascii="仿宋_GB2312" w:eastAsia="仿宋_GB2312"/>
          <w:b/>
          <w:bCs/>
          <w:sz w:val="32"/>
          <w:szCs w:val="32"/>
          <w:u w:val="single"/>
        </w:rPr>
        <w:t xml:space="preserve">     </w:t>
      </w:r>
    </w:p>
    <w:p w14:paraId="4D690A9C">
      <w:pPr>
        <w:adjustRightInd w:val="0"/>
        <w:snapToGrid w:val="0"/>
        <w:spacing w:line="480" w:lineRule="auto"/>
        <w:ind w:firstLine="851" w:firstLineChars="265"/>
        <w:rPr>
          <w:rFonts w:ascii="仿宋_GB2312" w:eastAsia="仿宋_GB2312"/>
          <w:b/>
          <w:bCs/>
          <w:sz w:val="32"/>
          <w:szCs w:val="32"/>
          <w:u w:val="single"/>
        </w:rPr>
      </w:pPr>
      <w:r>
        <w:rPr>
          <w:rFonts w:hint="eastAsia" w:ascii="仿宋_GB2312" w:eastAsia="仿宋_GB2312"/>
          <w:b/>
          <w:bCs/>
          <w:sz w:val="32"/>
          <w:szCs w:val="32"/>
        </w:rPr>
        <w:t>建设单位（盖章）：</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bookmarkStart w:id="1" w:name="OLE_LINK13"/>
      <w:r>
        <w:rPr>
          <w:rFonts w:hint="eastAsia" w:ascii="仿宋_GB2312" w:eastAsia="仿宋_GB2312"/>
          <w:b/>
          <w:bCs/>
          <w:sz w:val="32"/>
          <w:szCs w:val="32"/>
          <w:u w:val="single"/>
        </w:rPr>
        <w:t>柳州市远诚科技有限公司</w:t>
      </w:r>
      <w:bookmarkEnd w:id="1"/>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r>
        <w:rPr>
          <w:rFonts w:hint="eastAsia" w:ascii="仿宋_GB2312" w:eastAsia="仿宋_GB2312"/>
          <w:b/>
          <w:bCs/>
          <w:sz w:val="32"/>
          <w:szCs w:val="32"/>
          <w:u w:val="single"/>
        </w:rPr>
        <w:t xml:space="preserve"> </w:t>
      </w:r>
    </w:p>
    <w:p w14:paraId="51C8DBE9">
      <w:pPr>
        <w:adjustRightInd w:val="0"/>
        <w:snapToGrid w:val="0"/>
        <w:spacing w:line="480" w:lineRule="auto"/>
        <w:ind w:firstLine="851" w:firstLineChars="265"/>
        <w:rPr>
          <w:rFonts w:ascii="仿宋_GB2312" w:eastAsia="仿宋_GB2312"/>
          <w:b/>
          <w:bCs/>
          <w:sz w:val="32"/>
          <w:szCs w:val="32"/>
          <w:u w:val="single"/>
        </w:rPr>
      </w:pPr>
      <w:r>
        <w:rPr>
          <w:rFonts w:hint="eastAsia" w:ascii="仿宋_GB2312" w:eastAsia="仿宋_GB2312"/>
          <w:b/>
          <w:bCs/>
          <w:sz w:val="32"/>
          <w:szCs w:val="32"/>
        </w:rPr>
        <w:t>编制日期：</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202</w:t>
      </w:r>
      <w:r>
        <w:rPr>
          <w:rFonts w:hint="eastAsia" w:ascii="仿宋_GB2312" w:eastAsia="仿宋_GB2312"/>
          <w:b/>
          <w:bCs/>
          <w:sz w:val="32"/>
          <w:szCs w:val="32"/>
          <w:u w:val="single"/>
        </w:rPr>
        <w:t xml:space="preserve">6年6月 </w:t>
      </w:r>
      <w:r>
        <w:rPr>
          <w:rFonts w:ascii="仿宋_GB2312" w:eastAsia="仿宋_GB2312"/>
          <w:b/>
          <w:bCs/>
          <w:sz w:val="32"/>
          <w:szCs w:val="32"/>
          <w:u w:val="single"/>
        </w:rPr>
        <w:t xml:space="preserve">   </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r>
        <w:rPr>
          <w:rFonts w:hint="eastAsia" w:ascii="仿宋_GB2312" w:eastAsia="仿宋_GB2312"/>
          <w:b/>
          <w:bCs/>
          <w:sz w:val="32"/>
          <w:szCs w:val="32"/>
          <w:u w:val="single"/>
        </w:rPr>
        <w:t xml:space="preserve">  </w:t>
      </w:r>
      <w:r>
        <w:rPr>
          <w:rFonts w:ascii="仿宋_GB2312" w:eastAsia="仿宋_GB2312"/>
          <w:b/>
          <w:bCs/>
          <w:sz w:val="32"/>
          <w:szCs w:val="32"/>
          <w:u w:val="single"/>
        </w:rPr>
        <w:t xml:space="preserve">   </w:t>
      </w:r>
    </w:p>
    <w:p w14:paraId="21A9604C">
      <w:pPr>
        <w:adjustRightInd w:val="0"/>
        <w:snapToGrid w:val="0"/>
        <w:spacing w:line="288" w:lineRule="auto"/>
        <w:ind w:firstLine="723"/>
        <w:rPr>
          <w:rFonts w:ascii="仿宋_GB2312" w:eastAsia="仿宋_GB2312"/>
          <w:b/>
          <w:bCs/>
          <w:sz w:val="36"/>
          <w:szCs w:val="36"/>
        </w:rPr>
      </w:pPr>
      <w:bookmarkStart w:id="2" w:name="_Hlk57884087"/>
    </w:p>
    <w:p w14:paraId="79E0179A">
      <w:pPr>
        <w:adjustRightInd w:val="0"/>
        <w:snapToGrid w:val="0"/>
        <w:spacing w:line="288" w:lineRule="auto"/>
        <w:ind w:firstLine="723"/>
        <w:rPr>
          <w:rFonts w:ascii="仿宋_GB2312" w:eastAsia="仿宋_GB2312"/>
          <w:b/>
          <w:bCs/>
          <w:sz w:val="36"/>
          <w:szCs w:val="36"/>
        </w:rPr>
      </w:pPr>
    </w:p>
    <w:p w14:paraId="24F6608A">
      <w:pPr>
        <w:adjustRightInd w:val="0"/>
        <w:snapToGrid w:val="0"/>
        <w:spacing w:line="288" w:lineRule="auto"/>
        <w:ind w:firstLine="723"/>
        <w:rPr>
          <w:rFonts w:ascii="仿宋_GB2312" w:eastAsia="仿宋_GB2312"/>
          <w:b/>
          <w:bCs/>
          <w:sz w:val="36"/>
          <w:szCs w:val="36"/>
        </w:rPr>
      </w:pPr>
    </w:p>
    <w:bookmarkEnd w:id="2"/>
    <w:p w14:paraId="1AE24FB3">
      <w:pPr>
        <w:adjustRightInd w:val="0"/>
        <w:snapToGrid w:val="0"/>
        <w:spacing w:line="288" w:lineRule="auto"/>
        <w:ind w:firstLine="0" w:firstLineChars="0"/>
        <w:jc w:val="center"/>
        <w:rPr>
          <w:rFonts w:ascii="楷体_GB2312" w:eastAsia="楷体_GB2312"/>
          <w:b/>
          <w:bCs/>
          <w:sz w:val="36"/>
          <w:szCs w:val="36"/>
        </w:rPr>
        <w:sectPr>
          <w:headerReference r:id="rId7" w:type="first"/>
          <w:footerReference r:id="rId10" w:type="first"/>
          <w:headerReference r:id="rId5" w:type="default"/>
          <w:footerReference r:id="rId8" w:type="default"/>
          <w:headerReference r:id="rId6" w:type="even"/>
          <w:footerReference r:id="rId9" w:type="even"/>
          <w:pgSz w:w="11906" w:h="16838"/>
          <w:pgMar w:top="1474" w:right="1247" w:bottom="1474" w:left="1531" w:header="851" w:footer="1077" w:gutter="0"/>
          <w:pgNumType w:start="1"/>
          <w:cols w:space="720" w:num="1"/>
          <w:docGrid w:linePitch="312" w:charSpace="0"/>
        </w:sectPr>
      </w:pPr>
      <w:r>
        <w:rPr>
          <w:rFonts w:hint="eastAsia" w:ascii="楷体_GB2312" w:eastAsia="楷体_GB2312"/>
          <w:b/>
          <w:bCs/>
          <w:sz w:val="36"/>
          <w:szCs w:val="36"/>
        </w:rPr>
        <w:t>中华人民共和国生态环境部制</w:t>
      </w:r>
    </w:p>
    <w:p w14:paraId="6F1249CB">
      <w:pPr>
        <w:ind w:firstLine="723"/>
        <w:rPr>
          <w:b/>
          <w:bCs/>
          <w:sz w:val="36"/>
          <w:szCs w:val="36"/>
          <w:lang w:val="zh-CN"/>
        </w:rPr>
      </w:pPr>
      <w:r>
        <w:rPr>
          <w:sz w:val="36"/>
        </w:rPr>
        <mc:AlternateContent>
          <mc:Choice Requires="wps">
            <w:drawing>
              <wp:anchor distT="0" distB="0" distL="114300" distR="114300" simplePos="0" relativeHeight="251683840" behindDoc="0" locked="0" layoutInCell="1" allowOverlap="1">
                <wp:simplePos x="0" y="0"/>
                <wp:positionH relativeFrom="column">
                  <wp:posOffset>424180</wp:posOffset>
                </wp:positionH>
                <wp:positionV relativeFrom="paragraph">
                  <wp:posOffset>-4627245</wp:posOffset>
                </wp:positionV>
                <wp:extent cx="2157095" cy="355600"/>
                <wp:effectExtent l="6350" t="6350" r="8255" b="19050"/>
                <wp:wrapNone/>
                <wp:docPr id="4" name="矩形 4"/>
                <wp:cNvGraphicFramePr/>
                <a:graphic xmlns:a="http://schemas.openxmlformats.org/drawingml/2006/main">
                  <a:graphicData uri="http://schemas.microsoft.com/office/word/2010/wordprocessingShape">
                    <wps:wsp>
                      <wps:cNvSpPr/>
                      <wps:spPr>
                        <a:xfrm>
                          <a:off x="1396365" y="5128895"/>
                          <a:ext cx="2157095" cy="355600"/>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3.4pt;margin-top:-364.35pt;height:28pt;width:169.85pt;z-index:251683840;v-text-anchor:middle;mso-width-relative:page;mso-height-relative:page;" fillcolor="#FFFFFF [3212]" filled="t" stroked="t" coordsize="21600,21600" o:gfxdata="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zk4fG&#10;3AAAAAwBAAAPAAAAAAAAAAEAIAAAACIAAABkcnMvZG93bnJldi54bWxQSwECFAAUAAAACACHTuJA&#10;CfjBGo8CAAAiBQAADgAAAAAAAAABACAAAAArAQAAZHJzL2Uyb0RvYy54bWxQSwUGAAAAAAYABgBZ&#10;AQAALAYAAAAA&#10;">
                <v:fill on="t" focussize="0,0"/>
                <v:stroke weight="1pt" color="#2F5597 [2404]" miterlimit="8" joinstyle="miter"/>
                <v:imagedata o:title=""/>
                <o:lock v:ext="edit" aspectratio="f"/>
              </v:rect>
            </w:pict>
          </mc:Fallback>
        </mc:AlternateContent>
      </w:r>
      <w:r>
        <w:rPr>
          <w:b/>
          <w:bCs/>
          <w:sz w:val="36"/>
          <w:szCs w:val="36"/>
          <w:lang w:val="zh-CN"/>
        </w:rPr>
        <w:drawing>
          <wp:anchor distT="0" distB="0" distL="114300" distR="114300" simplePos="0" relativeHeight="251680768" behindDoc="0" locked="0" layoutInCell="1" allowOverlap="1">
            <wp:simplePos x="0" y="0"/>
            <wp:positionH relativeFrom="column">
              <wp:posOffset>-631825</wp:posOffset>
            </wp:positionH>
            <wp:positionV relativeFrom="paragraph">
              <wp:posOffset>-702945</wp:posOffset>
            </wp:positionV>
            <wp:extent cx="6910070" cy="9919335"/>
            <wp:effectExtent l="0" t="0" r="5080" b="5715"/>
            <wp:wrapTopAndBottom/>
            <wp:docPr id="1" name="图片 1" descr="承诺书（盖章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承诺书（盖章版）"/>
                    <pic:cNvPicPr>
                      <a:picLocks noChangeAspect="1"/>
                    </pic:cNvPicPr>
                  </pic:nvPicPr>
                  <pic:blipFill>
                    <a:blip r:embed="rId14"/>
                    <a:stretch>
                      <a:fillRect/>
                    </a:stretch>
                  </pic:blipFill>
                  <pic:spPr>
                    <a:xfrm>
                      <a:off x="0" y="0"/>
                      <a:ext cx="6910070" cy="9919335"/>
                    </a:xfrm>
                    <a:prstGeom prst="rect">
                      <a:avLst/>
                    </a:prstGeom>
                  </pic:spPr>
                </pic:pic>
              </a:graphicData>
            </a:graphic>
          </wp:anchor>
        </w:drawing>
      </w:r>
    </w:p>
    <w:p w14:paraId="2BA5EE7A">
      <w:pPr>
        <w:ind w:firstLine="723"/>
        <w:rPr>
          <w:b/>
          <w:bCs/>
          <w:sz w:val="36"/>
          <w:szCs w:val="36"/>
          <w:lang w:val="zh-CN"/>
        </w:rPr>
      </w:pPr>
      <w:r>
        <w:rPr>
          <w:sz w:val="36"/>
        </w:rPr>
        <mc:AlternateContent>
          <mc:Choice Requires="wps">
            <w:drawing>
              <wp:anchor distT="0" distB="0" distL="114300" distR="114300" simplePos="0" relativeHeight="251684864" behindDoc="0" locked="0" layoutInCell="1" allowOverlap="1">
                <wp:simplePos x="0" y="0"/>
                <wp:positionH relativeFrom="column">
                  <wp:posOffset>842645</wp:posOffset>
                </wp:positionH>
                <wp:positionV relativeFrom="paragraph">
                  <wp:posOffset>-2347595</wp:posOffset>
                </wp:positionV>
                <wp:extent cx="2157095" cy="355600"/>
                <wp:effectExtent l="6350" t="6350" r="8255" b="19050"/>
                <wp:wrapNone/>
                <wp:docPr id="10" name="矩形 10"/>
                <wp:cNvGraphicFramePr/>
                <a:graphic xmlns:a="http://schemas.openxmlformats.org/drawingml/2006/main">
                  <a:graphicData uri="http://schemas.microsoft.com/office/word/2010/wordprocessingShape">
                    <wps:wsp>
                      <wps:cNvSpPr/>
                      <wps:spPr>
                        <a:xfrm>
                          <a:off x="0" y="0"/>
                          <a:ext cx="2157095" cy="355600"/>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6.35pt;margin-top:-184.85pt;height:28pt;width:169.85pt;z-index:251684864;v-text-anchor:middle;mso-width-relative:page;mso-height-relative:page;" fillcolor="#FFFFFF [3212]" filled="t" stroked="t" coordsize="21600,21600" o:gfxdata="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">
                <v:fill on="t" focussize="0,0"/>
                <v:stroke weight="1pt" color="#2F5597 [2404]" miterlimit="8" joinstyle="miter"/>
                <v:imagedata o:title=""/>
                <o:lock v:ext="edit" aspectratio="f"/>
              </v:rect>
            </w:pict>
          </mc:Fallback>
        </mc:AlternateContent>
      </w:r>
      <w:r>
        <w:rPr>
          <w:rFonts w:ascii="Times New Roman" w:hAnsi="Times New Roman" w:eastAsia="宋体"/>
          <w:b/>
          <w:bCs/>
          <w:color w:val="auto"/>
          <w:sz w:val="36"/>
          <w:szCs w:val="36"/>
          <w:lang w:val="zh-CN"/>
        </w:rPr>
        <w:drawing>
          <wp:anchor distT="0" distB="0" distL="114300" distR="114300" simplePos="0" relativeHeight="251682816" behindDoc="0" locked="0" layoutInCell="1" allowOverlap="1">
            <wp:simplePos x="0" y="0"/>
            <wp:positionH relativeFrom="column">
              <wp:posOffset>-807720</wp:posOffset>
            </wp:positionH>
            <wp:positionV relativeFrom="paragraph">
              <wp:posOffset>-741680</wp:posOffset>
            </wp:positionV>
            <wp:extent cx="7251700" cy="10426700"/>
            <wp:effectExtent l="0" t="0" r="6350" b="12700"/>
            <wp:wrapTopAndBottom/>
            <wp:docPr id="3" name="图片 3" descr="7551731740d1a620eedc1a0efa8811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551731740d1a620eedc1a0efa88114a"/>
                    <pic:cNvPicPr>
                      <a:picLocks noChangeAspect="1"/>
                    </pic:cNvPicPr>
                  </pic:nvPicPr>
                  <pic:blipFill>
                    <a:blip r:embed="rId15"/>
                    <a:stretch>
                      <a:fillRect/>
                    </a:stretch>
                  </pic:blipFill>
                  <pic:spPr>
                    <a:xfrm>
                      <a:off x="0" y="0"/>
                      <a:ext cx="7251700" cy="10426700"/>
                    </a:xfrm>
                    <a:prstGeom prst="rect">
                      <a:avLst/>
                    </a:prstGeom>
                  </pic:spPr>
                </pic:pic>
              </a:graphicData>
            </a:graphic>
          </wp:anchor>
        </w:drawing>
      </w:r>
    </w:p>
    <w:p w14:paraId="17BA905F">
      <w:pPr>
        <w:ind w:firstLine="480"/>
        <w:rPr>
          <w:b/>
          <w:bCs/>
          <w:sz w:val="36"/>
          <w:szCs w:val="36"/>
          <w:lang w:val="zh-CN"/>
        </w:rPr>
      </w:pPr>
      <w:r>
        <w:rPr>
          <w:sz w:val="36"/>
        </w:rPr>
        <mc:AlternateContent>
          <mc:Choice Requires="wps">
            <w:drawing>
              <wp:anchor distT="0" distB="0" distL="114300" distR="114300" simplePos="0" relativeHeight="251685888" behindDoc="0" locked="0" layoutInCell="1" allowOverlap="1">
                <wp:simplePos x="0" y="0"/>
                <wp:positionH relativeFrom="column">
                  <wp:posOffset>3247390</wp:posOffset>
                </wp:positionH>
                <wp:positionV relativeFrom="paragraph">
                  <wp:posOffset>1183005</wp:posOffset>
                </wp:positionV>
                <wp:extent cx="1422400" cy="1605915"/>
                <wp:effectExtent l="6350" t="6350" r="19050" b="6985"/>
                <wp:wrapNone/>
                <wp:docPr id="11" name="矩形 11"/>
                <wp:cNvGraphicFramePr/>
                <a:graphic xmlns:a="http://schemas.openxmlformats.org/drawingml/2006/main">
                  <a:graphicData uri="http://schemas.microsoft.com/office/word/2010/wordprocessingShape">
                    <wps:wsp>
                      <wps:cNvSpPr/>
                      <wps:spPr>
                        <a:xfrm>
                          <a:off x="0" y="0"/>
                          <a:ext cx="1422400" cy="1605915"/>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7pt;margin-top:93.15pt;height:126.45pt;width:112pt;z-index:251685888;v-text-anchor:middle;mso-width-relative:page;mso-height-relative:page;" fillcolor="#FFFFFF [3212]" filled="t" stroked="t" coordsize="21600,21600" o:gfxdata="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PCofODbAAAACwEAAA8AAAAA&#10;AAAAAQAgAAAAIgAAAGRycy9kb3ducmV2LnhtbFBLAQIUABQAAAAIAIdO4kD/6r+mgwIAABkFAAAO&#10;AAAAAAAAAAEAIAAAACoBAABkcnMvZTJvRG9jLnhtbFBLBQYAAAAABgAGAFkBAAAfBgAAAAA=&#10;">
                <v:fill on="t" focussize="0,0"/>
                <v:stroke weight="1pt" color="#2F5597 [2404]" miterlimit="8" joinstyle="miter"/>
                <v:imagedata o:title=""/>
                <o:lock v:ext="edit" aspectratio="f"/>
              </v:rect>
            </w:pict>
          </mc:Fallback>
        </mc:AlternateContent>
      </w:r>
      <w:r>
        <w:drawing>
          <wp:inline distT="0" distB="0" distL="114300" distR="114300">
            <wp:extent cx="5553075" cy="7934325"/>
            <wp:effectExtent l="0" t="0" r="9525" b="952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rot="10800000">
                      <a:off x="0" y="0"/>
                      <a:ext cx="5553075" cy="7934325"/>
                    </a:xfrm>
                    <a:prstGeom prst="rect">
                      <a:avLst/>
                    </a:prstGeom>
                    <a:noFill/>
                    <a:ln>
                      <a:noFill/>
                    </a:ln>
                  </pic:spPr>
                </pic:pic>
              </a:graphicData>
            </a:graphic>
          </wp:inline>
        </w:drawing>
      </w:r>
    </w:p>
    <w:p w14:paraId="6B413C04">
      <w:pPr>
        <w:ind w:firstLine="480"/>
      </w:pPr>
      <w:r>
        <w:rPr>
          <w:sz w:val="36"/>
        </w:rPr>
        <mc:AlternateContent>
          <mc:Choice Requires="wps">
            <w:drawing>
              <wp:anchor distT="0" distB="0" distL="114300" distR="114300" simplePos="0" relativeHeight="251686912" behindDoc="0" locked="0" layoutInCell="1" allowOverlap="1">
                <wp:simplePos x="0" y="0"/>
                <wp:positionH relativeFrom="column">
                  <wp:posOffset>2082165</wp:posOffset>
                </wp:positionH>
                <wp:positionV relativeFrom="paragraph">
                  <wp:posOffset>4253230</wp:posOffset>
                </wp:positionV>
                <wp:extent cx="2157095" cy="355600"/>
                <wp:effectExtent l="6350" t="6350" r="8255" b="19050"/>
                <wp:wrapNone/>
                <wp:docPr id="12" name="矩形 12"/>
                <wp:cNvGraphicFramePr/>
                <a:graphic xmlns:a="http://schemas.openxmlformats.org/drawingml/2006/main">
                  <a:graphicData uri="http://schemas.microsoft.com/office/word/2010/wordprocessingShape">
                    <wps:wsp>
                      <wps:cNvSpPr/>
                      <wps:spPr>
                        <a:xfrm>
                          <a:off x="0" y="0"/>
                          <a:ext cx="2157095" cy="355600"/>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3.95pt;margin-top:334.9pt;height:28pt;width:169.85pt;z-index:251686912;v-text-anchor:middle;mso-width-relative:page;mso-height-relative:page;" fillcolor="#FFFFFF [3212]" filled="t" stroked="t" coordsize="21600,21600" o:gfxdata="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">
                <v:fill on="t" focussize="0,0"/>
                <v:stroke weight="1pt" color="#2F5597 [2404]" miterlimit="8" joinstyle="miter"/>
                <v:imagedata o:title=""/>
                <o:lock v:ext="edit" aspectratio="f"/>
              </v:rect>
            </w:pict>
          </mc:Fallback>
        </mc:AlternateContent>
      </w:r>
      <w:r>
        <w:drawing>
          <wp:inline distT="0" distB="0" distL="114300" distR="114300">
            <wp:extent cx="5793105" cy="5697855"/>
            <wp:effectExtent l="0" t="0" r="17145" b="1714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7"/>
                    <a:stretch>
                      <a:fillRect/>
                    </a:stretch>
                  </pic:blipFill>
                  <pic:spPr>
                    <a:xfrm>
                      <a:off x="0" y="0"/>
                      <a:ext cx="5793105" cy="5697855"/>
                    </a:xfrm>
                    <a:prstGeom prst="rect">
                      <a:avLst/>
                    </a:prstGeom>
                    <a:noFill/>
                    <a:ln>
                      <a:noFill/>
                    </a:ln>
                  </pic:spPr>
                </pic:pic>
              </a:graphicData>
            </a:graphic>
          </wp:inline>
        </w:drawing>
      </w:r>
    </w:p>
    <w:p w14:paraId="40A84570">
      <w:pPr>
        <w:ind w:firstLine="480"/>
      </w:pPr>
    </w:p>
    <w:p w14:paraId="127CA764">
      <w:pPr>
        <w:ind w:firstLine="480"/>
      </w:pPr>
    </w:p>
    <w:p w14:paraId="532E68AA">
      <w:pPr>
        <w:ind w:firstLine="480"/>
      </w:pPr>
    </w:p>
    <w:p w14:paraId="36722A95">
      <w:pPr>
        <w:ind w:firstLine="480"/>
      </w:pPr>
    </w:p>
    <w:p w14:paraId="54D87463">
      <w:pPr>
        <w:ind w:firstLine="480"/>
      </w:pPr>
    </w:p>
    <w:p w14:paraId="0EF5E724">
      <w:pPr>
        <w:ind w:firstLine="480"/>
      </w:pPr>
    </w:p>
    <w:p w14:paraId="0AB0F625">
      <w:pPr>
        <w:ind w:firstLine="480"/>
      </w:pPr>
    </w:p>
    <w:p w14:paraId="41DFA768">
      <w:pPr>
        <w:ind w:firstLine="480"/>
      </w:pPr>
    </w:p>
    <w:p w14:paraId="3C2622F0">
      <w:pPr>
        <w:ind w:firstLine="480"/>
      </w:pPr>
    </w:p>
    <w:p w14:paraId="1E172915">
      <w:pPr>
        <w:ind w:firstLine="480"/>
      </w:pPr>
    </w:p>
    <w:p w14:paraId="798FC093">
      <w:pPr>
        <w:ind w:firstLine="480"/>
      </w:pPr>
    </w:p>
    <w:p w14:paraId="1ADBBF37">
      <w:pPr>
        <w:ind w:firstLine="480"/>
        <w:rPr>
          <w:b/>
          <w:bCs/>
          <w:sz w:val="36"/>
          <w:szCs w:val="36"/>
          <w:lang w:val="zh-CN"/>
        </w:rPr>
      </w:pPr>
      <w:r>
        <w:drawing>
          <wp:anchor distT="0" distB="0" distL="114300" distR="114300" simplePos="0" relativeHeight="251681792" behindDoc="0" locked="0" layoutInCell="1" allowOverlap="1">
            <wp:simplePos x="0" y="0"/>
            <wp:positionH relativeFrom="column">
              <wp:posOffset>-300990</wp:posOffset>
            </wp:positionH>
            <wp:positionV relativeFrom="paragraph">
              <wp:posOffset>-178435</wp:posOffset>
            </wp:positionV>
            <wp:extent cx="6351905" cy="8964930"/>
            <wp:effectExtent l="0" t="0" r="10795" b="7620"/>
            <wp:wrapTopAndBottom/>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8"/>
                    <a:stretch>
                      <a:fillRect/>
                    </a:stretch>
                  </pic:blipFill>
                  <pic:spPr>
                    <a:xfrm>
                      <a:off x="0" y="0"/>
                      <a:ext cx="6351905" cy="8964930"/>
                    </a:xfrm>
                    <a:prstGeom prst="rect">
                      <a:avLst/>
                    </a:prstGeom>
                    <a:noFill/>
                    <a:ln>
                      <a:noFill/>
                    </a:ln>
                  </pic:spPr>
                </pic:pic>
              </a:graphicData>
            </a:graphic>
          </wp:anchor>
        </w:drawing>
      </w:r>
      <w:r>
        <w:rPr>
          <w:b/>
          <w:bCs/>
          <w:sz w:val="36"/>
          <w:szCs w:val="36"/>
          <w:lang w:val="zh-CN"/>
        </w:rPr>
        <w:br w:type="page"/>
      </w:r>
    </w:p>
    <w:p w14:paraId="7B436589">
      <w:pPr>
        <w:pStyle w:val="134"/>
        <w:spacing w:before="0"/>
        <w:jc w:val="center"/>
        <w:rPr>
          <w:rFonts w:ascii="Times New Roman" w:hAnsi="Times New Roman" w:eastAsia="宋体"/>
          <w:b/>
          <w:bCs/>
          <w:color w:val="auto"/>
          <w:sz w:val="36"/>
          <w:szCs w:val="36"/>
        </w:rPr>
      </w:pPr>
      <w:r>
        <w:rPr>
          <w:rFonts w:ascii="Times New Roman" w:hAnsi="Times New Roman" w:eastAsia="宋体"/>
          <w:b/>
          <w:bCs/>
          <w:color w:val="auto"/>
          <w:sz w:val="36"/>
          <w:szCs w:val="36"/>
          <w:lang w:val="zh-CN"/>
        </w:rPr>
        <w:t>目  录</w:t>
      </w:r>
    </w:p>
    <w:p w14:paraId="639B40B0">
      <w:pPr>
        <w:pStyle w:val="26"/>
        <w:tabs>
          <w:tab w:val="right" w:leader="dot" w:pos="8364"/>
          <w:tab w:val="clear" w:pos="8647"/>
        </w:tabs>
        <w:spacing w:line="360" w:lineRule="auto"/>
        <w:ind w:firstLine="565" w:firstLineChars="201"/>
        <w:rPr>
          <w:rStyle w:val="45"/>
          <w:b/>
          <w:bCs/>
          <w:snapToGrid w:val="0"/>
          <w:color w:val="auto"/>
          <w:sz w:val="28"/>
          <w:szCs w:val="28"/>
        </w:rPr>
      </w:pPr>
      <w:r>
        <w:rPr>
          <w:rStyle w:val="45"/>
          <w:b/>
          <w:bCs/>
          <w:snapToGrid w:val="0"/>
          <w:color w:val="auto"/>
          <w:sz w:val="28"/>
          <w:szCs w:val="28"/>
        </w:rPr>
        <w:fldChar w:fldCharType="begin"/>
      </w:r>
      <w:r>
        <w:rPr>
          <w:rStyle w:val="45"/>
          <w:b/>
          <w:bCs/>
          <w:snapToGrid w:val="0"/>
          <w:color w:val="auto"/>
          <w:sz w:val="28"/>
          <w:szCs w:val="28"/>
        </w:rPr>
        <w:instrText xml:space="preserve"> TOC \o "1-3" \h \z \u </w:instrText>
      </w:r>
      <w:r>
        <w:rPr>
          <w:rStyle w:val="45"/>
          <w:b/>
          <w:bCs/>
          <w:snapToGrid w:val="0"/>
          <w:color w:val="auto"/>
          <w:sz w:val="28"/>
          <w:szCs w:val="28"/>
        </w:rPr>
        <w:fldChar w:fldCharType="separate"/>
      </w:r>
      <w:r>
        <w:fldChar w:fldCharType="begin"/>
      </w:r>
      <w:r>
        <w:instrText xml:space="preserve"> HYPERLINK \l "_Toc68650488" </w:instrText>
      </w:r>
      <w:r>
        <w:fldChar w:fldCharType="separate"/>
      </w:r>
      <w:r>
        <w:rPr>
          <w:rStyle w:val="45"/>
          <w:b/>
          <w:bCs/>
          <w:snapToGrid w:val="0"/>
          <w:color w:val="auto"/>
          <w:sz w:val="28"/>
          <w:szCs w:val="28"/>
        </w:rPr>
        <w:t>一、建设项目基本情况</w:t>
      </w:r>
      <w:r>
        <w:rPr>
          <w:rStyle w:val="45"/>
          <w:b/>
          <w:bCs/>
          <w:snapToGrid w:val="0"/>
          <w:color w:val="auto"/>
          <w:sz w:val="28"/>
          <w:szCs w:val="28"/>
        </w:rPr>
        <w:tab/>
      </w:r>
      <w:r>
        <w:rPr>
          <w:rStyle w:val="45"/>
          <w:b/>
          <w:bCs/>
          <w:snapToGrid w:val="0"/>
          <w:color w:val="auto"/>
          <w:sz w:val="28"/>
          <w:szCs w:val="28"/>
        </w:rPr>
        <w:fldChar w:fldCharType="begin"/>
      </w:r>
      <w:r>
        <w:rPr>
          <w:rStyle w:val="45"/>
          <w:b/>
          <w:bCs/>
          <w:snapToGrid w:val="0"/>
          <w:color w:val="auto"/>
          <w:sz w:val="28"/>
          <w:szCs w:val="28"/>
        </w:rPr>
        <w:instrText xml:space="preserve"> PAGEREF _Toc68650488 \h </w:instrText>
      </w:r>
      <w:r>
        <w:rPr>
          <w:rStyle w:val="45"/>
          <w:b/>
          <w:bCs/>
          <w:snapToGrid w:val="0"/>
          <w:color w:val="auto"/>
          <w:sz w:val="28"/>
          <w:szCs w:val="28"/>
        </w:rPr>
        <w:fldChar w:fldCharType="separate"/>
      </w:r>
      <w:r>
        <w:rPr>
          <w:rStyle w:val="45"/>
          <w:b/>
          <w:bCs/>
          <w:snapToGrid w:val="0"/>
          <w:color w:val="auto"/>
          <w:sz w:val="28"/>
          <w:szCs w:val="28"/>
        </w:rPr>
        <w:t>6</w:t>
      </w:r>
      <w:r>
        <w:rPr>
          <w:rStyle w:val="45"/>
          <w:b/>
          <w:bCs/>
          <w:snapToGrid w:val="0"/>
          <w:color w:val="auto"/>
          <w:sz w:val="28"/>
          <w:szCs w:val="28"/>
        </w:rPr>
        <w:fldChar w:fldCharType="end"/>
      </w:r>
      <w:r>
        <w:rPr>
          <w:rStyle w:val="45"/>
          <w:b/>
          <w:bCs/>
          <w:snapToGrid w:val="0"/>
          <w:color w:val="auto"/>
          <w:sz w:val="28"/>
          <w:szCs w:val="28"/>
        </w:rPr>
        <w:fldChar w:fldCharType="end"/>
      </w:r>
    </w:p>
    <w:p w14:paraId="560D8CF5">
      <w:pPr>
        <w:pStyle w:val="26"/>
        <w:tabs>
          <w:tab w:val="right" w:leader="dot" w:pos="8364"/>
          <w:tab w:val="clear" w:pos="8647"/>
        </w:tabs>
        <w:spacing w:line="360" w:lineRule="auto"/>
        <w:ind w:firstLine="564"/>
        <w:rPr>
          <w:rStyle w:val="45"/>
          <w:b/>
          <w:bCs/>
          <w:snapToGrid w:val="0"/>
          <w:color w:val="auto"/>
          <w:sz w:val="28"/>
          <w:szCs w:val="28"/>
        </w:rPr>
      </w:pPr>
      <w:r>
        <w:fldChar w:fldCharType="begin"/>
      </w:r>
      <w:r>
        <w:instrText xml:space="preserve"> HYPERLINK \l "_Toc68650489" </w:instrText>
      </w:r>
      <w:r>
        <w:fldChar w:fldCharType="separate"/>
      </w:r>
      <w:r>
        <w:rPr>
          <w:rStyle w:val="45"/>
          <w:b/>
          <w:bCs/>
          <w:snapToGrid w:val="0"/>
          <w:color w:val="auto"/>
          <w:sz w:val="28"/>
          <w:szCs w:val="28"/>
        </w:rPr>
        <w:t>二、建设项目工程分析</w:t>
      </w:r>
      <w:r>
        <w:rPr>
          <w:rStyle w:val="45"/>
          <w:b/>
          <w:bCs/>
          <w:snapToGrid w:val="0"/>
          <w:color w:val="auto"/>
          <w:sz w:val="28"/>
          <w:szCs w:val="28"/>
        </w:rPr>
        <w:tab/>
      </w:r>
      <w:r>
        <w:rPr>
          <w:rStyle w:val="45"/>
          <w:b/>
          <w:bCs/>
          <w:snapToGrid w:val="0"/>
          <w:color w:val="auto"/>
          <w:sz w:val="28"/>
          <w:szCs w:val="28"/>
        </w:rPr>
        <w:fldChar w:fldCharType="begin"/>
      </w:r>
      <w:r>
        <w:rPr>
          <w:rStyle w:val="45"/>
          <w:b/>
          <w:bCs/>
          <w:snapToGrid w:val="0"/>
          <w:color w:val="auto"/>
          <w:sz w:val="28"/>
          <w:szCs w:val="28"/>
        </w:rPr>
        <w:instrText xml:space="preserve"> PAGEREF _Toc68650489 \h </w:instrText>
      </w:r>
      <w:r>
        <w:rPr>
          <w:rStyle w:val="45"/>
          <w:b/>
          <w:bCs/>
          <w:snapToGrid w:val="0"/>
          <w:color w:val="auto"/>
          <w:sz w:val="28"/>
          <w:szCs w:val="28"/>
        </w:rPr>
        <w:fldChar w:fldCharType="separate"/>
      </w:r>
      <w:r>
        <w:rPr>
          <w:rStyle w:val="45"/>
          <w:b/>
          <w:bCs/>
          <w:snapToGrid w:val="0"/>
          <w:color w:val="auto"/>
          <w:sz w:val="28"/>
          <w:szCs w:val="28"/>
        </w:rPr>
        <w:t>17</w:t>
      </w:r>
      <w:r>
        <w:rPr>
          <w:rStyle w:val="45"/>
          <w:b/>
          <w:bCs/>
          <w:snapToGrid w:val="0"/>
          <w:color w:val="auto"/>
          <w:sz w:val="28"/>
          <w:szCs w:val="28"/>
        </w:rPr>
        <w:fldChar w:fldCharType="end"/>
      </w:r>
      <w:r>
        <w:rPr>
          <w:rStyle w:val="45"/>
          <w:b/>
          <w:bCs/>
          <w:snapToGrid w:val="0"/>
          <w:color w:val="auto"/>
          <w:sz w:val="28"/>
          <w:szCs w:val="28"/>
        </w:rPr>
        <w:fldChar w:fldCharType="end"/>
      </w:r>
    </w:p>
    <w:p w14:paraId="60E577DB">
      <w:pPr>
        <w:pStyle w:val="26"/>
        <w:tabs>
          <w:tab w:val="right" w:leader="dot" w:pos="8364"/>
          <w:tab w:val="clear" w:pos="8647"/>
        </w:tabs>
        <w:spacing w:line="360" w:lineRule="auto"/>
        <w:ind w:firstLine="564"/>
        <w:rPr>
          <w:rStyle w:val="45"/>
          <w:b/>
          <w:bCs/>
          <w:snapToGrid w:val="0"/>
          <w:color w:val="auto"/>
          <w:sz w:val="28"/>
          <w:szCs w:val="28"/>
        </w:rPr>
      </w:pPr>
      <w:r>
        <w:fldChar w:fldCharType="begin"/>
      </w:r>
      <w:r>
        <w:instrText xml:space="preserve"> HYPERLINK \l "_Toc68650490" </w:instrText>
      </w:r>
      <w:r>
        <w:fldChar w:fldCharType="separate"/>
      </w:r>
      <w:r>
        <w:rPr>
          <w:rStyle w:val="45"/>
          <w:b/>
          <w:bCs/>
          <w:snapToGrid w:val="0"/>
          <w:color w:val="auto"/>
          <w:sz w:val="28"/>
          <w:szCs w:val="28"/>
        </w:rPr>
        <w:t>三、区域环境质量现状、环境保护目标及评价标准</w:t>
      </w:r>
      <w:r>
        <w:rPr>
          <w:rStyle w:val="45"/>
          <w:b/>
          <w:bCs/>
          <w:snapToGrid w:val="0"/>
          <w:color w:val="auto"/>
          <w:sz w:val="28"/>
          <w:szCs w:val="28"/>
        </w:rPr>
        <w:tab/>
      </w:r>
      <w:r>
        <w:rPr>
          <w:rStyle w:val="45"/>
          <w:b/>
          <w:bCs/>
          <w:snapToGrid w:val="0"/>
          <w:color w:val="auto"/>
          <w:sz w:val="28"/>
          <w:szCs w:val="28"/>
        </w:rPr>
        <w:fldChar w:fldCharType="begin"/>
      </w:r>
      <w:r>
        <w:rPr>
          <w:rStyle w:val="45"/>
          <w:b/>
          <w:bCs/>
          <w:snapToGrid w:val="0"/>
          <w:color w:val="auto"/>
          <w:sz w:val="28"/>
          <w:szCs w:val="28"/>
        </w:rPr>
        <w:instrText xml:space="preserve"> PAGEREF _Toc68650490 \h </w:instrText>
      </w:r>
      <w:r>
        <w:rPr>
          <w:rStyle w:val="45"/>
          <w:b/>
          <w:bCs/>
          <w:snapToGrid w:val="0"/>
          <w:color w:val="auto"/>
          <w:sz w:val="28"/>
          <w:szCs w:val="28"/>
        </w:rPr>
        <w:fldChar w:fldCharType="separate"/>
      </w:r>
      <w:r>
        <w:rPr>
          <w:rStyle w:val="45"/>
          <w:b/>
          <w:bCs/>
          <w:snapToGrid w:val="0"/>
          <w:color w:val="auto"/>
          <w:sz w:val="28"/>
          <w:szCs w:val="28"/>
        </w:rPr>
        <w:t>26</w:t>
      </w:r>
      <w:r>
        <w:rPr>
          <w:rStyle w:val="45"/>
          <w:b/>
          <w:bCs/>
          <w:snapToGrid w:val="0"/>
          <w:color w:val="auto"/>
          <w:sz w:val="28"/>
          <w:szCs w:val="28"/>
        </w:rPr>
        <w:fldChar w:fldCharType="end"/>
      </w:r>
      <w:r>
        <w:rPr>
          <w:rStyle w:val="45"/>
          <w:b/>
          <w:bCs/>
          <w:snapToGrid w:val="0"/>
          <w:color w:val="auto"/>
          <w:sz w:val="28"/>
          <w:szCs w:val="28"/>
        </w:rPr>
        <w:fldChar w:fldCharType="end"/>
      </w:r>
    </w:p>
    <w:p w14:paraId="5E33F921">
      <w:pPr>
        <w:pStyle w:val="26"/>
        <w:tabs>
          <w:tab w:val="right" w:leader="dot" w:pos="8364"/>
          <w:tab w:val="clear" w:pos="8647"/>
        </w:tabs>
        <w:spacing w:line="360" w:lineRule="auto"/>
        <w:ind w:firstLine="564"/>
        <w:rPr>
          <w:rStyle w:val="45"/>
          <w:b/>
          <w:bCs/>
          <w:snapToGrid w:val="0"/>
          <w:color w:val="auto"/>
          <w:sz w:val="28"/>
          <w:szCs w:val="28"/>
        </w:rPr>
      </w:pPr>
      <w:r>
        <w:fldChar w:fldCharType="begin"/>
      </w:r>
      <w:r>
        <w:instrText xml:space="preserve"> HYPERLINK \l "_Toc68650491" </w:instrText>
      </w:r>
      <w:r>
        <w:fldChar w:fldCharType="separate"/>
      </w:r>
      <w:r>
        <w:rPr>
          <w:rStyle w:val="45"/>
          <w:b/>
          <w:bCs/>
          <w:snapToGrid w:val="0"/>
          <w:color w:val="auto"/>
          <w:sz w:val="28"/>
          <w:szCs w:val="28"/>
        </w:rPr>
        <w:t>四、主要环境影响和保护措施</w:t>
      </w:r>
      <w:r>
        <w:rPr>
          <w:rStyle w:val="45"/>
          <w:b/>
          <w:bCs/>
          <w:snapToGrid w:val="0"/>
          <w:color w:val="auto"/>
          <w:sz w:val="28"/>
          <w:szCs w:val="28"/>
        </w:rPr>
        <w:tab/>
      </w:r>
      <w:r>
        <w:rPr>
          <w:rStyle w:val="45"/>
          <w:b/>
          <w:bCs/>
          <w:snapToGrid w:val="0"/>
          <w:color w:val="auto"/>
          <w:sz w:val="28"/>
          <w:szCs w:val="28"/>
        </w:rPr>
        <w:fldChar w:fldCharType="begin"/>
      </w:r>
      <w:r>
        <w:rPr>
          <w:rStyle w:val="45"/>
          <w:b/>
          <w:bCs/>
          <w:snapToGrid w:val="0"/>
          <w:color w:val="auto"/>
          <w:sz w:val="28"/>
          <w:szCs w:val="28"/>
        </w:rPr>
        <w:instrText xml:space="preserve"> PAGEREF _Toc68650491 \h </w:instrText>
      </w:r>
      <w:r>
        <w:rPr>
          <w:rStyle w:val="45"/>
          <w:b/>
          <w:bCs/>
          <w:snapToGrid w:val="0"/>
          <w:color w:val="auto"/>
          <w:sz w:val="28"/>
          <w:szCs w:val="28"/>
        </w:rPr>
        <w:fldChar w:fldCharType="separate"/>
      </w:r>
      <w:r>
        <w:rPr>
          <w:rStyle w:val="45"/>
          <w:b/>
          <w:bCs/>
          <w:snapToGrid w:val="0"/>
          <w:color w:val="auto"/>
          <w:sz w:val="28"/>
          <w:szCs w:val="28"/>
        </w:rPr>
        <w:t>31</w:t>
      </w:r>
      <w:r>
        <w:rPr>
          <w:rStyle w:val="45"/>
          <w:b/>
          <w:bCs/>
          <w:snapToGrid w:val="0"/>
          <w:color w:val="auto"/>
          <w:sz w:val="28"/>
          <w:szCs w:val="28"/>
        </w:rPr>
        <w:fldChar w:fldCharType="end"/>
      </w:r>
      <w:r>
        <w:rPr>
          <w:rStyle w:val="45"/>
          <w:b/>
          <w:bCs/>
          <w:snapToGrid w:val="0"/>
          <w:color w:val="auto"/>
          <w:sz w:val="28"/>
          <w:szCs w:val="28"/>
        </w:rPr>
        <w:fldChar w:fldCharType="end"/>
      </w:r>
    </w:p>
    <w:p w14:paraId="0AE94866">
      <w:pPr>
        <w:pStyle w:val="26"/>
        <w:tabs>
          <w:tab w:val="right" w:leader="dot" w:pos="8364"/>
          <w:tab w:val="clear" w:pos="8647"/>
        </w:tabs>
        <w:spacing w:line="360" w:lineRule="auto"/>
        <w:ind w:firstLine="564"/>
        <w:rPr>
          <w:rStyle w:val="45"/>
          <w:b/>
          <w:bCs/>
          <w:snapToGrid w:val="0"/>
          <w:color w:val="auto"/>
          <w:sz w:val="28"/>
          <w:szCs w:val="28"/>
        </w:rPr>
      </w:pPr>
      <w:r>
        <w:fldChar w:fldCharType="begin"/>
      </w:r>
      <w:r>
        <w:instrText xml:space="preserve"> HYPERLINK \l "_Toc68650492" </w:instrText>
      </w:r>
      <w:r>
        <w:fldChar w:fldCharType="separate"/>
      </w:r>
      <w:r>
        <w:rPr>
          <w:rStyle w:val="45"/>
          <w:b/>
          <w:bCs/>
          <w:snapToGrid w:val="0"/>
          <w:color w:val="auto"/>
          <w:sz w:val="28"/>
          <w:szCs w:val="28"/>
        </w:rPr>
        <w:t>五、环境保护措施监督检查清单</w:t>
      </w:r>
      <w:r>
        <w:rPr>
          <w:rStyle w:val="45"/>
          <w:b/>
          <w:bCs/>
          <w:snapToGrid w:val="0"/>
          <w:color w:val="auto"/>
          <w:sz w:val="28"/>
          <w:szCs w:val="28"/>
        </w:rPr>
        <w:tab/>
      </w:r>
      <w:r>
        <w:rPr>
          <w:rStyle w:val="45"/>
          <w:b/>
          <w:bCs/>
          <w:snapToGrid w:val="0"/>
          <w:color w:val="auto"/>
          <w:sz w:val="28"/>
          <w:szCs w:val="28"/>
        </w:rPr>
        <w:fldChar w:fldCharType="begin"/>
      </w:r>
      <w:r>
        <w:rPr>
          <w:rStyle w:val="45"/>
          <w:b/>
          <w:bCs/>
          <w:snapToGrid w:val="0"/>
          <w:color w:val="auto"/>
          <w:sz w:val="28"/>
          <w:szCs w:val="28"/>
        </w:rPr>
        <w:instrText xml:space="preserve"> PAGEREF _Toc68650492 \h </w:instrText>
      </w:r>
      <w:r>
        <w:rPr>
          <w:rStyle w:val="45"/>
          <w:b/>
          <w:bCs/>
          <w:snapToGrid w:val="0"/>
          <w:color w:val="auto"/>
          <w:sz w:val="28"/>
          <w:szCs w:val="28"/>
        </w:rPr>
        <w:fldChar w:fldCharType="separate"/>
      </w:r>
      <w:r>
        <w:rPr>
          <w:rStyle w:val="45"/>
          <w:b/>
          <w:bCs/>
          <w:snapToGrid w:val="0"/>
          <w:color w:val="auto"/>
          <w:sz w:val="28"/>
          <w:szCs w:val="28"/>
        </w:rPr>
        <w:t>50</w:t>
      </w:r>
      <w:r>
        <w:rPr>
          <w:rStyle w:val="45"/>
          <w:b/>
          <w:bCs/>
          <w:snapToGrid w:val="0"/>
          <w:color w:val="auto"/>
          <w:sz w:val="28"/>
          <w:szCs w:val="28"/>
        </w:rPr>
        <w:fldChar w:fldCharType="end"/>
      </w:r>
      <w:r>
        <w:rPr>
          <w:rStyle w:val="45"/>
          <w:b/>
          <w:bCs/>
          <w:snapToGrid w:val="0"/>
          <w:color w:val="auto"/>
          <w:sz w:val="28"/>
          <w:szCs w:val="28"/>
        </w:rPr>
        <w:fldChar w:fldCharType="end"/>
      </w:r>
    </w:p>
    <w:p w14:paraId="328B29A0">
      <w:pPr>
        <w:pStyle w:val="26"/>
        <w:tabs>
          <w:tab w:val="right" w:leader="dot" w:pos="8364"/>
          <w:tab w:val="clear" w:pos="8647"/>
        </w:tabs>
        <w:spacing w:line="360" w:lineRule="auto"/>
        <w:ind w:firstLine="564"/>
        <w:rPr>
          <w:rStyle w:val="45"/>
          <w:b/>
          <w:bCs/>
          <w:snapToGrid w:val="0"/>
          <w:color w:val="auto"/>
          <w:sz w:val="28"/>
          <w:szCs w:val="28"/>
        </w:rPr>
      </w:pPr>
      <w:r>
        <w:fldChar w:fldCharType="begin"/>
      </w:r>
      <w:r>
        <w:instrText xml:space="preserve"> HYPERLINK \l "_Toc68650493" </w:instrText>
      </w:r>
      <w:r>
        <w:fldChar w:fldCharType="separate"/>
      </w:r>
      <w:r>
        <w:rPr>
          <w:rStyle w:val="45"/>
          <w:b/>
          <w:bCs/>
          <w:snapToGrid w:val="0"/>
          <w:color w:val="auto"/>
          <w:sz w:val="28"/>
          <w:szCs w:val="28"/>
        </w:rPr>
        <w:t>六、结论</w:t>
      </w:r>
      <w:r>
        <w:rPr>
          <w:rStyle w:val="45"/>
          <w:b/>
          <w:bCs/>
          <w:snapToGrid w:val="0"/>
          <w:color w:val="auto"/>
          <w:sz w:val="28"/>
          <w:szCs w:val="28"/>
        </w:rPr>
        <w:tab/>
      </w:r>
      <w:r>
        <w:rPr>
          <w:rStyle w:val="45"/>
          <w:b/>
          <w:bCs/>
          <w:snapToGrid w:val="0"/>
          <w:color w:val="auto"/>
          <w:sz w:val="28"/>
          <w:szCs w:val="28"/>
        </w:rPr>
        <w:fldChar w:fldCharType="begin"/>
      </w:r>
      <w:r>
        <w:rPr>
          <w:rStyle w:val="45"/>
          <w:b/>
          <w:bCs/>
          <w:snapToGrid w:val="0"/>
          <w:color w:val="auto"/>
          <w:sz w:val="28"/>
          <w:szCs w:val="28"/>
        </w:rPr>
        <w:instrText xml:space="preserve"> PAGEREF _Toc68650493 \h </w:instrText>
      </w:r>
      <w:r>
        <w:rPr>
          <w:rStyle w:val="45"/>
          <w:b/>
          <w:bCs/>
          <w:snapToGrid w:val="0"/>
          <w:color w:val="auto"/>
          <w:sz w:val="28"/>
          <w:szCs w:val="28"/>
        </w:rPr>
        <w:fldChar w:fldCharType="separate"/>
      </w:r>
      <w:r>
        <w:rPr>
          <w:rStyle w:val="45"/>
          <w:b/>
          <w:bCs/>
          <w:snapToGrid w:val="0"/>
          <w:color w:val="auto"/>
          <w:sz w:val="28"/>
          <w:szCs w:val="28"/>
        </w:rPr>
        <w:t>53</w:t>
      </w:r>
      <w:r>
        <w:rPr>
          <w:rStyle w:val="45"/>
          <w:b/>
          <w:bCs/>
          <w:snapToGrid w:val="0"/>
          <w:color w:val="auto"/>
          <w:sz w:val="28"/>
          <w:szCs w:val="28"/>
        </w:rPr>
        <w:fldChar w:fldCharType="end"/>
      </w:r>
      <w:r>
        <w:rPr>
          <w:rStyle w:val="45"/>
          <w:b/>
          <w:bCs/>
          <w:snapToGrid w:val="0"/>
          <w:color w:val="auto"/>
          <w:sz w:val="28"/>
          <w:szCs w:val="28"/>
        </w:rPr>
        <w:fldChar w:fldCharType="end"/>
      </w:r>
    </w:p>
    <w:p w14:paraId="1FC8BE49">
      <w:pPr>
        <w:pStyle w:val="26"/>
        <w:tabs>
          <w:tab w:val="right" w:leader="dot" w:pos="8364"/>
          <w:tab w:val="clear" w:pos="8647"/>
        </w:tabs>
        <w:spacing w:line="360" w:lineRule="auto"/>
        <w:ind w:firstLine="564"/>
        <w:rPr>
          <w:rStyle w:val="45"/>
          <w:b/>
          <w:bCs/>
          <w:snapToGrid w:val="0"/>
          <w:color w:val="auto"/>
          <w:sz w:val="28"/>
          <w:szCs w:val="28"/>
        </w:rPr>
      </w:pPr>
      <w:r>
        <w:fldChar w:fldCharType="begin"/>
      </w:r>
      <w:r>
        <w:instrText xml:space="preserve"> HYPERLINK \l "_Toc68650494" </w:instrText>
      </w:r>
      <w:r>
        <w:fldChar w:fldCharType="separate"/>
      </w:r>
      <w:r>
        <w:rPr>
          <w:rStyle w:val="45"/>
          <w:b/>
          <w:bCs/>
          <w:snapToGrid w:val="0"/>
          <w:color w:val="auto"/>
          <w:sz w:val="28"/>
          <w:szCs w:val="28"/>
        </w:rPr>
        <w:t>附表</w:t>
      </w:r>
      <w:r>
        <w:rPr>
          <w:rStyle w:val="45"/>
          <w:b/>
          <w:bCs/>
          <w:snapToGrid w:val="0"/>
          <w:color w:val="auto"/>
          <w:sz w:val="28"/>
          <w:szCs w:val="28"/>
        </w:rPr>
        <w:tab/>
      </w:r>
      <w:r>
        <w:rPr>
          <w:rStyle w:val="45"/>
          <w:b/>
          <w:bCs/>
          <w:snapToGrid w:val="0"/>
          <w:color w:val="auto"/>
          <w:sz w:val="28"/>
          <w:szCs w:val="28"/>
        </w:rPr>
        <w:fldChar w:fldCharType="begin"/>
      </w:r>
      <w:r>
        <w:rPr>
          <w:rStyle w:val="45"/>
          <w:b/>
          <w:bCs/>
          <w:snapToGrid w:val="0"/>
          <w:color w:val="auto"/>
          <w:sz w:val="28"/>
          <w:szCs w:val="28"/>
        </w:rPr>
        <w:instrText xml:space="preserve"> PAGEREF _Toc68650494 \h </w:instrText>
      </w:r>
      <w:r>
        <w:rPr>
          <w:rStyle w:val="45"/>
          <w:b/>
          <w:bCs/>
          <w:snapToGrid w:val="0"/>
          <w:color w:val="auto"/>
          <w:sz w:val="28"/>
          <w:szCs w:val="28"/>
        </w:rPr>
        <w:fldChar w:fldCharType="separate"/>
      </w:r>
      <w:r>
        <w:rPr>
          <w:rStyle w:val="45"/>
          <w:b/>
          <w:bCs/>
          <w:snapToGrid w:val="0"/>
          <w:color w:val="auto"/>
          <w:sz w:val="28"/>
          <w:szCs w:val="28"/>
        </w:rPr>
        <w:t>54</w:t>
      </w:r>
      <w:r>
        <w:rPr>
          <w:rStyle w:val="45"/>
          <w:b/>
          <w:bCs/>
          <w:snapToGrid w:val="0"/>
          <w:color w:val="auto"/>
          <w:sz w:val="28"/>
          <w:szCs w:val="28"/>
        </w:rPr>
        <w:fldChar w:fldCharType="end"/>
      </w:r>
      <w:r>
        <w:rPr>
          <w:rStyle w:val="45"/>
          <w:b/>
          <w:bCs/>
          <w:snapToGrid w:val="0"/>
          <w:color w:val="auto"/>
          <w:sz w:val="28"/>
          <w:szCs w:val="28"/>
        </w:rPr>
        <w:fldChar w:fldCharType="end"/>
      </w:r>
      <w:r>
        <w:rPr>
          <w:rStyle w:val="45"/>
          <w:b/>
          <w:bCs/>
          <w:snapToGrid w:val="0"/>
          <w:color w:val="auto"/>
          <w:sz w:val="28"/>
          <w:szCs w:val="28"/>
        </w:rPr>
        <w:fldChar w:fldCharType="end"/>
      </w:r>
    </w:p>
    <w:p w14:paraId="7338C438">
      <w:pPr>
        <w:ind w:firstLine="482"/>
        <w:rPr>
          <w:b/>
        </w:rPr>
      </w:pPr>
    </w:p>
    <w:p w14:paraId="63CC800B">
      <w:pPr>
        <w:ind w:firstLine="708" w:firstLineChars="252"/>
        <w:rPr>
          <w:b/>
          <w:sz w:val="28"/>
          <w:szCs w:val="28"/>
        </w:rPr>
      </w:pPr>
      <w:bookmarkStart w:id="3" w:name="OLE_LINK7"/>
      <w:r>
        <w:rPr>
          <w:rFonts w:hint="eastAsia"/>
          <w:b/>
          <w:sz w:val="28"/>
          <w:szCs w:val="28"/>
        </w:rPr>
        <w:t>附 图</w:t>
      </w:r>
    </w:p>
    <w:p w14:paraId="37590ED2">
      <w:pPr>
        <w:ind w:firstLine="708" w:firstLineChars="294"/>
        <w:rPr>
          <w:b/>
        </w:rPr>
      </w:pPr>
      <w:r>
        <w:rPr>
          <w:rFonts w:hint="eastAsia"/>
          <w:b/>
        </w:rPr>
        <w:t>附图1 项目地理位置图</w:t>
      </w:r>
    </w:p>
    <w:p w14:paraId="6E9A6C8C">
      <w:pPr>
        <w:ind w:firstLine="708" w:firstLineChars="294"/>
        <w:rPr>
          <w:b/>
        </w:rPr>
      </w:pPr>
      <w:r>
        <w:rPr>
          <w:rFonts w:hint="eastAsia"/>
          <w:b/>
        </w:rPr>
        <w:t>附图2 项目总平面布置图</w:t>
      </w:r>
    </w:p>
    <w:p w14:paraId="35432408">
      <w:pPr>
        <w:ind w:firstLine="708" w:firstLineChars="294"/>
        <w:rPr>
          <w:b/>
        </w:rPr>
      </w:pPr>
      <w:r>
        <w:rPr>
          <w:rFonts w:hint="eastAsia"/>
          <w:b/>
        </w:rPr>
        <w:t>附图</w:t>
      </w:r>
      <w:r>
        <w:rPr>
          <w:b/>
        </w:rPr>
        <w:t>3</w:t>
      </w:r>
      <w:r>
        <w:rPr>
          <w:rFonts w:hint="eastAsia"/>
          <w:b/>
        </w:rPr>
        <w:t xml:space="preserve"> 项目周边敏感点分布图</w:t>
      </w:r>
    </w:p>
    <w:p w14:paraId="6BCA1368">
      <w:pPr>
        <w:ind w:firstLine="708" w:firstLineChars="294"/>
        <w:rPr>
          <w:b/>
        </w:rPr>
      </w:pPr>
      <w:r>
        <w:rPr>
          <w:rFonts w:hint="eastAsia"/>
          <w:b/>
        </w:rPr>
        <w:t>附图</w:t>
      </w:r>
      <w:r>
        <w:rPr>
          <w:b/>
        </w:rPr>
        <w:t>4</w:t>
      </w:r>
      <w:r>
        <w:rPr>
          <w:rFonts w:hint="eastAsia"/>
          <w:b/>
        </w:rPr>
        <w:t xml:space="preserve"> 项目与柳州市环境分区管控位置关系图</w:t>
      </w:r>
    </w:p>
    <w:p w14:paraId="42576814">
      <w:pPr>
        <w:ind w:firstLine="708" w:firstLineChars="294"/>
        <w:rPr>
          <w:b/>
        </w:rPr>
      </w:pPr>
      <w:r>
        <w:rPr>
          <w:rFonts w:hint="eastAsia"/>
          <w:b/>
        </w:rPr>
        <w:t>附图5 项目在鹿寨高新技术产业开发区土地利用规划图中的位置示意图</w:t>
      </w:r>
    </w:p>
    <w:p w14:paraId="2E40A54D">
      <w:pPr>
        <w:ind w:firstLine="708" w:firstLineChars="294"/>
        <w:rPr>
          <w:b/>
        </w:rPr>
      </w:pPr>
      <w:r>
        <w:rPr>
          <w:rFonts w:hint="eastAsia"/>
          <w:b/>
        </w:rPr>
        <w:t>附图6 项目在鹿寨县声环境功能区划位置图</w:t>
      </w:r>
    </w:p>
    <w:p w14:paraId="0112533E">
      <w:pPr>
        <w:ind w:firstLine="708" w:firstLineChars="294"/>
        <w:rPr>
          <w:b/>
        </w:rPr>
      </w:pPr>
      <w:r>
        <w:rPr>
          <w:rFonts w:hint="eastAsia"/>
          <w:b/>
        </w:rPr>
        <w:t>附图7 现场照片图</w:t>
      </w:r>
    </w:p>
    <w:bookmarkEnd w:id="3"/>
    <w:p w14:paraId="371023F3">
      <w:pPr>
        <w:ind w:firstLine="708" w:firstLineChars="252"/>
        <w:rPr>
          <w:b/>
          <w:sz w:val="28"/>
          <w:szCs w:val="28"/>
        </w:rPr>
      </w:pPr>
    </w:p>
    <w:p w14:paraId="0140047D">
      <w:pPr>
        <w:ind w:firstLine="708" w:firstLineChars="252"/>
        <w:rPr>
          <w:b/>
          <w:sz w:val="28"/>
          <w:szCs w:val="28"/>
        </w:rPr>
      </w:pPr>
      <w:r>
        <w:rPr>
          <w:rFonts w:hint="eastAsia"/>
          <w:b/>
          <w:sz w:val="28"/>
          <w:szCs w:val="28"/>
        </w:rPr>
        <w:t>附 件</w:t>
      </w:r>
    </w:p>
    <w:p w14:paraId="0FF8DADF">
      <w:pPr>
        <w:ind w:firstLine="708" w:firstLineChars="294"/>
        <w:rPr>
          <w:b/>
        </w:rPr>
      </w:pPr>
      <w:r>
        <w:rPr>
          <w:rFonts w:hint="eastAsia"/>
          <w:b/>
        </w:rPr>
        <w:t>附件1 委托书</w:t>
      </w:r>
    </w:p>
    <w:p w14:paraId="58F15DF9">
      <w:pPr>
        <w:ind w:firstLine="708" w:firstLineChars="294"/>
        <w:rPr>
          <w:b/>
        </w:rPr>
      </w:pPr>
      <w:r>
        <w:rPr>
          <w:rFonts w:hint="eastAsia"/>
          <w:b/>
        </w:rPr>
        <w:t>附件2 项目备案</w:t>
      </w:r>
    </w:p>
    <w:p w14:paraId="3EAF114E">
      <w:pPr>
        <w:ind w:firstLine="708" w:firstLineChars="294"/>
        <w:rPr>
          <w:b/>
        </w:rPr>
      </w:pPr>
      <w:r>
        <w:rPr>
          <w:rFonts w:hint="eastAsia"/>
          <w:b/>
        </w:rPr>
        <w:t>附件3 营业执照</w:t>
      </w:r>
    </w:p>
    <w:p w14:paraId="5D37B873">
      <w:pPr>
        <w:ind w:firstLine="708" w:firstLineChars="294"/>
        <w:rPr>
          <w:b/>
        </w:rPr>
      </w:pPr>
      <w:r>
        <w:rPr>
          <w:rFonts w:hint="eastAsia"/>
          <w:b/>
        </w:rPr>
        <w:t>附件4 土地证</w:t>
      </w:r>
    </w:p>
    <w:p w14:paraId="3DABE8D2">
      <w:pPr>
        <w:ind w:firstLine="708" w:firstLineChars="294"/>
        <w:rPr>
          <w:b/>
        </w:rPr>
      </w:pPr>
      <w:bookmarkStart w:id="4" w:name="OLE_LINK1"/>
      <w:r>
        <w:rPr>
          <w:rFonts w:hint="eastAsia"/>
          <w:b/>
        </w:rPr>
        <w:t>附件</w:t>
      </w:r>
      <w:r>
        <w:rPr>
          <w:b/>
        </w:rPr>
        <w:t>5</w:t>
      </w:r>
      <w:r>
        <w:rPr>
          <w:rFonts w:hint="eastAsia"/>
          <w:b/>
        </w:rPr>
        <w:t xml:space="preserve"> 租赁合同</w:t>
      </w:r>
      <w:bookmarkEnd w:id="4"/>
    </w:p>
    <w:p w14:paraId="070FA05A">
      <w:pPr>
        <w:ind w:firstLine="708" w:firstLineChars="294"/>
        <w:rPr>
          <w:b/>
        </w:rPr>
      </w:pPr>
      <w:r>
        <w:rPr>
          <w:rFonts w:hint="eastAsia"/>
          <w:b/>
        </w:rPr>
        <w:t>附件6 项目入园证明</w:t>
      </w:r>
    </w:p>
    <w:p w14:paraId="7D874AEC">
      <w:pPr>
        <w:ind w:firstLine="708" w:firstLineChars="294"/>
        <w:rPr>
          <w:b/>
        </w:rPr>
      </w:pPr>
      <w:r>
        <w:rPr>
          <w:rFonts w:hint="eastAsia"/>
          <w:b/>
        </w:rPr>
        <w:t>附件7 鹿寨经济开发区管理委员会联审意见函</w:t>
      </w:r>
    </w:p>
    <w:p w14:paraId="4A5242B5">
      <w:pPr>
        <w:ind w:firstLine="708" w:firstLineChars="294"/>
        <w:rPr>
          <w:b/>
        </w:rPr>
      </w:pPr>
      <w:r>
        <w:rPr>
          <w:rFonts w:hint="eastAsia"/>
          <w:b/>
        </w:rPr>
        <w:t>附件8 环境质量监测报告</w:t>
      </w:r>
    </w:p>
    <w:p w14:paraId="50D60713">
      <w:pPr>
        <w:ind w:firstLine="708" w:firstLineChars="294"/>
        <w:rPr>
          <w:snapToGrid w:val="0"/>
        </w:rPr>
        <w:sectPr>
          <w:pgSz w:w="11906" w:h="16838"/>
          <w:pgMar w:top="1474" w:right="1247" w:bottom="1474" w:left="1531" w:header="851" w:footer="1077" w:gutter="0"/>
          <w:pgNumType w:start="1"/>
          <w:cols w:space="720" w:num="1"/>
          <w:docGrid w:linePitch="312" w:charSpace="0"/>
        </w:sectPr>
      </w:pPr>
      <w:r>
        <w:rPr>
          <w:rFonts w:hint="eastAsia"/>
          <w:b/>
        </w:rPr>
        <w:t>附件9 广西“生态云”平台建设项目智能研判报告</w:t>
      </w:r>
      <w:bookmarkStart w:id="5" w:name="_Toc68650488"/>
      <w:r>
        <w:rPr>
          <w:b/>
        </w:rPr>
        <w:tab/>
      </w:r>
    </w:p>
    <w:p w14:paraId="3DDA3E44">
      <w:pPr>
        <w:pStyle w:val="2"/>
        <w:rPr>
          <w:snapToGrid w:val="0"/>
          <w:color w:val="auto"/>
        </w:rPr>
      </w:pPr>
      <w:bookmarkStart w:id="6" w:name="_Toc109895242"/>
      <w:bookmarkStart w:id="7" w:name="_Toc106786248"/>
      <w:bookmarkStart w:id="8" w:name="_Toc106357847"/>
      <w:bookmarkStart w:id="9" w:name="_Toc106358050"/>
      <w:bookmarkStart w:id="10" w:name="_Toc106357933"/>
      <w:r>
        <w:rPr>
          <w:rFonts w:hint="eastAsia"/>
          <w:snapToGrid w:val="0"/>
          <w:color w:val="auto"/>
        </w:rPr>
        <w:t>一、建设项目基本情况</w:t>
      </w:r>
      <w:bookmarkEnd w:id="5"/>
      <w:bookmarkEnd w:id="6"/>
      <w:bookmarkEnd w:id="7"/>
      <w:bookmarkEnd w:id="8"/>
      <w:bookmarkEnd w:id="9"/>
      <w:bookmarkEnd w:id="10"/>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833"/>
        <w:gridCol w:w="1985"/>
        <w:gridCol w:w="1984"/>
        <w:gridCol w:w="3306"/>
      </w:tblGrid>
      <w:tr w14:paraId="6E5D11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789392C9">
            <w:pPr>
              <w:pStyle w:val="87"/>
              <w:spacing w:line="240" w:lineRule="auto"/>
              <w:rPr>
                <w:bCs/>
              </w:rPr>
            </w:pPr>
            <w:r>
              <w:t>建设项目名称</w:t>
            </w:r>
          </w:p>
        </w:tc>
        <w:tc>
          <w:tcPr>
            <w:tcW w:w="7275" w:type="dxa"/>
            <w:gridSpan w:val="3"/>
            <w:vAlign w:val="center"/>
          </w:tcPr>
          <w:p w14:paraId="5073324A">
            <w:pPr>
              <w:pStyle w:val="76"/>
              <w:rPr>
                <w:szCs w:val="32"/>
              </w:rPr>
            </w:pPr>
            <w:bookmarkStart w:id="11" w:name="OLE_LINK10"/>
            <w:r>
              <w:rPr>
                <w:sz w:val="24"/>
                <w:szCs w:val="32"/>
              </w:rPr>
              <w:t>汽车内外饰件及模具制造项目</w:t>
            </w:r>
            <w:bookmarkEnd w:id="11"/>
          </w:p>
        </w:tc>
      </w:tr>
      <w:tr w14:paraId="619A70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037E0C67">
            <w:pPr>
              <w:pStyle w:val="87"/>
              <w:spacing w:line="240" w:lineRule="auto"/>
              <w:rPr>
                <w:bCs/>
              </w:rPr>
            </w:pPr>
            <w:bookmarkStart w:id="12" w:name="_Hlk213250875"/>
            <w:r>
              <w:t>项目代码</w:t>
            </w:r>
          </w:p>
        </w:tc>
        <w:tc>
          <w:tcPr>
            <w:tcW w:w="7275" w:type="dxa"/>
            <w:gridSpan w:val="3"/>
            <w:vAlign w:val="center"/>
          </w:tcPr>
          <w:p w14:paraId="15AE7A67">
            <w:pPr>
              <w:pStyle w:val="76"/>
              <w:rPr>
                <w:sz w:val="24"/>
                <w:szCs w:val="32"/>
              </w:rPr>
            </w:pPr>
            <w:r>
              <w:rPr>
                <w:sz w:val="24"/>
                <w:szCs w:val="32"/>
              </w:rPr>
              <w:t>2510-450223-04-01-933729</w:t>
            </w:r>
          </w:p>
        </w:tc>
      </w:tr>
      <w:bookmarkEnd w:id="12"/>
      <w:tr w14:paraId="211373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7CDF6E3B">
            <w:pPr>
              <w:pStyle w:val="87"/>
              <w:spacing w:line="240" w:lineRule="auto"/>
              <w:rPr>
                <w:bCs/>
              </w:rPr>
            </w:pPr>
            <w:r>
              <w:t>建设单位联系人</w:t>
            </w:r>
          </w:p>
        </w:tc>
        <w:tc>
          <w:tcPr>
            <w:tcW w:w="1985" w:type="dxa"/>
            <w:vAlign w:val="center"/>
          </w:tcPr>
          <w:p w14:paraId="2294D1E9">
            <w:pPr>
              <w:pStyle w:val="76"/>
              <w:rPr>
                <w:rFonts w:hint="default" w:eastAsia="宋体"/>
                <w:sz w:val="24"/>
                <w:szCs w:val="32"/>
                <w:lang w:val="en-US" w:eastAsia="zh-CN"/>
              </w:rPr>
            </w:pPr>
            <w:r>
              <w:rPr>
                <w:rFonts w:hint="eastAsia"/>
                <w:sz w:val="24"/>
                <w:szCs w:val="32"/>
                <w:lang w:val="en-US" w:eastAsia="zh-CN"/>
              </w:rPr>
              <w:t>**</w:t>
            </w:r>
          </w:p>
        </w:tc>
        <w:tc>
          <w:tcPr>
            <w:tcW w:w="1984" w:type="dxa"/>
            <w:vAlign w:val="center"/>
          </w:tcPr>
          <w:p w14:paraId="42459084">
            <w:pPr>
              <w:pStyle w:val="76"/>
              <w:rPr>
                <w:b/>
                <w:bCs w:val="0"/>
                <w:sz w:val="24"/>
                <w:szCs w:val="32"/>
              </w:rPr>
            </w:pPr>
            <w:r>
              <w:rPr>
                <w:b/>
                <w:bCs w:val="0"/>
                <w:sz w:val="24"/>
                <w:szCs w:val="32"/>
              </w:rPr>
              <w:t>联系方式</w:t>
            </w:r>
          </w:p>
        </w:tc>
        <w:tc>
          <w:tcPr>
            <w:tcW w:w="3306" w:type="dxa"/>
            <w:vAlign w:val="center"/>
          </w:tcPr>
          <w:p w14:paraId="01C5ECA0">
            <w:pPr>
              <w:pStyle w:val="76"/>
              <w:rPr>
                <w:rFonts w:hint="default" w:eastAsia="宋体"/>
                <w:sz w:val="24"/>
                <w:szCs w:val="32"/>
                <w:lang w:val="en-US" w:eastAsia="zh-CN"/>
              </w:rPr>
            </w:pPr>
            <w:r>
              <w:rPr>
                <w:rFonts w:hint="eastAsia"/>
                <w:sz w:val="24"/>
                <w:szCs w:val="32"/>
                <w:lang w:val="en-US" w:eastAsia="zh-CN"/>
              </w:rPr>
              <w:t>**</w:t>
            </w:r>
          </w:p>
        </w:tc>
      </w:tr>
      <w:tr w14:paraId="182FCE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023CB9D0">
            <w:pPr>
              <w:pStyle w:val="87"/>
              <w:spacing w:line="240" w:lineRule="auto"/>
              <w:rPr>
                <w:bCs/>
              </w:rPr>
            </w:pPr>
            <w:r>
              <w:t>建设地点</w:t>
            </w:r>
          </w:p>
        </w:tc>
        <w:tc>
          <w:tcPr>
            <w:tcW w:w="7275" w:type="dxa"/>
            <w:gridSpan w:val="3"/>
            <w:vAlign w:val="center"/>
          </w:tcPr>
          <w:p w14:paraId="6EB10593">
            <w:pPr>
              <w:pStyle w:val="76"/>
              <w:rPr>
                <w:sz w:val="24"/>
                <w:szCs w:val="32"/>
              </w:rPr>
            </w:pPr>
            <w:bookmarkStart w:id="13" w:name="OLE_LINK12"/>
            <w:r>
              <w:rPr>
                <w:rFonts w:hint="eastAsia"/>
                <w:sz w:val="24"/>
                <w:szCs w:val="32"/>
              </w:rPr>
              <w:t>广西壮族自治区柳州市鹿寨县鹿寨镇飞鹿大道505号</w:t>
            </w:r>
            <w:bookmarkEnd w:id="13"/>
          </w:p>
        </w:tc>
      </w:tr>
      <w:tr w14:paraId="73644F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7D08ECD4">
            <w:pPr>
              <w:pStyle w:val="87"/>
              <w:spacing w:line="240" w:lineRule="auto"/>
              <w:rPr>
                <w:bCs/>
              </w:rPr>
            </w:pPr>
            <w:r>
              <w:t>地理坐标</w:t>
            </w:r>
          </w:p>
        </w:tc>
        <w:tc>
          <w:tcPr>
            <w:tcW w:w="7275" w:type="dxa"/>
            <w:gridSpan w:val="3"/>
            <w:vAlign w:val="center"/>
          </w:tcPr>
          <w:p w14:paraId="5A7270F5">
            <w:pPr>
              <w:pStyle w:val="76"/>
              <w:rPr>
                <w:sz w:val="24"/>
                <w:szCs w:val="32"/>
              </w:rPr>
            </w:pPr>
            <w:r>
              <w:rPr>
                <w:rFonts w:hint="eastAsia"/>
                <w:sz w:val="24"/>
                <w:szCs w:val="32"/>
              </w:rPr>
              <w:t>东经</w:t>
            </w:r>
            <w:r>
              <w:rPr>
                <w:sz w:val="24"/>
                <w:szCs w:val="32"/>
                <w:u w:val="single"/>
              </w:rPr>
              <w:t>109°40’43.960”</w:t>
            </w:r>
            <w:r>
              <w:rPr>
                <w:sz w:val="24"/>
                <w:szCs w:val="32"/>
              </w:rPr>
              <w:t>，</w:t>
            </w:r>
            <w:r>
              <w:rPr>
                <w:rFonts w:hint="eastAsia"/>
                <w:sz w:val="24"/>
                <w:szCs w:val="32"/>
              </w:rPr>
              <w:t>北纬</w:t>
            </w:r>
            <w:r>
              <w:rPr>
                <w:sz w:val="24"/>
                <w:szCs w:val="32"/>
                <w:u w:val="single"/>
              </w:rPr>
              <w:t>24°25’32.815”</w:t>
            </w:r>
          </w:p>
        </w:tc>
      </w:tr>
      <w:tr w14:paraId="1000C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6A40574F">
            <w:pPr>
              <w:pStyle w:val="87"/>
              <w:spacing w:line="240" w:lineRule="auto"/>
              <w:rPr>
                <w:bCs/>
              </w:rPr>
            </w:pPr>
            <w:r>
              <w:t>国民经济</w:t>
            </w:r>
          </w:p>
          <w:p w14:paraId="416259A0">
            <w:pPr>
              <w:pStyle w:val="87"/>
              <w:spacing w:line="240" w:lineRule="auto"/>
              <w:rPr>
                <w:bCs/>
              </w:rPr>
            </w:pPr>
            <w:r>
              <w:t>行业类别</w:t>
            </w:r>
          </w:p>
        </w:tc>
        <w:tc>
          <w:tcPr>
            <w:tcW w:w="1985" w:type="dxa"/>
            <w:vAlign w:val="center"/>
          </w:tcPr>
          <w:p w14:paraId="7515267D">
            <w:pPr>
              <w:pStyle w:val="76"/>
              <w:jc w:val="both"/>
              <w:rPr>
                <w:rFonts w:hint="eastAsia" w:ascii="宋体" w:hAnsi="宋体" w:cs="宋体"/>
                <w:sz w:val="24"/>
                <w:szCs w:val="32"/>
              </w:rPr>
            </w:pPr>
            <w:r>
              <w:rPr>
                <w:rFonts w:hint="eastAsia" w:eastAsia="Times New Roman"/>
                <w:spacing w:val="-1"/>
                <w:sz w:val="24"/>
                <w:szCs w:val="32"/>
              </w:rPr>
              <w:t xml:space="preserve">C3670 </w:t>
            </w:r>
            <w:r>
              <w:rPr>
                <w:rFonts w:hint="eastAsia" w:ascii="宋体" w:hAnsi="宋体" w:cs="宋体"/>
                <w:spacing w:val="-1"/>
                <w:sz w:val="24"/>
                <w:szCs w:val="32"/>
              </w:rPr>
              <w:t>汽车零部件及配件制造</w:t>
            </w:r>
          </w:p>
        </w:tc>
        <w:tc>
          <w:tcPr>
            <w:tcW w:w="1984" w:type="dxa"/>
            <w:vAlign w:val="center"/>
          </w:tcPr>
          <w:p w14:paraId="477281AC">
            <w:pPr>
              <w:pStyle w:val="87"/>
              <w:spacing w:line="240" w:lineRule="auto"/>
              <w:rPr>
                <w:bCs/>
              </w:rPr>
            </w:pPr>
            <w:bookmarkStart w:id="14" w:name="_Hlk49843745"/>
            <w:r>
              <w:t>建设项目</w:t>
            </w:r>
          </w:p>
          <w:p w14:paraId="0EE56B7E">
            <w:pPr>
              <w:pStyle w:val="87"/>
              <w:spacing w:line="240" w:lineRule="auto"/>
              <w:rPr>
                <w:bCs/>
              </w:rPr>
            </w:pPr>
            <w:r>
              <w:t>行业类别</w:t>
            </w:r>
            <w:bookmarkEnd w:id="14"/>
          </w:p>
        </w:tc>
        <w:tc>
          <w:tcPr>
            <w:tcW w:w="3306" w:type="dxa"/>
            <w:vAlign w:val="center"/>
          </w:tcPr>
          <w:p w14:paraId="1259899B">
            <w:pPr>
              <w:pStyle w:val="137"/>
              <w:spacing w:before="9" w:line="310" w:lineRule="exact"/>
              <w:rPr>
                <w:sz w:val="24"/>
                <w:szCs w:val="32"/>
                <w:lang w:eastAsia="zh-CN"/>
              </w:rPr>
            </w:pPr>
            <w:r>
              <w:rPr>
                <w:rFonts w:ascii="宋体" w:hAnsi="宋体" w:cs="宋体"/>
                <w:sz w:val="24"/>
                <w:szCs w:val="32"/>
                <w:lang w:eastAsia="zh-CN"/>
              </w:rPr>
              <w:t>三十三</w:t>
            </w:r>
            <w:r>
              <w:rPr>
                <w:rFonts w:ascii="宋体" w:hAnsi="宋体" w:cs="宋体"/>
                <w:spacing w:val="-39"/>
                <w:sz w:val="24"/>
                <w:szCs w:val="32"/>
                <w:lang w:eastAsia="zh-CN"/>
              </w:rPr>
              <w:t>、</w:t>
            </w:r>
            <w:r>
              <w:rPr>
                <w:rFonts w:ascii="宋体" w:hAnsi="宋体" w:cs="宋体"/>
                <w:sz w:val="24"/>
                <w:szCs w:val="32"/>
                <w:lang w:eastAsia="zh-CN"/>
              </w:rPr>
              <w:t>汽车制造业</w:t>
            </w:r>
            <w:r>
              <w:rPr>
                <w:rFonts w:ascii="Times New Roman" w:hAnsi="Times New Roman" w:eastAsia="Times New Roman"/>
                <w:sz w:val="24"/>
                <w:szCs w:val="32"/>
                <w:lang w:eastAsia="zh-CN"/>
              </w:rPr>
              <w:t>—71</w:t>
            </w:r>
            <w:r>
              <w:rPr>
                <w:rFonts w:ascii="宋体" w:hAnsi="宋体" w:cs="宋体"/>
                <w:sz w:val="24"/>
                <w:szCs w:val="32"/>
                <w:lang w:eastAsia="zh-CN"/>
              </w:rPr>
              <w:t>汽车零部件及配件制造</w:t>
            </w:r>
            <w:r>
              <w:rPr>
                <w:rFonts w:ascii="Times New Roman" w:hAnsi="Times New Roman" w:eastAsia="Times New Roman"/>
                <w:sz w:val="24"/>
                <w:szCs w:val="32"/>
                <w:lang w:eastAsia="zh-CN"/>
              </w:rPr>
              <w:t>367—</w:t>
            </w:r>
            <w:r>
              <w:rPr>
                <w:rFonts w:ascii="宋体" w:hAnsi="宋体" w:cs="宋体"/>
                <w:sz w:val="24"/>
                <w:szCs w:val="32"/>
                <w:lang w:eastAsia="zh-CN"/>
              </w:rPr>
              <w:t>其他</w:t>
            </w:r>
          </w:p>
        </w:tc>
      </w:tr>
      <w:tr w14:paraId="4AC3AF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0907F5F7">
            <w:pPr>
              <w:pStyle w:val="87"/>
              <w:spacing w:line="240" w:lineRule="auto"/>
              <w:rPr>
                <w:bCs/>
              </w:rPr>
            </w:pPr>
            <w:r>
              <w:t>建设性质</w:t>
            </w:r>
          </w:p>
        </w:tc>
        <w:tc>
          <w:tcPr>
            <w:tcW w:w="1985" w:type="dxa"/>
            <w:vAlign w:val="center"/>
          </w:tcPr>
          <w:p w14:paraId="1173CAA4">
            <w:pPr>
              <w:pStyle w:val="76"/>
              <w:jc w:val="left"/>
              <w:rPr>
                <w:sz w:val="24"/>
                <w:szCs w:val="32"/>
              </w:rPr>
            </w:pPr>
            <w:r>
              <w:rPr>
                <w:b/>
                <w:bCs w:val="0"/>
                <w:sz w:val="24"/>
                <w:szCs w:val="32"/>
              </w:rPr>
              <w:sym w:font="Wingdings 2" w:char="F052"/>
            </w:r>
            <w:r>
              <w:rPr>
                <w:sz w:val="24"/>
                <w:szCs w:val="32"/>
              </w:rPr>
              <w:t>新建（迁建）</w:t>
            </w:r>
          </w:p>
          <w:p w14:paraId="2231BB1D">
            <w:pPr>
              <w:pStyle w:val="76"/>
              <w:jc w:val="left"/>
              <w:rPr>
                <w:sz w:val="24"/>
                <w:szCs w:val="32"/>
              </w:rPr>
            </w:pPr>
            <w:r>
              <w:rPr>
                <w:sz w:val="24"/>
                <w:szCs w:val="32"/>
              </w:rPr>
              <w:sym w:font="Wingdings" w:char="F06F"/>
            </w:r>
            <w:r>
              <w:rPr>
                <w:sz w:val="24"/>
                <w:szCs w:val="32"/>
              </w:rPr>
              <w:t>改建</w:t>
            </w:r>
          </w:p>
          <w:p w14:paraId="68E41097">
            <w:pPr>
              <w:pStyle w:val="76"/>
              <w:jc w:val="left"/>
              <w:rPr>
                <w:sz w:val="24"/>
                <w:szCs w:val="32"/>
              </w:rPr>
            </w:pPr>
            <w:r>
              <w:rPr>
                <w:sz w:val="24"/>
                <w:szCs w:val="32"/>
              </w:rPr>
              <w:sym w:font="Wingdings" w:char="F06F"/>
            </w:r>
            <w:r>
              <w:rPr>
                <w:sz w:val="24"/>
                <w:szCs w:val="32"/>
              </w:rPr>
              <w:t>扩建</w:t>
            </w:r>
          </w:p>
          <w:p w14:paraId="105D4E85">
            <w:pPr>
              <w:pStyle w:val="76"/>
              <w:jc w:val="left"/>
              <w:rPr>
                <w:sz w:val="24"/>
                <w:szCs w:val="32"/>
              </w:rPr>
            </w:pPr>
            <w:r>
              <w:rPr>
                <w:sz w:val="24"/>
                <w:szCs w:val="32"/>
              </w:rPr>
              <w:sym w:font="Wingdings" w:char="F06F"/>
            </w:r>
            <w:r>
              <w:rPr>
                <w:sz w:val="24"/>
                <w:szCs w:val="32"/>
              </w:rPr>
              <w:t>技术改造</w:t>
            </w:r>
          </w:p>
        </w:tc>
        <w:tc>
          <w:tcPr>
            <w:tcW w:w="1984" w:type="dxa"/>
            <w:vAlign w:val="center"/>
          </w:tcPr>
          <w:p w14:paraId="6699F9BD">
            <w:pPr>
              <w:pStyle w:val="87"/>
              <w:spacing w:line="240" w:lineRule="auto"/>
              <w:rPr>
                <w:bCs/>
              </w:rPr>
            </w:pPr>
            <w:r>
              <w:t>建设项目</w:t>
            </w:r>
          </w:p>
          <w:p w14:paraId="3C0EB50E">
            <w:pPr>
              <w:pStyle w:val="87"/>
              <w:spacing w:line="240" w:lineRule="auto"/>
              <w:rPr>
                <w:bCs/>
              </w:rPr>
            </w:pPr>
            <w:r>
              <w:t>申报情形</w:t>
            </w:r>
          </w:p>
        </w:tc>
        <w:tc>
          <w:tcPr>
            <w:tcW w:w="3306" w:type="dxa"/>
            <w:vAlign w:val="center"/>
          </w:tcPr>
          <w:p w14:paraId="1B44BB6C">
            <w:pPr>
              <w:pStyle w:val="76"/>
              <w:jc w:val="left"/>
              <w:rPr>
                <w:sz w:val="24"/>
                <w:szCs w:val="32"/>
              </w:rPr>
            </w:pPr>
            <w:r>
              <w:rPr>
                <w:b/>
                <w:bCs w:val="0"/>
                <w:sz w:val="24"/>
                <w:szCs w:val="32"/>
              </w:rPr>
              <w:sym w:font="Wingdings 2" w:char="F052"/>
            </w:r>
            <w:r>
              <w:rPr>
                <w:sz w:val="24"/>
                <w:szCs w:val="32"/>
              </w:rPr>
              <w:t xml:space="preserve">首次申报项目             </w:t>
            </w:r>
          </w:p>
          <w:p w14:paraId="36D6CFD6">
            <w:pPr>
              <w:pStyle w:val="76"/>
              <w:jc w:val="left"/>
              <w:rPr>
                <w:sz w:val="24"/>
                <w:szCs w:val="32"/>
              </w:rPr>
            </w:pPr>
            <w:r>
              <w:rPr>
                <w:sz w:val="24"/>
                <w:szCs w:val="32"/>
              </w:rPr>
              <w:sym w:font="Wingdings" w:char="F06F"/>
            </w:r>
            <w:r>
              <w:rPr>
                <w:sz w:val="24"/>
                <w:szCs w:val="32"/>
              </w:rPr>
              <w:t>不予批准后再次申报项目</w:t>
            </w:r>
          </w:p>
          <w:p w14:paraId="69F02805">
            <w:pPr>
              <w:pStyle w:val="76"/>
              <w:jc w:val="left"/>
              <w:rPr>
                <w:sz w:val="24"/>
                <w:szCs w:val="32"/>
              </w:rPr>
            </w:pPr>
            <w:r>
              <w:rPr>
                <w:sz w:val="24"/>
                <w:szCs w:val="32"/>
              </w:rPr>
              <w:sym w:font="Wingdings" w:char="F06F"/>
            </w:r>
            <w:r>
              <w:rPr>
                <w:sz w:val="24"/>
                <w:szCs w:val="32"/>
              </w:rPr>
              <w:t xml:space="preserve">超五年重新审核项目     </w:t>
            </w:r>
          </w:p>
          <w:p w14:paraId="3D3C3B82">
            <w:pPr>
              <w:pStyle w:val="76"/>
              <w:jc w:val="left"/>
              <w:rPr>
                <w:sz w:val="24"/>
                <w:szCs w:val="32"/>
              </w:rPr>
            </w:pPr>
            <w:r>
              <w:rPr>
                <w:sz w:val="24"/>
                <w:szCs w:val="32"/>
              </w:rPr>
              <w:sym w:font="Wingdings" w:char="F06F"/>
            </w:r>
            <w:r>
              <w:rPr>
                <w:sz w:val="24"/>
                <w:szCs w:val="32"/>
              </w:rPr>
              <w:t>重大变动重新报批项目</w:t>
            </w:r>
          </w:p>
        </w:tc>
      </w:tr>
      <w:tr w14:paraId="5261D2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5020B60F">
            <w:pPr>
              <w:pStyle w:val="87"/>
              <w:spacing w:line="240" w:lineRule="auto"/>
              <w:rPr>
                <w:bCs/>
              </w:rPr>
            </w:pPr>
            <w:r>
              <w:t>项目审批（核准/备案）部门（选填）</w:t>
            </w:r>
          </w:p>
        </w:tc>
        <w:tc>
          <w:tcPr>
            <w:tcW w:w="1985" w:type="dxa"/>
            <w:vAlign w:val="center"/>
          </w:tcPr>
          <w:p w14:paraId="11F539D7">
            <w:pPr>
              <w:pStyle w:val="76"/>
              <w:rPr>
                <w:sz w:val="24"/>
                <w:szCs w:val="32"/>
              </w:rPr>
            </w:pPr>
            <w:r>
              <w:rPr>
                <w:sz w:val="24"/>
                <w:szCs w:val="32"/>
              </w:rPr>
              <w:t>柳州市鹿寨县发展和改革局</w:t>
            </w:r>
          </w:p>
        </w:tc>
        <w:tc>
          <w:tcPr>
            <w:tcW w:w="1984" w:type="dxa"/>
            <w:vAlign w:val="center"/>
          </w:tcPr>
          <w:p w14:paraId="07B89F29">
            <w:pPr>
              <w:pStyle w:val="87"/>
              <w:spacing w:line="240" w:lineRule="auto"/>
              <w:rPr>
                <w:bCs/>
              </w:rPr>
            </w:pPr>
            <w:r>
              <w:t>项目审批（核准/</w:t>
            </w:r>
          </w:p>
          <w:p w14:paraId="50BEA842">
            <w:pPr>
              <w:pStyle w:val="87"/>
              <w:spacing w:line="240" w:lineRule="auto"/>
              <w:rPr>
                <w:bCs/>
              </w:rPr>
            </w:pPr>
            <w:r>
              <w:t>备案）文号（选填）</w:t>
            </w:r>
          </w:p>
        </w:tc>
        <w:tc>
          <w:tcPr>
            <w:tcW w:w="3306" w:type="dxa"/>
            <w:vAlign w:val="center"/>
          </w:tcPr>
          <w:p w14:paraId="3D49C6F1">
            <w:pPr>
              <w:pStyle w:val="76"/>
              <w:rPr>
                <w:sz w:val="24"/>
                <w:szCs w:val="32"/>
              </w:rPr>
            </w:pPr>
            <w:r>
              <w:rPr>
                <w:sz w:val="24"/>
                <w:szCs w:val="32"/>
              </w:rPr>
              <w:t>2510-450223-04-01-933729</w:t>
            </w:r>
          </w:p>
        </w:tc>
      </w:tr>
      <w:tr w14:paraId="208D6C0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0DDB5F56">
            <w:pPr>
              <w:pStyle w:val="87"/>
              <w:spacing w:line="240" w:lineRule="auto"/>
              <w:rPr>
                <w:bCs/>
              </w:rPr>
            </w:pPr>
            <w:r>
              <w:t>总投资（万元）</w:t>
            </w:r>
          </w:p>
        </w:tc>
        <w:tc>
          <w:tcPr>
            <w:tcW w:w="1985" w:type="dxa"/>
            <w:vAlign w:val="center"/>
          </w:tcPr>
          <w:p w14:paraId="33E513BA">
            <w:pPr>
              <w:pStyle w:val="76"/>
              <w:rPr>
                <w:sz w:val="24"/>
                <w:szCs w:val="32"/>
              </w:rPr>
            </w:pPr>
            <w:r>
              <w:rPr>
                <w:rFonts w:hint="eastAsia"/>
                <w:sz w:val="24"/>
                <w:szCs w:val="32"/>
              </w:rPr>
              <w:t>5</w:t>
            </w:r>
            <w:r>
              <w:rPr>
                <w:sz w:val="24"/>
                <w:szCs w:val="32"/>
              </w:rPr>
              <w:t>0.0</w:t>
            </w:r>
          </w:p>
        </w:tc>
        <w:tc>
          <w:tcPr>
            <w:tcW w:w="1984" w:type="dxa"/>
            <w:tcMar>
              <w:top w:w="16" w:type="dxa"/>
              <w:left w:w="16" w:type="dxa"/>
              <w:right w:w="16" w:type="dxa"/>
            </w:tcMar>
            <w:vAlign w:val="center"/>
          </w:tcPr>
          <w:p w14:paraId="763283DC">
            <w:pPr>
              <w:pStyle w:val="87"/>
              <w:spacing w:line="240" w:lineRule="auto"/>
              <w:rPr>
                <w:bCs/>
              </w:rPr>
            </w:pPr>
            <w:r>
              <w:t>环保投资（万元）</w:t>
            </w:r>
          </w:p>
        </w:tc>
        <w:tc>
          <w:tcPr>
            <w:tcW w:w="3306" w:type="dxa"/>
            <w:vAlign w:val="center"/>
          </w:tcPr>
          <w:p w14:paraId="0AF97F18">
            <w:pPr>
              <w:pStyle w:val="76"/>
              <w:rPr>
                <w:sz w:val="24"/>
                <w:szCs w:val="32"/>
              </w:rPr>
            </w:pPr>
            <w:r>
              <w:rPr>
                <w:rFonts w:hint="eastAsia"/>
                <w:sz w:val="24"/>
                <w:szCs w:val="32"/>
              </w:rPr>
              <w:t>9.0</w:t>
            </w:r>
          </w:p>
        </w:tc>
      </w:tr>
      <w:tr w14:paraId="31700E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6C76E844">
            <w:pPr>
              <w:pStyle w:val="87"/>
              <w:spacing w:line="240" w:lineRule="auto"/>
              <w:rPr>
                <w:bCs/>
              </w:rPr>
            </w:pPr>
            <w:r>
              <w:t>环保投资占比（%）</w:t>
            </w:r>
          </w:p>
        </w:tc>
        <w:tc>
          <w:tcPr>
            <w:tcW w:w="1985" w:type="dxa"/>
            <w:vAlign w:val="center"/>
          </w:tcPr>
          <w:p w14:paraId="28B965BA">
            <w:pPr>
              <w:pStyle w:val="76"/>
              <w:rPr>
                <w:sz w:val="24"/>
                <w:szCs w:val="32"/>
              </w:rPr>
            </w:pPr>
            <w:r>
              <w:rPr>
                <w:rFonts w:hint="eastAsia"/>
                <w:sz w:val="24"/>
                <w:szCs w:val="32"/>
              </w:rPr>
              <w:t>18.0</w:t>
            </w:r>
          </w:p>
        </w:tc>
        <w:tc>
          <w:tcPr>
            <w:tcW w:w="1984" w:type="dxa"/>
            <w:tcMar>
              <w:top w:w="16" w:type="dxa"/>
              <w:left w:w="16" w:type="dxa"/>
              <w:right w:w="16" w:type="dxa"/>
            </w:tcMar>
            <w:vAlign w:val="center"/>
          </w:tcPr>
          <w:p w14:paraId="6B804F22">
            <w:pPr>
              <w:pStyle w:val="87"/>
              <w:spacing w:line="240" w:lineRule="auto"/>
              <w:rPr>
                <w:bCs/>
              </w:rPr>
            </w:pPr>
            <w:r>
              <w:t>施工工期</w:t>
            </w:r>
          </w:p>
        </w:tc>
        <w:tc>
          <w:tcPr>
            <w:tcW w:w="3306" w:type="dxa"/>
            <w:vAlign w:val="center"/>
          </w:tcPr>
          <w:p w14:paraId="3468BEE4">
            <w:pPr>
              <w:pStyle w:val="76"/>
              <w:rPr>
                <w:sz w:val="24"/>
                <w:szCs w:val="32"/>
              </w:rPr>
            </w:pPr>
            <w:r>
              <w:rPr>
                <w:rFonts w:hint="eastAsia"/>
                <w:sz w:val="24"/>
                <w:szCs w:val="32"/>
              </w:rPr>
              <w:t>1个月，2025.6~2025.7</w:t>
            </w:r>
          </w:p>
        </w:tc>
      </w:tr>
      <w:tr w14:paraId="46DC55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10" w:hRule="atLeast"/>
          <w:jc w:val="center"/>
        </w:trPr>
        <w:tc>
          <w:tcPr>
            <w:tcW w:w="1833" w:type="dxa"/>
            <w:tcMar>
              <w:top w:w="16" w:type="dxa"/>
              <w:left w:w="16" w:type="dxa"/>
              <w:right w:w="16" w:type="dxa"/>
            </w:tcMar>
            <w:vAlign w:val="center"/>
          </w:tcPr>
          <w:p w14:paraId="32E00D96">
            <w:pPr>
              <w:pStyle w:val="87"/>
              <w:spacing w:line="240" w:lineRule="auto"/>
              <w:rPr>
                <w:bCs/>
              </w:rPr>
            </w:pPr>
            <w:r>
              <w:t>是否开工建设</w:t>
            </w:r>
          </w:p>
        </w:tc>
        <w:tc>
          <w:tcPr>
            <w:tcW w:w="1985" w:type="dxa"/>
            <w:vAlign w:val="center"/>
          </w:tcPr>
          <w:p w14:paraId="587606E3">
            <w:pPr>
              <w:pStyle w:val="76"/>
              <w:jc w:val="left"/>
              <w:rPr>
                <w:sz w:val="24"/>
                <w:szCs w:val="32"/>
              </w:rPr>
            </w:pPr>
            <w:r>
              <w:rPr>
                <w:sz w:val="24"/>
                <w:szCs w:val="32"/>
              </w:rPr>
              <w:sym w:font="Wingdings" w:char="F06F"/>
            </w:r>
            <w:r>
              <w:rPr>
                <w:sz w:val="24"/>
                <w:szCs w:val="32"/>
              </w:rPr>
              <w:t>否</w:t>
            </w:r>
          </w:p>
          <w:p w14:paraId="42F312AC">
            <w:pPr>
              <w:pStyle w:val="76"/>
              <w:jc w:val="left"/>
              <w:rPr>
                <w:sz w:val="24"/>
                <w:szCs w:val="32"/>
              </w:rPr>
            </w:pPr>
            <w:r>
              <w:rPr>
                <w:b/>
                <w:bCs w:val="0"/>
                <w:sz w:val="24"/>
                <w:szCs w:val="32"/>
              </w:rPr>
              <w:sym w:font="Wingdings 2" w:char="F052"/>
            </w:r>
            <w:r>
              <w:rPr>
                <w:sz w:val="24"/>
                <w:szCs w:val="32"/>
              </w:rPr>
              <w:t>是：</w:t>
            </w:r>
            <w:r>
              <w:rPr>
                <w:sz w:val="24"/>
                <w:szCs w:val="32"/>
                <w:u w:val="single"/>
              </w:rPr>
              <w:t xml:space="preserve"> </w:t>
            </w:r>
            <w:r>
              <w:rPr>
                <w:rFonts w:hint="eastAsia"/>
                <w:sz w:val="24"/>
                <w:szCs w:val="32"/>
                <w:u w:val="single"/>
              </w:rPr>
              <w:t>项目已完成建设并开展设备调试生产，未收到生态环境主管部门处罚</w:t>
            </w:r>
            <w:r>
              <w:rPr>
                <w:sz w:val="24"/>
                <w:szCs w:val="32"/>
                <w:u w:val="single"/>
              </w:rPr>
              <w:t xml:space="preserve"> </w:t>
            </w:r>
          </w:p>
        </w:tc>
        <w:tc>
          <w:tcPr>
            <w:tcW w:w="1984" w:type="dxa"/>
            <w:tcMar>
              <w:top w:w="16" w:type="dxa"/>
              <w:left w:w="16" w:type="dxa"/>
              <w:right w:w="16" w:type="dxa"/>
            </w:tcMar>
            <w:vAlign w:val="center"/>
          </w:tcPr>
          <w:p w14:paraId="02203305">
            <w:pPr>
              <w:pStyle w:val="87"/>
              <w:spacing w:line="240" w:lineRule="auto"/>
              <w:rPr>
                <w:bCs/>
                <w:spacing w:val="-6"/>
              </w:rPr>
            </w:pPr>
            <w:r>
              <w:rPr>
                <w:spacing w:val="-6"/>
              </w:rPr>
              <w:t>用地（用海）</w:t>
            </w:r>
          </w:p>
          <w:p w14:paraId="2851F4D3">
            <w:pPr>
              <w:pStyle w:val="87"/>
              <w:spacing w:line="240" w:lineRule="auto"/>
              <w:rPr>
                <w:bCs/>
              </w:rPr>
            </w:pPr>
            <w:r>
              <w:rPr>
                <w:spacing w:val="-6"/>
              </w:rPr>
              <w:t>面积（m</w:t>
            </w:r>
            <w:r>
              <w:rPr>
                <w:spacing w:val="-6"/>
                <w:vertAlign w:val="superscript"/>
              </w:rPr>
              <w:t>2</w:t>
            </w:r>
            <w:r>
              <w:rPr>
                <w:spacing w:val="-6"/>
              </w:rPr>
              <w:t>）</w:t>
            </w:r>
          </w:p>
        </w:tc>
        <w:tc>
          <w:tcPr>
            <w:tcW w:w="3306" w:type="dxa"/>
            <w:vAlign w:val="center"/>
          </w:tcPr>
          <w:p w14:paraId="6B2A0A5C">
            <w:pPr>
              <w:pStyle w:val="76"/>
              <w:rPr>
                <w:sz w:val="24"/>
                <w:szCs w:val="32"/>
              </w:rPr>
            </w:pPr>
            <w:r>
              <w:rPr>
                <w:rFonts w:hint="eastAsia"/>
                <w:sz w:val="24"/>
                <w:szCs w:val="32"/>
              </w:rPr>
              <w:t>2673</w:t>
            </w:r>
          </w:p>
        </w:tc>
      </w:tr>
      <w:tr w14:paraId="4CAB44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833" w:type="dxa"/>
            <w:vAlign w:val="center"/>
          </w:tcPr>
          <w:p w14:paraId="0DD250A3">
            <w:pPr>
              <w:pStyle w:val="87"/>
              <w:spacing w:line="240" w:lineRule="auto"/>
              <w:rPr>
                <w:bCs/>
              </w:rPr>
            </w:pPr>
            <w:r>
              <w:t>专项评价设置情况</w:t>
            </w:r>
          </w:p>
        </w:tc>
        <w:tc>
          <w:tcPr>
            <w:tcW w:w="7275" w:type="dxa"/>
            <w:gridSpan w:val="3"/>
            <w:vAlign w:val="center"/>
          </w:tcPr>
          <w:p w14:paraId="586C454B">
            <w:pPr>
              <w:pStyle w:val="76"/>
              <w:rPr>
                <w:sz w:val="24"/>
                <w:szCs w:val="32"/>
              </w:rPr>
            </w:pPr>
            <w:r>
              <w:rPr>
                <w:rFonts w:hint="eastAsia"/>
                <w:sz w:val="24"/>
                <w:szCs w:val="32"/>
              </w:rPr>
              <w:t>无</w:t>
            </w:r>
          </w:p>
        </w:tc>
      </w:tr>
      <w:tr w14:paraId="453304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2" w:hRule="atLeast"/>
          <w:jc w:val="center"/>
        </w:trPr>
        <w:tc>
          <w:tcPr>
            <w:tcW w:w="1833" w:type="dxa"/>
            <w:vAlign w:val="center"/>
          </w:tcPr>
          <w:p w14:paraId="616C34C7">
            <w:pPr>
              <w:pStyle w:val="87"/>
              <w:spacing w:line="240" w:lineRule="auto"/>
              <w:rPr>
                <w:bCs/>
              </w:rPr>
            </w:pPr>
            <w:r>
              <w:t>规划情况</w:t>
            </w:r>
          </w:p>
        </w:tc>
        <w:tc>
          <w:tcPr>
            <w:tcW w:w="7275" w:type="dxa"/>
            <w:gridSpan w:val="3"/>
            <w:vAlign w:val="center"/>
          </w:tcPr>
          <w:p w14:paraId="0F319ED2">
            <w:pPr>
              <w:pStyle w:val="117"/>
              <w:ind w:firstLine="12" w:firstLineChars="5"/>
            </w:pPr>
            <w:r>
              <w:rPr>
                <w:rFonts w:hint="eastAsia"/>
              </w:rPr>
              <w:t>（1）文件名称：《鹿寨高新技术产业开发区建设与发展总体规划（2022-2035）》</w:t>
            </w:r>
          </w:p>
          <w:p w14:paraId="7DA6A0AC">
            <w:pPr>
              <w:pStyle w:val="117"/>
              <w:ind w:firstLine="12" w:firstLineChars="5"/>
            </w:pPr>
            <w:r>
              <w:rPr>
                <w:rFonts w:hint="eastAsia"/>
              </w:rPr>
              <w:t>（2）审批机关：柳州市人民政府</w:t>
            </w:r>
          </w:p>
          <w:p w14:paraId="7C6EE423">
            <w:pPr>
              <w:pStyle w:val="117"/>
              <w:ind w:firstLine="12" w:firstLineChars="5"/>
            </w:pPr>
            <w:r>
              <w:rPr>
                <w:rFonts w:hint="eastAsia"/>
              </w:rPr>
              <w:t>（3）审批文件名称及文号：《柳州市人民政府常务会议决定通知〔2018〕64号》</w:t>
            </w:r>
          </w:p>
        </w:tc>
      </w:tr>
      <w:tr w14:paraId="7DCC24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33" w:type="dxa"/>
            <w:vAlign w:val="center"/>
          </w:tcPr>
          <w:p w14:paraId="51306CB9">
            <w:pPr>
              <w:pStyle w:val="87"/>
              <w:spacing w:line="240" w:lineRule="auto"/>
              <w:rPr>
                <w:bCs/>
              </w:rPr>
            </w:pPr>
            <w:r>
              <w:t>规划环境影响评价情况</w:t>
            </w:r>
          </w:p>
        </w:tc>
        <w:tc>
          <w:tcPr>
            <w:tcW w:w="7275" w:type="dxa"/>
            <w:gridSpan w:val="3"/>
            <w:vAlign w:val="center"/>
          </w:tcPr>
          <w:p w14:paraId="49C7DFE8">
            <w:pPr>
              <w:pStyle w:val="117"/>
              <w:ind w:firstLine="12" w:firstLineChars="5"/>
            </w:pPr>
            <w:r>
              <w:rPr>
                <w:rFonts w:hint="eastAsia"/>
              </w:rPr>
              <w:t>（1）文件名称：《鹿寨高新技术产业开发区建设与发展总体规划（2022-2035）环境影响报告书》</w:t>
            </w:r>
          </w:p>
          <w:p w14:paraId="13E593F0">
            <w:pPr>
              <w:pStyle w:val="117"/>
              <w:ind w:firstLine="12" w:firstLineChars="5"/>
            </w:pPr>
            <w:r>
              <w:rPr>
                <w:rFonts w:hint="eastAsia"/>
              </w:rPr>
              <w:t>（2）审查机关：柳州市生态环境局</w:t>
            </w:r>
          </w:p>
          <w:p w14:paraId="69690AB1">
            <w:pPr>
              <w:pStyle w:val="117"/>
              <w:ind w:firstLine="12" w:firstLineChars="5"/>
            </w:pPr>
            <w:r>
              <w:rPr>
                <w:rFonts w:hint="eastAsia"/>
              </w:rPr>
              <w:t>（3）审查文件名称及文号：《关于印发〈鹿寨高新技术产业开发区建设与发展总体规划（2022-2035）环境影响报告书〉审查意见的通知》（柳环函〔2023〕571号）</w:t>
            </w:r>
          </w:p>
        </w:tc>
      </w:tr>
      <w:tr w14:paraId="0A7DA6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833" w:type="dxa"/>
            <w:vAlign w:val="center"/>
          </w:tcPr>
          <w:p w14:paraId="1B9F7585">
            <w:pPr>
              <w:pStyle w:val="87"/>
            </w:pPr>
            <w:r>
              <w:t>规划及规划环境影响评价符合性分析</w:t>
            </w:r>
          </w:p>
        </w:tc>
        <w:tc>
          <w:tcPr>
            <w:tcW w:w="7275" w:type="dxa"/>
            <w:gridSpan w:val="3"/>
            <w:vAlign w:val="center"/>
          </w:tcPr>
          <w:p w14:paraId="4F6C4110">
            <w:pPr>
              <w:pStyle w:val="117"/>
              <w:ind w:firstLine="482"/>
              <w:rPr>
                <w:b/>
                <w:bCs w:val="0"/>
              </w:rPr>
            </w:pPr>
            <w:r>
              <w:rPr>
                <w:rFonts w:hint="eastAsia"/>
                <w:b/>
                <w:bCs w:val="0"/>
              </w:rPr>
              <w:t>1、与《鹿寨高新技术产业开发区建设与发展总体规划（2022-2035）》产业定位及用地规划相符性分析</w:t>
            </w:r>
          </w:p>
          <w:p w14:paraId="0708E32D">
            <w:pPr>
              <w:pStyle w:val="117"/>
              <w:ind w:firstLine="480"/>
            </w:pPr>
            <w:r>
              <w:rPr>
                <w:rFonts w:hint="eastAsia"/>
              </w:rPr>
              <w:t>根据《鹿寨高新技术产业开发区建设与发展总体规划（2022-2035）》，鹿寨县高新区总规划面积为2077.68hm</w:t>
            </w:r>
            <w:r>
              <w:rPr>
                <w:rFonts w:hint="eastAsia"/>
                <w:vertAlign w:val="superscript"/>
              </w:rPr>
              <w:t>2</w:t>
            </w:r>
            <w:r>
              <w:rPr>
                <w:rFonts w:hint="eastAsia"/>
              </w:rPr>
              <w:t>，分为中心片区、城东片区、江口片区3个区域。中心片区东至鹿寨县第一初级中学北侧交界处，西至</w:t>
            </w:r>
            <w:bookmarkStart w:id="15" w:name="OLE_LINK5"/>
            <w:r>
              <w:rPr>
                <w:rFonts w:hint="eastAsia"/>
              </w:rPr>
              <w:t>军泰预制建材有限公司</w:t>
            </w:r>
            <w:bookmarkEnd w:id="15"/>
            <w:r>
              <w:rPr>
                <w:rFonts w:hint="eastAsia"/>
              </w:rPr>
              <w:t>搅拌站西侧边界线，北至政军路，南至正菱水泥厂南侧边界线。城东片区东至汕昆高速，西至广西畔森装饰材料有限公司东侧边界，北至鹿寨县初级实验中学北侧交界处，南至泉南高速。江口片区东至鹿寨港区江口作业区东侧边界线，西至电镀工业园西侧边界线，北至凉亭屯南侧边界，南至鹿寨港区江口作业区南侧边界线。</w:t>
            </w:r>
          </w:p>
          <w:p w14:paraId="7AFFD916">
            <w:pPr>
              <w:pStyle w:val="117"/>
              <w:ind w:firstLine="480"/>
            </w:pPr>
            <w:r>
              <w:rPr>
                <w:rFonts w:hint="eastAsia"/>
              </w:rPr>
              <w:t>产业定位：鹿寨高新区的产业定位可概括“3+3+3”，即重点发展先进制造、生态环保和新材料产业，兼顾发展大健康、电子信息和新能源与节能产业，配套发展科技服务、商贸服务和现代物流等产业。</w:t>
            </w:r>
          </w:p>
          <w:p w14:paraId="4438137C">
            <w:pPr>
              <w:pStyle w:val="117"/>
              <w:ind w:firstLine="480"/>
            </w:pPr>
            <w:r>
              <w:rPr>
                <w:rFonts w:hint="eastAsia"/>
              </w:rPr>
              <w:t>规划结构：规划区最终形成“一轴双翼，飞地驱动，三核四心多组团”的总体空间布局结构。“一轴”即园区发展主轴322 国道；“双翼”即东西两翼，分布在鹿寨县城东西两侧的城东片区和中心片区；“飞地驱动”即江口片区为规划的飞地区域；“三核四心”即科技服务核、文体休闲核、临港物流核、滨水休闲中心、景观生态中心、综合服务中心、居住配套中心；“多组团”即综合工业组团、活力居住组团、配套发展组团、生态休闲组团。</w:t>
            </w:r>
          </w:p>
          <w:p w14:paraId="36504481">
            <w:pPr>
              <w:pStyle w:val="117"/>
              <w:ind w:firstLine="480"/>
            </w:pPr>
            <w:r>
              <w:rPr>
                <w:rFonts w:hint="eastAsia"/>
              </w:rPr>
              <w:t>项目位于广西壮族自治区柳州市鹿寨县鹿寨镇飞鹿大道505号，属鹿寨高新技术产业开发区——中心片区，项目属于</w:t>
            </w:r>
            <w:r>
              <w:rPr>
                <w:rFonts w:hint="eastAsia" w:eastAsia="Times New Roman"/>
                <w:spacing w:val="-1"/>
              </w:rPr>
              <w:t xml:space="preserve">C3670 </w:t>
            </w:r>
            <w:r>
              <w:rPr>
                <w:rFonts w:hint="eastAsia" w:ascii="宋体" w:hAnsi="宋体" w:cs="宋体"/>
                <w:spacing w:val="-1"/>
              </w:rPr>
              <w:t>汽车零部件及配件制造</w:t>
            </w:r>
            <w:r>
              <w:rPr>
                <w:rFonts w:hint="eastAsia"/>
              </w:rPr>
              <w:t>，与《鹿寨高新技术产业开发区建设与发展总体规划（2022-2035）》规划相符。且根据《鹿寨高新技术产业开发区建设与发展总体规划（2022-2035）-用地规划图》（详见附图5）可知，项目选址位于二类工业用地内，与《鹿寨高新技术产业开发区建设与发展总体规划（2022-2035）》相符。</w:t>
            </w:r>
          </w:p>
          <w:p w14:paraId="4060D524">
            <w:pPr>
              <w:pStyle w:val="117"/>
              <w:ind w:firstLine="482"/>
              <w:rPr>
                <w:b/>
                <w:bCs w:val="0"/>
              </w:rPr>
            </w:pPr>
            <w:r>
              <w:rPr>
                <w:rFonts w:hint="eastAsia"/>
                <w:b/>
                <w:bCs w:val="0"/>
              </w:rPr>
              <w:t>2、与《鹿寨高新技术产业开发区建设与发展总体规划（2022-2035）环境影响报告书》及其审查意见相符性分析</w:t>
            </w:r>
          </w:p>
          <w:p w14:paraId="5DDD9C78">
            <w:pPr>
              <w:pStyle w:val="117"/>
              <w:ind w:firstLine="480"/>
            </w:pPr>
            <w:r>
              <w:rPr>
                <w:rFonts w:hint="eastAsia"/>
              </w:rPr>
              <w:t>项目与《鹿寨高新技术产业开发区建设与发展总体规划（2022-2035）环境影响报告书》及其审查意见相符性分析</w:t>
            </w:r>
            <w:r>
              <w:t>（</w:t>
            </w:r>
            <w:r>
              <w:rPr>
                <w:rFonts w:hint="eastAsia"/>
              </w:rPr>
              <w:t>柳环函〔2023〕571号</w:t>
            </w:r>
            <w:r>
              <w:t>）</w:t>
            </w:r>
            <w:r>
              <w:rPr>
                <w:rFonts w:hint="eastAsia"/>
              </w:rPr>
              <w:t>中对近期规划建设项目的实施意见，项目与园区规划环评审查意见的相符性详见表1-1；与鹿寨高新区准入要求相符性详见表1-2；项目与鹿寨高新区准入负面清单详见表1-3。</w:t>
            </w:r>
          </w:p>
          <w:p w14:paraId="19C891FF">
            <w:pPr>
              <w:pStyle w:val="87"/>
            </w:pPr>
            <w:r>
              <w:rPr>
                <w:rFonts w:hint="eastAsia"/>
              </w:rPr>
              <w:t>表1-1项目与园区规划环评审查意见的相符性分析表</w:t>
            </w:r>
          </w:p>
          <w:tbl>
            <w:tblPr>
              <w:tblStyle w:val="154"/>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40"/>
              <w:gridCol w:w="4273"/>
              <w:gridCol w:w="1545"/>
              <w:gridCol w:w="654"/>
            </w:tblGrid>
            <w:tr w14:paraId="23C30F1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3E95946A">
                  <w:pPr>
                    <w:pStyle w:val="76"/>
                    <w:rPr>
                      <w:rFonts w:eastAsia="Times New Roman"/>
                      <w:b w:val="0"/>
                    </w:rPr>
                  </w:pPr>
                  <w:r>
                    <w:rPr>
                      <w:rFonts w:eastAsia="Times New Roman"/>
                      <w:b/>
                    </w:rPr>
                    <w:t>序号</w:t>
                  </w:r>
                </w:p>
              </w:tc>
              <w:tc>
                <w:tcPr>
                  <w:tcW w:w="4273" w:type="dxa"/>
                  <w:vAlign w:val="center"/>
                </w:tcPr>
                <w:p w14:paraId="0B6B89DE">
                  <w:pPr>
                    <w:pStyle w:val="76"/>
                    <w:rPr>
                      <w:rFonts w:eastAsia="Times New Roman"/>
                      <w:b w:val="0"/>
                    </w:rPr>
                  </w:pPr>
                  <w:r>
                    <w:rPr>
                      <w:rFonts w:eastAsia="Times New Roman"/>
                      <w:b/>
                    </w:rPr>
                    <w:t>审查意见相关要求</w:t>
                  </w:r>
                </w:p>
              </w:tc>
              <w:tc>
                <w:tcPr>
                  <w:tcW w:w="1545" w:type="dxa"/>
                  <w:vAlign w:val="center"/>
                </w:tcPr>
                <w:p w14:paraId="3794B795">
                  <w:pPr>
                    <w:pStyle w:val="76"/>
                    <w:rPr>
                      <w:rFonts w:eastAsia="Times New Roman"/>
                      <w:b w:val="0"/>
                    </w:rPr>
                  </w:pPr>
                  <w:r>
                    <w:rPr>
                      <w:rFonts w:eastAsia="Times New Roman"/>
                      <w:b/>
                    </w:rPr>
                    <w:t>项目情况</w:t>
                  </w:r>
                </w:p>
              </w:tc>
              <w:tc>
                <w:tcPr>
                  <w:tcW w:w="654" w:type="dxa"/>
                  <w:vAlign w:val="center"/>
                </w:tcPr>
                <w:p w14:paraId="5F538FDE">
                  <w:pPr>
                    <w:pStyle w:val="76"/>
                    <w:rPr>
                      <w:rFonts w:eastAsia="Times New Roman"/>
                      <w:b w:val="0"/>
                    </w:rPr>
                  </w:pPr>
                  <w:r>
                    <w:rPr>
                      <w:rFonts w:eastAsia="Times New Roman"/>
                      <w:b/>
                    </w:rPr>
                    <w:t>相符性</w:t>
                  </w:r>
                </w:p>
              </w:tc>
            </w:tr>
            <w:tr w14:paraId="4CF894B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0D26BE39">
                  <w:pPr>
                    <w:pStyle w:val="76"/>
                    <w:rPr>
                      <w:rFonts w:eastAsia="Times New Roman"/>
                    </w:rPr>
                  </w:pPr>
                  <w:r>
                    <w:rPr>
                      <w:rFonts w:eastAsia="Times New Roman"/>
                    </w:rPr>
                    <w:t>1</w:t>
                  </w:r>
                </w:p>
              </w:tc>
              <w:tc>
                <w:tcPr>
                  <w:tcW w:w="4273" w:type="dxa"/>
                  <w:vAlign w:val="center"/>
                </w:tcPr>
                <w:p w14:paraId="225C5485">
                  <w:pPr>
                    <w:pStyle w:val="76"/>
                    <w:jc w:val="both"/>
                    <w:rPr>
                      <w:rFonts w:eastAsia="Times New Roman"/>
                    </w:rPr>
                  </w:pPr>
                  <w:r>
                    <w:rPr>
                      <w:rFonts w:eastAsia="Times New Roman"/>
                    </w:rPr>
                    <w:t>以生态文明建设思想为引领，准确理解和处理保护和发展的关系。以改善区域生态环境质量为目标，严格控制工业开发的总体规模与强度，不得占用禁止开发区域，优先避让其他生态环境敏感区域，采取严格的生态保护措施，保证区域生态环境质量。节约集约利用水、土地等资源，合理安排工业区开发建设时序，推动规划产业绿色循环发展。</w:t>
                  </w:r>
                </w:p>
              </w:tc>
              <w:tc>
                <w:tcPr>
                  <w:tcW w:w="1545" w:type="dxa"/>
                  <w:vAlign w:val="center"/>
                </w:tcPr>
                <w:p w14:paraId="4B23348D">
                  <w:pPr>
                    <w:pStyle w:val="76"/>
                    <w:jc w:val="both"/>
                    <w:rPr>
                      <w:rFonts w:eastAsia="Times New Roman"/>
                    </w:rPr>
                  </w:pPr>
                  <w:r>
                    <w:rPr>
                      <w:rFonts w:eastAsia="Times New Roman"/>
                    </w:rPr>
                    <w:t>项目生产用水经循环利用</w:t>
                  </w:r>
                  <w:r>
                    <w:rPr>
                      <w:rFonts w:hint="eastAsia" w:eastAsia="Times New Roman"/>
                    </w:rPr>
                    <w:t>不外排</w:t>
                  </w:r>
                  <w:r>
                    <w:rPr>
                      <w:rFonts w:eastAsia="Times New Roman"/>
                    </w:rPr>
                    <w:t>，有利于节约资源。项目用地为二类工业工地，不涉及生态敏感区。</w:t>
                  </w:r>
                </w:p>
              </w:tc>
              <w:tc>
                <w:tcPr>
                  <w:tcW w:w="654" w:type="dxa"/>
                  <w:vAlign w:val="center"/>
                </w:tcPr>
                <w:p w14:paraId="20A3F4F1">
                  <w:pPr>
                    <w:pStyle w:val="76"/>
                    <w:rPr>
                      <w:rFonts w:eastAsia="Times New Roman"/>
                    </w:rPr>
                  </w:pPr>
                  <w:r>
                    <w:rPr>
                      <w:rFonts w:eastAsia="Times New Roman"/>
                    </w:rPr>
                    <w:t>相符</w:t>
                  </w:r>
                </w:p>
              </w:tc>
            </w:tr>
            <w:tr w14:paraId="080BFDE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776E4882">
                  <w:pPr>
                    <w:pStyle w:val="76"/>
                    <w:rPr>
                      <w:rFonts w:eastAsia="Times New Roman"/>
                    </w:rPr>
                  </w:pPr>
                  <w:r>
                    <w:rPr>
                      <w:rFonts w:eastAsia="Times New Roman"/>
                    </w:rPr>
                    <w:t>2</w:t>
                  </w:r>
                </w:p>
              </w:tc>
              <w:tc>
                <w:tcPr>
                  <w:tcW w:w="4273" w:type="dxa"/>
                  <w:vAlign w:val="center"/>
                </w:tcPr>
                <w:p w14:paraId="5CE0921E">
                  <w:pPr>
                    <w:pStyle w:val="76"/>
                    <w:jc w:val="both"/>
                    <w:rPr>
                      <w:rFonts w:ascii="宋体" w:hAnsi="宋体" w:eastAsia="Times New Roman"/>
                    </w:rPr>
                  </w:pPr>
                  <w:r>
                    <w:rPr>
                      <w:rFonts w:ascii="宋体" w:hAnsi="宋体" w:eastAsia="Times New Roman"/>
                    </w:rPr>
                    <w:t>做好与柳州市“三线一单”的对接，确保与风景名胜区、饮用水源保护区、基本农田保护、公益林生态环境保护要求等协调。主动对接国土空间规划及“三区三线"成果，将生态保护红线作为保障和维护区域生态安全的底线，依法依规实施强制性保护，新建项目及其附属设施等，不得布局在生态保护红线内。按照《地下水管理条例》第四十二条“在岩溶强发育的区域内，不得新建、改建、扩建可能造成地下水污染的建设项目”</w:t>
                  </w:r>
                </w:p>
              </w:tc>
              <w:tc>
                <w:tcPr>
                  <w:tcW w:w="1545" w:type="dxa"/>
                  <w:vAlign w:val="center"/>
                </w:tcPr>
                <w:p w14:paraId="2E528282">
                  <w:pPr>
                    <w:pStyle w:val="76"/>
                    <w:jc w:val="both"/>
                    <w:rPr>
                      <w:rFonts w:ascii="宋体" w:hAnsi="宋体" w:eastAsia="Times New Roman"/>
                    </w:rPr>
                  </w:pPr>
                  <w:r>
                    <w:rPr>
                      <w:rFonts w:ascii="宋体" w:hAnsi="宋体" w:eastAsia="Times New Roman"/>
                    </w:rPr>
                    <w:t>项目用地符合“三线一单”和“三区三线”的管控要求，选址符合《地下水管理条例》中的相关要求。</w:t>
                  </w:r>
                </w:p>
              </w:tc>
              <w:tc>
                <w:tcPr>
                  <w:tcW w:w="654" w:type="dxa"/>
                  <w:vAlign w:val="center"/>
                </w:tcPr>
                <w:p w14:paraId="2E658780">
                  <w:pPr>
                    <w:pStyle w:val="76"/>
                    <w:rPr>
                      <w:rFonts w:eastAsia="Times New Roman"/>
                    </w:rPr>
                  </w:pPr>
                  <w:r>
                    <w:rPr>
                      <w:rFonts w:eastAsia="Times New Roman"/>
                    </w:rPr>
                    <w:t>相符</w:t>
                  </w:r>
                </w:p>
              </w:tc>
            </w:tr>
            <w:tr w14:paraId="08A6C10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4F18A744">
                  <w:pPr>
                    <w:pStyle w:val="76"/>
                    <w:rPr>
                      <w:rFonts w:eastAsia="Times New Roman"/>
                    </w:rPr>
                  </w:pPr>
                  <w:r>
                    <w:rPr>
                      <w:rFonts w:eastAsia="Times New Roman"/>
                    </w:rPr>
                    <w:t>3</w:t>
                  </w:r>
                </w:p>
              </w:tc>
              <w:tc>
                <w:tcPr>
                  <w:tcW w:w="4273" w:type="dxa"/>
                  <w:vAlign w:val="center"/>
                </w:tcPr>
                <w:p w14:paraId="7FD5AA73">
                  <w:pPr>
                    <w:pStyle w:val="76"/>
                    <w:jc w:val="both"/>
                    <w:rPr>
                      <w:rFonts w:eastAsia="Times New Roman"/>
                    </w:rPr>
                  </w:pPr>
                  <w:r>
                    <w:rPr>
                      <w:rFonts w:eastAsia="Times New Roman"/>
                    </w:rPr>
                    <w:t>严守环境质量底线。基于区域环境质量持续改善的目标，统筹考虑产业园区优化发展及配套服务需求，提高规划产业规模化、集约化、专业化水平和生态环境保护的质量，优化《规划》开发规模、时序和结构。落实《报告书》提出的产业开发建设时序、明确环境准入要求以及调整产业布局、排水方案等建议。</w:t>
                  </w:r>
                </w:p>
              </w:tc>
              <w:tc>
                <w:tcPr>
                  <w:tcW w:w="1545" w:type="dxa"/>
                  <w:vAlign w:val="center"/>
                </w:tcPr>
                <w:p w14:paraId="42F8FA4F">
                  <w:pPr>
                    <w:pStyle w:val="76"/>
                    <w:jc w:val="both"/>
                    <w:rPr>
                      <w:rFonts w:eastAsia="Times New Roman"/>
                    </w:rPr>
                  </w:pPr>
                  <w:r>
                    <w:rPr>
                      <w:rFonts w:eastAsia="Times New Roman"/>
                    </w:rPr>
                    <w:t>根据后文分析，项目建设不会使区域环境质量降级，严守环境质量底线。项目建设符合规划要求。</w:t>
                  </w:r>
                </w:p>
              </w:tc>
              <w:tc>
                <w:tcPr>
                  <w:tcW w:w="654" w:type="dxa"/>
                  <w:vAlign w:val="center"/>
                </w:tcPr>
                <w:p w14:paraId="64A77E57">
                  <w:pPr>
                    <w:pStyle w:val="76"/>
                    <w:rPr>
                      <w:rFonts w:eastAsia="Times New Roman"/>
                    </w:rPr>
                  </w:pPr>
                  <w:r>
                    <w:rPr>
                      <w:rFonts w:eastAsia="Times New Roman"/>
                    </w:rPr>
                    <w:t>相符</w:t>
                  </w:r>
                </w:p>
              </w:tc>
            </w:tr>
            <w:tr w14:paraId="798E533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0048C35A">
                  <w:pPr>
                    <w:pStyle w:val="76"/>
                    <w:rPr>
                      <w:rFonts w:eastAsia="Times New Roman"/>
                    </w:rPr>
                  </w:pPr>
                  <w:r>
                    <w:rPr>
                      <w:rFonts w:eastAsia="Times New Roman"/>
                    </w:rPr>
                    <w:t>4</w:t>
                  </w:r>
                </w:p>
              </w:tc>
              <w:tc>
                <w:tcPr>
                  <w:tcW w:w="4273" w:type="dxa"/>
                  <w:vAlign w:val="center"/>
                </w:tcPr>
                <w:p w14:paraId="027B0CF2">
                  <w:pPr>
                    <w:pStyle w:val="76"/>
                    <w:jc w:val="both"/>
                    <w:rPr>
                      <w:rFonts w:eastAsia="Times New Roman"/>
                    </w:rPr>
                  </w:pPr>
                  <w:r>
                    <w:rPr>
                      <w:rFonts w:eastAsia="Times New Roman"/>
                    </w:rPr>
                    <w:t>规划园区防护距离内存在的环境敏感点，应明确搬迁安置方案并由地方政府印发实施。</w:t>
                  </w:r>
                </w:p>
              </w:tc>
              <w:tc>
                <w:tcPr>
                  <w:tcW w:w="1545" w:type="dxa"/>
                  <w:vAlign w:val="center"/>
                </w:tcPr>
                <w:p w14:paraId="45AC4AB3">
                  <w:pPr>
                    <w:pStyle w:val="76"/>
                    <w:jc w:val="both"/>
                    <w:rPr>
                      <w:rFonts w:eastAsia="Times New Roman"/>
                    </w:rPr>
                  </w:pPr>
                  <w:r>
                    <w:rPr>
                      <w:rFonts w:eastAsia="Times New Roman"/>
                    </w:rPr>
                    <w:t>本项目不涉及防护距离内需要搬迁的敏感点。</w:t>
                  </w:r>
                </w:p>
              </w:tc>
              <w:tc>
                <w:tcPr>
                  <w:tcW w:w="654" w:type="dxa"/>
                  <w:vAlign w:val="center"/>
                </w:tcPr>
                <w:p w14:paraId="7DBA925F">
                  <w:pPr>
                    <w:pStyle w:val="76"/>
                    <w:rPr>
                      <w:rFonts w:eastAsia="Times New Roman"/>
                    </w:rPr>
                  </w:pPr>
                  <w:r>
                    <w:rPr>
                      <w:rFonts w:eastAsia="Times New Roman"/>
                    </w:rPr>
                    <w:t>相符</w:t>
                  </w:r>
                </w:p>
              </w:tc>
            </w:tr>
            <w:tr w14:paraId="34A774B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641BB6B4">
                  <w:pPr>
                    <w:pStyle w:val="76"/>
                    <w:rPr>
                      <w:rFonts w:eastAsia="Times New Roman"/>
                    </w:rPr>
                  </w:pPr>
                  <w:r>
                    <w:rPr>
                      <w:rFonts w:eastAsia="Times New Roman"/>
                    </w:rPr>
                    <w:t>5</w:t>
                  </w:r>
                </w:p>
              </w:tc>
              <w:tc>
                <w:tcPr>
                  <w:tcW w:w="4273" w:type="dxa"/>
                  <w:vAlign w:val="center"/>
                </w:tcPr>
                <w:p w14:paraId="163D011E">
                  <w:pPr>
                    <w:pStyle w:val="76"/>
                    <w:jc w:val="both"/>
                    <w:rPr>
                      <w:rFonts w:eastAsia="Times New Roman"/>
                    </w:rPr>
                  </w:pPr>
                  <w:r>
                    <w:rPr>
                      <w:rFonts w:eastAsia="Times New Roman"/>
                    </w:rPr>
                    <w:t>落实《报告书》提出的规划优化调整建议意见；严格产业环境准入清单。规划范围内大气污染物排放的产业，应采取严格的污染防治措施，执行行业低排放限值，各具体建设项目布局必须符合大气环境防护距离的相关要求。</w:t>
                  </w:r>
                </w:p>
              </w:tc>
              <w:tc>
                <w:tcPr>
                  <w:tcW w:w="1545" w:type="dxa"/>
                  <w:vAlign w:val="center"/>
                </w:tcPr>
                <w:p w14:paraId="3D609AB0">
                  <w:pPr>
                    <w:pStyle w:val="76"/>
                    <w:jc w:val="both"/>
                    <w:rPr>
                      <w:rFonts w:eastAsia="Times New Roman"/>
                    </w:rPr>
                  </w:pPr>
                  <w:r>
                    <w:rPr>
                      <w:rFonts w:eastAsia="Times New Roman"/>
                    </w:rPr>
                    <w:t>本项目采取严格的污染防治措施，执行行业低排放限值。项目无需设定大气环境防护距离。</w:t>
                  </w:r>
                </w:p>
              </w:tc>
              <w:tc>
                <w:tcPr>
                  <w:tcW w:w="654" w:type="dxa"/>
                  <w:vAlign w:val="center"/>
                </w:tcPr>
                <w:p w14:paraId="3E1B3405">
                  <w:pPr>
                    <w:pStyle w:val="76"/>
                    <w:rPr>
                      <w:rFonts w:eastAsia="Times New Roman"/>
                    </w:rPr>
                  </w:pPr>
                  <w:r>
                    <w:rPr>
                      <w:rFonts w:eastAsia="Times New Roman"/>
                    </w:rPr>
                    <w:t>相符</w:t>
                  </w:r>
                </w:p>
              </w:tc>
            </w:tr>
            <w:tr w14:paraId="05598FA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17365718">
                  <w:pPr>
                    <w:pStyle w:val="76"/>
                    <w:rPr>
                      <w:rFonts w:eastAsia="Times New Roman"/>
                    </w:rPr>
                  </w:pPr>
                  <w:r>
                    <w:rPr>
                      <w:rFonts w:eastAsia="Times New Roman"/>
                    </w:rPr>
                    <w:t>6</w:t>
                  </w:r>
                </w:p>
              </w:tc>
              <w:tc>
                <w:tcPr>
                  <w:tcW w:w="4273" w:type="dxa"/>
                  <w:vAlign w:val="center"/>
                </w:tcPr>
                <w:p w14:paraId="1AB804CB">
                  <w:pPr>
                    <w:pStyle w:val="76"/>
                    <w:jc w:val="both"/>
                    <w:rPr>
                      <w:rFonts w:eastAsia="Times New Roman"/>
                    </w:rPr>
                  </w:pPr>
                  <w:r>
                    <w:rPr>
                      <w:rFonts w:eastAsia="Times New Roman"/>
                    </w:rPr>
                    <w:t>工业用能源转向以清洁能源电、天然</w:t>
                  </w:r>
                  <w:r>
                    <w:rPr>
                      <w:rFonts w:hint="eastAsia" w:ascii="宋体" w:hAnsi="宋体" w:eastAsia="Times New Roman" w:cs="宋体"/>
                    </w:rPr>
                    <w:t>气、低硫油和生物质燃料等清洁能源为主，利用区域集中供热供汽设施，以避免排放废气对区域大气环境质量造成明显影响。</w:t>
                  </w:r>
                </w:p>
              </w:tc>
              <w:tc>
                <w:tcPr>
                  <w:tcW w:w="1545" w:type="dxa"/>
                  <w:vAlign w:val="center"/>
                </w:tcPr>
                <w:p w14:paraId="209CA7C1">
                  <w:pPr>
                    <w:pStyle w:val="76"/>
                    <w:jc w:val="both"/>
                    <w:rPr>
                      <w:rFonts w:eastAsia="Times New Roman"/>
                    </w:rPr>
                  </w:pPr>
                  <w:r>
                    <w:rPr>
                      <w:rFonts w:eastAsia="Times New Roman"/>
                    </w:rPr>
                    <w:t>项目</w:t>
                  </w:r>
                  <w:r>
                    <w:rPr>
                      <w:rFonts w:hint="eastAsia" w:eastAsia="Times New Roman"/>
                    </w:rPr>
                    <w:t>使用电能供热</w:t>
                  </w:r>
                  <w:r>
                    <w:rPr>
                      <w:rFonts w:hint="eastAsia" w:ascii="宋体" w:hAnsi="宋体" w:eastAsia="Times New Roman" w:cs="宋体"/>
                    </w:rPr>
                    <w:t>。</w:t>
                  </w:r>
                </w:p>
              </w:tc>
              <w:tc>
                <w:tcPr>
                  <w:tcW w:w="654" w:type="dxa"/>
                  <w:vAlign w:val="center"/>
                </w:tcPr>
                <w:p w14:paraId="34DC5FF2">
                  <w:pPr>
                    <w:pStyle w:val="76"/>
                    <w:rPr>
                      <w:rFonts w:eastAsia="Times New Roman"/>
                    </w:rPr>
                  </w:pPr>
                  <w:r>
                    <w:rPr>
                      <w:rFonts w:eastAsia="Times New Roman"/>
                    </w:rPr>
                    <w:t>相符</w:t>
                  </w:r>
                </w:p>
              </w:tc>
            </w:tr>
            <w:tr w14:paraId="6C7DED0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57E97B45">
                  <w:pPr>
                    <w:pStyle w:val="76"/>
                    <w:rPr>
                      <w:rFonts w:eastAsia="Times New Roman"/>
                    </w:rPr>
                  </w:pPr>
                  <w:r>
                    <w:rPr>
                      <w:rFonts w:hint="eastAsia" w:eastAsiaTheme="minorEastAsia"/>
                    </w:rPr>
                    <w:t>7</w:t>
                  </w:r>
                </w:p>
              </w:tc>
              <w:tc>
                <w:tcPr>
                  <w:tcW w:w="4273" w:type="dxa"/>
                  <w:vAlign w:val="center"/>
                </w:tcPr>
                <w:p w14:paraId="332AF257">
                  <w:pPr>
                    <w:pStyle w:val="76"/>
                    <w:jc w:val="both"/>
                    <w:rPr>
                      <w:rFonts w:eastAsia="Times New Roman"/>
                    </w:rPr>
                  </w:pPr>
                  <w:r>
                    <w:rPr>
                      <w:rFonts w:eastAsia="Times New Roman"/>
                    </w:rPr>
                    <w:t>加强环境风险防范。落实环境风险防范的主体责任，强化环境风险防范体系建设，形成与片区环境风险相匹配的应急能力，制定环境污染事故应急预案，健全环境风险防范区域联动机制。优化片区布局与周边居住区敏感目标保持合理距离，预防和减缓不利环境影响和风险；严格按照国家和地方对水源保护的要求，保证水源水质及用水安全的管控要求。</w:t>
                  </w:r>
                </w:p>
              </w:tc>
              <w:tc>
                <w:tcPr>
                  <w:tcW w:w="1545" w:type="dxa"/>
                  <w:vAlign w:val="center"/>
                </w:tcPr>
                <w:p w14:paraId="119FB924">
                  <w:pPr>
                    <w:pStyle w:val="76"/>
                    <w:jc w:val="both"/>
                    <w:rPr>
                      <w:rFonts w:eastAsia="Times New Roman"/>
                    </w:rPr>
                  </w:pPr>
                  <w:r>
                    <w:rPr>
                      <w:rFonts w:eastAsia="Times New Roman"/>
                    </w:rPr>
                    <w:t>本环评要求建设单位制定突发环境事件应急预案并备案，做到应急预案内容与园区、区域突发环境事件应急预案相衔接</w:t>
                  </w:r>
                  <w:r>
                    <w:rPr>
                      <w:rFonts w:hint="eastAsia" w:eastAsia="Times New Roman"/>
                    </w:rPr>
                    <w:t>。</w:t>
                  </w:r>
                </w:p>
              </w:tc>
              <w:tc>
                <w:tcPr>
                  <w:tcW w:w="654" w:type="dxa"/>
                  <w:vAlign w:val="center"/>
                </w:tcPr>
                <w:p w14:paraId="378E6322">
                  <w:pPr>
                    <w:pStyle w:val="76"/>
                    <w:rPr>
                      <w:rFonts w:eastAsia="Times New Roman"/>
                    </w:rPr>
                  </w:pPr>
                  <w:r>
                    <w:rPr>
                      <w:rFonts w:eastAsia="Times New Roman"/>
                    </w:rPr>
                    <w:t>相符</w:t>
                  </w:r>
                </w:p>
              </w:tc>
            </w:tr>
            <w:tr w14:paraId="252677E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35FA67E1">
                  <w:pPr>
                    <w:pStyle w:val="76"/>
                    <w:rPr>
                      <w:rFonts w:eastAsia="Times New Roman"/>
                    </w:rPr>
                  </w:pPr>
                  <w:r>
                    <w:rPr>
                      <w:rFonts w:hint="eastAsia" w:eastAsiaTheme="minorEastAsia"/>
                    </w:rPr>
                    <w:t>8</w:t>
                  </w:r>
                </w:p>
              </w:tc>
              <w:tc>
                <w:tcPr>
                  <w:tcW w:w="4273" w:type="dxa"/>
                  <w:vAlign w:val="center"/>
                </w:tcPr>
                <w:p w14:paraId="626FE9D8">
                  <w:pPr>
                    <w:pStyle w:val="76"/>
                    <w:jc w:val="both"/>
                    <w:rPr>
                      <w:rFonts w:eastAsia="Times New Roman"/>
                    </w:rPr>
                  </w:pPr>
                  <w:r>
                    <w:rPr>
                      <w:rFonts w:eastAsia="Times New Roman"/>
                    </w:rPr>
                    <w:t>落实污染防治措施；落实节能降碳措施。进驻企业可参照生态环境部发布的污染防治技术政策、污染防治可行技术指南以及排污许可证申请与核发技术规范等，优先使用其推荐的污染治理措施，确保废气、废水稳定达到相应的排放标准排放；采取地下水与地表水污染协同防治，土壤与地下水污染协同防治；依法依规妥善处置固体废物，按相关标准及规范要求进行管理；相关污染防治设施应纳入片区规划项目同步建设、投运；应借鉴国内外产业发展模式，实现企业清洁化生产和循环产业链。</w:t>
                  </w:r>
                </w:p>
              </w:tc>
              <w:tc>
                <w:tcPr>
                  <w:tcW w:w="1545" w:type="dxa"/>
                  <w:vAlign w:val="center"/>
                </w:tcPr>
                <w:p w14:paraId="7A6AEBC4">
                  <w:pPr>
                    <w:pStyle w:val="76"/>
                    <w:jc w:val="both"/>
                    <w:rPr>
                      <w:rFonts w:eastAsia="Times New Roman"/>
                    </w:rPr>
                  </w:pPr>
                  <w:r>
                    <w:rPr>
                      <w:rFonts w:hint="eastAsia" w:ascii="宋体" w:hAnsi="宋体" w:eastAsia="Times New Roman" w:cs="宋体"/>
                    </w:rPr>
                    <w:t>项目按要求配备相应的应急物资，定期开展应急演习，完善环境风险应急预案。</w:t>
                  </w:r>
                </w:p>
              </w:tc>
              <w:tc>
                <w:tcPr>
                  <w:tcW w:w="654" w:type="dxa"/>
                  <w:vAlign w:val="center"/>
                </w:tcPr>
                <w:p w14:paraId="72E3B869">
                  <w:pPr>
                    <w:pStyle w:val="76"/>
                    <w:rPr>
                      <w:rFonts w:eastAsia="Times New Roman"/>
                    </w:rPr>
                  </w:pPr>
                  <w:r>
                    <w:rPr>
                      <w:rFonts w:eastAsia="Times New Roman"/>
                    </w:rPr>
                    <w:t>相符</w:t>
                  </w:r>
                </w:p>
              </w:tc>
            </w:tr>
            <w:tr w14:paraId="13582E5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40" w:type="dxa"/>
                  <w:vAlign w:val="center"/>
                </w:tcPr>
                <w:p w14:paraId="4FD19D39">
                  <w:pPr>
                    <w:pStyle w:val="76"/>
                    <w:rPr>
                      <w:rFonts w:eastAsia="Times New Roman"/>
                    </w:rPr>
                  </w:pPr>
                  <w:r>
                    <w:rPr>
                      <w:rFonts w:hint="eastAsia" w:eastAsiaTheme="minorEastAsia"/>
                    </w:rPr>
                    <w:t>9</w:t>
                  </w:r>
                </w:p>
              </w:tc>
              <w:tc>
                <w:tcPr>
                  <w:tcW w:w="4273" w:type="dxa"/>
                  <w:vAlign w:val="center"/>
                </w:tcPr>
                <w:p w14:paraId="37896D2C">
                  <w:pPr>
                    <w:pStyle w:val="76"/>
                    <w:jc w:val="both"/>
                    <w:rPr>
                      <w:rFonts w:eastAsia="Times New Roman"/>
                    </w:rPr>
                  </w:pPr>
                  <w:r>
                    <w:rPr>
                      <w:rFonts w:hint="eastAsia" w:ascii="宋体" w:hAnsi="宋体" w:eastAsia="Times New Roman" w:cs="宋体"/>
                    </w:rPr>
                    <w:t>加强生态保护，完善环境监测体系。建立涵盖水、生态、大气、土壤、环境敏感目标等要素的常态化监测体系及有效管理体制，根据监测结果和生态环境质量变化情况，及时优化片区规划建设内容、生态环境保护措施和运营管理。</w:t>
                  </w:r>
                </w:p>
              </w:tc>
              <w:tc>
                <w:tcPr>
                  <w:tcW w:w="1545" w:type="dxa"/>
                  <w:vAlign w:val="center"/>
                </w:tcPr>
                <w:p w14:paraId="2E2E062E">
                  <w:pPr>
                    <w:pStyle w:val="76"/>
                    <w:rPr>
                      <w:rFonts w:eastAsia="Times New Roman"/>
                    </w:rPr>
                  </w:pPr>
                  <w:r>
                    <w:rPr>
                      <w:rFonts w:eastAsia="Times New Roman"/>
                    </w:rPr>
                    <w:t>不涉及</w:t>
                  </w:r>
                </w:p>
              </w:tc>
              <w:tc>
                <w:tcPr>
                  <w:tcW w:w="654" w:type="dxa"/>
                  <w:vAlign w:val="center"/>
                </w:tcPr>
                <w:p w14:paraId="36AFDA58">
                  <w:pPr>
                    <w:pStyle w:val="76"/>
                    <w:rPr>
                      <w:rFonts w:eastAsia="Times New Roman"/>
                    </w:rPr>
                  </w:pPr>
                  <w:r>
                    <w:rPr>
                      <w:rFonts w:hint="eastAsia" w:ascii="宋体" w:hAnsi="宋体" w:eastAsia="Times New Roman" w:cs="宋体"/>
                    </w:rPr>
                    <w:t>相符</w:t>
                  </w:r>
                </w:p>
              </w:tc>
            </w:tr>
          </w:tbl>
          <w:p w14:paraId="38F5DD27">
            <w:pPr>
              <w:pStyle w:val="87"/>
            </w:pPr>
            <w:r>
              <w:rPr>
                <w:rFonts w:hint="eastAsia"/>
              </w:rPr>
              <w:t>表1-2  项目与鹿寨高新区准入要求相符性分析</w:t>
            </w:r>
          </w:p>
          <w:tbl>
            <w:tblPr>
              <w:tblStyle w:val="154"/>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60"/>
              <w:gridCol w:w="3969"/>
              <w:gridCol w:w="2098"/>
              <w:gridCol w:w="454"/>
            </w:tblGrid>
            <w:tr w14:paraId="3BFCF3A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Align w:val="center"/>
                </w:tcPr>
                <w:p w14:paraId="4B31E115">
                  <w:pPr>
                    <w:pStyle w:val="76"/>
                    <w:rPr>
                      <w:rFonts w:eastAsia="Times New Roman"/>
                      <w:b w:val="0"/>
                      <w:bCs w:val="0"/>
                    </w:rPr>
                  </w:pPr>
                  <w:r>
                    <w:rPr>
                      <w:rFonts w:hint="eastAsia" w:ascii="宋体" w:hAnsi="宋体" w:eastAsia="Times New Roman" w:cs="宋体"/>
                      <w:b/>
                      <w:bCs w:val="0"/>
                    </w:rPr>
                    <w:t>清单类型</w:t>
                  </w:r>
                </w:p>
              </w:tc>
              <w:tc>
                <w:tcPr>
                  <w:tcW w:w="3969" w:type="dxa"/>
                  <w:vAlign w:val="center"/>
                </w:tcPr>
                <w:p w14:paraId="5394BA25">
                  <w:pPr>
                    <w:pStyle w:val="76"/>
                    <w:rPr>
                      <w:rFonts w:eastAsia="Times New Roman"/>
                      <w:b w:val="0"/>
                      <w:bCs w:val="0"/>
                    </w:rPr>
                  </w:pPr>
                  <w:r>
                    <w:rPr>
                      <w:rFonts w:hint="eastAsia" w:ascii="宋体" w:hAnsi="宋体" w:eastAsia="Times New Roman" w:cs="宋体"/>
                      <w:b/>
                      <w:bCs w:val="0"/>
                    </w:rPr>
                    <w:t>准入内容</w:t>
                  </w:r>
                </w:p>
              </w:tc>
              <w:tc>
                <w:tcPr>
                  <w:tcW w:w="2098" w:type="dxa"/>
                  <w:vAlign w:val="center"/>
                </w:tcPr>
                <w:p w14:paraId="0BB5FD47">
                  <w:pPr>
                    <w:pStyle w:val="76"/>
                    <w:rPr>
                      <w:rFonts w:eastAsia="Times New Roman"/>
                      <w:b w:val="0"/>
                      <w:bCs w:val="0"/>
                    </w:rPr>
                  </w:pPr>
                  <w:r>
                    <w:rPr>
                      <w:rFonts w:hint="eastAsia" w:ascii="宋体" w:hAnsi="宋体" w:eastAsia="Times New Roman" w:cs="宋体"/>
                      <w:b/>
                      <w:bCs w:val="0"/>
                    </w:rPr>
                    <w:t>项目情况</w:t>
                  </w:r>
                </w:p>
              </w:tc>
              <w:tc>
                <w:tcPr>
                  <w:tcW w:w="454" w:type="dxa"/>
                  <w:vAlign w:val="center"/>
                </w:tcPr>
                <w:p w14:paraId="5FC24C7B">
                  <w:pPr>
                    <w:pStyle w:val="76"/>
                    <w:rPr>
                      <w:rFonts w:eastAsia="Times New Roman"/>
                      <w:b w:val="0"/>
                      <w:bCs w:val="0"/>
                    </w:rPr>
                  </w:pPr>
                  <w:r>
                    <w:rPr>
                      <w:rFonts w:hint="eastAsia" w:ascii="宋体" w:hAnsi="宋体" w:eastAsia="Times New Roman" w:cs="宋体"/>
                      <w:b/>
                      <w:bCs w:val="0"/>
                    </w:rPr>
                    <w:t>相符性</w:t>
                  </w:r>
                </w:p>
              </w:tc>
            </w:tr>
            <w:tr w14:paraId="0659220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restart"/>
                  <w:vAlign w:val="center"/>
                </w:tcPr>
                <w:p w14:paraId="721C603A">
                  <w:pPr>
                    <w:pStyle w:val="76"/>
                    <w:rPr>
                      <w:rFonts w:eastAsia="Times New Roman"/>
                    </w:rPr>
                  </w:pPr>
                  <w:r>
                    <w:rPr>
                      <w:rFonts w:hint="eastAsia" w:eastAsia="Times New Roman"/>
                    </w:rPr>
                    <w:t>空间布局约束</w:t>
                  </w:r>
                </w:p>
              </w:tc>
              <w:tc>
                <w:tcPr>
                  <w:tcW w:w="3969" w:type="dxa"/>
                  <w:vAlign w:val="center"/>
                </w:tcPr>
                <w:p w14:paraId="45A47600">
                  <w:pPr>
                    <w:pStyle w:val="76"/>
                    <w:jc w:val="both"/>
                    <w:rPr>
                      <w:rFonts w:eastAsia="Times New Roman"/>
                    </w:rPr>
                  </w:pPr>
                  <w:r>
                    <w:rPr>
                      <w:rFonts w:hint="eastAsia" w:eastAsia="Times New Roman"/>
                    </w:rPr>
                    <w:t>入园企业污染物排放应不造成区域环境质量降级。</w:t>
                  </w:r>
                </w:p>
              </w:tc>
              <w:tc>
                <w:tcPr>
                  <w:tcW w:w="2098" w:type="dxa"/>
                  <w:vAlign w:val="center"/>
                </w:tcPr>
                <w:p w14:paraId="514FAB40">
                  <w:pPr>
                    <w:pStyle w:val="76"/>
                    <w:jc w:val="both"/>
                    <w:rPr>
                      <w:rFonts w:eastAsia="Times New Roman"/>
                    </w:rPr>
                  </w:pPr>
                  <w:r>
                    <w:rPr>
                      <w:rFonts w:hint="eastAsia" w:ascii="宋体" w:hAnsi="宋体" w:eastAsia="Times New Roman" w:cs="宋体"/>
                    </w:rPr>
                    <w:t>项目排放的废气及生产废水经处理后均达标排放，不会</w:t>
                  </w:r>
                  <w:r>
                    <w:rPr>
                      <w:rFonts w:hint="eastAsia" w:eastAsia="Times New Roman"/>
                    </w:rPr>
                    <w:t>造成区域环境质量降级。</w:t>
                  </w:r>
                </w:p>
              </w:tc>
              <w:tc>
                <w:tcPr>
                  <w:tcW w:w="454" w:type="dxa"/>
                  <w:vAlign w:val="center"/>
                </w:tcPr>
                <w:p w14:paraId="78699A80">
                  <w:pPr>
                    <w:pStyle w:val="76"/>
                    <w:rPr>
                      <w:rFonts w:eastAsia="Times New Roman"/>
                    </w:rPr>
                  </w:pPr>
                  <w:r>
                    <w:rPr>
                      <w:rFonts w:hint="eastAsia" w:ascii="宋体" w:hAnsi="宋体" w:eastAsia="Times New Roman" w:cs="宋体"/>
                    </w:rPr>
                    <w:t>相符</w:t>
                  </w:r>
                </w:p>
              </w:tc>
            </w:tr>
            <w:tr w14:paraId="3E0CF75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247C28D0">
                  <w:pPr>
                    <w:pStyle w:val="76"/>
                    <w:rPr>
                      <w:rFonts w:eastAsia="Times New Roman"/>
                    </w:rPr>
                  </w:pPr>
                </w:p>
              </w:tc>
              <w:tc>
                <w:tcPr>
                  <w:tcW w:w="3969" w:type="dxa"/>
                  <w:vAlign w:val="center"/>
                </w:tcPr>
                <w:p w14:paraId="4A36701B">
                  <w:pPr>
                    <w:pStyle w:val="76"/>
                    <w:jc w:val="both"/>
                    <w:rPr>
                      <w:rFonts w:eastAsia="Times New Roman"/>
                    </w:rPr>
                  </w:pPr>
                  <w:r>
                    <w:rPr>
                      <w:rFonts w:hint="eastAsia" w:eastAsia="Times New Roman"/>
                    </w:rPr>
                    <w:t>企业自建的危险化学品仓储及园区危化品仓库必须满足《危险化学品生产装置和存储设施外部安全防护距离确定方法》（GB/T 37243-2019）、《危险化学品经营企业安全技术基本要求》（GB 18265-2019）等规范要求。</w:t>
                  </w:r>
                </w:p>
              </w:tc>
              <w:tc>
                <w:tcPr>
                  <w:tcW w:w="2098" w:type="dxa"/>
                  <w:vAlign w:val="center"/>
                </w:tcPr>
                <w:p w14:paraId="25778CA8">
                  <w:pPr>
                    <w:pStyle w:val="76"/>
                    <w:jc w:val="both"/>
                    <w:rPr>
                      <w:rFonts w:eastAsia="Times New Roman"/>
                    </w:rPr>
                  </w:pPr>
                  <w:r>
                    <w:rPr>
                      <w:rFonts w:hint="eastAsia" w:eastAsia="Times New Roman"/>
                    </w:rPr>
                    <w:t>项目不涉及危险化学品。</w:t>
                  </w:r>
                </w:p>
              </w:tc>
              <w:tc>
                <w:tcPr>
                  <w:tcW w:w="454" w:type="dxa"/>
                  <w:vAlign w:val="center"/>
                </w:tcPr>
                <w:p w14:paraId="765BE27E">
                  <w:pPr>
                    <w:pStyle w:val="76"/>
                    <w:rPr>
                      <w:rFonts w:eastAsia="Times New Roman"/>
                    </w:rPr>
                  </w:pPr>
                  <w:r>
                    <w:rPr>
                      <w:rFonts w:hint="eastAsia" w:ascii="宋体" w:hAnsi="宋体" w:eastAsia="Times New Roman" w:cs="宋体"/>
                    </w:rPr>
                    <w:t>相符</w:t>
                  </w:r>
                </w:p>
              </w:tc>
            </w:tr>
            <w:tr w14:paraId="1435769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12793F97">
                  <w:pPr>
                    <w:pStyle w:val="76"/>
                    <w:rPr>
                      <w:rFonts w:eastAsia="Times New Roman"/>
                    </w:rPr>
                  </w:pPr>
                </w:p>
              </w:tc>
              <w:tc>
                <w:tcPr>
                  <w:tcW w:w="3969" w:type="dxa"/>
                  <w:vAlign w:val="center"/>
                </w:tcPr>
                <w:p w14:paraId="508930D0">
                  <w:pPr>
                    <w:pStyle w:val="76"/>
                    <w:jc w:val="both"/>
                    <w:rPr>
                      <w:rFonts w:eastAsia="Times New Roman"/>
                    </w:rPr>
                  </w:pPr>
                  <w:r>
                    <w:rPr>
                      <w:rFonts w:hint="eastAsia" w:eastAsia="Times New Roman"/>
                    </w:rPr>
                    <w:t>两高项目及主要行业须符合生态环境保护法律法规和相关法定规划，满足重点污染物排放总量控制、碳排放达峰目标、生态环境准入清单、相关规划环评和相应行业建设项目环境准入条件、环评文件审批原则要求。</w:t>
                  </w:r>
                </w:p>
              </w:tc>
              <w:tc>
                <w:tcPr>
                  <w:tcW w:w="2098" w:type="dxa"/>
                  <w:vAlign w:val="center"/>
                </w:tcPr>
                <w:p w14:paraId="3A2274CE">
                  <w:pPr>
                    <w:pStyle w:val="76"/>
                    <w:jc w:val="both"/>
                    <w:rPr>
                      <w:rFonts w:eastAsia="Times New Roman"/>
                    </w:rPr>
                  </w:pPr>
                  <w:r>
                    <w:rPr>
                      <w:rFonts w:hint="eastAsia" w:eastAsia="Times New Roman"/>
                    </w:rPr>
                    <w:t>项目为C3670汽车零部件及配件制造，不属于两高项目。</w:t>
                  </w:r>
                </w:p>
              </w:tc>
              <w:tc>
                <w:tcPr>
                  <w:tcW w:w="454" w:type="dxa"/>
                  <w:vAlign w:val="center"/>
                </w:tcPr>
                <w:p w14:paraId="56E7C320">
                  <w:pPr>
                    <w:pStyle w:val="76"/>
                    <w:rPr>
                      <w:rFonts w:eastAsia="Times New Roman"/>
                    </w:rPr>
                  </w:pPr>
                  <w:r>
                    <w:rPr>
                      <w:rFonts w:hint="eastAsia" w:ascii="宋体" w:hAnsi="宋体" w:eastAsia="Times New Roman" w:cs="宋体"/>
                    </w:rPr>
                    <w:t>相符</w:t>
                  </w:r>
                </w:p>
              </w:tc>
            </w:tr>
            <w:tr w14:paraId="1B01307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62147CFD">
                  <w:pPr>
                    <w:pStyle w:val="76"/>
                    <w:rPr>
                      <w:rFonts w:eastAsia="Times New Roman"/>
                    </w:rPr>
                  </w:pPr>
                </w:p>
              </w:tc>
              <w:tc>
                <w:tcPr>
                  <w:tcW w:w="3969" w:type="dxa"/>
                  <w:vAlign w:val="center"/>
                </w:tcPr>
                <w:p w14:paraId="470BDDD6">
                  <w:pPr>
                    <w:pStyle w:val="76"/>
                    <w:jc w:val="both"/>
                    <w:rPr>
                      <w:rFonts w:eastAsia="Times New Roman"/>
                    </w:rPr>
                  </w:pPr>
                  <w:r>
                    <w:rPr>
                      <w:rFonts w:hint="eastAsia" w:eastAsia="Times New Roman"/>
                    </w:rPr>
                    <w:t>根据《电力设施保护条例》(国务院令第239号)，高压管廊应将导线边线向外侧水平延伸并垂直于地面所形成的两平行面内的区域设为架空电力线路保护区，110kV边线延伸距离为10m，220kV边线延伸距离为15m。</w:t>
                  </w:r>
                </w:p>
              </w:tc>
              <w:tc>
                <w:tcPr>
                  <w:tcW w:w="2098" w:type="dxa"/>
                  <w:vAlign w:val="center"/>
                </w:tcPr>
                <w:p w14:paraId="2D4A321C">
                  <w:pPr>
                    <w:pStyle w:val="76"/>
                    <w:jc w:val="both"/>
                    <w:rPr>
                      <w:rFonts w:eastAsia="Times New Roman"/>
                    </w:rPr>
                  </w:pPr>
                  <w:r>
                    <w:rPr>
                      <w:rFonts w:hint="eastAsia" w:eastAsia="Times New Roman"/>
                    </w:rPr>
                    <w:t>项目周边15m范围内无电力线路保护区</w:t>
                  </w:r>
                  <w:r>
                    <w:rPr>
                      <w:rFonts w:hint="eastAsia" w:ascii="宋体" w:hAnsi="宋体" w:eastAsia="Times New Roman" w:cs="宋体"/>
                    </w:rPr>
                    <w:t>。</w:t>
                  </w:r>
                </w:p>
              </w:tc>
              <w:tc>
                <w:tcPr>
                  <w:tcW w:w="454" w:type="dxa"/>
                  <w:vAlign w:val="center"/>
                </w:tcPr>
                <w:p w14:paraId="12712E12">
                  <w:pPr>
                    <w:pStyle w:val="76"/>
                    <w:rPr>
                      <w:rFonts w:eastAsia="Times New Roman"/>
                    </w:rPr>
                  </w:pPr>
                  <w:r>
                    <w:rPr>
                      <w:rFonts w:hint="eastAsia" w:ascii="宋体" w:hAnsi="宋体" w:eastAsia="Times New Roman" w:cs="宋体"/>
                    </w:rPr>
                    <w:t>相符</w:t>
                  </w:r>
                </w:p>
              </w:tc>
            </w:tr>
            <w:tr w14:paraId="71BE0E0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restart"/>
                  <w:vAlign w:val="center"/>
                </w:tcPr>
                <w:p w14:paraId="17AD53D2">
                  <w:pPr>
                    <w:pStyle w:val="76"/>
                    <w:rPr>
                      <w:rFonts w:eastAsia="Times New Roman"/>
                    </w:rPr>
                  </w:pPr>
                  <w:r>
                    <w:rPr>
                      <w:rFonts w:eastAsia="Times New Roman"/>
                    </w:rPr>
                    <w:t>主导产业</w:t>
                  </w:r>
                  <w:r>
                    <w:rPr>
                      <w:rFonts w:hint="eastAsia" w:eastAsia="Times New Roman"/>
                    </w:rPr>
                    <w:t>约束</w:t>
                  </w:r>
                </w:p>
              </w:tc>
              <w:tc>
                <w:tcPr>
                  <w:tcW w:w="3969" w:type="dxa"/>
                  <w:vAlign w:val="center"/>
                </w:tcPr>
                <w:p w14:paraId="6F756C2A">
                  <w:pPr>
                    <w:pStyle w:val="76"/>
                    <w:jc w:val="both"/>
                    <w:rPr>
                      <w:rFonts w:eastAsia="Times New Roman"/>
                    </w:rPr>
                  </w:pPr>
                  <w:r>
                    <w:rPr>
                      <w:rFonts w:hint="eastAsia" w:eastAsia="Times New Roman"/>
                    </w:rPr>
                    <w:t>限制涉及《产业结构调整指导目录（2019年本）》（2021年12月修改）、《广西工业产业结构调整指导目录（2021年本）》中规定的限制类生产工艺装备、产品的项目入驻。禁止采用《产业结构调整指导目录（2019年本）》（2021年12月修改）中规定的淘汰类落后生产工艺装备，或生产淘汰类落后产品的项目入驻。</w:t>
                  </w:r>
                </w:p>
              </w:tc>
              <w:tc>
                <w:tcPr>
                  <w:tcW w:w="2098" w:type="dxa"/>
                  <w:vAlign w:val="center"/>
                </w:tcPr>
                <w:p w14:paraId="06C36F0A">
                  <w:pPr>
                    <w:pStyle w:val="76"/>
                    <w:jc w:val="both"/>
                    <w:rPr>
                      <w:rFonts w:eastAsia="Times New Roman"/>
                    </w:rPr>
                  </w:pPr>
                  <w:r>
                    <w:rPr>
                      <w:rFonts w:hint="eastAsia" w:eastAsia="Times New Roman"/>
                    </w:rPr>
                    <w:t>根据《产业结构调整指导目录（2024年本）》</w:t>
                  </w:r>
                  <w:r>
                    <w:rPr>
                      <w:rFonts w:hint="eastAsia" w:ascii="宋体" w:hAnsi="宋体" w:eastAsia="Times New Roman" w:cs="宋体"/>
                    </w:rPr>
                    <w:t>，项目不属于鼓励类、限制类和淘汰类规定的范围，属于允许类，</w:t>
                  </w:r>
                  <w:r>
                    <w:rPr>
                      <w:rFonts w:hint="eastAsia" w:eastAsia="Times New Roman"/>
                    </w:rPr>
                    <w:t>不采用《产业结构调整指导目录（2025年本）》中规定的淘汰类落后生产工艺装备，或生产淘汰类落后产品。</w:t>
                  </w:r>
                </w:p>
              </w:tc>
              <w:tc>
                <w:tcPr>
                  <w:tcW w:w="454" w:type="dxa"/>
                  <w:vAlign w:val="center"/>
                </w:tcPr>
                <w:p w14:paraId="128775C7">
                  <w:pPr>
                    <w:pStyle w:val="76"/>
                    <w:rPr>
                      <w:rFonts w:eastAsia="Times New Roman"/>
                    </w:rPr>
                  </w:pPr>
                  <w:r>
                    <w:rPr>
                      <w:rFonts w:hint="eastAsia" w:ascii="宋体" w:hAnsi="宋体" w:eastAsia="Times New Roman" w:cs="宋体"/>
                    </w:rPr>
                    <w:t>相符</w:t>
                  </w:r>
                </w:p>
              </w:tc>
            </w:tr>
            <w:tr w14:paraId="48328F8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232D58B2">
                  <w:pPr>
                    <w:pStyle w:val="76"/>
                    <w:rPr>
                      <w:rFonts w:eastAsia="Times New Roman"/>
                      <w:highlight w:val="green"/>
                    </w:rPr>
                  </w:pPr>
                </w:p>
              </w:tc>
              <w:tc>
                <w:tcPr>
                  <w:tcW w:w="3969" w:type="dxa"/>
                  <w:vAlign w:val="center"/>
                </w:tcPr>
                <w:p w14:paraId="1DB06E05">
                  <w:pPr>
                    <w:pStyle w:val="76"/>
                    <w:jc w:val="both"/>
                    <w:rPr>
                      <w:rFonts w:eastAsia="Times New Roman"/>
                    </w:rPr>
                  </w:pPr>
                  <w:r>
                    <w:rPr>
                      <w:rFonts w:hint="eastAsia" w:eastAsia="Times New Roman"/>
                    </w:rPr>
                    <w:t>精细与专用化学品产业入驻项目应符合《关于印发广西新建石化和化工生产项目准入管理办法（试行）的通知的相关要求》以及园区禁限控目录要求。</w:t>
                  </w:r>
                </w:p>
              </w:tc>
              <w:tc>
                <w:tcPr>
                  <w:tcW w:w="2098" w:type="dxa"/>
                  <w:vAlign w:val="center"/>
                </w:tcPr>
                <w:p w14:paraId="147988FD">
                  <w:pPr>
                    <w:pStyle w:val="76"/>
                    <w:jc w:val="both"/>
                    <w:rPr>
                      <w:rFonts w:eastAsia="Times New Roman"/>
                    </w:rPr>
                  </w:pPr>
                  <w:r>
                    <w:rPr>
                      <w:rFonts w:hint="eastAsia" w:eastAsia="Times New Roman"/>
                    </w:rPr>
                    <w:t>项目不涉及化学产品。</w:t>
                  </w:r>
                </w:p>
              </w:tc>
              <w:tc>
                <w:tcPr>
                  <w:tcW w:w="454" w:type="dxa"/>
                  <w:vAlign w:val="center"/>
                </w:tcPr>
                <w:p w14:paraId="15891D37">
                  <w:pPr>
                    <w:pStyle w:val="76"/>
                    <w:rPr>
                      <w:rFonts w:eastAsia="Times New Roman"/>
                    </w:rPr>
                  </w:pPr>
                  <w:r>
                    <w:rPr>
                      <w:rFonts w:hint="eastAsia" w:ascii="宋体" w:hAnsi="宋体" w:eastAsia="Times New Roman" w:cs="宋体"/>
                    </w:rPr>
                    <w:t>相符</w:t>
                  </w:r>
                </w:p>
              </w:tc>
            </w:tr>
            <w:tr w14:paraId="2ECD8FE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56B867D6">
                  <w:pPr>
                    <w:pStyle w:val="76"/>
                    <w:rPr>
                      <w:rFonts w:eastAsia="Times New Roman"/>
                      <w:highlight w:val="green"/>
                    </w:rPr>
                  </w:pPr>
                </w:p>
              </w:tc>
              <w:tc>
                <w:tcPr>
                  <w:tcW w:w="3969" w:type="dxa"/>
                  <w:vAlign w:val="center"/>
                </w:tcPr>
                <w:p w14:paraId="7B744F03">
                  <w:pPr>
                    <w:pStyle w:val="76"/>
                    <w:jc w:val="both"/>
                    <w:rPr>
                      <w:rFonts w:eastAsia="Times New Roman"/>
                    </w:rPr>
                  </w:pPr>
                  <w:r>
                    <w:rPr>
                      <w:rFonts w:hint="eastAsia" w:eastAsia="Times New Roman"/>
                    </w:rPr>
                    <w:t>落实能源消费强度和总量双控制度。“两高项目”应符合《关于加强高耗能、高排放建设项目生态环境源头防控的指导意见》（环环评〔2021〕45号）等现行政策规定的环境管理要求。</w:t>
                  </w:r>
                </w:p>
              </w:tc>
              <w:tc>
                <w:tcPr>
                  <w:tcW w:w="2098" w:type="dxa"/>
                  <w:vAlign w:val="center"/>
                </w:tcPr>
                <w:p w14:paraId="380810DD">
                  <w:pPr>
                    <w:pStyle w:val="76"/>
                    <w:jc w:val="both"/>
                    <w:rPr>
                      <w:rFonts w:eastAsia="Times New Roman"/>
                    </w:rPr>
                  </w:pPr>
                  <w:r>
                    <w:rPr>
                      <w:rFonts w:hint="eastAsia" w:eastAsia="Times New Roman"/>
                    </w:rPr>
                    <w:t>项目不属于两高项目。</w:t>
                  </w:r>
                </w:p>
              </w:tc>
              <w:tc>
                <w:tcPr>
                  <w:tcW w:w="454" w:type="dxa"/>
                  <w:vAlign w:val="center"/>
                </w:tcPr>
                <w:p w14:paraId="287BC1FB">
                  <w:pPr>
                    <w:pStyle w:val="76"/>
                    <w:rPr>
                      <w:rFonts w:eastAsia="Times New Roman"/>
                    </w:rPr>
                  </w:pPr>
                  <w:r>
                    <w:rPr>
                      <w:rFonts w:hint="eastAsia" w:ascii="宋体" w:hAnsi="宋体" w:eastAsia="Times New Roman" w:cs="宋体"/>
                    </w:rPr>
                    <w:t>相符</w:t>
                  </w:r>
                </w:p>
              </w:tc>
            </w:tr>
            <w:tr w14:paraId="3E7E06B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1F1662F7">
                  <w:pPr>
                    <w:pStyle w:val="76"/>
                    <w:rPr>
                      <w:rFonts w:eastAsia="Times New Roman"/>
                      <w:highlight w:val="green"/>
                    </w:rPr>
                  </w:pPr>
                </w:p>
              </w:tc>
              <w:tc>
                <w:tcPr>
                  <w:tcW w:w="3969" w:type="dxa"/>
                  <w:vAlign w:val="center"/>
                </w:tcPr>
                <w:p w14:paraId="38DF7399">
                  <w:pPr>
                    <w:pStyle w:val="76"/>
                    <w:jc w:val="both"/>
                    <w:rPr>
                      <w:rFonts w:eastAsia="Times New Roman"/>
                    </w:rPr>
                  </w:pPr>
                  <w:r>
                    <w:rPr>
                      <w:rFonts w:hint="eastAsia" w:eastAsia="Times New Roman"/>
                    </w:rPr>
                    <w:t>随着环保相关政策标准的不断更新出台，应以最新的为准，《产业结构调整指导目录（2019年本）》（2021年12月修改）、《广西工业产业结构调整指导目录（2021年本）》中有利于园区形成循环经济链的限制类产业经过充分论证后允以准入。</w:t>
                  </w:r>
                </w:p>
              </w:tc>
              <w:tc>
                <w:tcPr>
                  <w:tcW w:w="2098" w:type="dxa"/>
                  <w:vAlign w:val="center"/>
                </w:tcPr>
                <w:p w14:paraId="6F629490">
                  <w:pPr>
                    <w:pStyle w:val="76"/>
                    <w:jc w:val="both"/>
                    <w:rPr>
                      <w:rFonts w:eastAsia="Times New Roman"/>
                    </w:rPr>
                  </w:pPr>
                  <w:r>
                    <w:rPr>
                      <w:rFonts w:hint="eastAsia" w:eastAsia="Times New Roman"/>
                    </w:rPr>
                    <w:t>根据《产业结构调整指导目录（2024年本）》</w:t>
                  </w:r>
                  <w:r>
                    <w:rPr>
                      <w:rFonts w:hint="eastAsia" w:ascii="宋体" w:hAnsi="宋体" w:eastAsia="Times New Roman" w:cs="宋体"/>
                    </w:rPr>
                    <w:t>，项目不属于鼓励类、限制类和淘汰类规定的范围，属于允许类</w:t>
                  </w:r>
                  <w:r>
                    <w:rPr>
                      <w:rFonts w:hint="eastAsia" w:eastAsia="Times New Roman"/>
                    </w:rPr>
                    <w:t>；</w:t>
                  </w:r>
                  <w:r>
                    <w:rPr>
                      <w:rFonts w:hint="eastAsia" w:ascii="宋体" w:hAnsi="宋体" w:eastAsia="Times New Roman" w:cs="宋体"/>
                    </w:rPr>
                    <w:t>项目采用先进生产工艺和设备</w:t>
                  </w:r>
                  <w:r>
                    <w:rPr>
                      <w:rFonts w:hint="eastAsia" w:eastAsia="Times New Roman"/>
                    </w:rPr>
                    <w:t>。</w:t>
                  </w:r>
                </w:p>
              </w:tc>
              <w:tc>
                <w:tcPr>
                  <w:tcW w:w="454" w:type="dxa"/>
                  <w:vAlign w:val="center"/>
                </w:tcPr>
                <w:p w14:paraId="33EA4C4D">
                  <w:pPr>
                    <w:pStyle w:val="76"/>
                    <w:rPr>
                      <w:rFonts w:eastAsia="Times New Roman"/>
                    </w:rPr>
                  </w:pPr>
                  <w:r>
                    <w:rPr>
                      <w:rFonts w:hint="eastAsia" w:ascii="宋体" w:hAnsi="宋体" w:eastAsia="Times New Roman" w:cs="宋体"/>
                    </w:rPr>
                    <w:t>相符</w:t>
                  </w:r>
                </w:p>
              </w:tc>
            </w:tr>
            <w:tr w14:paraId="73FE93F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03D41457">
                  <w:pPr>
                    <w:pStyle w:val="76"/>
                    <w:rPr>
                      <w:rFonts w:eastAsia="Times New Roman"/>
                      <w:highlight w:val="green"/>
                    </w:rPr>
                  </w:pPr>
                </w:p>
              </w:tc>
              <w:tc>
                <w:tcPr>
                  <w:tcW w:w="3969" w:type="dxa"/>
                  <w:vAlign w:val="center"/>
                </w:tcPr>
                <w:p w14:paraId="7A1D0520">
                  <w:pPr>
                    <w:pStyle w:val="76"/>
                    <w:jc w:val="both"/>
                    <w:rPr>
                      <w:rFonts w:eastAsia="Times New Roman"/>
                    </w:rPr>
                  </w:pPr>
                  <w:r>
                    <w:rPr>
                      <w:rFonts w:hint="eastAsia" w:eastAsia="Times New Roman"/>
                    </w:rPr>
                    <w:t>园区引进工业项目应满足《柳州市人民政府关于“三线一单”生态环境分区管控的实施意见》（柳政规〔2021〕12号）、《柳州市环境管控单元生态环境准入及管控要求清单（试行）》</w:t>
                  </w:r>
                  <w:r>
                    <w:rPr>
                      <w:rFonts w:eastAsia="Times New Roman"/>
                    </w:rPr>
                    <w:t>（</w:t>
                  </w:r>
                  <w:r>
                    <w:rPr>
                      <w:rFonts w:hint="eastAsia" w:eastAsia="Times New Roman"/>
                    </w:rPr>
                    <w:t>柳环规〔2021〕1号</w:t>
                  </w:r>
                  <w:r>
                    <w:rPr>
                      <w:rFonts w:eastAsia="Times New Roman"/>
                    </w:rPr>
                    <w:t>）</w:t>
                  </w:r>
                  <w:r>
                    <w:rPr>
                      <w:rFonts w:hint="eastAsia" w:eastAsia="Times New Roman"/>
                    </w:rPr>
                    <w:t>要求。</w:t>
                  </w:r>
                </w:p>
              </w:tc>
              <w:tc>
                <w:tcPr>
                  <w:tcW w:w="2098" w:type="dxa"/>
                  <w:vAlign w:val="center"/>
                </w:tcPr>
                <w:p w14:paraId="465A8D51">
                  <w:pPr>
                    <w:pStyle w:val="76"/>
                    <w:jc w:val="both"/>
                    <w:rPr>
                      <w:rFonts w:eastAsia="Times New Roman"/>
                    </w:rPr>
                  </w:pPr>
                  <w:r>
                    <w:rPr>
                      <w:rFonts w:hint="eastAsia" w:ascii="宋体" w:hAnsi="宋体" w:eastAsia="Times New Roman" w:cs="宋体"/>
                    </w:rPr>
                    <w:t>根据</w:t>
                  </w:r>
                  <w:r>
                    <w:rPr>
                      <w:rFonts w:eastAsia="Times New Roman"/>
                    </w:rPr>
                    <w:t>“</w:t>
                  </w:r>
                  <w:r>
                    <w:rPr>
                      <w:rFonts w:hint="eastAsia" w:ascii="宋体" w:hAnsi="宋体" w:eastAsia="Times New Roman" w:cs="宋体"/>
                    </w:rPr>
                    <w:t>生态环境分区管控相符性分析</w:t>
                  </w:r>
                  <w:r>
                    <w:rPr>
                      <w:rFonts w:eastAsia="Times New Roman"/>
                    </w:rPr>
                    <w:t>”</w:t>
                  </w:r>
                  <w:r>
                    <w:rPr>
                      <w:rFonts w:hint="eastAsia" w:ascii="宋体" w:hAnsi="宋体" w:eastAsia="Times New Roman" w:cs="宋体"/>
                    </w:rPr>
                    <w:t>可知，项目符合</w:t>
                  </w:r>
                  <w:r>
                    <w:rPr>
                      <w:rFonts w:hint="eastAsia" w:eastAsia="Times New Roman"/>
                    </w:rPr>
                    <w:t>《柳州市生态环境分区管控动态更新成果（2023年）》（环办环评函〔2023〕81号）要求</w:t>
                  </w:r>
                  <w:r>
                    <w:rPr>
                      <w:rFonts w:hint="eastAsia" w:ascii="宋体" w:hAnsi="宋体" w:eastAsia="Times New Roman" w:cs="宋体"/>
                    </w:rPr>
                    <w:t>。</w:t>
                  </w:r>
                </w:p>
              </w:tc>
              <w:tc>
                <w:tcPr>
                  <w:tcW w:w="454" w:type="dxa"/>
                  <w:vAlign w:val="center"/>
                </w:tcPr>
                <w:p w14:paraId="1AEC3D76">
                  <w:pPr>
                    <w:pStyle w:val="76"/>
                    <w:rPr>
                      <w:rFonts w:eastAsia="Times New Roman"/>
                    </w:rPr>
                  </w:pPr>
                  <w:r>
                    <w:rPr>
                      <w:rFonts w:hint="eastAsia" w:ascii="宋体" w:hAnsi="宋体" w:eastAsia="Times New Roman" w:cs="宋体"/>
                    </w:rPr>
                    <w:t>相符</w:t>
                  </w:r>
                </w:p>
              </w:tc>
            </w:tr>
            <w:tr w14:paraId="4563F3F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restart"/>
                  <w:vAlign w:val="center"/>
                </w:tcPr>
                <w:p w14:paraId="087F11C6">
                  <w:pPr>
                    <w:pStyle w:val="76"/>
                    <w:rPr>
                      <w:rFonts w:eastAsia="Times New Roman"/>
                      <w:highlight w:val="green"/>
                    </w:rPr>
                  </w:pPr>
                  <w:r>
                    <w:rPr>
                      <w:rFonts w:hint="eastAsia" w:eastAsia="Times New Roman"/>
                    </w:rPr>
                    <w:t>污染物排放管控</w:t>
                  </w:r>
                </w:p>
              </w:tc>
              <w:tc>
                <w:tcPr>
                  <w:tcW w:w="3969" w:type="dxa"/>
                  <w:vAlign w:val="center"/>
                </w:tcPr>
                <w:p w14:paraId="0DD97E79">
                  <w:pPr>
                    <w:pStyle w:val="76"/>
                    <w:jc w:val="both"/>
                    <w:rPr>
                      <w:rFonts w:eastAsia="Times New Roman"/>
                    </w:rPr>
                  </w:pPr>
                  <w:r>
                    <w:rPr>
                      <w:rFonts w:hint="eastAsia" w:eastAsia="Times New Roman"/>
                    </w:rPr>
                    <w:t>入驻企业的</w:t>
                  </w:r>
                  <w:r>
                    <w:rPr>
                      <w:rFonts w:eastAsia="Times New Roman"/>
                    </w:rPr>
                    <w:t>大气</w:t>
                  </w:r>
                  <w:r>
                    <w:rPr>
                      <w:rFonts w:hint="eastAsia" w:eastAsia="Times New Roman"/>
                    </w:rPr>
                    <w:t>、水</w:t>
                  </w:r>
                  <w:r>
                    <w:rPr>
                      <w:rFonts w:eastAsia="Times New Roman"/>
                    </w:rPr>
                    <w:t>污染物排放总量</w:t>
                  </w:r>
                  <w:r>
                    <w:rPr>
                      <w:rFonts w:hint="eastAsia" w:eastAsia="Times New Roman"/>
                    </w:rPr>
                    <w:t>按照上级下达鹿寨县排放指标执行。</w:t>
                  </w:r>
                </w:p>
              </w:tc>
              <w:tc>
                <w:tcPr>
                  <w:tcW w:w="2098" w:type="dxa"/>
                  <w:vAlign w:val="center"/>
                </w:tcPr>
                <w:p w14:paraId="6BD59B81">
                  <w:pPr>
                    <w:pStyle w:val="76"/>
                    <w:jc w:val="both"/>
                    <w:rPr>
                      <w:rFonts w:eastAsia="Times New Roman"/>
                    </w:rPr>
                  </w:pPr>
                  <w:r>
                    <w:rPr>
                      <w:rFonts w:hint="eastAsia" w:ascii="宋体" w:hAnsi="宋体" w:eastAsia="Times New Roman" w:cs="宋体"/>
                    </w:rPr>
                    <w:t>项目不涉及</w:t>
                  </w:r>
                  <w:r>
                    <w:rPr>
                      <w:rFonts w:hint="eastAsia" w:eastAsia="Times New Roman"/>
                    </w:rPr>
                    <w:t>上级下达鹿寨县的排放指标。</w:t>
                  </w:r>
                </w:p>
              </w:tc>
              <w:tc>
                <w:tcPr>
                  <w:tcW w:w="454" w:type="dxa"/>
                  <w:vAlign w:val="center"/>
                </w:tcPr>
                <w:p w14:paraId="7CBBA2DD">
                  <w:pPr>
                    <w:pStyle w:val="76"/>
                    <w:rPr>
                      <w:rFonts w:eastAsia="Times New Roman"/>
                    </w:rPr>
                  </w:pPr>
                  <w:r>
                    <w:rPr>
                      <w:rFonts w:hint="eastAsia" w:ascii="宋体" w:hAnsi="宋体" w:eastAsia="Times New Roman" w:cs="宋体"/>
                    </w:rPr>
                    <w:t>相符</w:t>
                  </w:r>
                </w:p>
              </w:tc>
            </w:tr>
            <w:tr w14:paraId="3603F5B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26942CEB">
                  <w:pPr>
                    <w:pStyle w:val="76"/>
                    <w:rPr>
                      <w:rFonts w:eastAsia="Times New Roman"/>
                      <w:highlight w:val="green"/>
                    </w:rPr>
                  </w:pPr>
                </w:p>
              </w:tc>
              <w:tc>
                <w:tcPr>
                  <w:tcW w:w="3969" w:type="dxa"/>
                  <w:vAlign w:val="center"/>
                </w:tcPr>
                <w:p w14:paraId="1D8BFE74">
                  <w:pPr>
                    <w:pStyle w:val="76"/>
                    <w:jc w:val="both"/>
                    <w:rPr>
                      <w:rFonts w:eastAsia="Times New Roman"/>
                    </w:rPr>
                  </w:pPr>
                  <w:r>
                    <w:rPr>
                      <w:rFonts w:hint="eastAsia" w:eastAsia="Times New Roman"/>
                    </w:rPr>
                    <w:t>在集中供热管网覆盖的地区，原则上禁止新建或扩建燃煤、燃油、生物质等供热锅炉，对于有特殊供热需求、确需新建或扩建的锅炉，应优先使用清洁能源。</w:t>
                  </w:r>
                </w:p>
              </w:tc>
              <w:tc>
                <w:tcPr>
                  <w:tcW w:w="2098" w:type="dxa"/>
                  <w:vAlign w:val="center"/>
                </w:tcPr>
                <w:p w14:paraId="1EAD5BC5">
                  <w:pPr>
                    <w:pStyle w:val="76"/>
                    <w:jc w:val="both"/>
                    <w:rPr>
                      <w:rFonts w:eastAsia="Times New Roman"/>
                    </w:rPr>
                  </w:pPr>
                  <w:r>
                    <w:rPr>
                      <w:rFonts w:hint="eastAsia" w:ascii="宋体" w:hAnsi="宋体" w:eastAsia="Times New Roman" w:cs="宋体"/>
                    </w:rPr>
                    <w:t>项目烘烤工序采用电进行。</w:t>
                  </w:r>
                </w:p>
              </w:tc>
              <w:tc>
                <w:tcPr>
                  <w:tcW w:w="454" w:type="dxa"/>
                  <w:vAlign w:val="center"/>
                </w:tcPr>
                <w:p w14:paraId="7BA64DCF">
                  <w:pPr>
                    <w:pStyle w:val="76"/>
                    <w:rPr>
                      <w:rFonts w:eastAsia="Times New Roman"/>
                    </w:rPr>
                  </w:pPr>
                  <w:r>
                    <w:rPr>
                      <w:rFonts w:hint="eastAsia" w:ascii="宋体" w:hAnsi="宋体" w:eastAsia="Times New Roman" w:cs="宋体"/>
                    </w:rPr>
                    <w:t>相符</w:t>
                  </w:r>
                </w:p>
              </w:tc>
            </w:tr>
            <w:tr w14:paraId="172EA49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50F6162A">
                  <w:pPr>
                    <w:pStyle w:val="76"/>
                    <w:rPr>
                      <w:rFonts w:eastAsia="Times New Roman"/>
                      <w:highlight w:val="green"/>
                    </w:rPr>
                  </w:pPr>
                </w:p>
              </w:tc>
              <w:tc>
                <w:tcPr>
                  <w:tcW w:w="3969" w:type="dxa"/>
                  <w:vAlign w:val="center"/>
                </w:tcPr>
                <w:p w14:paraId="0BBD3B4D">
                  <w:pPr>
                    <w:pStyle w:val="76"/>
                    <w:jc w:val="both"/>
                    <w:rPr>
                      <w:rFonts w:eastAsia="Times New Roman"/>
                    </w:rPr>
                  </w:pPr>
                  <w:r>
                    <w:rPr>
                      <w:rFonts w:hint="eastAsia" w:eastAsia="Times New Roman"/>
                    </w:rPr>
                    <w:t>保障洛清江、柳江纳污河段水质满足《地表水环境质量标准》（GB3838-2002）Ⅲ类标准要求、且对亭市控断面、猫耳山区控断面水质达到Ⅱ类标准要求，污水排放须严格控制在园区废水处理设施的处理能力和污染物总量指标范围内。</w:t>
                  </w:r>
                </w:p>
              </w:tc>
              <w:tc>
                <w:tcPr>
                  <w:tcW w:w="2098" w:type="dxa"/>
                  <w:vAlign w:val="center"/>
                </w:tcPr>
                <w:p w14:paraId="7598BDFB">
                  <w:pPr>
                    <w:pStyle w:val="76"/>
                    <w:jc w:val="both"/>
                    <w:rPr>
                      <w:rFonts w:eastAsia="Times New Roman"/>
                    </w:rPr>
                  </w:pPr>
                  <w:r>
                    <w:rPr>
                      <w:rFonts w:hint="eastAsia" w:ascii="宋体" w:hAnsi="宋体" w:eastAsia="Times New Roman" w:cs="宋体"/>
                    </w:rPr>
                    <w:t>项目无</w:t>
                  </w:r>
                  <w:r>
                    <w:rPr>
                      <w:rFonts w:hint="eastAsia" w:eastAsia="Times New Roman"/>
                    </w:rPr>
                    <w:t>生产</w:t>
                  </w:r>
                  <w:r>
                    <w:rPr>
                      <w:rFonts w:hint="eastAsia" w:ascii="宋体" w:hAnsi="宋体" w:eastAsia="Times New Roman" w:cs="宋体"/>
                    </w:rPr>
                    <w:t>废水外排</w:t>
                  </w:r>
                  <w:r>
                    <w:rPr>
                      <w:rFonts w:hint="eastAsia" w:eastAsia="Times New Roman"/>
                    </w:rPr>
                    <w:t>，生活污水经化粪池处理后达到《污水综合排放标准》（GB16297-1996）三级标准后排入鹿寨第二污水处理厂。</w:t>
                  </w:r>
                </w:p>
              </w:tc>
              <w:tc>
                <w:tcPr>
                  <w:tcW w:w="454" w:type="dxa"/>
                  <w:vAlign w:val="center"/>
                </w:tcPr>
                <w:p w14:paraId="7FBD2B2F">
                  <w:pPr>
                    <w:pStyle w:val="76"/>
                    <w:rPr>
                      <w:rFonts w:eastAsia="Times New Roman"/>
                    </w:rPr>
                  </w:pPr>
                  <w:r>
                    <w:rPr>
                      <w:rFonts w:hint="eastAsia" w:ascii="宋体" w:hAnsi="宋体" w:eastAsia="Times New Roman" w:cs="宋体"/>
                    </w:rPr>
                    <w:t>相符</w:t>
                  </w:r>
                </w:p>
              </w:tc>
            </w:tr>
            <w:tr w14:paraId="40AF8AF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736CC15E">
                  <w:pPr>
                    <w:pStyle w:val="76"/>
                    <w:rPr>
                      <w:rFonts w:eastAsia="Times New Roman"/>
                      <w:highlight w:val="green"/>
                    </w:rPr>
                  </w:pPr>
                </w:p>
              </w:tc>
              <w:tc>
                <w:tcPr>
                  <w:tcW w:w="3969" w:type="dxa"/>
                  <w:vAlign w:val="center"/>
                </w:tcPr>
                <w:p w14:paraId="2E4319CD">
                  <w:pPr>
                    <w:pStyle w:val="76"/>
                    <w:jc w:val="both"/>
                    <w:rPr>
                      <w:rFonts w:eastAsia="Times New Roman"/>
                    </w:rPr>
                  </w:pPr>
                  <w:r>
                    <w:rPr>
                      <w:rFonts w:hint="eastAsia" w:eastAsia="Times New Roman"/>
                    </w:rPr>
                    <w:t>入园建设项目主要污染物排放应控制在区域环境承载能力范围内，并确保完成自治区下达的主要污染物排放总量削减的约束性任务，保障环境质量达标。</w:t>
                  </w:r>
                </w:p>
              </w:tc>
              <w:tc>
                <w:tcPr>
                  <w:tcW w:w="2098" w:type="dxa"/>
                  <w:vAlign w:val="center"/>
                </w:tcPr>
                <w:p w14:paraId="5F41A19E">
                  <w:pPr>
                    <w:pStyle w:val="76"/>
                    <w:jc w:val="both"/>
                    <w:rPr>
                      <w:rFonts w:eastAsia="Times New Roman"/>
                    </w:rPr>
                  </w:pPr>
                  <w:r>
                    <w:rPr>
                      <w:rFonts w:hint="eastAsia" w:eastAsia="Times New Roman"/>
                    </w:rPr>
                    <w:t>项目产生的废气经处理后均能达标排放，可控制在区域环境承载能力范围内，对环境影响不大。</w:t>
                  </w:r>
                </w:p>
              </w:tc>
              <w:tc>
                <w:tcPr>
                  <w:tcW w:w="454" w:type="dxa"/>
                  <w:vAlign w:val="center"/>
                </w:tcPr>
                <w:p w14:paraId="73E2038F">
                  <w:pPr>
                    <w:pStyle w:val="76"/>
                    <w:rPr>
                      <w:rFonts w:eastAsia="Times New Roman"/>
                    </w:rPr>
                  </w:pPr>
                  <w:r>
                    <w:rPr>
                      <w:rFonts w:hint="eastAsia" w:ascii="宋体" w:hAnsi="宋体" w:eastAsia="Times New Roman" w:cs="宋体"/>
                    </w:rPr>
                    <w:t>相符</w:t>
                  </w:r>
                </w:p>
              </w:tc>
            </w:tr>
            <w:tr w14:paraId="22EE182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297430D4">
                  <w:pPr>
                    <w:pStyle w:val="76"/>
                    <w:rPr>
                      <w:rFonts w:eastAsia="Times New Roman"/>
                      <w:highlight w:val="green"/>
                    </w:rPr>
                  </w:pPr>
                </w:p>
              </w:tc>
              <w:tc>
                <w:tcPr>
                  <w:tcW w:w="3969" w:type="dxa"/>
                  <w:vAlign w:val="center"/>
                </w:tcPr>
                <w:p w14:paraId="698206D6">
                  <w:pPr>
                    <w:pStyle w:val="76"/>
                    <w:jc w:val="both"/>
                    <w:rPr>
                      <w:rFonts w:eastAsia="Times New Roman"/>
                    </w:rPr>
                  </w:pPr>
                  <w:r>
                    <w:rPr>
                      <w:rFonts w:hint="eastAsia" w:eastAsia="Times New Roman"/>
                    </w:rPr>
                    <w:t>江口片区的荣拓污水处理厂Ni排放总量不能超过4.2kg/d（合1.26t/a，一年以300天计）。</w:t>
                  </w:r>
                </w:p>
              </w:tc>
              <w:tc>
                <w:tcPr>
                  <w:tcW w:w="2098" w:type="dxa"/>
                  <w:vAlign w:val="center"/>
                </w:tcPr>
                <w:p w14:paraId="3C4D2712">
                  <w:pPr>
                    <w:pStyle w:val="76"/>
                    <w:jc w:val="both"/>
                    <w:rPr>
                      <w:rFonts w:eastAsia="Times New Roman"/>
                    </w:rPr>
                  </w:pPr>
                  <w:r>
                    <w:rPr>
                      <w:rFonts w:hint="eastAsia" w:eastAsia="Times New Roman"/>
                    </w:rPr>
                    <w:t>项目不属于江口片区。</w:t>
                  </w:r>
                </w:p>
              </w:tc>
              <w:tc>
                <w:tcPr>
                  <w:tcW w:w="454" w:type="dxa"/>
                  <w:vAlign w:val="center"/>
                </w:tcPr>
                <w:p w14:paraId="76E0A385">
                  <w:pPr>
                    <w:pStyle w:val="76"/>
                    <w:rPr>
                      <w:rFonts w:eastAsia="Times New Roman"/>
                    </w:rPr>
                  </w:pPr>
                  <w:r>
                    <w:rPr>
                      <w:rFonts w:hint="eastAsia" w:ascii="宋体" w:hAnsi="宋体" w:eastAsia="Times New Roman" w:cs="宋体"/>
                    </w:rPr>
                    <w:t>相符</w:t>
                  </w:r>
                </w:p>
              </w:tc>
            </w:tr>
            <w:tr w14:paraId="0C518F0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23228816">
                  <w:pPr>
                    <w:pStyle w:val="76"/>
                    <w:rPr>
                      <w:rFonts w:eastAsia="Times New Roman"/>
                      <w:highlight w:val="green"/>
                    </w:rPr>
                  </w:pPr>
                </w:p>
              </w:tc>
              <w:tc>
                <w:tcPr>
                  <w:tcW w:w="3969" w:type="dxa"/>
                  <w:vAlign w:val="center"/>
                </w:tcPr>
                <w:p w14:paraId="7ECB72A1">
                  <w:pPr>
                    <w:pStyle w:val="76"/>
                    <w:jc w:val="both"/>
                    <w:rPr>
                      <w:rFonts w:eastAsia="Times New Roman"/>
                    </w:rPr>
                  </w:pPr>
                  <w:r>
                    <w:rPr>
                      <w:rFonts w:hint="eastAsia" w:eastAsia="Times New Roman"/>
                    </w:rPr>
                    <w:t>高新区一般工业固体废物及危险废物处置率应达到100%。</w:t>
                  </w:r>
                </w:p>
              </w:tc>
              <w:tc>
                <w:tcPr>
                  <w:tcW w:w="2098" w:type="dxa"/>
                  <w:vAlign w:val="center"/>
                </w:tcPr>
                <w:p w14:paraId="5DF984FF">
                  <w:pPr>
                    <w:pStyle w:val="76"/>
                    <w:jc w:val="both"/>
                    <w:rPr>
                      <w:rFonts w:eastAsia="Times New Roman"/>
                    </w:rPr>
                  </w:pPr>
                  <w:r>
                    <w:rPr>
                      <w:rFonts w:hint="eastAsia" w:eastAsia="Times New Roman"/>
                    </w:rPr>
                    <w:t>项目一般固体废物及危险废物均得到妥善处置，处置率达到100%。</w:t>
                  </w:r>
                </w:p>
              </w:tc>
              <w:tc>
                <w:tcPr>
                  <w:tcW w:w="454" w:type="dxa"/>
                  <w:vAlign w:val="center"/>
                </w:tcPr>
                <w:p w14:paraId="487003E0">
                  <w:pPr>
                    <w:pStyle w:val="76"/>
                    <w:rPr>
                      <w:rFonts w:eastAsia="Times New Roman"/>
                    </w:rPr>
                  </w:pPr>
                  <w:r>
                    <w:rPr>
                      <w:rFonts w:hint="eastAsia" w:ascii="宋体" w:hAnsi="宋体" w:eastAsia="Times New Roman" w:cs="宋体"/>
                    </w:rPr>
                    <w:t>相符</w:t>
                  </w:r>
                </w:p>
              </w:tc>
            </w:tr>
            <w:tr w14:paraId="752296E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restart"/>
                  <w:vAlign w:val="center"/>
                </w:tcPr>
                <w:p w14:paraId="2FE8D38A">
                  <w:pPr>
                    <w:pStyle w:val="76"/>
                    <w:rPr>
                      <w:rFonts w:eastAsia="Times New Roman"/>
                    </w:rPr>
                  </w:pPr>
                  <w:r>
                    <w:rPr>
                      <w:rFonts w:hint="eastAsia" w:eastAsia="Times New Roman"/>
                    </w:rPr>
                    <w:t>环境风险防控</w:t>
                  </w:r>
                </w:p>
              </w:tc>
              <w:tc>
                <w:tcPr>
                  <w:tcW w:w="3969" w:type="dxa"/>
                  <w:vAlign w:val="center"/>
                </w:tcPr>
                <w:p w14:paraId="1208205D">
                  <w:pPr>
                    <w:pStyle w:val="76"/>
                    <w:jc w:val="both"/>
                    <w:rPr>
                      <w:rFonts w:eastAsia="Times New Roman"/>
                    </w:rPr>
                  </w:pPr>
                  <w:r>
                    <w:rPr>
                      <w:rFonts w:hint="eastAsia" w:eastAsia="Times New Roman"/>
                    </w:rPr>
                    <w:t>建立污染源头、过程处理和最终排放的“三级防控”机制，制定园区突发环境污染事故应急预案。</w:t>
                  </w:r>
                </w:p>
              </w:tc>
              <w:tc>
                <w:tcPr>
                  <w:tcW w:w="2098" w:type="dxa"/>
                  <w:vMerge w:val="restart"/>
                  <w:vAlign w:val="center"/>
                </w:tcPr>
                <w:p w14:paraId="5CCE5159">
                  <w:pPr>
                    <w:pStyle w:val="76"/>
                    <w:jc w:val="both"/>
                    <w:rPr>
                      <w:rFonts w:eastAsia="Times New Roman"/>
                    </w:rPr>
                  </w:pPr>
                  <w:r>
                    <w:rPr>
                      <w:rFonts w:hint="eastAsia" w:ascii="宋体" w:hAnsi="宋体" w:eastAsia="Times New Roman" w:cs="宋体"/>
                    </w:rPr>
                    <w:t>为园区需要做的环境风险防控，不属于项目的内容。</w:t>
                  </w:r>
                </w:p>
              </w:tc>
              <w:tc>
                <w:tcPr>
                  <w:tcW w:w="454" w:type="dxa"/>
                  <w:vAlign w:val="center"/>
                </w:tcPr>
                <w:p w14:paraId="72139AB2">
                  <w:pPr>
                    <w:pStyle w:val="76"/>
                    <w:rPr>
                      <w:rFonts w:eastAsia="Times New Roman"/>
                    </w:rPr>
                  </w:pPr>
                  <w:r>
                    <w:rPr>
                      <w:rFonts w:hint="eastAsia" w:ascii="宋体" w:hAnsi="宋体" w:eastAsia="Times New Roman" w:cs="宋体"/>
                    </w:rPr>
                    <w:t>相符</w:t>
                  </w:r>
                </w:p>
              </w:tc>
            </w:tr>
            <w:tr w14:paraId="238D840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4B04CA1A">
                  <w:pPr>
                    <w:pStyle w:val="76"/>
                    <w:rPr>
                      <w:rFonts w:eastAsia="Times New Roman"/>
                    </w:rPr>
                  </w:pPr>
                </w:p>
              </w:tc>
              <w:tc>
                <w:tcPr>
                  <w:tcW w:w="3969" w:type="dxa"/>
                  <w:vAlign w:val="center"/>
                </w:tcPr>
                <w:p w14:paraId="11CA36B8">
                  <w:pPr>
                    <w:pStyle w:val="76"/>
                    <w:jc w:val="both"/>
                    <w:rPr>
                      <w:rFonts w:eastAsia="Times New Roman"/>
                    </w:rPr>
                  </w:pPr>
                  <w:r>
                    <w:rPr>
                      <w:rFonts w:hint="eastAsia" w:eastAsia="Times New Roman"/>
                    </w:rPr>
                    <w:t>在化工园区雨水总排口与周边沟渠之间设置可关闭的应急闸门，事故情况下关闭闸门并将雨水管网的事故废水转接至园区污水管，引入园区污水处理厂事故应急池，防止事故状态下园区废水污染洛清江。</w:t>
                  </w:r>
                </w:p>
              </w:tc>
              <w:tc>
                <w:tcPr>
                  <w:tcW w:w="2098" w:type="dxa"/>
                  <w:vMerge w:val="continue"/>
                  <w:vAlign w:val="center"/>
                </w:tcPr>
                <w:p w14:paraId="15A1DA35">
                  <w:pPr>
                    <w:pStyle w:val="76"/>
                    <w:jc w:val="both"/>
                    <w:rPr>
                      <w:rFonts w:eastAsia="Times New Roman"/>
                    </w:rPr>
                  </w:pPr>
                </w:p>
              </w:tc>
              <w:tc>
                <w:tcPr>
                  <w:tcW w:w="454" w:type="dxa"/>
                  <w:vAlign w:val="center"/>
                </w:tcPr>
                <w:p w14:paraId="7D3CE0EB">
                  <w:pPr>
                    <w:pStyle w:val="76"/>
                    <w:rPr>
                      <w:rFonts w:eastAsia="Times New Roman"/>
                    </w:rPr>
                  </w:pPr>
                  <w:r>
                    <w:rPr>
                      <w:rFonts w:hint="eastAsia" w:ascii="宋体" w:hAnsi="宋体" w:eastAsia="Times New Roman" w:cs="宋体"/>
                    </w:rPr>
                    <w:t>相符</w:t>
                  </w:r>
                </w:p>
              </w:tc>
            </w:tr>
            <w:tr w14:paraId="58AAB44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070E75FB">
                  <w:pPr>
                    <w:pStyle w:val="76"/>
                    <w:rPr>
                      <w:rFonts w:eastAsia="Times New Roman"/>
                    </w:rPr>
                  </w:pPr>
                </w:p>
              </w:tc>
              <w:tc>
                <w:tcPr>
                  <w:tcW w:w="3969" w:type="dxa"/>
                  <w:vAlign w:val="center"/>
                </w:tcPr>
                <w:p w14:paraId="50D0E092">
                  <w:pPr>
                    <w:pStyle w:val="76"/>
                    <w:jc w:val="both"/>
                    <w:rPr>
                      <w:rFonts w:eastAsia="Times New Roman"/>
                    </w:rPr>
                  </w:pPr>
                  <w:r>
                    <w:rPr>
                      <w:rFonts w:hint="eastAsia" w:eastAsia="Times New Roman"/>
                    </w:rPr>
                    <w:t>园区污水处理厂应严格管控污水排放量和浓度，保障尾水达标排放，并配备事故应急池，杜绝发生事故废水入河。</w:t>
                  </w:r>
                </w:p>
              </w:tc>
              <w:tc>
                <w:tcPr>
                  <w:tcW w:w="2098" w:type="dxa"/>
                  <w:vMerge w:val="continue"/>
                  <w:vAlign w:val="center"/>
                </w:tcPr>
                <w:p w14:paraId="78441854">
                  <w:pPr>
                    <w:pStyle w:val="76"/>
                    <w:jc w:val="both"/>
                    <w:rPr>
                      <w:rFonts w:eastAsia="Times New Roman"/>
                    </w:rPr>
                  </w:pPr>
                </w:p>
              </w:tc>
              <w:tc>
                <w:tcPr>
                  <w:tcW w:w="454" w:type="dxa"/>
                  <w:vAlign w:val="center"/>
                </w:tcPr>
                <w:p w14:paraId="67663FCE">
                  <w:pPr>
                    <w:pStyle w:val="76"/>
                    <w:rPr>
                      <w:rFonts w:eastAsia="Times New Roman"/>
                    </w:rPr>
                  </w:pPr>
                  <w:r>
                    <w:rPr>
                      <w:rFonts w:hint="eastAsia" w:ascii="宋体" w:hAnsi="宋体" w:eastAsia="Times New Roman" w:cs="宋体"/>
                    </w:rPr>
                    <w:t>相符</w:t>
                  </w:r>
                </w:p>
              </w:tc>
            </w:tr>
            <w:tr w14:paraId="3D3CD97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27D1E31A">
                  <w:pPr>
                    <w:pStyle w:val="76"/>
                    <w:rPr>
                      <w:rFonts w:eastAsia="Times New Roman"/>
                    </w:rPr>
                  </w:pPr>
                </w:p>
              </w:tc>
              <w:tc>
                <w:tcPr>
                  <w:tcW w:w="3969" w:type="dxa"/>
                  <w:vAlign w:val="center"/>
                </w:tcPr>
                <w:p w14:paraId="3A022CD8">
                  <w:pPr>
                    <w:pStyle w:val="76"/>
                    <w:jc w:val="both"/>
                    <w:rPr>
                      <w:rFonts w:eastAsia="Times New Roman"/>
                    </w:rPr>
                  </w:pPr>
                  <w:r>
                    <w:rPr>
                      <w:rFonts w:hint="eastAsia" w:eastAsia="Times New Roman"/>
                    </w:rPr>
                    <w:t>开展环境风险评估，制定突发环境事件应急预案并备案，配备应急能力和物资，建设环境应急队伍，并定期演练。企业、园区与地方人民政府环境应急预案应当有机衔接。</w:t>
                  </w:r>
                </w:p>
              </w:tc>
              <w:tc>
                <w:tcPr>
                  <w:tcW w:w="2098" w:type="dxa"/>
                  <w:vAlign w:val="center"/>
                </w:tcPr>
                <w:p w14:paraId="007F307E">
                  <w:pPr>
                    <w:pStyle w:val="76"/>
                    <w:jc w:val="both"/>
                    <w:rPr>
                      <w:rFonts w:eastAsia="Times New Roman"/>
                    </w:rPr>
                  </w:pPr>
                  <w:r>
                    <w:rPr>
                      <w:rFonts w:hint="eastAsia" w:eastAsia="Times New Roman"/>
                    </w:rPr>
                    <w:t>项目建成后，将开展环境风险评估，制定突发环境事件应急预案并备案，配备应急能力和物资，建设环境应急队伍，并定期演练。有机衔接园区与政府环境应急预案。</w:t>
                  </w:r>
                </w:p>
              </w:tc>
              <w:tc>
                <w:tcPr>
                  <w:tcW w:w="454" w:type="dxa"/>
                  <w:vAlign w:val="center"/>
                </w:tcPr>
                <w:p w14:paraId="2A73F2F8">
                  <w:pPr>
                    <w:pStyle w:val="76"/>
                    <w:rPr>
                      <w:rFonts w:eastAsia="Times New Roman"/>
                    </w:rPr>
                  </w:pPr>
                  <w:r>
                    <w:rPr>
                      <w:rFonts w:hint="eastAsia" w:ascii="宋体" w:hAnsi="宋体" w:eastAsia="Times New Roman" w:cs="宋体"/>
                    </w:rPr>
                    <w:t>相符</w:t>
                  </w:r>
                </w:p>
              </w:tc>
            </w:tr>
            <w:tr w14:paraId="3AFE90E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62700A4D">
                  <w:pPr>
                    <w:pStyle w:val="76"/>
                    <w:rPr>
                      <w:rFonts w:eastAsia="Times New Roman"/>
                    </w:rPr>
                  </w:pPr>
                </w:p>
              </w:tc>
              <w:tc>
                <w:tcPr>
                  <w:tcW w:w="3969" w:type="dxa"/>
                  <w:vAlign w:val="center"/>
                </w:tcPr>
                <w:p w14:paraId="7F48208F">
                  <w:pPr>
                    <w:pStyle w:val="76"/>
                    <w:jc w:val="both"/>
                    <w:rPr>
                      <w:rFonts w:eastAsia="Times New Roman"/>
                    </w:rPr>
                  </w:pPr>
                  <w:r>
                    <w:rPr>
                      <w:rFonts w:hint="eastAsia" w:eastAsia="Times New Roman"/>
                    </w:rPr>
                    <w:t>土壤污染重点监管单位应当严格控制有毒有害物质排放，并按年度向生态环境主管部门报告排放情况；建立土壤污染隐患排查制度，保证持续有效防止有毒有害物质渗漏、流失、扬散；制定、实施自行监测方案，并将监测数据报生态环境主管部门。</w:t>
                  </w:r>
                </w:p>
              </w:tc>
              <w:tc>
                <w:tcPr>
                  <w:tcW w:w="2098" w:type="dxa"/>
                  <w:vAlign w:val="center"/>
                </w:tcPr>
                <w:p w14:paraId="0D160012">
                  <w:pPr>
                    <w:pStyle w:val="76"/>
                    <w:jc w:val="both"/>
                    <w:rPr>
                      <w:rFonts w:eastAsia="Times New Roman"/>
                    </w:rPr>
                  </w:pPr>
                  <w:r>
                    <w:rPr>
                      <w:rFonts w:hint="eastAsia" w:ascii="宋体" w:hAnsi="宋体" w:eastAsia="Times New Roman" w:cs="宋体"/>
                    </w:rPr>
                    <w:t>项目不属于</w:t>
                  </w:r>
                  <w:r>
                    <w:rPr>
                      <w:rFonts w:hint="eastAsia" w:eastAsia="Times New Roman"/>
                    </w:rPr>
                    <w:t>土壤污染重点监管单位。</w:t>
                  </w:r>
                </w:p>
              </w:tc>
              <w:tc>
                <w:tcPr>
                  <w:tcW w:w="454" w:type="dxa"/>
                  <w:vAlign w:val="center"/>
                </w:tcPr>
                <w:p w14:paraId="200D583B">
                  <w:pPr>
                    <w:pStyle w:val="76"/>
                    <w:rPr>
                      <w:rFonts w:eastAsia="Times New Roman"/>
                    </w:rPr>
                  </w:pPr>
                  <w:r>
                    <w:rPr>
                      <w:rFonts w:hint="eastAsia" w:ascii="宋体" w:hAnsi="宋体" w:eastAsia="Times New Roman" w:cs="宋体"/>
                    </w:rPr>
                    <w:t>相符</w:t>
                  </w:r>
                </w:p>
              </w:tc>
            </w:tr>
            <w:tr w14:paraId="692F223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530A7E22">
                  <w:pPr>
                    <w:pStyle w:val="76"/>
                    <w:rPr>
                      <w:rFonts w:eastAsia="Times New Roman"/>
                    </w:rPr>
                  </w:pPr>
                </w:p>
              </w:tc>
              <w:tc>
                <w:tcPr>
                  <w:tcW w:w="3969" w:type="dxa"/>
                  <w:vAlign w:val="center"/>
                </w:tcPr>
                <w:p w14:paraId="5495B45E">
                  <w:pPr>
                    <w:pStyle w:val="76"/>
                    <w:jc w:val="both"/>
                    <w:rPr>
                      <w:rFonts w:eastAsia="Times New Roman"/>
                    </w:rPr>
                  </w:pPr>
                  <w:r>
                    <w:rPr>
                      <w:rFonts w:hint="eastAsia" w:eastAsia="Times New Roman"/>
                    </w:rPr>
                    <w:t>涉重企业要采用新技术、新工艺，加快提标升级改造，实现全面达标排放。坚决淘汰不符合国家产业政策的落后生产工艺装备。</w:t>
                  </w:r>
                </w:p>
              </w:tc>
              <w:tc>
                <w:tcPr>
                  <w:tcW w:w="2098" w:type="dxa"/>
                  <w:vAlign w:val="center"/>
                </w:tcPr>
                <w:p w14:paraId="0E356812">
                  <w:pPr>
                    <w:pStyle w:val="76"/>
                    <w:jc w:val="both"/>
                    <w:rPr>
                      <w:rFonts w:eastAsia="Times New Roman"/>
                    </w:rPr>
                  </w:pPr>
                  <w:r>
                    <w:rPr>
                      <w:rFonts w:hint="eastAsia" w:eastAsia="Times New Roman"/>
                    </w:rPr>
                    <w:t>项目不属于涉重企业。</w:t>
                  </w:r>
                </w:p>
              </w:tc>
              <w:tc>
                <w:tcPr>
                  <w:tcW w:w="454" w:type="dxa"/>
                  <w:vAlign w:val="center"/>
                </w:tcPr>
                <w:p w14:paraId="31E63FED">
                  <w:pPr>
                    <w:pStyle w:val="76"/>
                    <w:rPr>
                      <w:rFonts w:eastAsia="Times New Roman"/>
                    </w:rPr>
                  </w:pPr>
                  <w:r>
                    <w:rPr>
                      <w:rFonts w:hint="eastAsia" w:ascii="宋体" w:hAnsi="宋体" w:eastAsia="Times New Roman" w:cs="宋体"/>
                    </w:rPr>
                    <w:t>相符</w:t>
                  </w:r>
                </w:p>
              </w:tc>
            </w:tr>
            <w:tr w14:paraId="11242B8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restart"/>
                  <w:vAlign w:val="center"/>
                </w:tcPr>
                <w:p w14:paraId="50407DE2">
                  <w:pPr>
                    <w:pStyle w:val="76"/>
                    <w:rPr>
                      <w:rFonts w:eastAsia="Times New Roman"/>
                    </w:rPr>
                  </w:pPr>
                  <w:r>
                    <w:rPr>
                      <w:rFonts w:hint="eastAsia" w:eastAsia="Times New Roman"/>
                    </w:rPr>
                    <w:t>资源开发利用要求</w:t>
                  </w:r>
                </w:p>
              </w:tc>
              <w:tc>
                <w:tcPr>
                  <w:tcW w:w="3969" w:type="dxa"/>
                  <w:vAlign w:val="center"/>
                </w:tcPr>
                <w:p w14:paraId="552A2223">
                  <w:pPr>
                    <w:pStyle w:val="76"/>
                    <w:jc w:val="both"/>
                    <w:rPr>
                      <w:rFonts w:eastAsia="Times New Roman"/>
                    </w:rPr>
                  </w:pPr>
                  <w:r>
                    <w:rPr>
                      <w:rFonts w:hint="eastAsia" w:eastAsia="Times New Roman"/>
                    </w:rPr>
                    <w:t>能源利用上限：①电力资源总量上限：用电量为3.80亿kWh/a；②燃气资源总量上限：</w:t>
                  </w:r>
                  <w:r>
                    <w:rPr>
                      <w:rFonts w:eastAsia="Times New Roman"/>
                    </w:rPr>
                    <w:t>用气量</w:t>
                  </w:r>
                  <w:r>
                    <w:rPr>
                      <w:rFonts w:hint="eastAsia" w:eastAsia="Times New Roman"/>
                    </w:rPr>
                    <w:t>990.18万</w:t>
                  </w:r>
                  <w:r>
                    <w:rPr>
                      <w:rFonts w:eastAsia="Times New Roman"/>
                    </w:rPr>
                    <w:t>Nm</w:t>
                  </w:r>
                  <w:r>
                    <w:rPr>
                      <w:rFonts w:eastAsia="Times New Roman"/>
                      <w:vertAlign w:val="superscript"/>
                    </w:rPr>
                    <w:t>3</w:t>
                  </w:r>
                  <w:r>
                    <w:rPr>
                      <w:rFonts w:eastAsia="Times New Roman"/>
                    </w:rPr>
                    <w:t>/a</w:t>
                  </w:r>
                  <w:r>
                    <w:rPr>
                      <w:rFonts w:hint="eastAsia" w:eastAsia="Times New Roman"/>
                    </w:rPr>
                    <w:t>；③</w:t>
                  </w:r>
                  <w:r>
                    <w:rPr>
                      <w:rFonts w:eastAsia="Times New Roman"/>
                    </w:rPr>
                    <w:t>工业项目能耗强度目标控制值</w:t>
                  </w:r>
                  <w:r>
                    <w:rPr>
                      <w:rFonts w:hint="eastAsia" w:eastAsia="Times New Roman"/>
                    </w:rPr>
                    <w:t>：</w:t>
                  </w:r>
                  <w:r>
                    <w:rPr>
                      <w:rFonts w:eastAsia="Times New Roman"/>
                    </w:rPr>
                    <w:t>≤0.</w:t>
                  </w:r>
                  <w:r>
                    <w:rPr>
                      <w:rFonts w:hint="eastAsia" w:eastAsia="Times New Roman"/>
                    </w:rPr>
                    <w:t>98</w:t>
                  </w:r>
                  <w:r>
                    <w:rPr>
                      <w:rFonts w:eastAsia="Times New Roman"/>
                    </w:rPr>
                    <w:t>吨标煤/万元</w:t>
                  </w:r>
                  <w:r>
                    <w:rPr>
                      <w:rFonts w:hint="eastAsia" w:eastAsia="Times New Roman"/>
                    </w:rPr>
                    <w:t>增加值。</w:t>
                  </w:r>
                </w:p>
              </w:tc>
              <w:tc>
                <w:tcPr>
                  <w:tcW w:w="2098" w:type="dxa"/>
                  <w:vAlign w:val="center"/>
                </w:tcPr>
                <w:p w14:paraId="4C6C8D27">
                  <w:pPr>
                    <w:pStyle w:val="76"/>
                    <w:jc w:val="both"/>
                    <w:rPr>
                      <w:rFonts w:eastAsia="Times New Roman"/>
                    </w:rPr>
                  </w:pPr>
                  <w:r>
                    <w:rPr>
                      <w:rFonts w:hint="eastAsia" w:ascii="宋体" w:hAnsi="宋体" w:eastAsia="Times New Roman" w:cs="宋体"/>
                    </w:rPr>
                    <w:t>项目用电量较小，不会超过资源利用上线，不涉及燃气及煤的使用。</w:t>
                  </w:r>
                </w:p>
              </w:tc>
              <w:tc>
                <w:tcPr>
                  <w:tcW w:w="454" w:type="dxa"/>
                  <w:vAlign w:val="center"/>
                </w:tcPr>
                <w:p w14:paraId="7B6FF558">
                  <w:pPr>
                    <w:pStyle w:val="76"/>
                    <w:rPr>
                      <w:rFonts w:eastAsia="Times New Roman"/>
                    </w:rPr>
                  </w:pPr>
                  <w:r>
                    <w:rPr>
                      <w:rFonts w:hint="eastAsia" w:ascii="宋体" w:hAnsi="宋体" w:eastAsia="Times New Roman" w:cs="宋体"/>
                    </w:rPr>
                    <w:t>相符</w:t>
                  </w:r>
                </w:p>
              </w:tc>
            </w:tr>
            <w:tr w14:paraId="31EC30C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33A7A05B">
                  <w:pPr>
                    <w:pStyle w:val="76"/>
                    <w:rPr>
                      <w:rFonts w:eastAsia="Times New Roman"/>
                    </w:rPr>
                  </w:pPr>
                </w:p>
              </w:tc>
              <w:tc>
                <w:tcPr>
                  <w:tcW w:w="3969" w:type="dxa"/>
                  <w:vAlign w:val="center"/>
                </w:tcPr>
                <w:p w14:paraId="40BF9E9F">
                  <w:pPr>
                    <w:pStyle w:val="76"/>
                    <w:jc w:val="both"/>
                    <w:rPr>
                      <w:rFonts w:eastAsia="Times New Roman"/>
                    </w:rPr>
                  </w:pPr>
                  <w:r>
                    <w:rPr>
                      <w:rFonts w:hint="eastAsia" w:eastAsia="Times New Roman"/>
                    </w:rPr>
                    <w:t>水资源利用上限：①水资源总量上限：18.35万</w:t>
                  </w:r>
                  <w:r>
                    <w:rPr>
                      <w:rFonts w:eastAsia="Times New Roman"/>
                    </w:rPr>
                    <w:t>m</w:t>
                  </w:r>
                  <w:r>
                    <w:rPr>
                      <w:rFonts w:eastAsia="Times New Roman"/>
                      <w:vertAlign w:val="superscript"/>
                    </w:rPr>
                    <w:t>3</w:t>
                  </w:r>
                  <w:r>
                    <w:rPr>
                      <w:rFonts w:eastAsia="Times New Roman"/>
                    </w:rPr>
                    <w:t>/d</w:t>
                  </w:r>
                  <w:r>
                    <w:rPr>
                      <w:rFonts w:hint="eastAsia" w:eastAsia="Times New Roman"/>
                    </w:rPr>
                    <w:t>；②单位工业增加值新鲜水耗：</w:t>
                  </w:r>
                  <w:r>
                    <w:rPr>
                      <w:rFonts w:eastAsia="Times New Roman"/>
                    </w:rPr>
                    <w:t>≤10m</w:t>
                  </w:r>
                  <w:r>
                    <w:rPr>
                      <w:rFonts w:eastAsia="Times New Roman"/>
                      <w:vertAlign w:val="superscript"/>
                    </w:rPr>
                    <w:t>3</w:t>
                  </w:r>
                  <w:r>
                    <w:rPr>
                      <w:rFonts w:eastAsia="Times New Roman"/>
                    </w:rPr>
                    <w:t>/万元</w:t>
                  </w:r>
                  <w:r>
                    <w:rPr>
                      <w:rFonts w:hint="eastAsia" w:eastAsia="Times New Roman"/>
                    </w:rPr>
                    <w:t>。</w:t>
                  </w:r>
                </w:p>
              </w:tc>
              <w:tc>
                <w:tcPr>
                  <w:tcW w:w="2098" w:type="dxa"/>
                  <w:vAlign w:val="center"/>
                </w:tcPr>
                <w:p w14:paraId="12351241">
                  <w:pPr>
                    <w:pStyle w:val="76"/>
                    <w:jc w:val="both"/>
                    <w:rPr>
                      <w:rFonts w:eastAsia="Times New Roman"/>
                    </w:rPr>
                  </w:pPr>
                  <w:r>
                    <w:rPr>
                      <w:rFonts w:hint="eastAsia" w:ascii="宋体" w:hAnsi="宋体" w:eastAsia="Times New Roman" w:cs="宋体"/>
                    </w:rPr>
                    <w:t>项目用水量较小，不会超过资源利用上线。</w:t>
                  </w:r>
                </w:p>
              </w:tc>
              <w:tc>
                <w:tcPr>
                  <w:tcW w:w="454" w:type="dxa"/>
                  <w:vAlign w:val="center"/>
                </w:tcPr>
                <w:p w14:paraId="190A0EF3">
                  <w:pPr>
                    <w:pStyle w:val="76"/>
                    <w:rPr>
                      <w:rFonts w:eastAsia="Times New Roman"/>
                    </w:rPr>
                  </w:pPr>
                  <w:r>
                    <w:rPr>
                      <w:rFonts w:hint="eastAsia" w:ascii="宋体" w:hAnsi="宋体" w:eastAsia="Times New Roman" w:cs="宋体"/>
                    </w:rPr>
                    <w:t>相符</w:t>
                  </w:r>
                </w:p>
              </w:tc>
            </w:tr>
            <w:tr w14:paraId="693D266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60" w:type="dxa"/>
                  <w:vMerge w:val="continue"/>
                  <w:vAlign w:val="center"/>
                </w:tcPr>
                <w:p w14:paraId="4D1749F5">
                  <w:pPr>
                    <w:pStyle w:val="76"/>
                    <w:rPr>
                      <w:rFonts w:eastAsia="Times New Roman"/>
                    </w:rPr>
                  </w:pPr>
                </w:p>
              </w:tc>
              <w:tc>
                <w:tcPr>
                  <w:tcW w:w="3969" w:type="dxa"/>
                  <w:vAlign w:val="center"/>
                </w:tcPr>
                <w:p w14:paraId="117D20C9">
                  <w:pPr>
                    <w:pStyle w:val="76"/>
                    <w:jc w:val="both"/>
                    <w:rPr>
                      <w:rFonts w:eastAsia="Times New Roman"/>
                    </w:rPr>
                  </w:pPr>
                  <w:r>
                    <w:rPr>
                      <w:rFonts w:hint="eastAsia" w:eastAsia="Times New Roman"/>
                    </w:rPr>
                    <w:t>土地资源利用上限：①土地资源总量上限：2077.68</w:t>
                  </w:r>
                  <w:r>
                    <w:rPr>
                      <w:rFonts w:eastAsia="Times New Roman"/>
                    </w:rPr>
                    <w:t>hm</w:t>
                  </w:r>
                  <w:r>
                    <w:rPr>
                      <w:rFonts w:eastAsia="Times New Roman"/>
                      <w:vertAlign w:val="superscript"/>
                    </w:rPr>
                    <w:t>2</w:t>
                  </w:r>
                  <w:r>
                    <w:rPr>
                      <w:rFonts w:hint="eastAsia" w:eastAsia="Times New Roman"/>
                    </w:rPr>
                    <w:t>；②工业用地总量上限：1220.41</w:t>
                  </w:r>
                  <w:r>
                    <w:rPr>
                      <w:rFonts w:eastAsia="Times New Roman"/>
                    </w:rPr>
                    <w:t>hm</w:t>
                  </w:r>
                  <w:r>
                    <w:rPr>
                      <w:rFonts w:eastAsia="Times New Roman"/>
                      <w:vertAlign w:val="superscript"/>
                    </w:rPr>
                    <w:t>2</w:t>
                  </w:r>
                  <w:r>
                    <w:rPr>
                      <w:rFonts w:hint="eastAsia" w:eastAsia="Times New Roman"/>
                    </w:rPr>
                    <w:t>。</w:t>
                  </w:r>
                </w:p>
              </w:tc>
              <w:tc>
                <w:tcPr>
                  <w:tcW w:w="2098" w:type="dxa"/>
                  <w:vAlign w:val="center"/>
                </w:tcPr>
                <w:p w14:paraId="085F7E43">
                  <w:pPr>
                    <w:pStyle w:val="76"/>
                    <w:jc w:val="both"/>
                    <w:rPr>
                      <w:rFonts w:eastAsia="Times New Roman"/>
                    </w:rPr>
                  </w:pPr>
                  <w:r>
                    <w:rPr>
                      <w:rFonts w:hint="eastAsia" w:ascii="宋体" w:hAnsi="宋体" w:eastAsia="Times New Roman" w:cs="宋体"/>
                    </w:rPr>
                    <w:t>项目租用现有厂房进行建设，不新增用地。</w:t>
                  </w:r>
                </w:p>
              </w:tc>
              <w:tc>
                <w:tcPr>
                  <w:tcW w:w="454" w:type="dxa"/>
                  <w:vAlign w:val="center"/>
                </w:tcPr>
                <w:p w14:paraId="527B8F81">
                  <w:pPr>
                    <w:pStyle w:val="76"/>
                    <w:rPr>
                      <w:rFonts w:eastAsia="Times New Roman"/>
                    </w:rPr>
                  </w:pPr>
                  <w:r>
                    <w:rPr>
                      <w:rFonts w:hint="eastAsia" w:ascii="宋体" w:hAnsi="宋体" w:eastAsia="Times New Roman" w:cs="宋体"/>
                    </w:rPr>
                    <w:t>相符</w:t>
                  </w:r>
                </w:p>
              </w:tc>
            </w:tr>
          </w:tbl>
          <w:p w14:paraId="69F7DFEA">
            <w:pPr>
              <w:pStyle w:val="76"/>
            </w:pPr>
          </w:p>
          <w:p w14:paraId="6555F650">
            <w:pPr>
              <w:pStyle w:val="87"/>
            </w:pPr>
            <w:r>
              <w:rPr>
                <w:rFonts w:hint="eastAsia"/>
              </w:rPr>
              <w:t>表</w:t>
            </w:r>
            <w:r>
              <w:t xml:space="preserve">1-3  </w:t>
            </w:r>
            <w:r>
              <w:rPr>
                <w:rFonts w:hint="eastAsia"/>
              </w:rPr>
              <w:t>项目与鹿寨高新区准入负面清单相符性分析</w:t>
            </w:r>
          </w:p>
          <w:tbl>
            <w:tblPr>
              <w:tblStyle w:val="154"/>
              <w:tblW w:w="7454" w:type="dxa"/>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44"/>
              <w:gridCol w:w="992"/>
              <w:gridCol w:w="2410"/>
              <w:gridCol w:w="2670"/>
              <w:gridCol w:w="638"/>
            </w:tblGrid>
            <w:tr w14:paraId="345D63E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2DD740E4">
                  <w:pPr>
                    <w:pStyle w:val="76"/>
                    <w:rPr>
                      <w:rFonts w:eastAsia="Times New Roman"/>
                      <w:b/>
                    </w:rPr>
                  </w:pPr>
                  <w:r>
                    <w:rPr>
                      <w:rFonts w:hint="eastAsia" w:ascii="宋体" w:hAnsi="宋体" w:eastAsia="Times New Roman" w:cs="宋体"/>
                      <w:b/>
                    </w:rPr>
                    <w:t>产业分类</w:t>
                  </w:r>
                </w:p>
              </w:tc>
              <w:tc>
                <w:tcPr>
                  <w:tcW w:w="992" w:type="dxa"/>
                  <w:vAlign w:val="center"/>
                </w:tcPr>
                <w:p w14:paraId="35E13EE6">
                  <w:pPr>
                    <w:pStyle w:val="76"/>
                    <w:rPr>
                      <w:rFonts w:eastAsia="Times New Roman"/>
                      <w:b/>
                    </w:rPr>
                  </w:pPr>
                  <w:r>
                    <w:rPr>
                      <w:rFonts w:hint="eastAsia" w:ascii="宋体" w:hAnsi="宋体" w:eastAsia="Times New Roman" w:cs="宋体"/>
                      <w:b/>
                    </w:rPr>
                    <w:t>选址布局要求</w:t>
                  </w:r>
                </w:p>
              </w:tc>
              <w:tc>
                <w:tcPr>
                  <w:tcW w:w="2410" w:type="dxa"/>
                  <w:vAlign w:val="center"/>
                </w:tcPr>
                <w:p w14:paraId="1D36CFC1">
                  <w:pPr>
                    <w:pStyle w:val="76"/>
                    <w:rPr>
                      <w:rFonts w:eastAsia="Times New Roman"/>
                      <w:b/>
                    </w:rPr>
                  </w:pPr>
                  <w:r>
                    <w:rPr>
                      <w:rFonts w:hint="eastAsia" w:eastAsia="Times New Roman"/>
                      <w:b/>
                    </w:rPr>
                    <w:t>禁止/限制引进的产业或项目</w:t>
                  </w:r>
                </w:p>
              </w:tc>
              <w:tc>
                <w:tcPr>
                  <w:tcW w:w="2670" w:type="dxa"/>
                  <w:vAlign w:val="center"/>
                </w:tcPr>
                <w:p w14:paraId="5ACCDC8E">
                  <w:pPr>
                    <w:pStyle w:val="76"/>
                    <w:rPr>
                      <w:rFonts w:eastAsia="Times New Roman"/>
                      <w:b/>
                    </w:rPr>
                  </w:pPr>
                  <w:r>
                    <w:rPr>
                      <w:rFonts w:hint="eastAsia" w:eastAsia="Times New Roman"/>
                      <w:b/>
                    </w:rPr>
                    <w:t>项目情况</w:t>
                  </w:r>
                </w:p>
              </w:tc>
              <w:tc>
                <w:tcPr>
                  <w:tcW w:w="638" w:type="dxa"/>
                  <w:vAlign w:val="center"/>
                </w:tcPr>
                <w:p w14:paraId="00360B55">
                  <w:pPr>
                    <w:pStyle w:val="76"/>
                    <w:rPr>
                      <w:rFonts w:eastAsia="Times New Roman"/>
                      <w:b/>
                    </w:rPr>
                  </w:pPr>
                  <w:r>
                    <w:rPr>
                      <w:rFonts w:hint="eastAsia" w:ascii="宋体" w:hAnsi="宋体" w:eastAsia="Times New Roman" w:cs="宋体"/>
                      <w:b/>
                    </w:rPr>
                    <w:t>相符性</w:t>
                  </w:r>
                </w:p>
              </w:tc>
            </w:tr>
            <w:tr w14:paraId="08580D9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restart"/>
                  <w:vAlign w:val="center"/>
                </w:tcPr>
                <w:p w14:paraId="7DCDFB84">
                  <w:pPr>
                    <w:pStyle w:val="76"/>
                    <w:rPr>
                      <w:rFonts w:eastAsia="Times New Roman"/>
                    </w:rPr>
                  </w:pPr>
                  <w:r>
                    <w:rPr>
                      <w:rFonts w:eastAsia="Times New Roman"/>
                    </w:rPr>
                    <w:t>总体要求</w:t>
                  </w:r>
                </w:p>
              </w:tc>
              <w:tc>
                <w:tcPr>
                  <w:tcW w:w="992" w:type="dxa"/>
                  <w:vMerge w:val="restart"/>
                  <w:vAlign w:val="center"/>
                </w:tcPr>
                <w:p w14:paraId="6236EF70">
                  <w:pPr>
                    <w:pStyle w:val="76"/>
                    <w:jc w:val="both"/>
                    <w:rPr>
                      <w:rFonts w:eastAsia="Times New Roman"/>
                    </w:rPr>
                  </w:pPr>
                  <w:r>
                    <w:rPr>
                      <w:rFonts w:eastAsia="Times New Roman"/>
                    </w:rPr>
                    <w:t xml:space="preserve">1.按园区规划功能组团布局相应产业； </w:t>
                  </w:r>
                </w:p>
                <w:p w14:paraId="708C7885">
                  <w:pPr>
                    <w:pStyle w:val="76"/>
                    <w:jc w:val="both"/>
                    <w:rPr>
                      <w:rFonts w:eastAsia="Times New Roman"/>
                    </w:rPr>
                  </w:pPr>
                  <w:r>
                    <w:rPr>
                      <w:rFonts w:eastAsia="Times New Roman"/>
                    </w:rPr>
                    <w:t>2.生态红线范围内禁止开发建设活动</w:t>
                  </w:r>
                  <w:r>
                    <w:rPr>
                      <w:rFonts w:hint="eastAsia" w:eastAsia="Times New Roman"/>
                    </w:rPr>
                    <w:t>。</w:t>
                  </w:r>
                </w:p>
              </w:tc>
              <w:tc>
                <w:tcPr>
                  <w:tcW w:w="2410" w:type="dxa"/>
                  <w:vAlign w:val="center"/>
                </w:tcPr>
                <w:p w14:paraId="57F8888A">
                  <w:pPr>
                    <w:pStyle w:val="76"/>
                    <w:jc w:val="both"/>
                    <w:rPr>
                      <w:rFonts w:eastAsia="Times New Roman"/>
                    </w:rPr>
                  </w:pPr>
                  <w:r>
                    <w:rPr>
                      <w:rFonts w:eastAsia="Times New Roman"/>
                    </w:rPr>
                    <w:t>禁止建设国家现行产业政策明令限制、禁止或淘汰的项目、产能严重过剩行业项目、落后生产工艺或设备、落后生产能力项目</w:t>
                  </w:r>
                  <w:r>
                    <w:rPr>
                      <w:rFonts w:hint="eastAsia" w:eastAsia="Times New Roman"/>
                    </w:rPr>
                    <w:t>。</w:t>
                  </w:r>
                </w:p>
              </w:tc>
              <w:tc>
                <w:tcPr>
                  <w:tcW w:w="2670" w:type="dxa"/>
                  <w:vAlign w:val="center"/>
                </w:tcPr>
                <w:p w14:paraId="749B0AA5">
                  <w:pPr>
                    <w:pStyle w:val="76"/>
                    <w:jc w:val="both"/>
                    <w:rPr>
                      <w:rFonts w:eastAsia="Times New Roman"/>
                    </w:rPr>
                  </w:pPr>
                  <w:r>
                    <w:rPr>
                      <w:rFonts w:hint="eastAsia" w:eastAsia="Times New Roman"/>
                    </w:rPr>
                    <w:t>项目为C3670 汽车零部件及配件制造，不属于</w:t>
                  </w:r>
                  <w:r>
                    <w:rPr>
                      <w:rFonts w:eastAsia="Times New Roman"/>
                    </w:rPr>
                    <w:t>国家现行产业政策明令限制、禁止或淘汰的项目、产能严重过剩行业项目、落后生产工艺或设备、落后生产能力项目</w:t>
                  </w:r>
                  <w:r>
                    <w:rPr>
                      <w:rFonts w:hint="eastAsia" w:eastAsia="Times New Roman"/>
                    </w:rPr>
                    <w:t>。</w:t>
                  </w:r>
                </w:p>
              </w:tc>
              <w:tc>
                <w:tcPr>
                  <w:tcW w:w="638" w:type="dxa"/>
                  <w:vAlign w:val="center"/>
                </w:tcPr>
                <w:p w14:paraId="7AF44716">
                  <w:pPr>
                    <w:pStyle w:val="76"/>
                    <w:rPr>
                      <w:rFonts w:eastAsia="Times New Roman"/>
                    </w:rPr>
                  </w:pPr>
                  <w:r>
                    <w:rPr>
                      <w:rFonts w:hint="eastAsia" w:ascii="宋体" w:hAnsi="宋体" w:eastAsia="Times New Roman" w:cs="宋体"/>
                    </w:rPr>
                    <w:t>相符</w:t>
                  </w:r>
                </w:p>
              </w:tc>
            </w:tr>
            <w:tr w14:paraId="32461B4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continue"/>
                  <w:vAlign w:val="center"/>
                </w:tcPr>
                <w:p w14:paraId="350EBB77">
                  <w:pPr>
                    <w:pStyle w:val="76"/>
                    <w:rPr>
                      <w:rFonts w:eastAsia="Times New Roman"/>
                    </w:rPr>
                  </w:pPr>
                </w:p>
              </w:tc>
              <w:tc>
                <w:tcPr>
                  <w:tcW w:w="992" w:type="dxa"/>
                  <w:vMerge w:val="continue"/>
                  <w:vAlign w:val="center"/>
                </w:tcPr>
                <w:p w14:paraId="113A9B00">
                  <w:pPr>
                    <w:pStyle w:val="76"/>
                    <w:jc w:val="both"/>
                    <w:rPr>
                      <w:rFonts w:eastAsia="Times New Roman"/>
                    </w:rPr>
                  </w:pPr>
                </w:p>
              </w:tc>
              <w:tc>
                <w:tcPr>
                  <w:tcW w:w="2410" w:type="dxa"/>
                  <w:vAlign w:val="center"/>
                </w:tcPr>
                <w:p w14:paraId="10590F84">
                  <w:pPr>
                    <w:pStyle w:val="76"/>
                    <w:jc w:val="both"/>
                    <w:rPr>
                      <w:rFonts w:eastAsia="Times New Roman"/>
                    </w:rPr>
                  </w:pPr>
                  <w:r>
                    <w:rPr>
                      <w:rFonts w:eastAsia="Times New Roman"/>
                    </w:rPr>
                    <w:t>禁止建设不符合园区规划产业定位或与产业链条无关联的项目</w:t>
                  </w:r>
                  <w:r>
                    <w:rPr>
                      <w:rFonts w:hint="eastAsia" w:eastAsia="Times New Roman"/>
                    </w:rPr>
                    <w:t>。</w:t>
                  </w:r>
                </w:p>
              </w:tc>
              <w:tc>
                <w:tcPr>
                  <w:tcW w:w="2670" w:type="dxa"/>
                  <w:vAlign w:val="center"/>
                </w:tcPr>
                <w:p w14:paraId="43B4FD7D">
                  <w:pPr>
                    <w:pStyle w:val="76"/>
                    <w:jc w:val="both"/>
                    <w:rPr>
                      <w:rFonts w:eastAsia="Times New Roman"/>
                    </w:rPr>
                  </w:pPr>
                  <w:r>
                    <w:rPr>
                      <w:rFonts w:hint="eastAsia" w:eastAsia="Times New Roman"/>
                    </w:rPr>
                    <w:t>项目</w:t>
                  </w:r>
                  <w:r>
                    <w:rPr>
                      <w:rFonts w:hint="eastAsia" w:ascii="宋体" w:hAnsi="宋体" w:eastAsia="Times New Roman" w:cs="宋体"/>
                    </w:rPr>
                    <w:t>租用现有厂房对原有生产线进行技术改造，</w:t>
                  </w:r>
                  <w:r>
                    <w:rPr>
                      <w:rFonts w:hint="eastAsia" w:eastAsia="Times New Roman"/>
                    </w:rPr>
                    <w:t>不属于</w:t>
                  </w:r>
                  <w:r>
                    <w:rPr>
                      <w:rFonts w:eastAsia="Times New Roman"/>
                    </w:rPr>
                    <w:t>不符合园区规划产业定位或与产业链条无关联的项目</w:t>
                  </w:r>
                  <w:r>
                    <w:rPr>
                      <w:rFonts w:hint="eastAsia" w:ascii="宋体" w:hAnsi="宋体" w:eastAsia="Times New Roman" w:cs="宋体"/>
                    </w:rPr>
                    <w:t>。</w:t>
                  </w:r>
                </w:p>
              </w:tc>
              <w:tc>
                <w:tcPr>
                  <w:tcW w:w="638" w:type="dxa"/>
                  <w:vAlign w:val="center"/>
                </w:tcPr>
                <w:p w14:paraId="116D89A4">
                  <w:pPr>
                    <w:pStyle w:val="76"/>
                    <w:rPr>
                      <w:rFonts w:eastAsia="Times New Roman"/>
                    </w:rPr>
                  </w:pPr>
                  <w:r>
                    <w:rPr>
                      <w:rFonts w:hint="eastAsia" w:ascii="宋体" w:hAnsi="宋体" w:eastAsia="Times New Roman" w:cs="宋体"/>
                    </w:rPr>
                    <w:t>相符</w:t>
                  </w:r>
                </w:p>
              </w:tc>
            </w:tr>
            <w:tr w14:paraId="61D87BD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continue"/>
                  <w:vAlign w:val="center"/>
                </w:tcPr>
                <w:p w14:paraId="4690CC81">
                  <w:pPr>
                    <w:pStyle w:val="76"/>
                    <w:rPr>
                      <w:rFonts w:eastAsia="Times New Roman"/>
                    </w:rPr>
                  </w:pPr>
                </w:p>
              </w:tc>
              <w:tc>
                <w:tcPr>
                  <w:tcW w:w="992" w:type="dxa"/>
                  <w:vMerge w:val="restart"/>
                  <w:vAlign w:val="center"/>
                </w:tcPr>
                <w:p w14:paraId="3C0251AC">
                  <w:pPr>
                    <w:pStyle w:val="76"/>
                    <w:jc w:val="both"/>
                    <w:rPr>
                      <w:rFonts w:eastAsia="Times New Roman"/>
                    </w:rPr>
                  </w:pPr>
                  <w:r>
                    <w:rPr>
                      <w:rFonts w:eastAsia="Times New Roman"/>
                    </w:rPr>
                    <w:t>1.按园区规划功能组团布局相应产业；</w:t>
                  </w:r>
                </w:p>
                <w:p w14:paraId="40040109">
                  <w:pPr>
                    <w:pStyle w:val="76"/>
                    <w:jc w:val="both"/>
                    <w:rPr>
                      <w:rFonts w:eastAsia="Times New Roman"/>
                    </w:rPr>
                  </w:pPr>
                  <w:r>
                    <w:rPr>
                      <w:rFonts w:eastAsia="Times New Roman"/>
                    </w:rPr>
                    <w:t>2.生态红线范围内禁止开发建设活动</w:t>
                  </w:r>
                  <w:r>
                    <w:rPr>
                      <w:rFonts w:hint="eastAsia" w:eastAsia="Times New Roman"/>
                    </w:rPr>
                    <w:t>。</w:t>
                  </w:r>
                </w:p>
              </w:tc>
              <w:tc>
                <w:tcPr>
                  <w:tcW w:w="2410" w:type="dxa"/>
                  <w:vAlign w:val="center"/>
                </w:tcPr>
                <w:p w14:paraId="74A89008">
                  <w:pPr>
                    <w:pStyle w:val="76"/>
                    <w:jc w:val="both"/>
                    <w:rPr>
                      <w:rFonts w:eastAsia="Times New Roman"/>
                    </w:rPr>
                  </w:pPr>
                  <w:r>
                    <w:rPr>
                      <w:rFonts w:eastAsia="Times New Roman"/>
                    </w:rPr>
                    <w:t>禁止建设废水经预处理达不到污水处理厂接管标准的项目</w:t>
                  </w:r>
                  <w:r>
                    <w:rPr>
                      <w:rFonts w:hint="eastAsia" w:eastAsia="Times New Roman"/>
                    </w:rPr>
                    <w:t>。</w:t>
                  </w:r>
                </w:p>
              </w:tc>
              <w:tc>
                <w:tcPr>
                  <w:tcW w:w="2670" w:type="dxa"/>
                  <w:vAlign w:val="center"/>
                </w:tcPr>
                <w:p w14:paraId="01AA73FA">
                  <w:pPr>
                    <w:pStyle w:val="76"/>
                    <w:jc w:val="both"/>
                    <w:rPr>
                      <w:rFonts w:eastAsia="Times New Roman"/>
                    </w:rPr>
                  </w:pPr>
                  <w:r>
                    <w:rPr>
                      <w:rFonts w:hint="eastAsia" w:ascii="宋体" w:hAnsi="宋体" w:eastAsia="Times New Roman" w:cs="宋体"/>
                    </w:rPr>
                    <w:t>项目无生产废水排放，生活污水经化粪池处理后排入鹿寨县第二污水处理厂。</w:t>
                  </w:r>
                </w:p>
              </w:tc>
              <w:tc>
                <w:tcPr>
                  <w:tcW w:w="638" w:type="dxa"/>
                  <w:vAlign w:val="center"/>
                </w:tcPr>
                <w:p w14:paraId="032FF50C">
                  <w:pPr>
                    <w:pStyle w:val="76"/>
                    <w:rPr>
                      <w:rFonts w:eastAsia="Times New Roman"/>
                    </w:rPr>
                  </w:pPr>
                  <w:r>
                    <w:rPr>
                      <w:rFonts w:hint="eastAsia" w:ascii="宋体" w:hAnsi="宋体" w:eastAsia="Times New Roman" w:cs="宋体"/>
                    </w:rPr>
                    <w:t>相符</w:t>
                  </w:r>
                </w:p>
              </w:tc>
            </w:tr>
            <w:tr w14:paraId="2CD2963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continue"/>
                  <w:vAlign w:val="center"/>
                </w:tcPr>
                <w:p w14:paraId="4912E314">
                  <w:pPr>
                    <w:pStyle w:val="76"/>
                    <w:rPr>
                      <w:rFonts w:eastAsia="Times New Roman"/>
                    </w:rPr>
                  </w:pPr>
                </w:p>
              </w:tc>
              <w:tc>
                <w:tcPr>
                  <w:tcW w:w="992" w:type="dxa"/>
                  <w:vMerge w:val="continue"/>
                  <w:vAlign w:val="center"/>
                </w:tcPr>
                <w:p w14:paraId="749E4683">
                  <w:pPr>
                    <w:pStyle w:val="76"/>
                    <w:jc w:val="both"/>
                    <w:rPr>
                      <w:rFonts w:eastAsia="Times New Roman"/>
                    </w:rPr>
                  </w:pPr>
                </w:p>
              </w:tc>
              <w:tc>
                <w:tcPr>
                  <w:tcW w:w="2410" w:type="dxa"/>
                  <w:vAlign w:val="center"/>
                </w:tcPr>
                <w:p w14:paraId="7703FE08">
                  <w:pPr>
                    <w:pStyle w:val="76"/>
                    <w:jc w:val="both"/>
                    <w:rPr>
                      <w:rFonts w:eastAsia="Times New Roman"/>
                    </w:rPr>
                  </w:pPr>
                  <w:r>
                    <w:rPr>
                      <w:rFonts w:eastAsia="Times New Roman"/>
                    </w:rPr>
                    <w:t>禁止建设不符合《关于印发广西新建石化和化工生产项目准入管理办法（试行）的通知》（桂工信石化〔2021〕501号）</w:t>
                  </w:r>
                  <w:r>
                    <w:rPr>
                      <w:rFonts w:hint="eastAsia" w:eastAsia="Times New Roman"/>
                    </w:rPr>
                    <w:t>等</w:t>
                  </w:r>
                  <w:r>
                    <w:rPr>
                      <w:rFonts w:eastAsia="Times New Roman"/>
                    </w:rPr>
                    <w:t>相关行业准入条件的项目</w:t>
                  </w:r>
                  <w:r>
                    <w:rPr>
                      <w:rFonts w:hint="eastAsia" w:eastAsia="Times New Roman"/>
                    </w:rPr>
                    <w:t>。</w:t>
                  </w:r>
                </w:p>
              </w:tc>
              <w:tc>
                <w:tcPr>
                  <w:tcW w:w="2670" w:type="dxa"/>
                  <w:vAlign w:val="center"/>
                </w:tcPr>
                <w:p w14:paraId="6F356F37">
                  <w:pPr>
                    <w:pStyle w:val="76"/>
                    <w:jc w:val="both"/>
                    <w:rPr>
                      <w:rFonts w:eastAsia="Times New Roman"/>
                    </w:rPr>
                  </w:pPr>
                  <w:r>
                    <w:rPr>
                      <w:rFonts w:hint="eastAsia" w:ascii="宋体" w:hAnsi="宋体" w:eastAsia="Times New Roman" w:cs="宋体"/>
                    </w:rPr>
                    <w:t>项目不属于</w:t>
                  </w:r>
                  <w:r>
                    <w:rPr>
                      <w:rFonts w:eastAsia="Times New Roman"/>
                    </w:rPr>
                    <w:t>石化和化工生产项目</w:t>
                  </w:r>
                  <w:r>
                    <w:rPr>
                      <w:rFonts w:hint="eastAsia" w:eastAsia="Times New Roman"/>
                    </w:rPr>
                    <w:t>。</w:t>
                  </w:r>
                </w:p>
              </w:tc>
              <w:tc>
                <w:tcPr>
                  <w:tcW w:w="638" w:type="dxa"/>
                  <w:vAlign w:val="center"/>
                </w:tcPr>
                <w:p w14:paraId="6FF889FD">
                  <w:pPr>
                    <w:pStyle w:val="76"/>
                    <w:rPr>
                      <w:rFonts w:eastAsia="Times New Roman"/>
                    </w:rPr>
                  </w:pPr>
                  <w:r>
                    <w:rPr>
                      <w:rFonts w:hint="eastAsia" w:ascii="宋体" w:hAnsi="宋体" w:eastAsia="Times New Roman" w:cs="宋体"/>
                    </w:rPr>
                    <w:t>相符</w:t>
                  </w:r>
                </w:p>
              </w:tc>
            </w:tr>
            <w:tr w14:paraId="7A3BC1B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restart"/>
                  <w:vAlign w:val="center"/>
                </w:tcPr>
                <w:p w14:paraId="25DA6838">
                  <w:pPr>
                    <w:pStyle w:val="76"/>
                    <w:rPr>
                      <w:rFonts w:eastAsia="Times New Roman"/>
                    </w:rPr>
                  </w:pPr>
                  <w:r>
                    <w:rPr>
                      <w:rFonts w:hint="eastAsia" w:eastAsia="Times New Roman"/>
                    </w:rPr>
                    <w:t>新材料中的精细与专用化学品</w:t>
                  </w:r>
                </w:p>
              </w:tc>
              <w:tc>
                <w:tcPr>
                  <w:tcW w:w="992" w:type="dxa"/>
                  <w:vMerge w:val="restart"/>
                  <w:vAlign w:val="center"/>
                </w:tcPr>
                <w:p w14:paraId="46DCFFD0">
                  <w:pPr>
                    <w:pStyle w:val="76"/>
                    <w:jc w:val="both"/>
                    <w:rPr>
                      <w:rFonts w:eastAsia="Times New Roman"/>
                    </w:rPr>
                  </w:pPr>
                  <w:r>
                    <w:rPr>
                      <w:rFonts w:eastAsia="Times New Roman"/>
                    </w:rPr>
                    <w:t>大气环境防护距离或卫生防护距离内不得有医院、学校和居住等环境敏感区和对环境要求较高的工业企业。</w:t>
                  </w:r>
                </w:p>
              </w:tc>
              <w:tc>
                <w:tcPr>
                  <w:tcW w:w="2410" w:type="dxa"/>
                  <w:vAlign w:val="center"/>
                </w:tcPr>
                <w:p w14:paraId="274EB5BE">
                  <w:pPr>
                    <w:pStyle w:val="76"/>
                    <w:jc w:val="both"/>
                    <w:rPr>
                      <w:rFonts w:eastAsia="Times New Roman"/>
                    </w:rPr>
                  </w:pPr>
                  <w:r>
                    <w:rPr>
                      <w:rFonts w:hint="eastAsia" w:eastAsia="Times New Roman"/>
                    </w:rPr>
                    <w:t>禁止新建</w:t>
                  </w:r>
                  <w:r>
                    <w:rPr>
                      <w:rFonts w:eastAsia="Times New Roman"/>
                    </w:rPr>
                    <w:t>无产能置换的</w:t>
                  </w:r>
                  <w:r>
                    <w:rPr>
                      <w:rFonts w:hint="eastAsia" w:eastAsia="Times New Roman"/>
                    </w:rPr>
                    <w:t>烧碱（废盐综合利用的离子膜烧碱装置除外）、聚氯乙烯</w:t>
                  </w:r>
                  <w:r>
                    <w:rPr>
                      <w:rFonts w:eastAsia="Times New Roman"/>
                    </w:rPr>
                    <w:t>项目</w:t>
                  </w:r>
                  <w:r>
                    <w:rPr>
                      <w:rFonts w:hint="eastAsia" w:eastAsia="Times New Roman"/>
                    </w:rPr>
                    <w:t>。</w:t>
                  </w:r>
                </w:p>
              </w:tc>
              <w:tc>
                <w:tcPr>
                  <w:tcW w:w="2670" w:type="dxa"/>
                  <w:vAlign w:val="center"/>
                </w:tcPr>
                <w:p w14:paraId="119EF213">
                  <w:pPr>
                    <w:pStyle w:val="76"/>
                    <w:jc w:val="both"/>
                    <w:rPr>
                      <w:rFonts w:eastAsia="Times New Roman"/>
                    </w:rPr>
                  </w:pPr>
                  <w:r>
                    <w:rPr>
                      <w:rFonts w:hint="eastAsia" w:eastAsia="Times New Roman"/>
                    </w:rPr>
                    <w:t>项目为C3670 汽车零部件及配件制造，不属于</w:t>
                  </w:r>
                  <w:r>
                    <w:rPr>
                      <w:rFonts w:eastAsia="Times New Roman"/>
                    </w:rPr>
                    <w:t>无产能置换的</w:t>
                  </w:r>
                  <w:r>
                    <w:rPr>
                      <w:rFonts w:hint="eastAsia" w:eastAsia="Times New Roman"/>
                    </w:rPr>
                    <w:t>烧碱、聚氯乙烯</w:t>
                  </w:r>
                  <w:r>
                    <w:rPr>
                      <w:rFonts w:eastAsia="Times New Roman"/>
                    </w:rPr>
                    <w:t>项目</w:t>
                  </w:r>
                  <w:r>
                    <w:rPr>
                      <w:rFonts w:hint="eastAsia" w:eastAsia="Times New Roman"/>
                    </w:rPr>
                    <w:t>。</w:t>
                  </w:r>
                </w:p>
              </w:tc>
              <w:tc>
                <w:tcPr>
                  <w:tcW w:w="638" w:type="dxa"/>
                  <w:vAlign w:val="center"/>
                </w:tcPr>
                <w:p w14:paraId="19B97149">
                  <w:pPr>
                    <w:pStyle w:val="76"/>
                    <w:rPr>
                      <w:rFonts w:eastAsia="Times New Roman"/>
                    </w:rPr>
                  </w:pPr>
                  <w:r>
                    <w:rPr>
                      <w:rFonts w:hint="eastAsia" w:ascii="宋体" w:hAnsi="宋体" w:eastAsia="Times New Roman" w:cs="宋体"/>
                    </w:rPr>
                    <w:t>相符</w:t>
                  </w:r>
                </w:p>
              </w:tc>
            </w:tr>
            <w:tr w14:paraId="01A5BAF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continue"/>
                  <w:vAlign w:val="center"/>
                </w:tcPr>
                <w:p w14:paraId="6182FB78">
                  <w:pPr>
                    <w:pStyle w:val="76"/>
                    <w:rPr>
                      <w:rFonts w:eastAsia="Times New Roman"/>
                    </w:rPr>
                  </w:pPr>
                </w:p>
              </w:tc>
              <w:tc>
                <w:tcPr>
                  <w:tcW w:w="992" w:type="dxa"/>
                  <w:vMerge w:val="continue"/>
                  <w:vAlign w:val="center"/>
                </w:tcPr>
                <w:p w14:paraId="78F605C7">
                  <w:pPr>
                    <w:pStyle w:val="76"/>
                    <w:jc w:val="both"/>
                    <w:rPr>
                      <w:rFonts w:eastAsia="Times New Roman"/>
                    </w:rPr>
                  </w:pPr>
                </w:p>
              </w:tc>
              <w:tc>
                <w:tcPr>
                  <w:tcW w:w="2410" w:type="dxa"/>
                  <w:vAlign w:val="center"/>
                </w:tcPr>
                <w:p w14:paraId="1148A5AC">
                  <w:pPr>
                    <w:pStyle w:val="76"/>
                    <w:jc w:val="both"/>
                    <w:rPr>
                      <w:rFonts w:eastAsia="Times New Roman"/>
                    </w:rPr>
                  </w:pPr>
                  <w:r>
                    <w:rPr>
                      <w:rFonts w:hint="eastAsia" w:eastAsia="Times New Roman"/>
                    </w:rPr>
                    <w:t>禁止新建用汞的电石法（聚）氯乙烯生产工艺。</w:t>
                  </w:r>
                </w:p>
              </w:tc>
              <w:tc>
                <w:tcPr>
                  <w:tcW w:w="2670" w:type="dxa"/>
                  <w:vAlign w:val="center"/>
                </w:tcPr>
                <w:p w14:paraId="2B086D0F">
                  <w:pPr>
                    <w:pStyle w:val="76"/>
                    <w:jc w:val="both"/>
                    <w:rPr>
                      <w:rFonts w:eastAsia="Times New Roman"/>
                    </w:rPr>
                  </w:pPr>
                  <w:r>
                    <w:rPr>
                      <w:rFonts w:hint="eastAsia" w:eastAsia="Times New Roman"/>
                    </w:rPr>
                    <w:t>项目不涉及用汞的电石法（聚）氯乙烯生产工艺。</w:t>
                  </w:r>
                </w:p>
              </w:tc>
              <w:tc>
                <w:tcPr>
                  <w:tcW w:w="638" w:type="dxa"/>
                  <w:vAlign w:val="center"/>
                </w:tcPr>
                <w:p w14:paraId="7D4CAD6A">
                  <w:pPr>
                    <w:pStyle w:val="76"/>
                    <w:rPr>
                      <w:rFonts w:eastAsia="Times New Roman"/>
                    </w:rPr>
                  </w:pPr>
                </w:p>
              </w:tc>
            </w:tr>
            <w:tr w14:paraId="7D46ED6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continue"/>
                  <w:vAlign w:val="center"/>
                </w:tcPr>
                <w:p w14:paraId="4E024828">
                  <w:pPr>
                    <w:pStyle w:val="76"/>
                    <w:rPr>
                      <w:rFonts w:eastAsia="Times New Roman"/>
                    </w:rPr>
                  </w:pPr>
                </w:p>
              </w:tc>
              <w:tc>
                <w:tcPr>
                  <w:tcW w:w="992" w:type="dxa"/>
                  <w:vMerge w:val="continue"/>
                  <w:vAlign w:val="center"/>
                </w:tcPr>
                <w:p w14:paraId="489709BD">
                  <w:pPr>
                    <w:pStyle w:val="76"/>
                    <w:jc w:val="both"/>
                    <w:rPr>
                      <w:rFonts w:eastAsia="Times New Roman"/>
                    </w:rPr>
                  </w:pPr>
                </w:p>
              </w:tc>
              <w:tc>
                <w:tcPr>
                  <w:tcW w:w="2410" w:type="dxa"/>
                  <w:vAlign w:val="center"/>
                </w:tcPr>
                <w:p w14:paraId="655D697B">
                  <w:pPr>
                    <w:pStyle w:val="76"/>
                    <w:jc w:val="both"/>
                    <w:rPr>
                      <w:rFonts w:eastAsia="Times New Roman"/>
                    </w:rPr>
                  </w:pPr>
                  <w:r>
                    <w:rPr>
                      <w:rFonts w:eastAsia="Times New Roman"/>
                    </w:rPr>
                    <w:t>禁止</w:t>
                  </w:r>
                  <w:r>
                    <w:rPr>
                      <w:rFonts w:hint="eastAsia" w:eastAsia="Times New Roman"/>
                    </w:rPr>
                    <w:t>新建、扩建</w:t>
                  </w:r>
                  <w:r>
                    <w:rPr>
                      <w:rFonts w:eastAsia="Times New Roman"/>
                    </w:rPr>
                    <w:t>《产业结构调整指导目录（2019年本）》</w:t>
                  </w:r>
                  <w:r>
                    <w:rPr>
                      <w:rFonts w:hint="eastAsia" w:eastAsia="Times New Roman"/>
                    </w:rPr>
                    <w:t>限制类</w:t>
                  </w:r>
                  <w:r>
                    <w:rPr>
                      <w:rFonts w:eastAsia="Times New Roman"/>
                    </w:rPr>
                    <w:t>、</w:t>
                  </w:r>
                  <w:r>
                    <w:rPr>
                      <w:rFonts w:hint="eastAsia" w:eastAsia="Times New Roman"/>
                    </w:rPr>
                    <w:t>淘汰类项目，禁止新建</w:t>
                  </w:r>
                  <w:r>
                    <w:rPr>
                      <w:rFonts w:eastAsia="Times New Roman"/>
                    </w:rPr>
                    <w:t>《广西工业产业结构调整指导目录（2021年本）》、《外商投资产业指导目录（2017年修订）》中淘汰类</w:t>
                  </w:r>
                  <w:r>
                    <w:rPr>
                      <w:rFonts w:hint="eastAsia" w:eastAsia="Times New Roman"/>
                    </w:rPr>
                    <w:t>、禁止类</w:t>
                  </w:r>
                  <w:r>
                    <w:rPr>
                      <w:rFonts w:eastAsia="Times New Roman"/>
                    </w:rPr>
                    <w:t>项目</w:t>
                  </w:r>
                  <w:r>
                    <w:rPr>
                      <w:rFonts w:hint="eastAsia" w:eastAsia="Times New Roman"/>
                    </w:rPr>
                    <w:t>。</w:t>
                  </w:r>
                </w:p>
              </w:tc>
              <w:tc>
                <w:tcPr>
                  <w:tcW w:w="2670" w:type="dxa"/>
                  <w:vAlign w:val="center"/>
                </w:tcPr>
                <w:p w14:paraId="4BA47B02">
                  <w:pPr>
                    <w:pStyle w:val="76"/>
                    <w:jc w:val="both"/>
                    <w:rPr>
                      <w:rFonts w:eastAsia="Times New Roman"/>
                    </w:rPr>
                  </w:pPr>
                  <w:r>
                    <w:rPr>
                      <w:rFonts w:hint="eastAsia" w:ascii="宋体" w:hAnsi="宋体" w:eastAsia="Times New Roman" w:cs="宋体"/>
                    </w:rPr>
                    <w:t>项目不属于</w:t>
                  </w:r>
                  <w:r>
                    <w:rPr>
                      <w:rFonts w:hint="eastAsia" w:eastAsia="Times New Roman"/>
                    </w:rPr>
                    <w:t>《产业结构调整指导目录（2024年本）》</w:t>
                  </w:r>
                  <w:r>
                    <w:rPr>
                      <w:rFonts w:hint="eastAsia" w:ascii="宋体" w:hAnsi="宋体" w:eastAsia="Times New Roman" w:cs="宋体"/>
                    </w:rPr>
                    <w:t>中</w:t>
                  </w:r>
                  <w:r>
                    <w:rPr>
                      <w:rFonts w:hint="eastAsia" w:eastAsia="Times New Roman"/>
                    </w:rPr>
                    <w:t>限制类</w:t>
                  </w:r>
                  <w:r>
                    <w:rPr>
                      <w:rFonts w:eastAsia="Times New Roman"/>
                    </w:rPr>
                    <w:t>、</w:t>
                  </w:r>
                  <w:r>
                    <w:rPr>
                      <w:rFonts w:hint="eastAsia" w:eastAsia="Times New Roman"/>
                    </w:rPr>
                    <w:t>淘汰类项目</w:t>
                  </w:r>
                  <w:r>
                    <w:rPr>
                      <w:rFonts w:hint="eastAsia" w:ascii="宋体" w:hAnsi="宋体" w:eastAsia="Times New Roman" w:cs="宋体"/>
                    </w:rPr>
                    <w:t>，不属于</w:t>
                  </w:r>
                  <w:r>
                    <w:rPr>
                      <w:rFonts w:eastAsia="Times New Roman"/>
                    </w:rPr>
                    <w:t>《外商投资产业指导目录（2017年修订）》中淘汰类</w:t>
                  </w:r>
                  <w:r>
                    <w:rPr>
                      <w:rFonts w:hint="eastAsia" w:eastAsia="Times New Roman"/>
                    </w:rPr>
                    <w:t>、禁止类</w:t>
                  </w:r>
                  <w:r>
                    <w:rPr>
                      <w:rFonts w:eastAsia="Times New Roman"/>
                    </w:rPr>
                    <w:t>项目</w:t>
                  </w:r>
                  <w:r>
                    <w:rPr>
                      <w:rFonts w:hint="eastAsia" w:eastAsia="Times New Roman"/>
                    </w:rPr>
                    <w:t>。</w:t>
                  </w:r>
                </w:p>
              </w:tc>
              <w:tc>
                <w:tcPr>
                  <w:tcW w:w="638" w:type="dxa"/>
                  <w:vAlign w:val="center"/>
                </w:tcPr>
                <w:p w14:paraId="000FE814">
                  <w:pPr>
                    <w:pStyle w:val="76"/>
                    <w:rPr>
                      <w:rFonts w:eastAsia="Times New Roman"/>
                    </w:rPr>
                  </w:pPr>
                </w:p>
              </w:tc>
            </w:tr>
            <w:tr w14:paraId="6F5F153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250E73B8">
                  <w:pPr>
                    <w:pStyle w:val="76"/>
                    <w:rPr>
                      <w:rFonts w:eastAsia="Times New Roman"/>
                    </w:rPr>
                  </w:pPr>
                  <w:r>
                    <w:rPr>
                      <w:rFonts w:hint="eastAsia" w:eastAsia="Times New Roman"/>
                    </w:rPr>
                    <w:t>先进制造</w:t>
                  </w:r>
                </w:p>
              </w:tc>
              <w:tc>
                <w:tcPr>
                  <w:tcW w:w="992" w:type="dxa"/>
                  <w:vMerge w:val="restart"/>
                  <w:vAlign w:val="center"/>
                </w:tcPr>
                <w:p w14:paraId="367A1F4E">
                  <w:pPr>
                    <w:pStyle w:val="76"/>
                    <w:jc w:val="both"/>
                    <w:rPr>
                      <w:rFonts w:eastAsia="Times New Roman"/>
                    </w:rPr>
                  </w:pPr>
                  <w:r>
                    <w:rPr>
                      <w:rFonts w:eastAsia="Times New Roman"/>
                    </w:rPr>
                    <w:t>大气环境防护距离或卫生防护距离内不得有医院、学校和居住等环境敏感区和对环境要求较高的工业企业。</w:t>
                  </w:r>
                </w:p>
              </w:tc>
              <w:tc>
                <w:tcPr>
                  <w:tcW w:w="2410" w:type="dxa"/>
                  <w:vMerge w:val="restart"/>
                  <w:vAlign w:val="center"/>
                </w:tcPr>
                <w:p w14:paraId="060FB56D">
                  <w:pPr>
                    <w:pStyle w:val="76"/>
                    <w:jc w:val="both"/>
                    <w:rPr>
                      <w:rFonts w:eastAsia="Times New Roman"/>
                    </w:rPr>
                  </w:pPr>
                  <w:r>
                    <w:rPr>
                      <w:rFonts w:eastAsia="Times New Roman"/>
                    </w:rPr>
                    <w:t>禁止</w:t>
                  </w:r>
                  <w:r>
                    <w:rPr>
                      <w:rFonts w:hint="eastAsia" w:eastAsia="Times New Roman"/>
                    </w:rPr>
                    <w:t>新建、扩建</w:t>
                  </w:r>
                  <w:r>
                    <w:rPr>
                      <w:rFonts w:eastAsia="Times New Roman"/>
                    </w:rPr>
                    <w:t>《产业结构调整指导目录（2019年本）》</w:t>
                  </w:r>
                  <w:r>
                    <w:rPr>
                      <w:rFonts w:hint="eastAsia" w:eastAsia="Times New Roman"/>
                    </w:rPr>
                    <w:t>限制类</w:t>
                  </w:r>
                  <w:r>
                    <w:rPr>
                      <w:rFonts w:eastAsia="Times New Roman"/>
                    </w:rPr>
                    <w:t>、</w:t>
                  </w:r>
                  <w:r>
                    <w:rPr>
                      <w:rFonts w:hint="eastAsia" w:eastAsia="Times New Roman"/>
                    </w:rPr>
                    <w:t>淘汰类项目，禁止新建</w:t>
                  </w:r>
                  <w:r>
                    <w:rPr>
                      <w:rFonts w:eastAsia="Times New Roman"/>
                    </w:rPr>
                    <w:t>《广西工业产业结构调整指导目录（2021年本）》、《外商投资产业指导目录（2017年修订）》中淘汰类</w:t>
                  </w:r>
                  <w:r>
                    <w:rPr>
                      <w:rFonts w:hint="eastAsia" w:eastAsia="Times New Roman"/>
                    </w:rPr>
                    <w:t>、禁止类</w:t>
                  </w:r>
                  <w:r>
                    <w:rPr>
                      <w:rFonts w:eastAsia="Times New Roman"/>
                    </w:rPr>
                    <w:t>项目。</w:t>
                  </w:r>
                </w:p>
              </w:tc>
              <w:tc>
                <w:tcPr>
                  <w:tcW w:w="2670" w:type="dxa"/>
                  <w:vMerge w:val="restart"/>
                  <w:vAlign w:val="center"/>
                </w:tcPr>
                <w:p w14:paraId="23AFD205">
                  <w:pPr>
                    <w:pStyle w:val="76"/>
                    <w:jc w:val="both"/>
                    <w:rPr>
                      <w:rFonts w:eastAsia="Times New Roman"/>
                    </w:rPr>
                  </w:pPr>
                  <w:r>
                    <w:rPr>
                      <w:rFonts w:hint="eastAsia" w:ascii="宋体" w:hAnsi="宋体" w:eastAsia="Times New Roman" w:cs="宋体"/>
                    </w:rPr>
                    <w:t>项目不属于</w:t>
                  </w:r>
                  <w:r>
                    <w:rPr>
                      <w:rFonts w:hint="eastAsia" w:eastAsia="Times New Roman"/>
                    </w:rPr>
                    <w:t>《产业结构调整指导目录（2024年本）》</w:t>
                  </w:r>
                  <w:r>
                    <w:rPr>
                      <w:rFonts w:hint="eastAsia" w:ascii="宋体" w:hAnsi="宋体" w:eastAsia="Times New Roman" w:cs="宋体"/>
                    </w:rPr>
                    <w:t>中</w:t>
                  </w:r>
                  <w:r>
                    <w:rPr>
                      <w:rFonts w:hint="eastAsia" w:eastAsia="Times New Roman"/>
                    </w:rPr>
                    <w:t>限制类</w:t>
                  </w:r>
                  <w:r>
                    <w:rPr>
                      <w:rFonts w:eastAsia="Times New Roman"/>
                    </w:rPr>
                    <w:t>、</w:t>
                  </w:r>
                  <w:r>
                    <w:rPr>
                      <w:rFonts w:hint="eastAsia" w:eastAsia="Times New Roman"/>
                    </w:rPr>
                    <w:t>淘汰类项目</w:t>
                  </w:r>
                  <w:r>
                    <w:rPr>
                      <w:rFonts w:hint="eastAsia" w:ascii="宋体" w:hAnsi="宋体" w:eastAsia="Times New Roman" w:cs="宋体"/>
                    </w:rPr>
                    <w:t>，不属于</w:t>
                  </w:r>
                  <w:r>
                    <w:rPr>
                      <w:rFonts w:eastAsia="Times New Roman"/>
                    </w:rPr>
                    <w:t>《外商投资产业指导目录（2017年修订）》中淘汰类</w:t>
                  </w:r>
                  <w:r>
                    <w:rPr>
                      <w:rFonts w:hint="eastAsia" w:eastAsia="Times New Roman"/>
                    </w:rPr>
                    <w:t>、禁止类</w:t>
                  </w:r>
                  <w:r>
                    <w:rPr>
                      <w:rFonts w:eastAsia="Times New Roman"/>
                    </w:rPr>
                    <w:t>项目</w:t>
                  </w:r>
                  <w:r>
                    <w:rPr>
                      <w:rFonts w:hint="eastAsia" w:eastAsia="Times New Roman"/>
                    </w:rPr>
                    <w:t>。</w:t>
                  </w:r>
                </w:p>
              </w:tc>
              <w:tc>
                <w:tcPr>
                  <w:tcW w:w="638" w:type="dxa"/>
                  <w:vMerge w:val="restart"/>
                  <w:vAlign w:val="center"/>
                </w:tcPr>
                <w:p w14:paraId="2B18BEDE">
                  <w:pPr>
                    <w:pStyle w:val="76"/>
                    <w:rPr>
                      <w:rFonts w:eastAsia="Times New Roman"/>
                    </w:rPr>
                  </w:pPr>
                  <w:r>
                    <w:rPr>
                      <w:rFonts w:hint="eastAsia" w:ascii="宋体" w:hAnsi="宋体" w:eastAsia="Times New Roman" w:cs="宋体"/>
                    </w:rPr>
                    <w:t>相符</w:t>
                  </w:r>
                </w:p>
              </w:tc>
            </w:tr>
            <w:tr w14:paraId="636CB7A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2DBD3B77">
                  <w:pPr>
                    <w:pStyle w:val="76"/>
                    <w:rPr>
                      <w:rFonts w:eastAsia="Times New Roman"/>
                    </w:rPr>
                  </w:pPr>
                  <w:r>
                    <w:rPr>
                      <w:rFonts w:hint="eastAsia" w:eastAsia="Times New Roman"/>
                    </w:rPr>
                    <w:t>生态环保</w:t>
                  </w:r>
                </w:p>
              </w:tc>
              <w:tc>
                <w:tcPr>
                  <w:tcW w:w="992" w:type="dxa"/>
                  <w:vMerge w:val="continue"/>
                  <w:vAlign w:val="center"/>
                </w:tcPr>
                <w:p w14:paraId="4F9F1A79">
                  <w:pPr>
                    <w:pStyle w:val="76"/>
                    <w:rPr>
                      <w:rFonts w:eastAsia="Times New Roman"/>
                    </w:rPr>
                  </w:pPr>
                </w:p>
              </w:tc>
              <w:tc>
                <w:tcPr>
                  <w:tcW w:w="2410" w:type="dxa"/>
                  <w:vMerge w:val="continue"/>
                  <w:vAlign w:val="center"/>
                </w:tcPr>
                <w:p w14:paraId="25C7706C">
                  <w:pPr>
                    <w:pStyle w:val="76"/>
                    <w:rPr>
                      <w:rFonts w:eastAsia="Times New Roman"/>
                    </w:rPr>
                  </w:pPr>
                </w:p>
              </w:tc>
              <w:tc>
                <w:tcPr>
                  <w:tcW w:w="2670" w:type="dxa"/>
                  <w:vMerge w:val="continue"/>
                  <w:vAlign w:val="center"/>
                </w:tcPr>
                <w:p w14:paraId="6F309841">
                  <w:pPr>
                    <w:pStyle w:val="76"/>
                    <w:rPr>
                      <w:rFonts w:eastAsia="Times New Roman"/>
                    </w:rPr>
                  </w:pPr>
                </w:p>
              </w:tc>
              <w:tc>
                <w:tcPr>
                  <w:tcW w:w="638" w:type="dxa"/>
                  <w:vMerge w:val="continue"/>
                  <w:vAlign w:val="center"/>
                </w:tcPr>
                <w:p w14:paraId="364DD838">
                  <w:pPr>
                    <w:pStyle w:val="76"/>
                    <w:rPr>
                      <w:rFonts w:eastAsia="Times New Roman"/>
                    </w:rPr>
                  </w:pPr>
                </w:p>
              </w:tc>
            </w:tr>
            <w:tr w14:paraId="6D8105E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5CCF7828">
                  <w:pPr>
                    <w:pStyle w:val="76"/>
                    <w:rPr>
                      <w:rFonts w:eastAsia="Times New Roman"/>
                    </w:rPr>
                  </w:pPr>
                  <w:r>
                    <w:rPr>
                      <w:rFonts w:hint="eastAsia" w:eastAsia="Times New Roman"/>
                    </w:rPr>
                    <w:t>新材料（除精细与专用化学品以外）</w:t>
                  </w:r>
                </w:p>
              </w:tc>
              <w:tc>
                <w:tcPr>
                  <w:tcW w:w="992" w:type="dxa"/>
                  <w:vMerge w:val="continue"/>
                  <w:vAlign w:val="center"/>
                </w:tcPr>
                <w:p w14:paraId="1E419098">
                  <w:pPr>
                    <w:pStyle w:val="76"/>
                    <w:rPr>
                      <w:rFonts w:eastAsia="Times New Roman"/>
                    </w:rPr>
                  </w:pPr>
                </w:p>
              </w:tc>
              <w:tc>
                <w:tcPr>
                  <w:tcW w:w="2410" w:type="dxa"/>
                  <w:vMerge w:val="continue"/>
                  <w:vAlign w:val="center"/>
                </w:tcPr>
                <w:p w14:paraId="5454C693">
                  <w:pPr>
                    <w:pStyle w:val="76"/>
                    <w:rPr>
                      <w:rFonts w:eastAsia="Times New Roman"/>
                    </w:rPr>
                  </w:pPr>
                </w:p>
              </w:tc>
              <w:tc>
                <w:tcPr>
                  <w:tcW w:w="2670" w:type="dxa"/>
                  <w:vMerge w:val="continue"/>
                  <w:vAlign w:val="center"/>
                </w:tcPr>
                <w:p w14:paraId="5352C773">
                  <w:pPr>
                    <w:pStyle w:val="76"/>
                    <w:rPr>
                      <w:rFonts w:eastAsia="Times New Roman"/>
                    </w:rPr>
                  </w:pPr>
                </w:p>
              </w:tc>
              <w:tc>
                <w:tcPr>
                  <w:tcW w:w="638" w:type="dxa"/>
                  <w:vMerge w:val="continue"/>
                  <w:vAlign w:val="center"/>
                </w:tcPr>
                <w:p w14:paraId="29BA5CA6">
                  <w:pPr>
                    <w:pStyle w:val="76"/>
                    <w:rPr>
                      <w:rFonts w:eastAsia="Times New Roman"/>
                    </w:rPr>
                  </w:pPr>
                </w:p>
              </w:tc>
            </w:tr>
            <w:tr w14:paraId="5CCC267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09CD22BA">
                  <w:pPr>
                    <w:pStyle w:val="76"/>
                    <w:rPr>
                      <w:rFonts w:eastAsia="Times New Roman"/>
                    </w:rPr>
                  </w:pPr>
                  <w:r>
                    <w:rPr>
                      <w:rFonts w:hint="eastAsia" w:eastAsia="Times New Roman"/>
                    </w:rPr>
                    <w:t>兼容产业</w:t>
                  </w:r>
                </w:p>
              </w:tc>
              <w:tc>
                <w:tcPr>
                  <w:tcW w:w="992" w:type="dxa"/>
                  <w:vMerge w:val="continue"/>
                  <w:vAlign w:val="center"/>
                </w:tcPr>
                <w:p w14:paraId="1DB9F3F1">
                  <w:pPr>
                    <w:pStyle w:val="76"/>
                    <w:rPr>
                      <w:rFonts w:eastAsia="Times New Roman"/>
                    </w:rPr>
                  </w:pPr>
                </w:p>
              </w:tc>
              <w:tc>
                <w:tcPr>
                  <w:tcW w:w="2410" w:type="dxa"/>
                  <w:vMerge w:val="continue"/>
                  <w:vAlign w:val="center"/>
                </w:tcPr>
                <w:p w14:paraId="01D02B23">
                  <w:pPr>
                    <w:pStyle w:val="76"/>
                    <w:rPr>
                      <w:rFonts w:eastAsia="Times New Roman"/>
                    </w:rPr>
                  </w:pPr>
                </w:p>
              </w:tc>
              <w:tc>
                <w:tcPr>
                  <w:tcW w:w="2670" w:type="dxa"/>
                  <w:vMerge w:val="continue"/>
                  <w:vAlign w:val="center"/>
                </w:tcPr>
                <w:p w14:paraId="2A13953D">
                  <w:pPr>
                    <w:pStyle w:val="76"/>
                    <w:rPr>
                      <w:rFonts w:eastAsia="Times New Roman"/>
                    </w:rPr>
                  </w:pPr>
                </w:p>
              </w:tc>
              <w:tc>
                <w:tcPr>
                  <w:tcW w:w="638" w:type="dxa"/>
                  <w:vMerge w:val="continue"/>
                  <w:vAlign w:val="center"/>
                </w:tcPr>
                <w:p w14:paraId="4C510F7E">
                  <w:pPr>
                    <w:pStyle w:val="76"/>
                    <w:rPr>
                      <w:rFonts w:eastAsia="Times New Roman"/>
                    </w:rPr>
                  </w:pPr>
                </w:p>
              </w:tc>
            </w:tr>
          </w:tbl>
          <w:p w14:paraId="1EEBBCCE">
            <w:pPr>
              <w:pStyle w:val="76"/>
            </w:pPr>
          </w:p>
          <w:p w14:paraId="54B6F90F">
            <w:pPr>
              <w:pStyle w:val="117"/>
              <w:ind w:firstLine="480"/>
            </w:pPr>
            <w:r>
              <w:rPr>
                <w:rFonts w:hint="eastAsia"/>
              </w:rPr>
              <w:t>综上所述，项目与《鹿寨高新技术产业开发区建设与发展总体规划（2022-2035）环境影响报告书》及其审查意见相符。</w:t>
            </w:r>
          </w:p>
        </w:tc>
      </w:tr>
      <w:tr w14:paraId="487938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05" w:hRule="atLeast"/>
          <w:jc w:val="center"/>
        </w:trPr>
        <w:tc>
          <w:tcPr>
            <w:tcW w:w="1833" w:type="dxa"/>
            <w:vAlign w:val="center"/>
          </w:tcPr>
          <w:p w14:paraId="116BD4A8">
            <w:pPr>
              <w:pStyle w:val="87"/>
            </w:pPr>
            <w:r>
              <w:t>其他符合性分析</w:t>
            </w:r>
          </w:p>
        </w:tc>
        <w:tc>
          <w:tcPr>
            <w:tcW w:w="7275" w:type="dxa"/>
            <w:gridSpan w:val="3"/>
            <w:vAlign w:val="center"/>
          </w:tcPr>
          <w:p w14:paraId="70C9EB8C">
            <w:pPr>
              <w:pStyle w:val="117"/>
              <w:ind w:firstLine="482"/>
              <w:rPr>
                <w:b/>
                <w:bCs w:val="0"/>
              </w:rPr>
            </w:pPr>
            <w:r>
              <w:rPr>
                <w:rFonts w:hint="eastAsia"/>
                <w:b/>
                <w:bCs w:val="0"/>
              </w:rPr>
              <w:t>1、产业政策符合性分析</w:t>
            </w:r>
          </w:p>
          <w:p w14:paraId="0D5E54BF">
            <w:pPr>
              <w:pStyle w:val="117"/>
              <w:ind w:firstLine="480"/>
            </w:pPr>
            <w:r>
              <w:rPr>
                <w:rFonts w:hint="eastAsia"/>
              </w:rPr>
              <w:t>本项目属于C3670 汽车零部件及配件制造，对照《产业结构调整指导目录（2024年本）》（中华人民共和国国家发展和改革委员会，2024-2-1起施行），本项目不属于其中的“鼓励类”、“限制类”、“淘汰类”项目，属于允许建设项目。经</w:t>
            </w:r>
            <w:r>
              <w:t>柳州市鹿寨县发展和改革局</w:t>
            </w:r>
            <w:r>
              <w:rPr>
                <w:rFonts w:hint="eastAsia"/>
              </w:rPr>
              <w:t>（项目代码：</w:t>
            </w:r>
            <w:r>
              <w:t>2510-450223-04-01-933729</w:t>
            </w:r>
            <w:r>
              <w:rPr>
                <w:rFonts w:hint="eastAsia"/>
              </w:rPr>
              <w:t>）备案登记（详见附件2），因此，符合国家及地方产业政策要求。</w:t>
            </w:r>
          </w:p>
          <w:p w14:paraId="76E5D2AA">
            <w:pPr>
              <w:pStyle w:val="117"/>
              <w:ind w:firstLine="482"/>
              <w:rPr>
                <w:b/>
                <w:bCs w:val="0"/>
              </w:rPr>
            </w:pPr>
            <w:r>
              <w:rPr>
                <w:rFonts w:hint="eastAsia"/>
                <w:b/>
                <w:bCs w:val="0"/>
              </w:rPr>
              <w:t>2、选址合理性分析</w:t>
            </w:r>
          </w:p>
          <w:p w14:paraId="69CFB532">
            <w:pPr>
              <w:pStyle w:val="117"/>
              <w:ind w:firstLine="480"/>
            </w:pPr>
            <w:r>
              <w:rPr>
                <w:rFonts w:hint="eastAsia"/>
              </w:rPr>
              <w:t>项目选址地为广西壮族自治区柳州市鹿寨县鹿寨镇飞鹿大道505号的原有工业厂房，项目用地属于工业用地，项目建设符合用地要求。现场调查，该项目所在区域周围分布有工业厂房，所在的建筑为工业厂房，因此，该项目建设与所在区域现状功能及所在建筑功能一致。</w:t>
            </w:r>
          </w:p>
          <w:p w14:paraId="60673FAA">
            <w:pPr>
              <w:pStyle w:val="117"/>
              <w:ind w:firstLine="482"/>
              <w:rPr>
                <w:bCs w:val="0"/>
              </w:rPr>
            </w:pPr>
            <w:r>
              <w:rPr>
                <w:rFonts w:eastAsia="Times New Roman"/>
                <w:b/>
              </w:rPr>
              <w:t>3</w:t>
            </w:r>
            <w:r>
              <w:rPr>
                <w:b/>
              </w:rPr>
              <w:t>、</w:t>
            </w:r>
            <w:r>
              <w:rPr>
                <w:rFonts w:hint="eastAsia"/>
                <w:b/>
              </w:rPr>
              <w:t>生态环境分区管控相符性分析</w:t>
            </w:r>
          </w:p>
          <w:p w14:paraId="74024A4D">
            <w:pPr>
              <w:pStyle w:val="117"/>
              <w:ind w:firstLine="480"/>
            </w:pPr>
            <w:r>
              <w:rPr>
                <w:rFonts w:hint="eastAsia"/>
              </w:rPr>
              <w:t>（1）生态保护红线</w:t>
            </w:r>
          </w:p>
          <w:p w14:paraId="16E95B3E">
            <w:pPr>
              <w:pStyle w:val="117"/>
              <w:ind w:firstLine="480"/>
            </w:pPr>
            <w:r>
              <w:rPr>
                <w:rFonts w:hint="eastAsia"/>
              </w:rPr>
              <w:t>根据《柳州市生态环境分区管控动态更新成果（2023年）》（环办环评函〔2023〕81号）的通知，柳州市实施生态环境分区管控：全市共划定环境管控单元101个，分为优先保护单元、重点管控单元和一般管控单元三类，实施分类管控。</w:t>
            </w:r>
          </w:p>
          <w:p w14:paraId="115E2953">
            <w:pPr>
              <w:pStyle w:val="117"/>
              <w:ind w:firstLine="480"/>
            </w:pPr>
            <w:r>
              <w:rPr>
                <w:rFonts w:hint="eastAsia"/>
              </w:rPr>
              <w:t>ⅰ、优先保护单元主要包括生态保护红线、一般生态空间、县级以上饮用水水源保护区、环境空气一类功能区等生态功能区域。全市划定优先保护单元50个。</w:t>
            </w:r>
          </w:p>
          <w:p w14:paraId="646419C9">
            <w:pPr>
              <w:pStyle w:val="117"/>
              <w:ind w:firstLine="480"/>
            </w:pPr>
            <w:r>
              <w:rPr>
                <w:rFonts w:hint="eastAsia"/>
              </w:rPr>
              <w:t>ⅱ、重点管控单元主要包括工业园区、县级以上城镇中心城区及规划区、矿产开采区、港区等开发强度高、污染物排放强度大的区域，以及环境问题相对集中的区域。全市划定重点管控单元41个。</w:t>
            </w:r>
          </w:p>
          <w:p w14:paraId="6F3E1C8B">
            <w:pPr>
              <w:pStyle w:val="117"/>
              <w:ind w:firstLine="480"/>
            </w:pPr>
            <w:r>
              <w:rPr>
                <w:rFonts w:hint="eastAsia"/>
              </w:rPr>
              <w:t>ⅲ、一般管控单元为优先保护单元、重点管控单元以外区域，衔接乡镇边界形成管控单元。全市划定一般管控单元10个。</w:t>
            </w:r>
          </w:p>
          <w:p w14:paraId="3CD9E93F">
            <w:pPr>
              <w:pStyle w:val="117"/>
              <w:ind w:firstLine="480"/>
            </w:pPr>
            <w:r>
              <w:rPr>
                <w:rFonts w:hint="eastAsia"/>
              </w:rPr>
              <w:t>柳州市鹿寨县环境管控单元名录详见表1-4。</w:t>
            </w:r>
          </w:p>
          <w:p w14:paraId="0ED5ED55">
            <w:pPr>
              <w:pStyle w:val="87"/>
            </w:pPr>
            <w:r>
              <w:rPr>
                <w:rFonts w:hint="eastAsia"/>
              </w:rPr>
              <w:t>表1-4  鹿寨县环境管控单元名录</w:t>
            </w:r>
          </w:p>
          <w:tbl>
            <w:tblPr>
              <w:tblStyle w:val="154"/>
              <w:tblW w:w="4997"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02"/>
              <w:gridCol w:w="567"/>
              <w:gridCol w:w="991"/>
              <w:gridCol w:w="4895"/>
            </w:tblGrid>
            <w:tr w14:paraId="531B1F3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Align w:val="center"/>
                </w:tcPr>
                <w:p w14:paraId="3FFE8862">
                  <w:pPr>
                    <w:pStyle w:val="76"/>
                    <w:rPr>
                      <w:rFonts w:eastAsia="Times New Roman"/>
                      <w:b/>
                    </w:rPr>
                  </w:pPr>
                  <w:r>
                    <w:rPr>
                      <w:rFonts w:hint="eastAsia" w:ascii="宋体" w:hAnsi="宋体" w:eastAsia="Times New Roman" w:cs="宋体"/>
                      <w:b/>
                    </w:rPr>
                    <w:t>行政区域</w:t>
                  </w:r>
                </w:p>
              </w:tc>
              <w:tc>
                <w:tcPr>
                  <w:tcW w:w="402" w:type="pct"/>
                  <w:vAlign w:val="center"/>
                </w:tcPr>
                <w:p w14:paraId="22C2DB6A">
                  <w:pPr>
                    <w:pStyle w:val="76"/>
                    <w:rPr>
                      <w:rFonts w:eastAsia="Times New Roman"/>
                      <w:b/>
                    </w:rPr>
                  </w:pPr>
                  <w:r>
                    <w:rPr>
                      <w:rFonts w:hint="eastAsia" w:ascii="宋体" w:hAnsi="宋体" w:eastAsia="Times New Roman" w:cs="宋体"/>
                      <w:b/>
                    </w:rPr>
                    <w:t>单元总数</w:t>
                  </w:r>
                </w:p>
              </w:tc>
              <w:tc>
                <w:tcPr>
                  <w:tcW w:w="702" w:type="pct"/>
                  <w:vAlign w:val="center"/>
                </w:tcPr>
                <w:p w14:paraId="286833BF">
                  <w:pPr>
                    <w:pStyle w:val="76"/>
                    <w:rPr>
                      <w:rFonts w:eastAsia="Times New Roman"/>
                      <w:b/>
                    </w:rPr>
                  </w:pPr>
                  <w:r>
                    <w:rPr>
                      <w:rFonts w:hint="eastAsia" w:ascii="宋体" w:hAnsi="宋体" w:eastAsia="Times New Roman" w:cs="宋体"/>
                      <w:b/>
                    </w:rPr>
                    <w:t>环境管控单元分类</w:t>
                  </w:r>
                </w:p>
              </w:tc>
              <w:tc>
                <w:tcPr>
                  <w:tcW w:w="3468" w:type="pct"/>
                  <w:vAlign w:val="center"/>
                </w:tcPr>
                <w:p w14:paraId="4095EFBE">
                  <w:pPr>
                    <w:pStyle w:val="76"/>
                    <w:rPr>
                      <w:rFonts w:eastAsia="Times New Roman"/>
                      <w:b/>
                    </w:rPr>
                  </w:pPr>
                  <w:r>
                    <w:rPr>
                      <w:rFonts w:hint="eastAsia" w:ascii="宋体" w:hAnsi="宋体" w:eastAsia="Times New Roman" w:cs="宋体"/>
                      <w:b/>
                    </w:rPr>
                    <w:t>环境管控单元名称</w:t>
                  </w:r>
                </w:p>
              </w:tc>
            </w:tr>
            <w:tr w14:paraId="6AF50BE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restart"/>
                  <w:vAlign w:val="center"/>
                </w:tcPr>
                <w:p w14:paraId="52888C77">
                  <w:pPr>
                    <w:pStyle w:val="76"/>
                    <w:rPr>
                      <w:rFonts w:eastAsia="Times New Roman"/>
                    </w:rPr>
                  </w:pPr>
                  <w:r>
                    <w:rPr>
                      <w:rFonts w:hint="eastAsia" w:ascii="宋体" w:hAnsi="宋体" w:eastAsia="Times New Roman" w:cs="宋体"/>
                    </w:rPr>
                    <w:t>鹿寨县</w:t>
                  </w:r>
                </w:p>
              </w:tc>
              <w:tc>
                <w:tcPr>
                  <w:tcW w:w="402" w:type="pct"/>
                  <w:vMerge w:val="restart"/>
                  <w:vAlign w:val="center"/>
                </w:tcPr>
                <w:p w14:paraId="5B81A01F">
                  <w:pPr>
                    <w:pStyle w:val="76"/>
                    <w:rPr>
                      <w:rFonts w:eastAsia="Times New Roman"/>
                    </w:rPr>
                  </w:pPr>
                  <w:r>
                    <w:rPr>
                      <w:rFonts w:hint="eastAsia" w:eastAsia="Times New Roman"/>
                    </w:rPr>
                    <w:t>11</w:t>
                  </w:r>
                </w:p>
              </w:tc>
              <w:tc>
                <w:tcPr>
                  <w:tcW w:w="702" w:type="pct"/>
                  <w:vMerge w:val="restart"/>
                  <w:vAlign w:val="center"/>
                </w:tcPr>
                <w:p w14:paraId="16E8BEE0">
                  <w:pPr>
                    <w:pStyle w:val="76"/>
                    <w:rPr>
                      <w:rFonts w:eastAsia="Times New Roman"/>
                    </w:rPr>
                  </w:pPr>
                  <w:r>
                    <w:rPr>
                      <w:rFonts w:hint="eastAsia" w:ascii="宋体" w:hAnsi="宋体" w:eastAsia="Times New Roman" w:cs="宋体"/>
                    </w:rPr>
                    <w:t>优先保护单元</w:t>
                  </w:r>
                </w:p>
              </w:tc>
              <w:tc>
                <w:tcPr>
                  <w:tcW w:w="3468" w:type="pct"/>
                  <w:vAlign w:val="center"/>
                </w:tcPr>
                <w:p w14:paraId="79EF4348">
                  <w:pPr>
                    <w:pStyle w:val="76"/>
                    <w:rPr>
                      <w:rFonts w:eastAsia="Times New Roman"/>
                    </w:rPr>
                  </w:pPr>
                  <w:r>
                    <w:rPr>
                      <w:rFonts w:hint="eastAsia" w:ascii="宋体" w:hAnsi="宋体" w:eastAsia="Times New Roman" w:cs="宋体"/>
                    </w:rPr>
                    <w:t>广西柳州拉沟自治区级自然保护区生态保护红线</w:t>
                  </w:r>
                </w:p>
              </w:tc>
            </w:tr>
            <w:tr w14:paraId="1701CF9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55D77D28">
                  <w:pPr>
                    <w:pStyle w:val="76"/>
                    <w:rPr>
                      <w:rFonts w:eastAsia="Times New Roman"/>
                    </w:rPr>
                  </w:pPr>
                </w:p>
              </w:tc>
              <w:tc>
                <w:tcPr>
                  <w:tcW w:w="402" w:type="pct"/>
                  <w:vMerge w:val="continue"/>
                  <w:vAlign w:val="center"/>
                </w:tcPr>
                <w:p w14:paraId="46E93D53">
                  <w:pPr>
                    <w:pStyle w:val="76"/>
                    <w:rPr>
                      <w:rFonts w:eastAsia="Times New Roman"/>
                    </w:rPr>
                  </w:pPr>
                </w:p>
              </w:tc>
              <w:tc>
                <w:tcPr>
                  <w:tcW w:w="702" w:type="pct"/>
                  <w:vMerge w:val="continue"/>
                  <w:vAlign w:val="center"/>
                </w:tcPr>
                <w:p w14:paraId="7CE2722A">
                  <w:pPr>
                    <w:pStyle w:val="76"/>
                    <w:rPr>
                      <w:rFonts w:eastAsia="Times New Roman"/>
                    </w:rPr>
                  </w:pPr>
                </w:p>
              </w:tc>
              <w:tc>
                <w:tcPr>
                  <w:tcW w:w="3468" w:type="pct"/>
                  <w:vAlign w:val="center"/>
                </w:tcPr>
                <w:p w14:paraId="1642AD5F">
                  <w:pPr>
                    <w:pStyle w:val="76"/>
                    <w:rPr>
                      <w:rFonts w:eastAsia="Times New Roman"/>
                    </w:rPr>
                  </w:pPr>
                  <w:r>
                    <w:rPr>
                      <w:rFonts w:hint="eastAsia" w:ascii="宋体" w:hAnsi="宋体" w:eastAsia="Times New Roman" w:cs="宋体"/>
                    </w:rPr>
                    <w:t>广西柳州洛清江自治区级森林公园生态保护红线</w:t>
                  </w:r>
                </w:p>
              </w:tc>
            </w:tr>
            <w:tr w14:paraId="35B9D2F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3B855834">
                  <w:pPr>
                    <w:pStyle w:val="76"/>
                    <w:rPr>
                      <w:rFonts w:eastAsia="Times New Roman"/>
                    </w:rPr>
                  </w:pPr>
                </w:p>
              </w:tc>
              <w:tc>
                <w:tcPr>
                  <w:tcW w:w="402" w:type="pct"/>
                  <w:vMerge w:val="continue"/>
                  <w:vAlign w:val="center"/>
                </w:tcPr>
                <w:p w14:paraId="05958AE7">
                  <w:pPr>
                    <w:pStyle w:val="76"/>
                    <w:rPr>
                      <w:rFonts w:eastAsia="Times New Roman"/>
                    </w:rPr>
                  </w:pPr>
                </w:p>
              </w:tc>
              <w:tc>
                <w:tcPr>
                  <w:tcW w:w="702" w:type="pct"/>
                  <w:vMerge w:val="continue"/>
                  <w:vAlign w:val="center"/>
                </w:tcPr>
                <w:p w14:paraId="54FE6262">
                  <w:pPr>
                    <w:pStyle w:val="76"/>
                    <w:rPr>
                      <w:rFonts w:eastAsia="Times New Roman"/>
                    </w:rPr>
                  </w:pPr>
                </w:p>
              </w:tc>
              <w:tc>
                <w:tcPr>
                  <w:tcW w:w="3468" w:type="pct"/>
                  <w:vAlign w:val="center"/>
                </w:tcPr>
                <w:p w14:paraId="3E1138B8">
                  <w:pPr>
                    <w:pStyle w:val="76"/>
                    <w:rPr>
                      <w:rFonts w:eastAsia="Times New Roman"/>
                    </w:rPr>
                  </w:pPr>
                  <w:r>
                    <w:rPr>
                      <w:rFonts w:hint="eastAsia" w:ascii="宋体" w:hAnsi="宋体" w:eastAsia="Times New Roman" w:cs="宋体"/>
                    </w:rPr>
                    <w:t>广西鹿寨香桥岩溶国家地质公园生态保护红线</w:t>
                  </w:r>
                </w:p>
              </w:tc>
            </w:tr>
            <w:tr w14:paraId="29057A2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34E0468C">
                  <w:pPr>
                    <w:pStyle w:val="76"/>
                    <w:rPr>
                      <w:rFonts w:eastAsia="Times New Roman"/>
                    </w:rPr>
                  </w:pPr>
                </w:p>
              </w:tc>
              <w:tc>
                <w:tcPr>
                  <w:tcW w:w="402" w:type="pct"/>
                  <w:vMerge w:val="continue"/>
                  <w:vAlign w:val="center"/>
                </w:tcPr>
                <w:p w14:paraId="1AFF2E65">
                  <w:pPr>
                    <w:pStyle w:val="76"/>
                    <w:rPr>
                      <w:rFonts w:eastAsia="Times New Roman"/>
                    </w:rPr>
                  </w:pPr>
                </w:p>
              </w:tc>
              <w:tc>
                <w:tcPr>
                  <w:tcW w:w="702" w:type="pct"/>
                  <w:vMerge w:val="continue"/>
                  <w:vAlign w:val="center"/>
                </w:tcPr>
                <w:p w14:paraId="4AA3A1BF">
                  <w:pPr>
                    <w:pStyle w:val="76"/>
                    <w:rPr>
                      <w:rFonts w:eastAsia="Times New Roman"/>
                    </w:rPr>
                  </w:pPr>
                </w:p>
              </w:tc>
              <w:tc>
                <w:tcPr>
                  <w:tcW w:w="3468" w:type="pct"/>
                  <w:vAlign w:val="center"/>
                </w:tcPr>
                <w:p w14:paraId="0280FA0D">
                  <w:pPr>
                    <w:pStyle w:val="76"/>
                    <w:rPr>
                      <w:rFonts w:eastAsia="Times New Roman"/>
                    </w:rPr>
                  </w:pPr>
                  <w:r>
                    <w:rPr>
                      <w:rFonts w:hint="eastAsia" w:ascii="宋体" w:hAnsi="宋体" w:eastAsia="Times New Roman" w:cs="宋体"/>
                    </w:rPr>
                    <w:t>桂北山地水源涵养与生物多样性维护生态保护红线</w:t>
                  </w:r>
                </w:p>
              </w:tc>
            </w:tr>
            <w:tr w14:paraId="504589E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522BCAD7">
                  <w:pPr>
                    <w:pStyle w:val="76"/>
                    <w:rPr>
                      <w:rFonts w:eastAsia="Times New Roman"/>
                    </w:rPr>
                  </w:pPr>
                </w:p>
              </w:tc>
              <w:tc>
                <w:tcPr>
                  <w:tcW w:w="402" w:type="pct"/>
                  <w:vMerge w:val="continue"/>
                  <w:vAlign w:val="center"/>
                </w:tcPr>
                <w:p w14:paraId="75116C13">
                  <w:pPr>
                    <w:pStyle w:val="76"/>
                    <w:rPr>
                      <w:rFonts w:eastAsia="Times New Roman"/>
                    </w:rPr>
                  </w:pPr>
                </w:p>
              </w:tc>
              <w:tc>
                <w:tcPr>
                  <w:tcW w:w="702" w:type="pct"/>
                  <w:vMerge w:val="continue"/>
                  <w:vAlign w:val="center"/>
                </w:tcPr>
                <w:p w14:paraId="386C0A2A">
                  <w:pPr>
                    <w:pStyle w:val="76"/>
                    <w:rPr>
                      <w:rFonts w:eastAsia="Times New Roman"/>
                    </w:rPr>
                  </w:pPr>
                </w:p>
              </w:tc>
              <w:tc>
                <w:tcPr>
                  <w:tcW w:w="3468" w:type="pct"/>
                  <w:vAlign w:val="center"/>
                </w:tcPr>
                <w:p w14:paraId="23CED170">
                  <w:pPr>
                    <w:pStyle w:val="76"/>
                    <w:rPr>
                      <w:rFonts w:eastAsia="Times New Roman"/>
                    </w:rPr>
                  </w:pPr>
                  <w:r>
                    <w:rPr>
                      <w:rFonts w:hint="eastAsia" w:ascii="宋体" w:hAnsi="宋体" w:eastAsia="Times New Roman" w:cs="宋体"/>
                    </w:rPr>
                    <w:t>架桥岭</w:t>
                  </w:r>
                  <w:r>
                    <w:rPr>
                      <w:rFonts w:hint="eastAsia" w:eastAsia="Times New Roman"/>
                    </w:rPr>
                    <w:t>-</w:t>
                  </w:r>
                  <w:r>
                    <w:rPr>
                      <w:rFonts w:hint="eastAsia" w:ascii="宋体" w:hAnsi="宋体" w:eastAsia="Times New Roman" w:cs="宋体"/>
                    </w:rPr>
                    <w:t>大瑶山水源涵养与生物多样性维护生态保护红线</w:t>
                  </w:r>
                </w:p>
              </w:tc>
            </w:tr>
            <w:tr w14:paraId="61F55F0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16C8696B">
                  <w:pPr>
                    <w:pStyle w:val="76"/>
                    <w:rPr>
                      <w:rFonts w:eastAsia="Times New Roman"/>
                    </w:rPr>
                  </w:pPr>
                </w:p>
              </w:tc>
              <w:tc>
                <w:tcPr>
                  <w:tcW w:w="402" w:type="pct"/>
                  <w:vMerge w:val="continue"/>
                  <w:vAlign w:val="center"/>
                </w:tcPr>
                <w:p w14:paraId="2180E313">
                  <w:pPr>
                    <w:pStyle w:val="76"/>
                    <w:rPr>
                      <w:rFonts w:eastAsia="Times New Roman"/>
                    </w:rPr>
                  </w:pPr>
                </w:p>
              </w:tc>
              <w:tc>
                <w:tcPr>
                  <w:tcW w:w="702" w:type="pct"/>
                  <w:vMerge w:val="continue"/>
                  <w:vAlign w:val="center"/>
                </w:tcPr>
                <w:p w14:paraId="68940207">
                  <w:pPr>
                    <w:pStyle w:val="76"/>
                    <w:rPr>
                      <w:rFonts w:eastAsia="Times New Roman"/>
                    </w:rPr>
                  </w:pPr>
                </w:p>
              </w:tc>
              <w:tc>
                <w:tcPr>
                  <w:tcW w:w="3468" w:type="pct"/>
                  <w:vAlign w:val="center"/>
                </w:tcPr>
                <w:p w14:paraId="111EB43E">
                  <w:pPr>
                    <w:pStyle w:val="76"/>
                    <w:rPr>
                      <w:rFonts w:eastAsia="Times New Roman"/>
                    </w:rPr>
                  </w:pPr>
                  <w:r>
                    <w:rPr>
                      <w:rFonts w:hint="eastAsia" w:ascii="宋体" w:hAnsi="宋体" w:eastAsia="Times New Roman" w:cs="宋体"/>
                    </w:rPr>
                    <w:t>柳江</w:t>
                  </w:r>
                  <w:r>
                    <w:rPr>
                      <w:rFonts w:hint="eastAsia" w:eastAsia="Times New Roman"/>
                    </w:rPr>
                    <w:t>-</w:t>
                  </w:r>
                  <w:r>
                    <w:rPr>
                      <w:rFonts w:hint="eastAsia" w:ascii="宋体" w:hAnsi="宋体" w:eastAsia="Times New Roman" w:cs="宋体"/>
                    </w:rPr>
                    <w:t>黔江流域水源涵养生态保护红线</w:t>
                  </w:r>
                </w:p>
              </w:tc>
            </w:tr>
            <w:tr w14:paraId="0D853AC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1D4A70D9">
                  <w:pPr>
                    <w:pStyle w:val="76"/>
                    <w:rPr>
                      <w:rFonts w:eastAsia="Times New Roman"/>
                    </w:rPr>
                  </w:pPr>
                </w:p>
              </w:tc>
              <w:tc>
                <w:tcPr>
                  <w:tcW w:w="402" w:type="pct"/>
                  <w:vMerge w:val="continue"/>
                  <w:vAlign w:val="center"/>
                </w:tcPr>
                <w:p w14:paraId="4BD7F33F">
                  <w:pPr>
                    <w:pStyle w:val="76"/>
                    <w:rPr>
                      <w:rFonts w:eastAsia="Times New Roman"/>
                    </w:rPr>
                  </w:pPr>
                </w:p>
              </w:tc>
              <w:tc>
                <w:tcPr>
                  <w:tcW w:w="702" w:type="pct"/>
                  <w:vMerge w:val="continue"/>
                  <w:vAlign w:val="center"/>
                </w:tcPr>
                <w:p w14:paraId="369B9D7E">
                  <w:pPr>
                    <w:pStyle w:val="76"/>
                    <w:rPr>
                      <w:rFonts w:eastAsia="Times New Roman"/>
                    </w:rPr>
                  </w:pPr>
                </w:p>
              </w:tc>
              <w:tc>
                <w:tcPr>
                  <w:tcW w:w="3468" w:type="pct"/>
                  <w:vAlign w:val="center"/>
                </w:tcPr>
                <w:p w14:paraId="0AF5A9F1">
                  <w:pPr>
                    <w:pStyle w:val="76"/>
                    <w:rPr>
                      <w:rFonts w:eastAsia="Times New Roman"/>
                    </w:rPr>
                  </w:pPr>
                  <w:r>
                    <w:rPr>
                      <w:rFonts w:hint="eastAsia" w:ascii="宋体" w:hAnsi="宋体" w:eastAsia="Times New Roman" w:cs="宋体"/>
                    </w:rPr>
                    <w:t>融安</w:t>
                  </w:r>
                  <w:r>
                    <w:rPr>
                      <w:rFonts w:hint="eastAsia" w:eastAsia="Times New Roman"/>
                    </w:rPr>
                    <w:t>-</w:t>
                  </w:r>
                  <w:r>
                    <w:rPr>
                      <w:rFonts w:hint="eastAsia" w:ascii="宋体" w:hAnsi="宋体" w:eastAsia="Times New Roman" w:cs="宋体"/>
                    </w:rPr>
                    <w:t>鹿寨</w:t>
                  </w:r>
                  <w:r>
                    <w:rPr>
                      <w:rFonts w:hint="eastAsia" w:eastAsia="Times New Roman"/>
                    </w:rPr>
                    <w:t>-</w:t>
                  </w:r>
                  <w:r>
                    <w:rPr>
                      <w:rFonts w:hint="eastAsia" w:ascii="宋体" w:hAnsi="宋体" w:eastAsia="Times New Roman" w:cs="宋体"/>
                    </w:rPr>
                    <w:t>永福岩溶山地水土保持生态保护红</w:t>
                  </w:r>
                </w:p>
              </w:tc>
            </w:tr>
            <w:tr w14:paraId="0648949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4B2B9411">
                  <w:pPr>
                    <w:pStyle w:val="76"/>
                    <w:rPr>
                      <w:rFonts w:eastAsia="Times New Roman"/>
                    </w:rPr>
                  </w:pPr>
                </w:p>
              </w:tc>
              <w:tc>
                <w:tcPr>
                  <w:tcW w:w="402" w:type="pct"/>
                  <w:vMerge w:val="continue"/>
                  <w:vAlign w:val="center"/>
                </w:tcPr>
                <w:p w14:paraId="61DC327B">
                  <w:pPr>
                    <w:pStyle w:val="76"/>
                    <w:rPr>
                      <w:rFonts w:eastAsia="Times New Roman"/>
                    </w:rPr>
                  </w:pPr>
                </w:p>
              </w:tc>
              <w:tc>
                <w:tcPr>
                  <w:tcW w:w="702" w:type="pct"/>
                  <w:vMerge w:val="continue"/>
                  <w:vAlign w:val="center"/>
                </w:tcPr>
                <w:p w14:paraId="57897E83">
                  <w:pPr>
                    <w:pStyle w:val="76"/>
                    <w:rPr>
                      <w:rFonts w:eastAsia="Times New Roman"/>
                    </w:rPr>
                  </w:pPr>
                </w:p>
              </w:tc>
              <w:tc>
                <w:tcPr>
                  <w:tcW w:w="3468" w:type="pct"/>
                  <w:vAlign w:val="center"/>
                </w:tcPr>
                <w:p w14:paraId="50C73BA9">
                  <w:pPr>
                    <w:pStyle w:val="76"/>
                    <w:rPr>
                      <w:rFonts w:eastAsia="Times New Roman"/>
                    </w:rPr>
                  </w:pPr>
                  <w:r>
                    <w:rPr>
                      <w:rFonts w:hint="eastAsia" w:ascii="宋体" w:hAnsi="宋体" w:eastAsia="Times New Roman" w:cs="宋体"/>
                    </w:rPr>
                    <w:t>湘江</w:t>
                  </w:r>
                  <w:r>
                    <w:rPr>
                      <w:rFonts w:hint="eastAsia" w:eastAsia="Times New Roman"/>
                    </w:rPr>
                    <w:t>-</w:t>
                  </w:r>
                  <w:r>
                    <w:rPr>
                      <w:rFonts w:hint="eastAsia" w:ascii="宋体" w:hAnsi="宋体" w:eastAsia="Times New Roman" w:cs="宋体"/>
                    </w:rPr>
                    <w:t>桂江流域水源涵养生态保护红线</w:t>
                  </w:r>
                </w:p>
              </w:tc>
            </w:tr>
            <w:tr w14:paraId="155A002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297948A9">
                  <w:pPr>
                    <w:pStyle w:val="76"/>
                    <w:rPr>
                      <w:rFonts w:eastAsia="Times New Roman"/>
                    </w:rPr>
                  </w:pPr>
                </w:p>
              </w:tc>
              <w:tc>
                <w:tcPr>
                  <w:tcW w:w="402" w:type="pct"/>
                  <w:vMerge w:val="continue"/>
                  <w:vAlign w:val="center"/>
                </w:tcPr>
                <w:p w14:paraId="2CE55323">
                  <w:pPr>
                    <w:pStyle w:val="76"/>
                    <w:rPr>
                      <w:rFonts w:eastAsia="Times New Roman"/>
                    </w:rPr>
                  </w:pPr>
                </w:p>
              </w:tc>
              <w:tc>
                <w:tcPr>
                  <w:tcW w:w="702" w:type="pct"/>
                  <w:vMerge w:val="continue"/>
                  <w:vAlign w:val="center"/>
                </w:tcPr>
                <w:p w14:paraId="74B33416">
                  <w:pPr>
                    <w:pStyle w:val="76"/>
                    <w:rPr>
                      <w:rFonts w:eastAsia="Times New Roman"/>
                    </w:rPr>
                  </w:pPr>
                </w:p>
              </w:tc>
              <w:tc>
                <w:tcPr>
                  <w:tcW w:w="3468" w:type="pct"/>
                  <w:vAlign w:val="center"/>
                </w:tcPr>
                <w:p w14:paraId="19E2300C">
                  <w:pPr>
                    <w:pStyle w:val="76"/>
                    <w:rPr>
                      <w:rFonts w:eastAsia="Times New Roman"/>
                    </w:rPr>
                  </w:pPr>
                  <w:r>
                    <w:rPr>
                      <w:rFonts w:hint="eastAsia" w:ascii="宋体" w:hAnsi="宋体" w:eastAsia="Times New Roman" w:cs="宋体"/>
                    </w:rPr>
                    <w:t>古偿河饮用水水源保护区一</w:t>
                  </w:r>
                  <w:r>
                    <w:rPr>
                      <w:rFonts w:hint="eastAsia" w:eastAsia="Times New Roman"/>
                    </w:rPr>
                    <w:t xml:space="preserve"> </w:t>
                  </w:r>
                  <w:r>
                    <w:rPr>
                      <w:rFonts w:hint="eastAsia" w:ascii="宋体" w:hAnsi="宋体" w:eastAsia="Times New Roman" w:cs="宋体"/>
                    </w:rPr>
                    <w:t>般生态空间</w:t>
                  </w:r>
                </w:p>
              </w:tc>
            </w:tr>
            <w:tr w14:paraId="2E491FB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38C55A39">
                  <w:pPr>
                    <w:pStyle w:val="76"/>
                    <w:rPr>
                      <w:rFonts w:eastAsia="Times New Roman"/>
                    </w:rPr>
                  </w:pPr>
                </w:p>
              </w:tc>
              <w:tc>
                <w:tcPr>
                  <w:tcW w:w="402" w:type="pct"/>
                  <w:vMerge w:val="continue"/>
                  <w:vAlign w:val="center"/>
                </w:tcPr>
                <w:p w14:paraId="06230611">
                  <w:pPr>
                    <w:pStyle w:val="76"/>
                    <w:rPr>
                      <w:rFonts w:eastAsia="Times New Roman"/>
                    </w:rPr>
                  </w:pPr>
                </w:p>
              </w:tc>
              <w:tc>
                <w:tcPr>
                  <w:tcW w:w="702" w:type="pct"/>
                  <w:vMerge w:val="continue"/>
                  <w:vAlign w:val="center"/>
                </w:tcPr>
                <w:p w14:paraId="08AC66FD">
                  <w:pPr>
                    <w:pStyle w:val="76"/>
                    <w:rPr>
                      <w:rFonts w:eastAsia="Times New Roman"/>
                    </w:rPr>
                  </w:pPr>
                </w:p>
              </w:tc>
              <w:tc>
                <w:tcPr>
                  <w:tcW w:w="3468" w:type="pct"/>
                  <w:vAlign w:val="center"/>
                </w:tcPr>
                <w:p w14:paraId="58F79CD9">
                  <w:pPr>
                    <w:pStyle w:val="76"/>
                    <w:rPr>
                      <w:rFonts w:eastAsia="Times New Roman"/>
                    </w:rPr>
                  </w:pPr>
                  <w:r>
                    <w:rPr>
                      <w:rFonts w:hint="eastAsia" w:ascii="宋体" w:hAnsi="宋体" w:eastAsia="Times New Roman" w:cs="宋体"/>
                    </w:rPr>
                    <w:t>鹿寨县县城洛清江饮用水水源保护区一般生态空间</w:t>
                  </w:r>
                </w:p>
              </w:tc>
            </w:tr>
            <w:tr w14:paraId="3FFB76D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4652F5D1">
                  <w:pPr>
                    <w:pStyle w:val="76"/>
                    <w:rPr>
                      <w:rFonts w:eastAsia="Times New Roman"/>
                    </w:rPr>
                  </w:pPr>
                </w:p>
              </w:tc>
              <w:tc>
                <w:tcPr>
                  <w:tcW w:w="402" w:type="pct"/>
                  <w:vMerge w:val="continue"/>
                  <w:vAlign w:val="center"/>
                </w:tcPr>
                <w:p w14:paraId="77AD2532">
                  <w:pPr>
                    <w:pStyle w:val="76"/>
                    <w:rPr>
                      <w:rFonts w:eastAsia="Times New Roman"/>
                    </w:rPr>
                  </w:pPr>
                </w:p>
              </w:tc>
              <w:tc>
                <w:tcPr>
                  <w:tcW w:w="702" w:type="pct"/>
                  <w:vMerge w:val="continue"/>
                  <w:vAlign w:val="center"/>
                </w:tcPr>
                <w:p w14:paraId="4878D9F0">
                  <w:pPr>
                    <w:pStyle w:val="76"/>
                    <w:rPr>
                      <w:rFonts w:eastAsia="Times New Roman"/>
                    </w:rPr>
                  </w:pPr>
                </w:p>
              </w:tc>
              <w:tc>
                <w:tcPr>
                  <w:tcW w:w="3468" w:type="pct"/>
                  <w:vAlign w:val="center"/>
                </w:tcPr>
                <w:p w14:paraId="5F4D9FE1">
                  <w:pPr>
                    <w:pStyle w:val="76"/>
                    <w:rPr>
                      <w:rFonts w:eastAsia="Times New Roman"/>
                    </w:rPr>
                  </w:pPr>
                  <w:r>
                    <w:rPr>
                      <w:rFonts w:hint="eastAsia" w:ascii="宋体" w:hAnsi="宋体" w:eastAsia="Times New Roman" w:cs="宋体"/>
                    </w:rPr>
                    <w:t>鹿寨县其他优先保护单元</w:t>
                  </w:r>
                </w:p>
              </w:tc>
            </w:tr>
            <w:tr w14:paraId="7A4E423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2D0A2856">
                  <w:pPr>
                    <w:pStyle w:val="76"/>
                    <w:rPr>
                      <w:rFonts w:eastAsia="Times New Roman"/>
                    </w:rPr>
                  </w:pPr>
                </w:p>
              </w:tc>
              <w:tc>
                <w:tcPr>
                  <w:tcW w:w="402" w:type="pct"/>
                  <w:vMerge w:val="restart"/>
                  <w:vAlign w:val="center"/>
                </w:tcPr>
                <w:p w14:paraId="79BA411B">
                  <w:pPr>
                    <w:pStyle w:val="76"/>
                    <w:rPr>
                      <w:rFonts w:eastAsia="Times New Roman"/>
                    </w:rPr>
                  </w:pPr>
                  <w:r>
                    <w:rPr>
                      <w:rFonts w:hint="eastAsia" w:eastAsia="Times New Roman"/>
                    </w:rPr>
                    <w:t>3</w:t>
                  </w:r>
                </w:p>
              </w:tc>
              <w:tc>
                <w:tcPr>
                  <w:tcW w:w="702" w:type="pct"/>
                  <w:vMerge w:val="restart"/>
                  <w:vAlign w:val="center"/>
                </w:tcPr>
                <w:p w14:paraId="7960AF27">
                  <w:pPr>
                    <w:pStyle w:val="76"/>
                    <w:rPr>
                      <w:rFonts w:eastAsia="Times New Roman"/>
                    </w:rPr>
                  </w:pPr>
                  <w:r>
                    <w:rPr>
                      <w:rFonts w:hint="eastAsia" w:ascii="宋体" w:hAnsi="宋体" w:eastAsia="Times New Roman" w:cs="宋体"/>
                    </w:rPr>
                    <w:t>重点管控单元</w:t>
                  </w:r>
                </w:p>
              </w:tc>
              <w:tc>
                <w:tcPr>
                  <w:tcW w:w="3468" w:type="pct"/>
                  <w:vAlign w:val="center"/>
                </w:tcPr>
                <w:p w14:paraId="0D2C5F3C">
                  <w:pPr>
                    <w:pStyle w:val="76"/>
                    <w:rPr>
                      <w:rFonts w:eastAsia="Times New Roman"/>
                    </w:rPr>
                  </w:pPr>
                  <w:r>
                    <w:rPr>
                      <w:rFonts w:hint="eastAsia" w:ascii="宋体" w:hAnsi="宋体" w:eastAsia="Times New Roman" w:cs="宋体"/>
                    </w:rPr>
                    <w:t>广西鹿寨经济开发区重点管控单元</w:t>
                  </w:r>
                </w:p>
              </w:tc>
            </w:tr>
            <w:tr w14:paraId="6E065E6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274EDB0C">
                  <w:pPr>
                    <w:pStyle w:val="76"/>
                    <w:rPr>
                      <w:rFonts w:eastAsia="Times New Roman"/>
                    </w:rPr>
                  </w:pPr>
                </w:p>
              </w:tc>
              <w:tc>
                <w:tcPr>
                  <w:tcW w:w="402" w:type="pct"/>
                  <w:vMerge w:val="continue"/>
                  <w:vAlign w:val="center"/>
                </w:tcPr>
                <w:p w14:paraId="17363580">
                  <w:pPr>
                    <w:pStyle w:val="76"/>
                    <w:rPr>
                      <w:rFonts w:eastAsia="Times New Roman"/>
                    </w:rPr>
                  </w:pPr>
                </w:p>
              </w:tc>
              <w:tc>
                <w:tcPr>
                  <w:tcW w:w="702" w:type="pct"/>
                  <w:vMerge w:val="continue"/>
                  <w:vAlign w:val="center"/>
                </w:tcPr>
                <w:p w14:paraId="15AF36AF">
                  <w:pPr>
                    <w:pStyle w:val="76"/>
                    <w:rPr>
                      <w:rFonts w:eastAsia="Times New Roman"/>
                    </w:rPr>
                  </w:pPr>
                </w:p>
              </w:tc>
              <w:tc>
                <w:tcPr>
                  <w:tcW w:w="3468" w:type="pct"/>
                  <w:vAlign w:val="center"/>
                </w:tcPr>
                <w:p w14:paraId="7DD1A07A">
                  <w:pPr>
                    <w:pStyle w:val="76"/>
                    <w:rPr>
                      <w:rFonts w:eastAsia="Times New Roman"/>
                    </w:rPr>
                  </w:pPr>
                  <w:r>
                    <w:rPr>
                      <w:rFonts w:hint="eastAsia" w:ascii="宋体" w:hAnsi="宋体" w:eastAsia="Times New Roman" w:cs="宋体"/>
                    </w:rPr>
                    <w:t>鹿寨县城镇空间重点管控单元</w:t>
                  </w:r>
                </w:p>
              </w:tc>
            </w:tr>
            <w:tr w14:paraId="548028E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05609FD0">
                  <w:pPr>
                    <w:pStyle w:val="76"/>
                    <w:rPr>
                      <w:rFonts w:eastAsia="Times New Roman"/>
                    </w:rPr>
                  </w:pPr>
                </w:p>
              </w:tc>
              <w:tc>
                <w:tcPr>
                  <w:tcW w:w="402" w:type="pct"/>
                  <w:vMerge w:val="continue"/>
                  <w:vAlign w:val="center"/>
                </w:tcPr>
                <w:p w14:paraId="66DFB4EB">
                  <w:pPr>
                    <w:pStyle w:val="76"/>
                    <w:rPr>
                      <w:rFonts w:eastAsia="Times New Roman"/>
                    </w:rPr>
                  </w:pPr>
                </w:p>
              </w:tc>
              <w:tc>
                <w:tcPr>
                  <w:tcW w:w="702" w:type="pct"/>
                  <w:vMerge w:val="continue"/>
                  <w:vAlign w:val="center"/>
                </w:tcPr>
                <w:p w14:paraId="2F2C8AB7">
                  <w:pPr>
                    <w:pStyle w:val="76"/>
                    <w:rPr>
                      <w:rFonts w:eastAsia="Times New Roman"/>
                    </w:rPr>
                  </w:pPr>
                </w:p>
              </w:tc>
              <w:tc>
                <w:tcPr>
                  <w:tcW w:w="3468" w:type="pct"/>
                  <w:vAlign w:val="center"/>
                </w:tcPr>
                <w:p w14:paraId="5AD2652C">
                  <w:pPr>
                    <w:pStyle w:val="76"/>
                    <w:rPr>
                      <w:rFonts w:eastAsia="Times New Roman"/>
                    </w:rPr>
                  </w:pPr>
                  <w:r>
                    <w:rPr>
                      <w:rFonts w:hint="eastAsia" w:ascii="宋体" w:hAnsi="宋体" w:eastAsia="Times New Roman" w:cs="宋体"/>
                    </w:rPr>
                    <w:t>鹿寨县布局敏感区重点管控单元</w:t>
                  </w:r>
                </w:p>
              </w:tc>
            </w:tr>
            <w:tr w14:paraId="585451C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53AD9FD9">
                  <w:pPr>
                    <w:pStyle w:val="76"/>
                    <w:rPr>
                      <w:rFonts w:eastAsia="Times New Roman"/>
                    </w:rPr>
                  </w:pPr>
                </w:p>
              </w:tc>
              <w:tc>
                <w:tcPr>
                  <w:tcW w:w="402" w:type="pct"/>
                  <w:vMerge w:val="continue"/>
                  <w:vAlign w:val="center"/>
                </w:tcPr>
                <w:p w14:paraId="46DA2CAF">
                  <w:pPr>
                    <w:pStyle w:val="76"/>
                    <w:rPr>
                      <w:rFonts w:eastAsia="Times New Roman"/>
                    </w:rPr>
                  </w:pPr>
                </w:p>
              </w:tc>
              <w:tc>
                <w:tcPr>
                  <w:tcW w:w="702" w:type="pct"/>
                  <w:vMerge w:val="continue"/>
                  <w:vAlign w:val="center"/>
                </w:tcPr>
                <w:p w14:paraId="3AF12225">
                  <w:pPr>
                    <w:pStyle w:val="76"/>
                    <w:rPr>
                      <w:rFonts w:eastAsia="Times New Roman"/>
                    </w:rPr>
                  </w:pPr>
                </w:p>
              </w:tc>
              <w:tc>
                <w:tcPr>
                  <w:tcW w:w="3468" w:type="pct"/>
                  <w:vAlign w:val="center"/>
                </w:tcPr>
                <w:p w14:paraId="4FB7C6D9">
                  <w:pPr>
                    <w:pStyle w:val="76"/>
                    <w:rPr>
                      <w:rFonts w:eastAsia="Times New Roman"/>
                    </w:rPr>
                  </w:pPr>
                  <w:r>
                    <w:rPr>
                      <w:rFonts w:hint="eastAsia" w:ascii="宋体" w:hAnsi="宋体" w:eastAsia="Times New Roman" w:cs="宋体"/>
                    </w:rPr>
                    <w:t>鹿寨县其他重点管控单元</w:t>
                  </w:r>
                </w:p>
              </w:tc>
            </w:tr>
            <w:tr w14:paraId="0FC705E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27" w:type="pct"/>
                  <w:vMerge w:val="continue"/>
                  <w:vAlign w:val="center"/>
                </w:tcPr>
                <w:p w14:paraId="35D1AB5D">
                  <w:pPr>
                    <w:pStyle w:val="76"/>
                    <w:rPr>
                      <w:rFonts w:eastAsia="Times New Roman"/>
                    </w:rPr>
                  </w:pPr>
                </w:p>
              </w:tc>
              <w:tc>
                <w:tcPr>
                  <w:tcW w:w="402" w:type="pct"/>
                  <w:vAlign w:val="center"/>
                </w:tcPr>
                <w:p w14:paraId="47A7DC7C">
                  <w:pPr>
                    <w:pStyle w:val="76"/>
                    <w:rPr>
                      <w:rFonts w:eastAsia="Times New Roman"/>
                    </w:rPr>
                  </w:pPr>
                  <w:r>
                    <w:rPr>
                      <w:rFonts w:hint="eastAsia" w:eastAsia="Times New Roman"/>
                    </w:rPr>
                    <w:t>1</w:t>
                  </w:r>
                </w:p>
              </w:tc>
              <w:tc>
                <w:tcPr>
                  <w:tcW w:w="702" w:type="pct"/>
                  <w:vAlign w:val="center"/>
                </w:tcPr>
                <w:p w14:paraId="0DC268C0">
                  <w:pPr>
                    <w:pStyle w:val="76"/>
                    <w:rPr>
                      <w:rFonts w:eastAsia="Times New Roman"/>
                    </w:rPr>
                  </w:pPr>
                  <w:r>
                    <w:rPr>
                      <w:rFonts w:hint="eastAsia" w:ascii="宋体" w:hAnsi="宋体" w:eastAsia="Times New Roman" w:cs="宋体"/>
                    </w:rPr>
                    <w:t>一般管控单元</w:t>
                  </w:r>
                </w:p>
              </w:tc>
              <w:tc>
                <w:tcPr>
                  <w:tcW w:w="3468" w:type="pct"/>
                  <w:vAlign w:val="center"/>
                </w:tcPr>
                <w:p w14:paraId="76395035">
                  <w:pPr>
                    <w:pStyle w:val="76"/>
                    <w:rPr>
                      <w:rFonts w:eastAsia="Times New Roman"/>
                    </w:rPr>
                  </w:pPr>
                  <w:r>
                    <w:rPr>
                      <w:rFonts w:hint="eastAsia" w:eastAsia="Times New Roman"/>
                    </w:rPr>
                    <w:t>鹿寨县一般管控单元</w:t>
                  </w:r>
                </w:p>
              </w:tc>
            </w:tr>
          </w:tbl>
          <w:p w14:paraId="61394FB2">
            <w:pPr>
              <w:pStyle w:val="117"/>
              <w:ind w:firstLine="480"/>
            </w:pPr>
            <w:r>
              <w:rPr>
                <w:rFonts w:hint="eastAsia"/>
              </w:rPr>
              <w:t>项目位于</w:t>
            </w:r>
            <w:r>
              <w:rPr>
                <w:rFonts w:hint="eastAsia"/>
                <w:szCs w:val="32"/>
              </w:rPr>
              <w:t>广西壮族自治区柳州市鹿寨县鹿寨镇飞鹿大道505号</w:t>
            </w:r>
            <w:r>
              <w:rPr>
                <w:rFonts w:hint="eastAsia"/>
              </w:rPr>
              <w:t>，根据《广西“生态云”平台建设项目智能研判报告》（详见附件7）及《柳州市陆域生态环境管控单元分类图（2023年）》（详见附图5）可知，项目属于广西鹿寨经济开发区重点管控单元（环境管控单元编号：ZH45022320001）。项目所在地不涉及自然保护区及饮用水水源保护区，不涉及重点生态功能区、生态敏感区、禁止开发区等重要生态功能区或生态环境敏感、脆弱区的其他区域，符合生态保护红线要求。</w:t>
            </w:r>
          </w:p>
          <w:p w14:paraId="6EB33A06">
            <w:pPr>
              <w:pStyle w:val="117"/>
              <w:ind w:firstLine="480"/>
            </w:pPr>
            <w:r>
              <w:rPr>
                <w:rFonts w:hint="eastAsia"/>
              </w:rPr>
              <w:t>（2）环境质量底线相符性</w:t>
            </w:r>
          </w:p>
          <w:p w14:paraId="6CC5FAA1">
            <w:pPr>
              <w:pStyle w:val="117"/>
              <w:ind w:firstLine="480"/>
            </w:pPr>
            <w:r>
              <w:rPr>
                <w:rFonts w:hint="eastAsia"/>
              </w:rPr>
              <w:t>根据柳州市生态环境局公布的《2024年柳州市生态环境状况公报》，2024年鹿寨县二氧化硫（SO</w:t>
            </w:r>
            <w:r>
              <w:rPr>
                <w:rFonts w:hint="eastAsia"/>
                <w:vertAlign w:val="subscript"/>
              </w:rPr>
              <w:t>2</w:t>
            </w:r>
            <w:r>
              <w:rPr>
                <w:rFonts w:hint="eastAsia"/>
              </w:rPr>
              <w:t>）、二氧化氮（NO</w:t>
            </w:r>
            <w:r>
              <w:rPr>
                <w:rFonts w:hint="eastAsia"/>
                <w:vertAlign w:val="subscript"/>
              </w:rPr>
              <w:t>2</w:t>
            </w:r>
            <w:r>
              <w:rPr>
                <w:rFonts w:hint="eastAsia"/>
              </w:rPr>
              <w:t>）、可吸入颗粒物（PM</w:t>
            </w:r>
            <w:r>
              <w:rPr>
                <w:rFonts w:hint="eastAsia"/>
                <w:vertAlign w:val="subscript"/>
              </w:rPr>
              <w:t>10</w:t>
            </w:r>
            <w:r>
              <w:rPr>
                <w:rFonts w:hint="eastAsia"/>
              </w:rPr>
              <w:t>）、细颗粒 物（PM</w:t>
            </w:r>
            <w:r>
              <w:rPr>
                <w:rFonts w:hint="eastAsia"/>
                <w:vertAlign w:val="subscript"/>
              </w:rPr>
              <w:t>2.5</w:t>
            </w:r>
            <w:r>
              <w:rPr>
                <w:rFonts w:hint="eastAsia"/>
              </w:rPr>
              <w:t>）、一氧化碳（CO）、臭氧（O</w:t>
            </w:r>
            <w:r>
              <w:rPr>
                <w:rFonts w:hint="eastAsia"/>
                <w:vertAlign w:val="subscript"/>
              </w:rPr>
              <w:t>3</w:t>
            </w:r>
            <w:r>
              <w:rPr>
                <w:rFonts w:hint="eastAsia"/>
              </w:rPr>
              <w:t>）浓度均达到二级标准，因此鹿寨县属于大气环境质量达标区。</w:t>
            </w:r>
          </w:p>
          <w:p w14:paraId="022CD579">
            <w:pPr>
              <w:pStyle w:val="117"/>
              <w:ind w:firstLine="480"/>
            </w:pPr>
            <w:r>
              <w:rPr>
                <w:rFonts w:hint="eastAsia"/>
              </w:rPr>
              <w:t>项目运营期产生的废气、废水、噪声经采取措施后均能达标排放，对区域环境影响不大。因此，项目运营不会触及环境质量底线要求。</w:t>
            </w:r>
          </w:p>
          <w:p w14:paraId="0D06347D">
            <w:pPr>
              <w:pStyle w:val="117"/>
              <w:ind w:firstLine="480"/>
            </w:pPr>
            <w:r>
              <w:rPr>
                <w:rFonts w:hint="eastAsia"/>
              </w:rPr>
              <w:t>（3）资源利用上线</w:t>
            </w:r>
          </w:p>
          <w:p w14:paraId="4218555C">
            <w:pPr>
              <w:pStyle w:val="117"/>
              <w:ind w:firstLine="480"/>
            </w:pPr>
            <w:r>
              <w:rPr>
                <w:rFonts w:hint="eastAsia"/>
              </w:rPr>
              <w:t>项目运营期间所用的资源主要为水和电。项目所在地水资源丰富，用电由市政电网供给，用水由市政管网供给，项目年耗电量、耗水量较少，可满足项目需求，项目用地也符合政策规划，故项目符合资源利用上线要求。</w:t>
            </w:r>
          </w:p>
          <w:p w14:paraId="3A8F92DD">
            <w:pPr>
              <w:pStyle w:val="117"/>
              <w:ind w:firstLine="480"/>
            </w:pPr>
            <w:r>
              <w:rPr>
                <w:rFonts w:hint="eastAsia"/>
              </w:rPr>
              <w:t>（4）环境准入负面清单</w:t>
            </w:r>
          </w:p>
          <w:p w14:paraId="3101FAC8">
            <w:pPr>
              <w:pStyle w:val="117"/>
              <w:ind w:firstLine="480"/>
            </w:pPr>
            <w:r>
              <w:rPr>
                <w:rFonts w:hint="eastAsia"/>
              </w:rPr>
              <w:t>①与国家产业政策相符性分析</w:t>
            </w:r>
          </w:p>
          <w:p w14:paraId="33FEA3F9">
            <w:pPr>
              <w:pStyle w:val="117"/>
              <w:ind w:firstLine="480"/>
            </w:pPr>
            <w:r>
              <w:rPr>
                <w:rFonts w:hint="eastAsia"/>
              </w:rPr>
              <w:t>对照《产业结构调整指导目录（2024年本）》（中华人民共和国国家发展和改革委员会，2024-2-1起施行），本项目属于塑料制品行业，，本项目不属于其中的“鼓励类”、“限制类”、“淘汰类”项目，属于允许建设项目经</w:t>
            </w:r>
            <w:r>
              <w:t>柳州市鹿寨县发展和改革局</w:t>
            </w:r>
            <w:r>
              <w:rPr>
                <w:rFonts w:hint="eastAsia"/>
              </w:rPr>
              <w:t>（项目代码：</w:t>
            </w:r>
            <w:r>
              <w:t>2510-450223-04-01-933729</w:t>
            </w:r>
            <w:r>
              <w:rPr>
                <w:rFonts w:hint="eastAsia"/>
              </w:rPr>
              <w:t>）备案登记（详见附件2），因此，符合国家及地方产业政策要求。</w:t>
            </w:r>
          </w:p>
          <w:p w14:paraId="4AE54EB7">
            <w:pPr>
              <w:pStyle w:val="117"/>
              <w:ind w:firstLine="480"/>
            </w:pPr>
            <w:r>
              <w:rPr>
                <w:rFonts w:hint="eastAsia"/>
              </w:rPr>
              <w:t>②与《市场准入负面清单（2025年版）》相符性分析</w:t>
            </w:r>
          </w:p>
          <w:p w14:paraId="5A09925A">
            <w:pPr>
              <w:pStyle w:val="117"/>
              <w:ind w:firstLine="480"/>
            </w:pPr>
            <w:r>
              <w:rPr>
                <w:rFonts w:hint="eastAsia"/>
              </w:rPr>
              <w:t>根据《市场准入负面清单（2025年版）》可知，项目不属于《市场准入负面清单（2025年版）》中“禁止”和“许可”类别。</w:t>
            </w:r>
          </w:p>
          <w:p w14:paraId="3C4078A9">
            <w:pPr>
              <w:pStyle w:val="117"/>
              <w:ind w:firstLine="480"/>
            </w:pPr>
            <w:r>
              <w:rPr>
                <w:rFonts w:hint="eastAsia"/>
              </w:rPr>
              <w:t>③与《广西壮族自治区重点生态功能区县产业准入负面清单调整方案》相符性分析</w:t>
            </w:r>
          </w:p>
          <w:p w14:paraId="1061CFCD">
            <w:pPr>
              <w:pStyle w:val="117"/>
              <w:ind w:firstLine="480"/>
            </w:pPr>
            <w:r>
              <w:rPr>
                <w:rFonts w:hint="eastAsia"/>
              </w:rPr>
              <w:t>根据《广西壮族自治区重点生态功能区县产业准入负面清单调整方案》可知，项目位于广西壮族自治区柳州市鹿寨县鹿寨镇飞鹿大道505号原有工业厂房，不属于广西壮族自治区重点生态功能区县产业准入负面清单。</w:t>
            </w:r>
          </w:p>
          <w:p w14:paraId="136DAE3D">
            <w:pPr>
              <w:pStyle w:val="117"/>
              <w:ind w:firstLine="480"/>
            </w:pPr>
            <w:r>
              <w:rPr>
                <w:rFonts w:hint="eastAsia"/>
              </w:rPr>
              <w:t>④项目与广西鹿寨经济开发区重点管控单元生态环境准入及管控要求相符性分析，详见表1-5。</w:t>
            </w:r>
          </w:p>
          <w:p w14:paraId="71C20790">
            <w:pPr>
              <w:pStyle w:val="117"/>
              <w:ind w:firstLine="480"/>
            </w:pPr>
          </w:p>
          <w:p w14:paraId="3BA9225D">
            <w:pPr>
              <w:pStyle w:val="117"/>
              <w:ind w:firstLine="480"/>
            </w:pPr>
          </w:p>
          <w:p w14:paraId="629817C9">
            <w:pPr>
              <w:pStyle w:val="87"/>
            </w:pPr>
            <w:r>
              <w:rPr>
                <w:rFonts w:hint="eastAsia"/>
              </w:rPr>
              <w:t>表1-5  项目与广西鹿寨经济开发区重点管控单元生态环境准入及管控要求相符性分析一览表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44"/>
              <w:gridCol w:w="3702"/>
              <w:gridCol w:w="2269"/>
              <w:gridCol w:w="644"/>
            </w:tblGrid>
            <w:tr w14:paraId="019CB7E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2937" w:type="pct"/>
                  <w:gridSpan w:val="2"/>
                  <w:vAlign w:val="center"/>
                </w:tcPr>
                <w:p w14:paraId="7FD5573A">
                  <w:pPr>
                    <w:pStyle w:val="79"/>
                    <w:rPr>
                      <w:rFonts w:eastAsia="Times New Roman"/>
                      <w:b/>
                    </w:rPr>
                  </w:pPr>
                  <w:bookmarkStart w:id="16" w:name="OLE_LINK15"/>
                  <w:r>
                    <w:rPr>
                      <w:rFonts w:hint="eastAsia" w:ascii="宋体" w:hAnsi="宋体" w:eastAsia="Times New Roman" w:cs="宋体"/>
                      <w:b/>
                    </w:rPr>
                    <w:t>生态环境准入及管控要求</w:t>
                  </w:r>
                </w:p>
              </w:tc>
              <w:tc>
                <w:tcPr>
                  <w:tcW w:w="1607" w:type="pct"/>
                  <w:vAlign w:val="center"/>
                </w:tcPr>
                <w:p w14:paraId="36804AC6">
                  <w:pPr>
                    <w:pStyle w:val="79"/>
                    <w:rPr>
                      <w:rFonts w:eastAsia="Times New Roman"/>
                      <w:b/>
                    </w:rPr>
                  </w:pPr>
                  <w:r>
                    <w:rPr>
                      <w:rFonts w:hint="eastAsia" w:ascii="宋体" w:hAnsi="宋体" w:eastAsia="Times New Roman" w:cs="宋体"/>
                      <w:b/>
                    </w:rPr>
                    <w:t>项目情况</w:t>
                  </w:r>
                </w:p>
              </w:tc>
              <w:tc>
                <w:tcPr>
                  <w:tcW w:w="456" w:type="pct"/>
                  <w:vAlign w:val="center"/>
                </w:tcPr>
                <w:p w14:paraId="72C16DC3">
                  <w:pPr>
                    <w:pStyle w:val="79"/>
                    <w:rPr>
                      <w:rFonts w:eastAsia="Times New Roman"/>
                      <w:b/>
                    </w:rPr>
                  </w:pPr>
                  <w:r>
                    <w:rPr>
                      <w:rFonts w:hint="eastAsia" w:ascii="宋体" w:hAnsi="宋体" w:eastAsia="Times New Roman" w:cs="宋体"/>
                      <w:b/>
                    </w:rPr>
                    <w:t>符合性</w:t>
                  </w:r>
                </w:p>
              </w:tc>
            </w:tr>
            <w:tr w14:paraId="447B889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restart"/>
                  <w:vAlign w:val="center"/>
                </w:tcPr>
                <w:p w14:paraId="74478EF3">
                  <w:pPr>
                    <w:pStyle w:val="79"/>
                    <w:rPr>
                      <w:rFonts w:eastAsia="Times New Roman"/>
                    </w:rPr>
                  </w:pPr>
                  <w:r>
                    <w:rPr>
                      <w:rFonts w:hint="eastAsia" w:ascii="宋体" w:hAnsi="宋体" w:eastAsia="Times New Roman" w:cs="宋体"/>
                    </w:rPr>
                    <w:t>空间布局约束</w:t>
                  </w:r>
                </w:p>
              </w:tc>
              <w:tc>
                <w:tcPr>
                  <w:tcW w:w="2621" w:type="pct"/>
                  <w:vAlign w:val="center"/>
                </w:tcPr>
                <w:p w14:paraId="7843FA69">
                  <w:pPr>
                    <w:pStyle w:val="79"/>
                    <w:jc w:val="both"/>
                    <w:rPr>
                      <w:rFonts w:eastAsia="Times New Roman"/>
                    </w:rPr>
                  </w:pPr>
                  <w:r>
                    <w:rPr>
                      <w:rFonts w:hint="eastAsia" w:eastAsia="Times New Roman"/>
                    </w:rPr>
                    <w:t>1</w:t>
                  </w:r>
                  <w:r>
                    <w:rPr>
                      <w:rFonts w:hint="eastAsia" w:ascii="宋体" w:hAnsi="宋体" w:eastAsia="Times New Roman" w:cs="宋体"/>
                    </w:rPr>
                    <w:t>、入园项目必须符合国家、自治区产业政策、供地政策及园区产业定位。</w:t>
                  </w:r>
                </w:p>
              </w:tc>
              <w:tc>
                <w:tcPr>
                  <w:tcW w:w="1607" w:type="pct"/>
                  <w:vAlign w:val="center"/>
                </w:tcPr>
                <w:p w14:paraId="62EA765E">
                  <w:pPr>
                    <w:pStyle w:val="79"/>
                    <w:jc w:val="both"/>
                    <w:rPr>
                      <w:rFonts w:eastAsia="Times New Roman"/>
                    </w:rPr>
                  </w:pPr>
                  <w:r>
                    <w:rPr>
                      <w:rFonts w:hint="eastAsia" w:ascii="宋体" w:hAnsi="宋体" w:eastAsia="Times New Roman" w:cs="宋体"/>
                    </w:rPr>
                    <w:t>项目为</w:t>
                  </w:r>
                  <w:r>
                    <w:rPr>
                      <w:rFonts w:hint="eastAsia" w:eastAsia="Times New Roman"/>
                    </w:rPr>
                    <w:t>C3670</w:t>
                  </w:r>
                  <w:r>
                    <w:rPr>
                      <w:rFonts w:hint="eastAsia" w:ascii="宋体" w:hAnsi="宋体" w:eastAsia="Times New Roman" w:cs="宋体"/>
                    </w:rPr>
                    <w:t>汽车零部件及配件制</w:t>
                  </w:r>
                  <w:r>
                    <w:rPr>
                      <w:rFonts w:hint="eastAsia" w:eastAsia="Times New Roman"/>
                    </w:rPr>
                    <w:t>造</w:t>
                  </w:r>
                  <w:r>
                    <w:rPr>
                      <w:rFonts w:hint="eastAsia" w:ascii="宋体" w:hAnsi="宋体" w:eastAsia="Times New Roman" w:cs="宋体"/>
                    </w:rPr>
                    <w:t>，项目建设满足国家、自治区产业政策、供地政策及园区产业定位。</w:t>
                  </w:r>
                </w:p>
              </w:tc>
              <w:tc>
                <w:tcPr>
                  <w:tcW w:w="456" w:type="pct"/>
                  <w:vMerge w:val="restart"/>
                  <w:vAlign w:val="center"/>
                </w:tcPr>
                <w:p w14:paraId="57CBE776">
                  <w:pPr>
                    <w:pStyle w:val="79"/>
                    <w:rPr>
                      <w:rFonts w:eastAsia="Times New Roman"/>
                    </w:rPr>
                  </w:pPr>
                  <w:r>
                    <w:rPr>
                      <w:rFonts w:hint="eastAsia" w:ascii="宋体" w:hAnsi="宋体" w:eastAsia="Times New Roman" w:cs="宋体"/>
                    </w:rPr>
                    <w:t>符合</w:t>
                  </w:r>
                </w:p>
              </w:tc>
            </w:tr>
            <w:tr w14:paraId="6E17EA7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5234B458">
                  <w:pPr>
                    <w:pStyle w:val="79"/>
                    <w:rPr>
                      <w:rFonts w:eastAsia="Times New Roman"/>
                    </w:rPr>
                  </w:pPr>
                </w:p>
              </w:tc>
              <w:tc>
                <w:tcPr>
                  <w:tcW w:w="2621" w:type="pct"/>
                  <w:vAlign w:val="center"/>
                </w:tcPr>
                <w:p w14:paraId="4AF76E7B">
                  <w:pPr>
                    <w:pStyle w:val="79"/>
                    <w:jc w:val="both"/>
                    <w:rPr>
                      <w:rFonts w:eastAsia="Times New Roman"/>
                    </w:rPr>
                  </w:pPr>
                  <w:r>
                    <w:rPr>
                      <w:rFonts w:hint="eastAsia" w:eastAsia="Times New Roman"/>
                    </w:rPr>
                    <w:t>2</w:t>
                  </w:r>
                  <w:r>
                    <w:rPr>
                      <w:rFonts w:hint="eastAsia" w:ascii="宋体" w:hAnsi="宋体" w:eastAsia="Times New Roman" w:cs="宋体"/>
                    </w:rPr>
                    <w:t>、化工、制糖、造纸、缫丝纺织类项目应优先考虑在中心工业园布局；建材企业应远离居民区。制药、</w:t>
                  </w:r>
                  <w:r>
                    <w:rPr>
                      <w:rFonts w:hint="eastAsia" w:eastAsia="Times New Roman"/>
                    </w:rPr>
                    <w:t xml:space="preserve"> </w:t>
                  </w:r>
                  <w:r>
                    <w:rPr>
                      <w:rFonts w:hint="eastAsia" w:ascii="宋体" w:hAnsi="宋体" w:eastAsia="Times New Roman" w:cs="宋体"/>
                    </w:rPr>
                    <w:t>食品类项目应与重污染项目保持适当的防护距离。</w:t>
                  </w:r>
                </w:p>
              </w:tc>
              <w:tc>
                <w:tcPr>
                  <w:tcW w:w="1607" w:type="pct"/>
                  <w:vAlign w:val="center"/>
                </w:tcPr>
                <w:p w14:paraId="11564EB6">
                  <w:pPr>
                    <w:pStyle w:val="79"/>
                    <w:jc w:val="both"/>
                    <w:rPr>
                      <w:rFonts w:eastAsia="Times New Roman"/>
                    </w:rPr>
                  </w:pPr>
                  <w:r>
                    <w:rPr>
                      <w:rFonts w:hint="eastAsia" w:ascii="宋体" w:hAnsi="宋体" w:eastAsia="Times New Roman" w:cs="宋体"/>
                    </w:rPr>
                    <w:t>项目为</w:t>
                  </w:r>
                  <w:r>
                    <w:rPr>
                      <w:rFonts w:hint="eastAsia" w:eastAsia="Times New Roman"/>
                    </w:rPr>
                    <w:t>C3670</w:t>
                  </w:r>
                  <w:r>
                    <w:rPr>
                      <w:rFonts w:hint="eastAsia" w:ascii="宋体" w:hAnsi="宋体" w:eastAsia="Times New Roman" w:cs="宋体"/>
                    </w:rPr>
                    <w:t>汽车零部件及配件制</w:t>
                  </w:r>
                  <w:r>
                    <w:rPr>
                      <w:rFonts w:hint="eastAsia" w:eastAsia="Times New Roman"/>
                    </w:rPr>
                    <w:t>造</w:t>
                  </w:r>
                  <w:r>
                    <w:rPr>
                      <w:rFonts w:hint="eastAsia" w:ascii="宋体" w:hAnsi="宋体" w:eastAsia="Times New Roman" w:cs="宋体"/>
                    </w:rPr>
                    <w:t>，</w:t>
                  </w:r>
                  <w:r>
                    <w:rPr>
                      <w:rFonts w:hint="eastAsia" w:eastAsia="Times New Roman"/>
                    </w:rPr>
                    <w:t>且位于鹿寨高新技术产业开发区，周边主要为工业用地</w:t>
                  </w:r>
                  <w:r>
                    <w:rPr>
                      <w:rFonts w:hint="eastAsia" w:ascii="宋体" w:hAnsi="宋体" w:eastAsia="Times New Roman" w:cs="宋体"/>
                    </w:rPr>
                    <w:t>。</w:t>
                  </w:r>
                </w:p>
              </w:tc>
              <w:tc>
                <w:tcPr>
                  <w:tcW w:w="456" w:type="pct"/>
                  <w:vMerge w:val="continue"/>
                  <w:vAlign w:val="center"/>
                </w:tcPr>
                <w:p w14:paraId="3716506B">
                  <w:pPr>
                    <w:pStyle w:val="79"/>
                    <w:rPr>
                      <w:rFonts w:eastAsia="Times New Roman"/>
                    </w:rPr>
                  </w:pPr>
                </w:p>
              </w:tc>
            </w:tr>
            <w:tr w14:paraId="71888FC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268AD004">
                  <w:pPr>
                    <w:pStyle w:val="79"/>
                    <w:rPr>
                      <w:rFonts w:eastAsia="Times New Roman"/>
                    </w:rPr>
                  </w:pPr>
                </w:p>
              </w:tc>
              <w:tc>
                <w:tcPr>
                  <w:tcW w:w="2621" w:type="pct"/>
                  <w:vAlign w:val="center"/>
                </w:tcPr>
                <w:p w14:paraId="365AFBCD">
                  <w:pPr>
                    <w:pStyle w:val="79"/>
                    <w:jc w:val="both"/>
                    <w:rPr>
                      <w:rFonts w:eastAsia="Times New Roman"/>
                    </w:rPr>
                  </w:pPr>
                  <w:r>
                    <w:rPr>
                      <w:rFonts w:hint="eastAsia" w:eastAsia="Times New Roman"/>
                    </w:rPr>
                    <w:t>3</w:t>
                  </w:r>
                  <w:r>
                    <w:rPr>
                      <w:rFonts w:hint="eastAsia" w:ascii="宋体" w:hAnsi="宋体" w:eastAsia="Times New Roman" w:cs="宋体"/>
                    </w:rPr>
                    <w:t>、江口工业园规划期内的建设方案应与生态红线协调，不得侵占生态红线范围。若江口工业园与划定的</w:t>
                  </w:r>
                  <w:r>
                    <w:rPr>
                      <w:rFonts w:hint="eastAsia" w:eastAsia="Times New Roman"/>
                    </w:rPr>
                    <w:t xml:space="preserve"> </w:t>
                  </w:r>
                  <w:r>
                    <w:rPr>
                      <w:rFonts w:hint="eastAsia" w:ascii="宋体" w:hAnsi="宋体" w:eastAsia="Times New Roman" w:cs="宋体"/>
                    </w:rPr>
                    <w:t>生态红线存在冲突，应对规划方案实施退让调整。</w:t>
                  </w:r>
                </w:p>
              </w:tc>
              <w:tc>
                <w:tcPr>
                  <w:tcW w:w="1607" w:type="pct"/>
                  <w:vAlign w:val="center"/>
                </w:tcPr>
                <w:p w14:paraId="5B7AB2D9">
                  <w:pPr>
                    <w:pStyle w:val="79"/>
                    <w:jc w:val="both"/>
                    <w:rPr>
                      <w:rFonts w:eastAsia="Times New Roman"/>
                    </w:rPr>
                  </w:pPr>
                  <w:r>
                    <w:rPr>
                      <w:rFonts w:hint="eastAsia" w:eastAsia="Times New Roman"/>
                    </w:rPr>
                    <w:t>项目不在江口工业园范围内。</w:t>
                  </w:r>
                </w:p>
              </w:tc>
              <w:tc>
                <w:tcPr>
                  <w:tcW w:w="456" w:type="pct"/>
                  <w:vMerge w:val="restart"/>
                  <w:vAlign w:val="center"/>
                </w:tcPr>
                <w:p w14:paraId="0D2C24B3">
                  <w:pPr>
                    <w:pStyle w:val="79"/>
                    <w:rPr>
                      <w:rFonts w:eastAsia="Times New Roman"/>
                    </w:rPr>
                  </w:pPr>
                  <w:r>
                    <w:rPr>
                      <w:rFonts w:hint="eastAsia" w:ascii="宋体" w:hAnsi="宋体" w:eastAsia="Times New Roman" w:cs="宋体"/>
                    </w:rPr>
                    <w:t>符合</w:t>
                  </w:r>
                </w:p>
              </w:tc>
            </w:tr>
            <w:tr w14:paraId="2124AB0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1F010B08">
                  <w:pPr>
                    <w:pStyle w:val="79"/>
                    <w:rPr>
                      <w:rFonts w:eastAsia="Times New Roman"/>
                    </w:rPr>
                  </w:pPr>
                </w:p>
              </w:tc>
              <w:tc>
                <w:tcPr>
                  <w:tcW w:w="2621" w:type="pct"/>
                  <w:vAlign w:val="center"/>
                </w:tcPr>
                <w:p w14:paraId="0610F2DF">
                  <w:pPr>
                    <w:pStyle w:val="79"/>
                    <w:jc w:val="both"/>
                    <w:rPr>
                      <w:rFonts w:eastAsia="Times New Roman"/>
                    </w:rPr>
                  </w:pPr>
                  <w:r>
                    <w:rPr>
                      <w:rFonts w:hint="eastAsia" w:eastAsia="Times New Roman"/>
                    </w:rPr>
                    <w:t>4</w:t>
                  </w:r>
                  <w:r>
                    <w:rPr>
                      <w:rFonts w:hint="eastAsia" w:ascii="宋体" w:hAnsi="宋体" w:eastAsia="Times New Roman" w:cs="宋体"/>
                    </w:rPr>
                    <w:t>、严禁随意调整用地范围和布局，占用生态公益林。</w:t>
                  </w:r>
                </w:p>
              </w:tc>
              <w:tc>
                <w:tcPr>
                  <w:tcW w:w="1607" w:type="pct"/>
                  <w:vAlign w:val="center"/>
                </w:tcPr>
                <w:p w14:paraId="53421AFE">
                  <w:pPr>
                    <w:pStyle w:val="79"/>
                    <w:jc w:val="both"/>
                    <w:rPr>
                      <w:rFonts w:eastAsia="Times New Roman"/>
                    </w:rPr>
                  </w:pPr>
                  <w:r>
                    <w:rPr>
                      <w:rFonts w:hint="eastAsia" w:eastAsia="Times New Roman"/>
                    </w:rPr>
                    <w:t>项目租用现有厂房进行建设，不新增用地，用地性质属于工业用地，不占用林地。</w:t>
                  </w:r>
                </w:p>
              </w:tc>
              <w:tc>
                <w:tcPr>
                  <w:tcW w:w="456" w:type="pct"/>
                  <w:vMerge w:val="continue"/>
                  <w:vAlign w:val="center"/>
                </w:tcPr>
                <w:p w14:paraId="2A127524">
                  <w:pPr>
                    <w:pStyle w:val="79"/>
                    <w:rPr>
                      <w:rFonts w:eastAsia="Times New Roman"/>
                    </w:rPr>
                  </w:pPr>
                </w:p>
              </w:tc>
            </w:tr>
            <w:tr w14:paraId="3E994AA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16C17021">
                  <w:pPr>
                    <w:pStyle w:val="79"/>
                    <w:rPr>
                      <w:rFonts w:eastAsia="Times New Roman"/>
                    </w:rPr>
                  </w:pPr>
                </w:p>
              </w:tc>
              <w:tc>
                <w:tcPr>
                  <w:tcW w:w="2621" w:type="pct"/>
                  <w:vAlign w:val="center"/>
                </w:tcPr>
                <w:p w14:paraId="15F753E5">
                  <w:pPr>
                    <w:pStyle w:val="79"/>
                    <w:jc w:val="both"/>
                    <w:rPr>
                      <w:rFonts w:eastAsia="Times New Roman"/>
                    </w:rPr>
                  </w:pPr>
                  <w:r>
                    <w:rPr>
                      <w:rFonts w:hint="eastAsia" w:eastAsia="Times New Roman"/>
                    </w:rPr>
                    <w:t>5</w:t>
                  </w:r>
                  <w:r>
                    <w:rPr>
                      <w:rFonts w:hint="eastAsia" w:ascii="宋体" w:hAnsi="宋体" w:eastAsia="Times New Roman" w:cs="宋体"/>
                    </w:rPr>
                    <w:t>、严格保护洛清江、石榴河和柳江的水域及两岸生态环境，严禁施工占地肆意破坏现状环境，避免水土流失。</w:t>
                  </w:r>
                </w:p>
              </w:tc>
              <w:tc>
                <w:tcPr>
                  <w:tcW w:w="1607" w:type="pct"/>
                  <w:vAlign w:val="center"/>
                </w:tcPr>
                <w:p w14:paraId="4C5A2A9E">
                  <w:pPr>
                    <w:pStyle w:val="79"/>
                    <w:jc w:val="both"/>
                    <w:rPr>
                      <w:rFonts w:eastAsia="Times New Roman"/>
                    </w:rPr>
                  </w:pPr>
                  <w:r>
                    <w:rPr>
                      <w:rFonts w:hint="eastAsia" w:eastAsia="Times New Roman"/>
                    </w:rPr>
                    <w:t>项目租用现有厂房进行建设，不新增用地，用地性质属于工业用地，不占用林地。</w:t>
                  </w:r>
                </w:p>
              </w:tc>
              <w:tc>
                <w:tcPr>
                  <w:tcW w:w="456" w:type="pct"/>
                  <w:vMerge w:val="continue"/>
                  <w:vAlign w:val="center"/>
                </w:tcPr>
                <w:p w14:paraId="3A21D29B">
                  <w:pPr>
                    <w:pStyle w:val="79"/>
                    <w:rPr>
                      <w:rFonts w:eastAsia="Times New Roman"/>
                    </w:rPr>
                  </w:pPr>
                </w:p>
              </w:tc>
            </w:tr>
            <w:tr w14:paraId="0E74128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19D24B1B">
                  <w:pPr>
                    <w:pStyle w:val="79"/>
                    <w:rPr>
                      <w:rFonts w:eastAsia="Times New Roman"/>
                    </w:rPr>
                  </w:pPr>
                </w:p>
              </w:tc>
              <w:tc>
                <w:tcPr>
                  <w:tcW w:w="2621" w:type="pct"/>
                  <w:vAlign w:val="center"/>
                </w:tcPr>
                <w:p w14:paraId="3397FB23">
                  <w:pPr>
                    <w:pStyle w:val="79"/>
                    <w:jc w:val="both"/>
                    <w:rPr>
                      <w:rFonts w:eastAsia="Times New Roman"/>
                    </w:rPr>
                  </w:pPr>
                  <w:r>
                    <w:rPr>
                      <w:rFonts w:hint="eastAsia" w:eastAsia="Times New Roman"/>
                    </w:rPr>
                    <w:t>6</w:t>
                  </w:r>
                  <w:r>
                    <w:rPr>
                      <w:rFonts w:hint="eastAsia" w:ascii="宋体" w:hAnsi="宋体" w:eastAsia="Times New Roman" w:cs="宋体"/>
                    </w:rPr>
                    <w:t>、产业园区管理机构应将规划环评结论及审查意见落实到规划中，负责统筹区域内生态环境基础设施建设，不得引入不符合规划环评结论及审查意见的项目入园。加快布局分散的企业向园区集中。</w:t>
                  </w:r>
                </w:p>
              </w:tc>
              <w:tc>
                <w:tcPr>
                  <w:tcW w:w="1607" w:type="pct"/>
                  <w:vAlign w:val="center"/>
                </w:tcPr>
                <w:p w14:paraId="688A4D9F">
                  <w:pPr>
                    <w:pStyle w:val="79"/>
                    <w:jc w:val="both"/>
                    <w:rPr>
                      <w:rFonts w:eastAsia="Times New Roman"/>
                    </w:rPr>
                  </w:pPr>
                  <w:r>
                    <w:rPr>
                      <w:rFonts w:hint="eastAsia" w:ascii="宋体" w:hAnsi="宋体" w:eastAsia="Times New Roman" w:cs="宋体"/>
                    </w:rPr>
                    <w:t>根据表</w:t>
                  </w:r>
                  <w:r>
                    <w:rPr>
                      <w:rFonts w:hint="eastAsia" w:eastAsia="Times New Roman"/>
                    </w:rPr>
                    <w:t>1-1</w:t>
                  </w:r>
                  <w:r>
                    <w:rPr>
                      <w:rFonts w:hint="eastAsia" w:ascii="宋体" w:hAnsi="宋体" w:eastAsia="Times New Roman" w:cs="宋体"/>
                    </w:rPr>
                    <w:t>、</w:t>
                  </w:r>
                  <w:r>
                    <w:rPr>
                      <w:rFonts w:hint="eastAsia" w:eastAsia="Times New Roman"/>
                    </w:rPr>
                    <w:t>1-2</w:t>
                  </w:r>
                  <w:r>
                    <w:rPr>
                      <w:rFonts w:hint="eastAsia" w:ascii="宋体" w:hAnsi="宋体" w:eastAsia="Times New Roman" w:cs="宋体"/>
                    </w:rPr>
                    <w:t>、</w:t>
                  </w:r>
                  <w:r>
                    <w:rPr>
                      <w:rFonts w:hint="eastAsia" w:eastAsia="Times New Roman"/>
                    </w:rPr>
                    <w:t>1-3</w:t>
                  </w:r>
                  <w:r>
                    <w:rPr>
                      <w:rFonts w:hint="eastAsia" w:ascii="宋体" w:hAnsi="宋体" w:eastAsia="Times New Roman" w:cs="宋体"/>
                    </w:rPr>
                    <w:t>可知，项目符合规划环评结论及审查意见要求。</w:t>
                  </w:r>
                </w:p>
              </w:tc>
              <w:tc>
                <w:tcPr>
                  <w:tcW w:w="456" w:type="pct"/>
                  <w:vMerge w:val="continue"/>
                  <w:vAlign w:val="center"/>
                </w:tcPr>
                <w:p w14:paraId="1CD0B9C9">
                  <w:pPr>
                    <w:pStyle w:val="79"/>
                    <w:rPr>
                      <w:rFonts w:eastAsia="Times New Roman"/>
                    </w:rPr>
                  </w:pPr>
                </w:p>
              </w:tc>
            </w:tr>
            <w:tr w14:paraId="5E5294D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15F6F1CD">
                  <w:pPr>
                    <w:pStyle w:val="79"/>
                    <w:rPr>
                      <w:rFonts w:eastAsia="Times New Roman"/>
                    </w:rPr>
                  </w:pPr>
                </w:p>
              </w:tc>
              <w:tc>
                <w:tcPr>
                  <w:tcW w:w="2621" w:type="pct"/>
                  <w:vAlign w:val="center"/>
                </w:tcPr>
                <w:p w14:paraId="3DA70084">
                  <w:pPr>
                    <w:pStyle w:val="79"/>
                    <w:jc w:val="both"/>
                    <w:rPr>
                      <w:rFonts w:eastAsia="Times New Roman"/>
                    </w:rPr>
                  </w:pPr>
                  <w:r>
                    <w:rPr>
                      <w:rFonts w:hint="eastAsia" w:eastAsia="Times New Roman"/>
                    </w:rPr>
                    <w:t>7</w:t>
                  </w:r>
                  <w:r>
                    <w:rPr>
                      <w:rFonts w:hint="eastAsia" w:ascii="宋体" w:hAnsi="宋体" w:eastAsia="Times New Roman" w:cs="宋体"/>
                    </w:rPr>
                    <w:t>、强化源头管控，新上项目能效需达到国家、</w:t>
                  </w:r>
                  <w:r>
                    <w:rPr>
                      <w:rFonts w:hint="eastAsia" w:eastAsia="Times New Roman"/>
                    </w:rPr>
                    <w:t xml:space="preserve"> </w:t>
                  </w:r>
                  <w:r>
                    <w:rPr>
                      <w:rFonts w:hint="eastAsia" w:ascii="宋体" w:hAnsi="宋体" w:eastAsia="Times New Roman" w:cs="宋体"/>
                    </w:rPr>
                    <w:t>自治区相关标准要求。</w:t>
                  </w:r>
                </w:p>
              </w:tc>
              <w:tc>
                <w:tcPr>
                  <w:tcW w:w="1607" w:type="pct"/>
                  <w:vAlign w:val="center"/>
                </w:tcPr>
                <w:p w14:paraId="4ACBA6E3">
                  <w:pPr>
                    <w:pStyle w:val="79"/>
                    <w:jc w:val="both"/>
                    <w:rPr>
                      <w:rFonts w:eastAsia="Times New Roman"/>
                    </w:rPr>
                  </w:pPr>
                  <w:r>
                    <w:rPr>
                      <w:rFonts w:hint="eastAsia" w:ascii="宋体" w:hAnsi="宋体" w:eastAsia="Times New Roman" w:cs="宋体"/>
                    </w:rPr>
                    <w:t>项目产污从源头控制，选用低</w:t>
                  </w:r>
                  <w:r>
                    <w:rPr>
                      <w:rFonts w:hint="eastAsia" w:eastAsia="Times New Roman"/>
                    </w:rPr>
                    <w:t>VOCs</w:t>
                  </w:r>
                  <w:r>
                    <w:rPr>
                      <w:rFonts w:hint="eastAsia" w:ascii="宋体" w:hAnsi="宋体" w:eastAsia="Times New Roman" w:cs="宋体"/>
                    </w:rPr>
                    <w:t>含量原辅材，产生的废气经处理后均能达标排放，项目能效需达到国家、</w:t>
                  </w:r>
                  <w:r>
                    <w:rPr>
                      <w:rFonts w:hint="eastAsia" w:eastAsia="Times New Roman"/>
                    </w:rPr>
                    <w:t xml:space="preserve"> </w:t>
                  </w:r>
                  <w:r>
                    <w:rPr>
                      <w:rFonts w:hint="eastAsia" w:ascii="宋体" w:hAnsi="宋体" w:eastAsia="Times New Roman" w:cs="宋体"/>
                    </w:rPr>
                    <w:t>自治区相关标准要求。</w:t>
                  </w:r>
                </w:p>
              </w:tc>
              <w:tc>
                <w:tcPr>
                  <w:tcW w:w="456" w:type="pct"/>
                  <w:vMerge w:val="continue"/>
                  <w:vAlign w:val="center"/>
                </w:tcPr>
                <w:p w14:paraId="01CE31A1">
                  <w:pPr>
                    <w:pStyle w:val="79"/>
                    <w:rPr>
                      <w:rFonts w:eastAsia="Times New Roman"/>
                    </w:rPr>
                  </w:pPr>
                </w:p>
              </w:tc>
            </w:tr>
            <w:tr w14:paraId="20C0351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21244A5C">
                  <w:pPr>
                    <w:pStyle w:val="79"/>
                    <w:rPr>
                      <w:rFonts w:eastAsia="Times New Roman"/>
                    </w:rPr>
                  </w:pPr>
                </w:p>
              </w:tc>
              <w:tc>
                <w:tcPr>
                  <w:tcW w:w="2621" w:type="pct"/>
                  <w:vAlign w:val="center"/>
                </w:tcPr>
                <w:p w14:paraId="08455E87">
                  <w:pPr>
                    <w:pStyle w:val="79"/>
                    <w:jc w:val="both"/>
                    <w:rPr>
                      <w:rFonts w:eastAsia="Times New Roman"/>
                    </w:rPr>
                  </w:pPr>
                  <w:r>
                    <w:rPr>
                      <w:rFonts w:hint="eastAsia" w:eastAsia="Times New Roman"/>
                    </w:rPr>
                    <w:t>8</w:t>
                  </w:r>
                  <w:r>
                    <w:rPr>
                      <w:rFonts w:hint="eastAsia" w:ascii="宋体" w:hAnsi="宋体" w:eastAsia="Times New Roman" w:cs="宋体"/>
                    </w:rPr>
                    <w:t>、新建石化和化工项目应符合自治区石化和化工产业发展相关规划、国土空间规划的要求。</w:t>
                  </w:r>
                </w:p>
              </w:tc>
              <w:tc>
                <w:tcPr>
                  <w:tcW w:w="1607" w:type="pct"/>
                  <w:vAlign w:val="center"/>
                </w:tcPr>
                <w:p w14:paraId="68480FDF">
                  <w:pPr>
                    <w:pStyle w:val="79"/>
                    <w:jc w:val="both"/>
                    <w:rPr>
                      <w:rFonts w:eastAsia="Times New Roman"/>
                    </w:rPr>
                  </w:pPr>
                  <w:r>
                    <w:rPr>
                      <w:rFonts w:hint="eastAsia" w:ascii="宋体" w:hAnsi="宋体" w:eastAsia="Times New Roman" w:cs="宋体"/>
                    </w:rPr>
                    <w:t>项目不属于石化和化工项目。</w:t>
                  </w:r>
                </w:p>
              </w:tc>
              <w:tc>
                <w:tcPr>
                  <w:tcW w:w="456" w:type="pct"/>
                  <w:vMerge w:val="continue"/>
                  <w:vAlign w:val="center"/>
                </w:tcPr>
                <w:p w14:paraId="2F95CC02">
                  <w:pPr>
                    <w:pStyle w:val="79"/>
                    <w:rPr>
                      <w:rFonts w:eastAsia="Times New Roman"/>
                    </w:rPr>
                  </w:pPr>
                </w:p>
              </w:tc>
            </w:tr>
            <w:tr w14:paraId="07E3061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08C11DA1">
                  <w:pPr>
                    <w:pStyle w:val="79"/>
                    <w:rPr>
                      <w:rFonts w:eastAsia="Times New Roman"/>
                    </w:rPr>
                  </w:pPr>
                </w:p>
              </w:tc>
              <w:tc>
                <w:tcPr>
                  <w:tcW w:w="2621" w:type="pct"/>
                  <w:vAlign w:val="center"/>
                </w:tcPr>
                <w:p w14:paraId="739A6966">
                  <w:pPr>
                    <w:pStyle w:val="79"/>
                    <w:jc w:val="both"/>
                    <w:rPr>
                      <w:rFonts w:eastAsia="Times New Roman"/>
                    </w:rPr>
                  </w:pPr>
                  <w:r>
                    <w:rPr>
                      <w:rFonts w:hint="eastAsia" w:eastAsia="Times New Roman"/>
                    </w:rPr>
                    <w:t>9</w:t>
                  </w:r>
                  <w:r>
                    <w:rPr>
                      <w:rFonts w:hint="eastAsia" w:ascii="宋体" w:hAnsi="宋体" w:eastAsia="Times New Roman" w:cs="宋体"/>
                    </w:rPr>
                    <w:t>、园区应制定危险化学品</w:t>
                  </w:r>
                  <w:r>
                    <w:rPr>
                      <w:rFonts w:eastAsia="Times New Roman"/>
                    </w:rPr>
                    <w:t>“</w:t>
                  </w:r>
                  <w:r>
                    <w:rPr>
                      <w:rFonts w:hint="eastAsia" w:ascii="宋体" w:hAnsi="宋体" w:eastAsia="Times New Roman" w:cs="宋体"/>
                    </w:rPr>
                    <w:t>禁限控</w:t>
                  </w:r>
                  <w:r>
                    <w:rPr>
                      <w:rFonts w:hint="eastAsia" w:eastAsia="Times New Roman"/>
                    </w:rPr>
                    <w:t xml:space="preserve"> </w:t>
                  </w:r>
                  <w:r>
                    <w:rPr>
                      <w:rFonts w:eastAsia="Times New Roman"/>
                    </w:rPr>
                    <w:t>”</w:t>
                  </w:r>
                  <w:r>
                    <w:rPr>
                      <w:rFonts w:hint="eastAsia" w:ascii="宋体" w:hAnsi="宋体" w:eastAsia="Times New Roman" w:cs="宋体"/>
                    </w:rPr>
                    <w:t>目录及新建石化和化工项目准入条件，严禁限制类（按国家规定允</w:t>
                  </w:r>
                  <w:r>
                    <w:rPr>
                      <w:rFonts w:hint="eastAsia" w:eastAsia="Times New Roman"/>
                    </w:rPr>
                    <w:t xml:space="preserve"> </w:t>
                  </w:r>
                  <w:r>
                    <w:rPr>
                      <w:rFonts w:hint="eastAsia" w:ascii="宋体" w:hAnsi="宋体" w:eastAsia="Times New Roman" w:cs="宋体"/>
                    </w:rPr>
                    <w:t>许产能置换项目除外）和淘汰类项目入园。</w:t>
                  </w:r>
                </w:p>
              </w:tc>
              <w:tc>
                <w:tcPr>
                  <w:tcW w:w="1607" w:type="pct"/>
                  <w:vAlign w:val="center"/>
                </w:tcPr>
                <w:p w14:paraId="05CA6BF0">
                  <w:pPr>
                    <w:pStyle w:val="79"/>
                    <w:jc w:val="both"/>
                    <w:rPr>
                      <w:rFonts w:eastAsia="Times New Roman"/>
                    </w:rPr>
                  </w:pPr>
                  <w:r>
                    <w:rPr>
                      <w:rFonts w:hint="eastAsia" w:ascii="宋体" w:hAnsi="宋体" w:eastAsia="Times New Roman" w:cs="宋体"/>
                    </w:rPr>
                    <w:t>项目不属于危险化学品及石化和化工项目</w:t>
                  </w:r>
                </w:p>
              </w:tc>
              <w:tc>
                <w:tcPr>
                  <w:tcW w:w="456" w:type="pct"/>
                  <w:vMerge w:val="continue"/>
                  <w:vAlign w:val="center"/>
                </w:tcPr>
                <w:p w14:paraId="419B8FA8">
                  <w:pPr>
                    <w:pStyle w:val="79"/>
                    <w:rPr>
                      <w:rFonts w:eastAsia="Times New Roman"/>
                    </w:rPr>
                  </w:pPr>
                </w:p>
              </w:tc>
            </w:tr>
            <w:tr w14:paraId="67ABA63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restart"/>
                  <w:vAlign w:val="center"/>
                </w:tcPr>
                <w:p w14:paraId="2B6D3C9B">
                  <w:pPr>
                    <w:pStyle w:val="79"/>
                    <w:rPr>
                      <w:rFonts w:eastAsia="Times New Roman"/>
                    </w:rPr>
                  </w:pPr>
                  <w:r>
                    <w:rPr>
                      <w:rFonts w:hint="eastAsia" w:ascii="宋体" w:hAnsi="宋体" w:eastAsia="Times New Roman" w:cs="宋体"/>
                    </w:rPr>
                    <w:t>污染物排放管控</w:t>
                  </w:r>
                </w:p>
              </w:tc>
              <w:tc>
                <w:tcPr>
                  <w:tcW w:w="2621" w:type="pct"/>
                  <w:vAlign w:val="center"/>
                </w:tcPr>
                <w:p w14:paraId="18BACC25">
                  <w:pPr>
                    <w:pStyle w:val="79"/>
                    <w:jc w:val="both"/>
                    <w:rPr>
                      <w:rFonts w:eastAsia="Times New Roman"/>
                    </w:rPr>
                  </w:pPr>
                  <w:r>
                    <w:rPr>
                      <w:rFonts w:hint="eastAsia" w:eastAsia="Times New Roman"/>
                    </w:rPr>
                    <w:t>1</w:t>
                  </w:r>
                  <w:r>
                    <w:rPr>
                      <w:rFonts w:hint="eastAsia" w:ascii="宋体" w:hAnsi="宋体" w:eastAsia="Times New Roman" w:cs="宋体"/>
                    </w:rPr>
                    <w:t>、深化园区工业污染治理，持续推进工业污染源全面达标排放，开展烟气高效脱硫脱硝、除尘改造。推</w:t>
                  </w:r>
                  <w:r>
                    <w:rPr>
                      <w:rFonts w:hint="eastAsia" w:eastAsia="Times New Roman"/>
                    </w:rPr>
                    <w:t xml:space="preserve"> </w:t>
                  </w:r>
                  <w:r>
                    <w:rPr>
                      <w:rFonts w:hint="eastAsia" w:ascii="宋体" w:hAnsi="宋体" w:eastAsia="Times New Roman" w:cs="宋体"/>
                    </w:rPr>
                    <w:t>进各类园区技术、工艺、设备等实施能效提升、清洁生产、循环利用等专项技术改造，积极推广园区集中供热。强化园区堆场扬尘控制。推动重点行业</w:t>
                  </w:r>
                  <w:r>
                    <w:rPr>
                      <w:rFonts w:hint="eastAsia" w:eastAsia="Times New Roman"/>
                    </w:rPr>
                    <w:t>VOCs</w:t>
                  </w:r>
                  <w:r>
                    <w:rPr>
                      <w:rFonts w:hint="eastAsia" w:ascii="宋体" w:hAnsi="宋体" w:eastAsia="Times New Roman" w:cs="宋体"/>
                    </w:rPr>
                    <w:t>的排放管控，加强</w:t>
                  </w:r>
                  <w:r>
                    <w:rPr>
                      <w:rFonts w:hint="eastAsia" w:eastAsia="Times New Roman"/>
                    </w:rPr>
                    <w:t xml:space="preserve">VOCs </w:t>
                  </w:r>
                  <w:r>
                    <w:rPr>
                      <w:rFonts w:hint="eastAsia" w:ascii="宋体" w:hAnsi="宋体" w:eastAsia="Times New Roman" w:cs="宋体"/>
                    </w:rPr>
                    <w:t>排放企业源头控制。</w:t>
                  </w:r>
                </w:p>
              </w:tc>
              <w:tc>
                <w:tcPr>
                  <w:tcW w:w="1607" w:type="pct"/>
                  <w:vAlign w:val="center"/>
                </w:tcPr>
                <w:p w14:paraId="51366601">
                  <w:pPr>
                    <w:pStyle w:val="79"/>
                    <w:jc w:val="both"/>
                    <w:rPr>
                      <w:rFonts w:eastAsia="Times New Roman"/>
                    </w:rPr>
                  </w:pPr>
                  <w:r>
                    <w:rPr>
                      <w:rFonts w:hint="eastAsia" w:ascii="宋体" w:hAnsi="宋体" w:eastAsia="Times New Roman" w:cs="宋体"/>
                    </w:rPr>
                    <w:t>项目选用低注塑过程产生的非甲烷总烃采用二级活性炭吸附处理后通过</w:t>
                  </w:r>
                  <w:r>
                    <w:rPr>
                      <w:rFonts w:hint="eastAsia" w:eastAsia="Times New Roman"/>
                    </w:rPr>
                    <w:t>1</w:t>
                  </w:r>
                  <w:r>
                    <w:rPr>
                      <w:rFonts w:hint="eastAsia" w:ascii="宋体" w:hAnsi="宋体" w:eastAsia="Times New Roman" w:cs="宋体"/>
                    </w:rPr>
                    <w:t>根</w:t>
                  </w:r>
                  <w:r>
                    <w:rPr>
                      <w:rFonts w:hint="eastAsia" w:eastAsia="Times New Roman"/>
                    </w:rPr>
                    <w:t>15m</w:t>
                  </w:r>
                  <w:r>
                    <w:rPr>
                      <w:rFonts w:hint="eastAsia" w:ascii="宋体" w:hAnsi="宋体" w:eastAsia="Times New Roman" w:cs="宋体"/>
                    </w:rPr>
                    <w:t>（</w:t>
                  </w:r>
                  <w:r>
                    <w:rPr>
                      <w:rFonts w:hint="eastAsia" w:eastAsia="Times New Roman"/>
                    </w:rPr>
                    <w:t>DA00</w:t>
                  </w:r>
                  <w:r>
                    <w:rPr>
                      <w:rFonts w:hint="eastAsia" w:eastAsiaTheme="minorEastAsia"/>
                    </w:rPr>
                    <w:t>1</w:t>
                  </w:r>
                  <w:r>
                    <w:rPr>
                      <w:rFonts w:hint="eastAsia" w:ascii="宋体" w:hAnsi="宋体" w:eastAsia="Times New Roman" w:cs="宋体"/>
                    </w:rPr>
                    <w:t>）排气筒排放，对周边环境影响不大。</w:t>
                  </w:r>
                </w:p>
              </w:tc>
              <w:tc>
                <w:tcPr>
                  <w:tcW w:w="456" w:type="pct"/>
                  <w:vAlign w:val="center"/>
                </w:tcPr>
                <w:p w14:paraId="2EF427E7">
                  <w:pPr>
                    <w:pStyle w:val="79"/>
                    <w:rPr>
                      <w:rFonts w:eastAsia="Times New Roman"/>
                    </w:rPr>
                  </w:pPr>
                  <w:r>
                    <w:rPr>
                      <w:rFonts w:hint="eastAsia" w:ascii="宋体" w:hAnsi="宋体" w:eastAsia="Times New Roman" w:cs="宋体"/>
                    </w:rPr>
                    <w:t>符合</w:t>
                  </w:r>
                </w:p>
              </w:tc>
            </w:tr>
            <w:tr w14:paraId="4709E00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3F13F833">
                  <w:pPr>
                    <w:pStyle w:val="79"/>
                    <w:rPr>
                      <w:rFonts w:eastAsia="Times New Roman"/>
                    </w:rPr>
                  </w:pPr>
                </w:p>
              </w:tc>
              <w:tc>
                <w:tcPr>
                  <w:tcW w:w="2621" w:type="pct"/>
                  <w:vAlign w:val="center"/>
                </w:tcPr>
                <w:p w14:paraId="7C259829">
                  <w:pPr>
                    <w:pStyle w:val="79"/>
                    <w:jc w:val="both"/>
                    <w:rPr>
                      <w:rFonts w:eastAsia="Times New Roman"/>
                    </w:rPr>
                  </w:pPr>
                  <w:r>
                    <w:rPr>
                      <w:rFonts w:hint="eastAsia" w:eastAsia="Times New Roman"/>
                    </w:rPr>
                    <w:t>2</w:t>
                  </w:r>
                  <w:r>
                    <w:rPr>
                      <w:rFonts w:hint="eastAsia" w:ascii="宋体" w:hAnsi="宋体" w:eastAsia="Times New Roman" w:cs="宋体"/>
                    </w:rPr>
                    <w:t>、继续加强工业集聚区集中式污水处理设施建设，确保已建污水处理设施稳定运行及达标排放。园区集中式污水处理设施总排口安装自动监测设备，并与生态环境主管部门联网。按照</w:t>
                  </w:r>
                  <w:r>
                    <w:rPr>
                      <w:rFonts w:eastAsia="Times New Roman"/>
                    </w:rPr>
                    <w:t>“</w:t>
                  </w:r>
                  <w:r>
                    <w:rPr>
                      <w:rFonts w:hint="eastAsia" w:ascii="宋体" w:hAnsi="宋体" w:eastAsia="Times New Roman" w:cs="宋体"/>
                    </w:rPr>
                    <w:t>清污分流、雨污分流</w:t>
                  </w:r>
                  <w:r>
                    <w:rPr>
                      <w:rFonts w:eastAsia="Times New Roman"/>
                    </w:rPr>
                    <w:t>”</w:t>
                  </w:r>
                  <w:r>
                    <w:rPr>
                      <w:rFonts w:hint="eastAsia" w:ascii="宋体" w:hAnsi="宋体" w:eastAsia="Times New Roman" w:cs="宋体"/>
                    </w:rPr>
                    <w:t>原则，实施废水分类收集、分质处理。</w:t>
                  </w:r>
                </w:p>
              </w:tc>
              <w:tc>
                <w:tcPr>
                  <w:tcW w:w="1607" w:type="pct"/>
                  <w:vAlign w:val="center"/>
                </w:tcPr>
                <w:p w14:paraId="494B62B7">
                  <w:pPr>
                    <w:pStyle w:val="79"/>
                    <w:jc w:val="both"/>
                    <w:rPr>
                      <w:rFonts w:eastAsia="Times New Roman"/>
                    </w:rPr>
                  </w:pPr>
                  <w:r>
                    <w:rPr>
                      <w:rFonts w:hint="eastAsia" w:ascii="宋体" w:hAnsi="宋体" w:eastAsia="Times New Roman" w:cs="宋体"/>
                    </w:rPr>
                    <w:t>项目实施</w:t>
                  </w:r>
                  <w:r>
                    <w:rPr>
                      <w:rFonts w:eastAsia="Times New Roman"/>
                    </w:rPr>
                    <w:t>“</w:t>
                  </w:r>
                  <w:r>
                    <w:rPr>
                      <w:rFonts w:hint="eastAsia" w:ascii="宋体" w:hAnsi="宋体" w:eastAsia="Times New Roman" w:cs="宋体"/>
                    </w:rPr>
                    <w:t>清污分流、雨污分流</w:t>
                  </w:r>
                  <w:r>
                    <w:rPr>
                      <w:rFonts w:eastAsia="Times New Roman"/>
                    </w:rPr>
                    <w:t>”</w:t>
                  </w:r>
                  <w:r>
                    <w:rPr>
                      <w:rFonts w:hint="eastAsia" w:ascii="宋体" w:hAnsi="宋体" w:eastAsia="Times New Roman" w:cs="宋体"/>
                    </w:rPr>
                    <w:t>原则，雨水进入市政管网；</w:t>
                  </w:r>
                  <w:r>
                    <w:rPr>
                      <w:rFonts w:hint="eastAsia" w:eastAsia="Times New Roman"/>
                    </w:rPr>
                    <w:t>生活污水经化粪池处理达标后排入鹿寨县第二污水处理厂。</w:t>
                  </w:r>
                </w:p>
              </w:tc>
              <w:tc>
                <w:tcPr>
                  <w:tcW w:w="456" w:type="pct"/>
                  <w:vMerge w:val="restart"/>
                  <w:vAlign w:val="center"/>
                </w:tcPr>
                <w:p w14:paraId="6C16F034">
                  <w:pPr>
                    <w:pStyle w:val="79"/>
                    <w:rPr>
                      <w:rFonts w:eastAsia="Times New Roman"/>
                    </w:rPr>
                  </w:pPr>
                  <w:r>
                    <w:rPr>
                      <w:rFonts w:hint="eastAsia" w:ascii="宋体" w:hAnsi="宋体" w:eastAsia="Times New Roman" w:cs="宋体"/>
                    </w:rPr>
                    <w:t>符合</w:t>
                  </w:r>
                </w:p>
              </w:tc>
            </w:tr>
            <w:tr w14:paraId="2D5C5FB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60E4E83A">
                  <w:pPr>
                    <w:pStyle w:val="79"/>
                    <w:rPr>
                      <w:rFonts w:eastAsia="Times New Roman"/>
                    </w:rPr>
                  </w:pPr>
                </w:p>
              </w:tc>
              <w:tc>
                <w:tcPr>
                  <w:tcW w:w="2621" w:type="pct"/>
                  <w:vAlign w:val="center"/>
                </w:tcPr>
                <w:p w14:paraId="48ADD7EE">
                  <w:pPr>
                    <w:pStyle w:val="79"/>
                    <w:jc w:val="both"/>
                    <w:rPr>
                      <w:rFonts w:eastAsia="Times New Roman"/>
                    </w:rPr>
                  </w:pPr>
                  <w:r>
                    <w:rPr>
                      <w:rFonts w:hint="eastAsia" w:eastAsia="Times New Roman"/>
                    </w:rPr>
                    <w:t>3、园区及园区企业排放水污染物，要满足国家或者地方规定的水污染物排放标准和重点水污染物排放总量控制指标。</w:t>
                  </w:r>
                </w:p>
              </w:tc>
              <w:tc>
                <w:tcPr>
                  <w:tcW w:w="1607" w:type="pct"/>
                  <w:vAlign w:val="center"/>
                </w:tcPr>
                <w:p w14:paraId="50419DA7">
                  <w:pPr>
                    <w:pStyle w:val="79"/>
                    <w:jc w:val="both"/>
                    <w:rPr>
                      <w:rFonts w:eastAsia="Times New Roman"/>
                    </w:rPr>
                  </w:pPr>
                  <w:r>
                    <w:rPr>
                      <w:rFonts w:hint="eastAsia" w:eastAsia="Times New Roman"/>
                    </w:rPr>
                    <w:t>项目无生产废水排放，</w:t>
                  </w:r>
                  <w:bookmarkStart w:id="17" w:name="OLE_LINK18"/>
                  <w:r>
                    <w:rPr>
                      <w:rFonts w:hint="eastAsia" w:eastAsia="Times New Roman"/>
                    </w:rPr>
                    <w:t>生活污水经化粪池处理达标后排入鹿寨县第二污水处理厂。</w:t>
                  </w:r>
                  <w:bookmarkEnd w:id="17"/>
                </w:p>
              </w:tc>
              <w:tc>
                <w:tcPr>
                  <w:tcW w:w="456" w:type="pct"/>
                  <w:vMerge w:val="continue"/>
                  <w:vAlign w:val="center"/>
                </w:tcPr>
                <w:p w14:paraId="0049E17E">
                  <w:pPr>
                    <w:pStyle w:val="79"/>
                    <w:rPr>
                      <w:rFonts w:eastAsia="Times New Roman"/>
                    </w:rPr>
                  </w:pPr>
                </w:p>
              </w:tc>
            </w:tr>
            <w:tr w14:paraId="30DE4C6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4BD19BA5">
                  <w:pPr>
                    <w:pStyle w:val="79"/>
                    <w:rPr>
                      <w:rFonts w:eastAsia="Times New Roman"/>
                    </w:rPr>
                  </w:pPr>
                </w:p>
              </w:tc>
              <w:tc>
                <w:tcPr>
                  <w:tcW w:w="2621" w:type="pct"/>
                  <w:vAlign w:val="center"/>
                </w:tcPr>
                <w:p w14:paraId="434CE3D4">
                  <w:pPr>
                    <w:pStyle w:val="79"/>
                    <w:jc w:val="both"/>
                    <w:rPr>
                      <w:rFonts w:eastAsia="Times New Roman"/>
                    </w:rPr>
                  </w:pPr>
                  <w:r>
                    <w:rPr>
                      <w:rFonts w:hint="eastAsia" w:eastAsia="Times New Roman"/>
                    </w:rPr>
                    <w:t>4、矿产资源勘查以及采选过程中排土场、露天采场、尾矿库、矿区专用道路、矿山工业场地、沉陷区、矸石场、矿山污染场地等的生态环境保护与治理恢复工作须满足《矿山生态环境保护与恢复治理技术规范（试行）》（HJ651-2013）要求。落实边开采、边保护、边复垦的要求，使新建、在建矿山损毁土地得到全面复垦。</w:t>
                  </w:r>
                </w:p>
              </w:tc>
              <w:tc>
                <w:tcPr>
                  <w:tcW w:w="1607" w:type="pct"/>
                  <w:vAlign w:val="center"/>
                </w:tcPr>
                <w:p w14:paraId="77CD2284">
                  <w:pPr>
                    <w:pStyle w:val="79"/>
                    <w:rPr>
                      <w:rFonts w:eastAsia="Times New Roman"/>
                    </w:rPr>
                  </w:pPr>
                  <w:r>
                    <w:rPr>
                      <w:rFonts w:hint="eastAsia" w:eastAsia="Times New Roman"/>
                    </w:rPr>
                    <w:t>不涉及。</w:t>
                  </w:r>
                </w:p>
              </w:tc>
              <w:tc>
                <w:tcPr>
                  <w:tcW w:w="456" w:type="pct"/>
                  <w:vMerge w:val="continue"/>
                  <w:vAlign w:val="center"/>
                </w:tcPr>
                <w:p w14:paraId="13B20E61">
                  <w:pPr>
                    <w:pStyle w:val="79"/>
                    <w:rPr>
                      <w:rFonts w:eastAsia="Times New Roman"/>
                    </w:rPr>
                  </w:pPr>
                </w:p>
              </w:tc>
            </w:tr>
            <w:tr w14:paraId="4DC0F84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5B269304">
                  <w:pPr>
                    <w:pStyle w:val="79"/>
                    <w:rPr>
                      <w:rFonts w:eastAsia="Times New Roman"/>
                    </w:rPr>
                  </w:pPr>
                </w:p>
              </w:tc>
              <w:tc>
                <w:tcPr>
                  <w:tcW w:w="2621" w:type="pct"/>
                  <w:vAlign w:val="center"/>
                </w:tcPr>
                <w:p w14:paraId="71E2DABD">
                  <w:pPr>
                    <w:pStyle w:val="79"/>
                    <w:jc w:val="both"/>
                    <w:rPr>
                      <w:rFonts w:eastAsia="Times New Roman"/>
                    </w:rPr>
                  </w:pPr>
                  <w:r>
                    <w:rPr>
                      <w:rFonts w:hint="eastAsia" w:eastAsia="Times New Roman"/>
                    </w:rPr>
                    <w:t>5、加快实施低VOCs含量原辅材料替代。园区内溶剂型涂料、油墨、胶粘剂、清洗剂使用企业制定低VOCs 含量原辅材料替代计划。全面推进汽车整车制造底漆、中涂、色漆使用低VOCs含量涂料；在汽车零部件技术成熟的工艺环节，大力推广使用低VOCs含量涂料。</w:t>
                  </w:r>
                </w:p>
              </w:tc>
              <w:tc>
                <w:tcPr>
                  <w:tcW w:w="1607" w:type="pct"/>
                  <w:vAlign w:val="center"/>
                </w:tcPr>
                <w:p w14:paraId="26EE8025">
                  <w:pPr>
                    <w:pStyle w:val="79"/>
                    <w:jc w:val="both"/>
                    <w:rPr>
                      <w:rFonts w:eastAsia="Times New Roman"/>
                    </w:rPr>
                  </w:pPr>
                  <w:r>
                    <w:rPr>
                      <w:rFonts w:hint="eastAsia" w:ascii="宋体" w:hAnsi="宋体" w:eastAsia="Times New Roman" w:cs="宋体"/>
                    </w:rPr>
                    <w:t>项目选用低注塑过程产生的非甲烷总烃采用二级活性炭吸附处理后通过</w:t>
                  </w:r>
                  <w:r>
                    <w:rPr>
                      <w:rFonts w:hint="eastAsia" w:eastAsia="Times New Roman"/>
                    </w:rPr>
                    <w:t>1</w:t>
                  </w:r>
                  <w:r>
                    <w:rPr>
                      <w:rFonts w:hint="eastAsia" w:ascii="宋体" w:hAnsi="宋体" w:eastAsia="Times New Roman" w:cs="宋体"/>
                    </w:rPr>
                    <w:t>根</w:t>
                  </w:r>
                  <w:r>
                    <w:rPr>
                      <w:rFonts w:hint="eastAsia" w:eastAsia="Times New Roman"/>
                    </w:rPr>
                    <w:t>15m</w:t>
                  </w:r>
                  <w:r>
                    <w:rPr>
                      <w:rFonts w:hint="eastAsia" w:ascii="宋体" w:hAnsi="宋体" w:eastAsia="Times New Roman" w:cs="宋体"/>
                    </w:rPr>
                    <w:t>（</w:t>
                  </w:r>
                  <w:r>
                    <w:rPr>
                      <w:rFonts w:hint="eastAsia" w:eastAsia="Times New Roman"/>
                    </w:rPr>
                    <w:t>DA00</w:t>
                  </w:r>
                  <w:r>
                    <w:rPr>
                      <w:rFonts w:hint="eastAsia" w:eastAsiaTheme="minorEastAsia"/>
                    </w:rPr>
                    <w:t>1</w:t>
                  </w:r>
                  <w:r>
                    <w:rPr>
                      <w:rFonts w:hint="eastAsia" w:ascii="宋体" w:hAnsi="宋体" w:eastAsia="Times New Roman" w:cs="宋体"/>
                    </w:rPr>
                    <w:t>）排气筒排放，对周边环境影响不大。</w:t>
                  </w:r>
                </w:p>
              </w:tc>
              <w:tc>
                <w:tcPr>
                  <w:tcW w:w="456" w:type="pct"/>
                  <w:vMerge w:val="continue"/>
                  <w:vAlign w:val="center"/>
                </w:tcPr>
                <w:p w14:paraId="26B6CC1B">
                  <w:pPr>
                    <w:pStyle w:val="79"/>
                    <w:rPr>
                      <w:rFonts w:eastAsia="Times New Roman"/>
                    </w:rPr>
                  </w:pPr>
                </w:p>
              </w:tc>
            </w:tr>
            <w:tr w14:paraId="0125C3E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7F01BF24">
                  <w:pPr>
                    <w:pStyle w:val="79"/>
                    <w:rPr>
                      <w:rFonts w:eastAsia="Times New Roman"/>
                    </w:rPr>
                  </w:pPr>
                </w:p>
              </w:tc>
              <w:tc>
                <w:tcPr>
                  <w:tcW w:w="2621" w:type="pct"/>
                  <w:vAlign w:val="center"/>
                </w:tcPr>
                <w:p w14:paraId="010EB1E2">
                  <w:pPr>
                    <w:pStyle w:val="79"/>
                    <w:jc w:val="both"/>
                    <w:rPr>
                      <w:rFonts w:eastAsia="Times New Roman"/>
                    </w:rPr>
                  </w:pPr>
                  <w:r>
                    <w:rPr>
                      <w:rFonts w:hint="eastAsia" w:eastAsia="Times New Roman"/>
                    </w:rPr>
                    <w:t>6、新建石化和化工生产项目污染物排放必须同时满足污染物排放标准和主要污染物总量控制要求。</w:t>
                  </w:r>
                </w:p>
              </w:tc>
              <w:tc>
                <w:tcPr>
                  <w:tcW w:w="1607" w:type="pct"/>
                  <w:vAlign w:val="center"/>
                </w:tcPr>
                <w:p w14:paraId="2BCACA80">
                  <w:pPr>
                    <w:pStyle w:val="79"/>
                    <w:jc w:val="both"/>
                    <w:rPr>
                      <w:rFonts w:eastAsia="Times New Roman"/>
                    </w:rPr>
                  </w:pPr>
                  <w:r>
                    <w:rPr>
                      <w:rFonts w:hint="eastAsia" w:eastAsia="Times New Roman"/>
                    </w:rPr>
                    <w:t>项目不属于石化和化工项目。</w:t>
                  </w:r>
                </w:p>
              </w:tc>
              <w:tc>
                <w:tcPr>
                  <w:tcW w:w="456" w:type="pct"/>
                  <w:vMerge w:val="continue"/>
                  <w:vAlign w:val="center"/>
                </w:tcPr>
                <w:p w14:paraId="1DC7481A">
                  <w:pPr>
                    <w:pStyle w:val="79"/>
                    <w:rPr>
                      <w:rFonts w:eastAsia="Times New Roman"/>
                    </w:rPr>
                  </w:pPr>
                </w:p>
              </w:tc>
            </w:tr>
            <w:tr w14:paraId="7E64B08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20D87A4D">
                  <w:pPr>
                    <w:pStyle w:val="79"/>
                    <w:rPr>
                      <w:rFonts w:eastAsia="Times New Roman"/>
                    </w:rPr>
                  </w:pPr>
                </w:p>
              </w:tc>
              <w:tc>
                <w:tcPr>
                  <w:tcW w:w="2621" w:type="pct"/>
                  <w:vAlign w:val="center"/>
                </w:tcPr>
                <w:p w14:paraId="2BD898DB">
                  <w:pPr>
                    <w:pStyle w:val="79"/>
                    <w:jc w:val="both"/>
                    <w:rPr>
                      <w:rFonts w:eastAsia="Times New Roman"/>
                    </w:rPr>
                  </w:pPr>
                  <w:r>
                    <w:rPr>
                      <w:rFonts w:hint="eastAsia" w:eastAsia="Times New Roman"/>
                    </w:rPr>
                    <w:t>7、新建石化和化工生产项目应配套固废综合利用或无害化处理设施，危险废物应按照国家及自治区相关危险废物的管理规定进行贮存、转移、安全处置。涉及有毒、有害物质的重点场所或者重点设施设备，应进行防渗漏设计和建设，消除土壤和地下水污染隐患。</w:t>
                  </w:r>
                </w:p>
              </w:tc>
              <w:tc>
                <w:tcPr>
                  <w:tcW w:w="1607" w:type="pct"/>
                  <w:vAlign w:val="center"/>
                </w:tcPr>
                <w:p w14:paraId="2F6CCBB9">
                  <w:pPr>
                    <w:pStyle w:val="79"/>
                    <w:jc w:val="both"/>
                    <w:rPr>
                      <w:rFonts w:eastAsia="Times New Roman"/>
                    </w:rPr>
                  </w:pPr>
                  <w:r>
                    <w:rPr>
                      <w:rFonts w:hint="eastAsia" w:eastAsia="Times New Roman"/>
                    </w:rPr>
                    <w:t>项目不属于石化和化工项目。</w:t>
                  </w:r>
                </w:p>
              </w:tc>
              <w:tc>
                <w:tcPr>
                  <w:tcW w:w="456" w:type="pct"/>
                  <w:vMerge w:val="continue"/>
                  <w:vAlign w:val="center"/>
                </w:tcPr>
                <w:p w14:paraId="7BD03A97">
                  <w:pPr>
                    <w:pStyle w:val="79"/>
                    <w:rPr>
                      <w:rFonts w:eastAsia="Times New Roman"/>
                    </w:rPr>
                  </w:pPr>
                </w:p>
              </w:tc>
            </w:tr>
            <w:tr w14:paraId="31E56C8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restart"/>
                  <w:vAlign w:val="center"/>
                </w:tcPr>
                <w:p w14:paraId="77D45C97">
                  <w:pPr>
                    <w:pStyle w:val="79"/>
                    <w:rPr>
                      <w:rFonts w:eastAsia="Times New Roman"/>
                    </w:rPr>
                  </w:pPr>
                  <w:r>
                    <w:rPr>
                      <w:rFonts w:hint="eastAsia" w:ascii="宋体" w:hAnsi="宋体" w:eastAsia="Times New Roman" w:cs="宋体"/>
                    </w:rPr>
                    <w:t>环境风险防控</w:t>
                  </w:r>
                </w:p>
              </w:tc>
              <w:tc>
                <w:tcPr>
                  <w:tcW w:w="2621" w:type="pct"/>
                  <w:vAlign w:val="center"/>
                </w:tcPr>
                <w:p w14:paraId="28F10651">
                  <w:pPr>
                    <w:pStyle w:val="79"/>
                    <w:jc w:val="both"/>
                    <w:rPr>
                      <w:rFonts w:eastAsia="Times New Roman"/>
                    </w:rPr>
                  </w:pPr>
                  <w:r>
                    <w:rPr>
                      <w:rFonts w:hint="eastAsia" w:eastAsia="Times New Roman"/>
                    </w:rPr>
                    <w:t>1</w:t>
                  </w:r>
                  <w:r>
                    <w:rPr>
                      <w:rFonts w:hint="eastAsia" w:ascii="宋体" w:hAnsi="宋体" w:eastAsia="Times New Roman" w:cs="宋体"/>
                    </w:rPr>
                    <w:t>、园区应根据环境风险源情况及环境风险评估要求，制定突发环境事件应急预案并备案，配备应急能力和物资，建设环境应急队伍，并定期演练，建设环境风险监测监控和预警体系，实现对主要风险因子的</w:t>
                  </w:r>
                  <w:r>
                    <w:rPr>
                      <w:rFonts w:hint="eastAsia" w:eastAsia="Times New Roman"/>
                    </w:rPr>
                    <w:t xml:space="preserve"> </w:t>
                  </w:r>
                  <w:r>
                    <w:rPr>
                      <w:rFonts w:hint="eastAsia" w:ascii="宋体" w:hAnsi="宋体" w:eastAsia="Times New Roman" w:cs="宋体"/>
                    </w:rPr>
                    <w:t>监控与预警。企业、园区与地方人民政府环境应急预案应当有机衔接。</w:t>
                  </w:r>
                </w:p>
              </w:tc>
              <w:tc>
                <w:tcPr>
                  <w:tcW w:w="1607" w:type="pct"/>
                  <w:vAlign w:val="center"/>
                </w:tcPr>
                <w:p w14:paraId="418C15D6">
                  <w:pPr>
                    <w:pStyle w:val="79"/>
                    <w:jc w:val="both"/>
                    <w:rPr>
                      <w:rFonts w:eastAsia="Times New Roman"/>
                    </w:rPr>
                  </w:pPr>
                  <w:r>
                    <w:rPr>
                      <w:rFonts w:hint="eastAsia" w:eastAsia="Times New Roman"/>
                    </w:rPr>
                    <w:t>项目建成后，将开展环境风险评估，制定突发环境事件应急预案并备案，配备应急能力和物资，建设环境应急队伍，并定期演练。有机衔接园区与政府环境应急预案。</w:t>
                  </w:r>
                </w:p>
              </w:tc>
              <w:tc>
                <w:tcPr>
                  <w:tcW w:w="456" w:type="pct"/>
                  <w:vMerge w:val="restart"/>
                  <w:vAlign w:val="center"/>
                </w:tcPr>
                <w:p w14:paraId="362E865D">
                  <w:pPr>
                    <w:pStyle w:val="79"/>
                    <w:rPr>
                      <w:rFonts w:eastAsia="Times New Roman"/>
                    </w:rPr>
                  </w:pPr>
                  <w:r>
                    <w:rPr>
                      <w:rFonts w:hint="eastAsia" w:ascii="宋体" w:hAnsi="宋体" w:eastAsia="Times New Roman" w:cs="宋体"/>
                    </w:rPr>
                    <w:t>符合</w:t>
                  </w:r>
                </w:p>
              </w:tc>
            </w:tr>
            <w:tr w14:paraId="264685F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498199F0">
                  <w:pPr>
                    <w:pStyle w:val="79"/>
                    <w:rPr>
                      <w:rFonts w:eastAsia="Times New Roman"/>
                    </w:rPr>
                  </w:pPr>
                </w:p>
              </w:tc>
              <w:tc>
                <w:tcPr>
                  <w:tcW w:w="2621" w:type="pct"/>
                  <w:vAlign w:val="center"/>
                </w:tcPr>
                <w:p w14:paraId="0BFB61AF">
                  <w:pPr>
                    <w:pStyle w:val="79"/>
                    <w:jc w:val="both"/>
                    <w:rPr>
                      <w:rFonts w:eastAsia="Times New Roman"/>
                    </w:rPr>
                  </w:pPr>
                  <w:r>
                    <w:rPr>
                      <w:rFonts w:hint="eastAsia" w:eastAsia="Times New Roman"/>
                    </w:rPr>
                    <w:t>2</w:t>
                  </w:r>
                  <w:r>
                    <w:rPr>
                      <w:rFonts w:hint="eastAsia" w:ascii="宋体" w:hAnsi="宋体" w:eastAsia="Times New Roman" w:cs="宋体"/>
                    </w:rPr>
                    <w:t>、土壤污染重点监管单位应当严格控制有毒有害物质排放，并按年度向所在地设区的市人民政府生态环境主管部门报告排放情况；建立土壤污染隐患排查制度，保证持续有效防止有毒有害物质渗漏、流失、扬散。</w:t>
                  </w:r>
                </w:p>
              </w:tc>
              <w:tc>
                <w:tcPr>
                  <w:tcW w:w="1607" w:type="pct"/>
                  <w:vAlign w:val="center"/>
                </w:tcPr>
                <w:p w14:paraId="45DF33B7">
                  <w:pPr>
                    <w:pStyle w:val="79"/>
                    <w:jc w:val="both"/>
                    <w:rPr>
                      <w:rFonts w:eastAsia="Times New Roman"/>
                    </w:rPr>
                  </w:pPr>
                  <w:r>
                    <w:rPr>
                      <w:rFonts w:hint="eastAsia" w:ascii="宋体" w:hAnsi="宋体" w:eastAsia="Times New Roman" w:cs="宋体"/>
                    </w:rPr>
                    <w:t>项目不属于土壤污染重点监管单位，运行期间加强管理，能有效防治有害物质渗漏。</w:t>
                  </w:r>
                </w:p>
              </w:tc>
              <w:tc>
                <w:tcPr>
                  <w:tcW w:w="456" w:type="pct"/>
                  <w:vMerge w:val="continue"/>
                  <w:vAlign w:val="center"/>
                </w:tcPr>
                <w:p w14:paraId="1ECFD5B7">
                  <w:pPr>
                    <w:pStyle w:val="79"/>
                    <w:rPr>
                      <w:rFonts w:eastAsia="Times New Roman"/>
                    </w:rPr>
                  </w:pPr>
                </w:p>
              </w:tc>
            </w:tr>
            <w:tr w14:paraId="619EC68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Merge w:val="continue"/>
                  <w:vAlign w:val="center"/>
                </w:tcPr>
                <w:p w14:paraId="7A8EA002">
                  <w:pPr>
                    <w:pStyle w:val="79"/>
                    <w:rPr>
                      <w:rFonts w:eastAsia="Times New Roman"/>
                    </w:rPr>
                  </w:pPr>
                </w:p>
              </w:tc>
              <w:tc>
                <w:tcPr>
                  <w:tcW w:w="2621" w:type="pct"/>
                  <w:vAlign w:val="center"/>
                </w:tcPr>
                <w:p w14:paraId="4C9D64E9">
                  <w:pPr>
                    <w:pStyle w:val="79"/>
                    <w:jc w:val="both"/>
                    <w:rPr>
                      <w:rFonts w:eastAsia="Times New Roman"/>
                    </w:rPr>
                  </w:pPr>
                  <w:r>
                    <w:rPr>
                      <w:rFonts w:hint="eastAsia" w:eastAsia="Times New Roman"/>
                    </w:rPr>
                    <w:t>3</w:t>
                  </w:r>
                  <w:r>
                    <w:rPr>
                      <w:rFonts w:hint="eastAsia" w:ascii="宋体" w:hAnsi="宋体" w:eastAsia="Times New Roman" w:cs="宋体"/>
                    </w:rPr>
                    <w:t>、涉重金属重点行业企业应当采用新技术、新工艺，加快提标升级改造，坚决淘汰不符合国家产业政</w:t>
                  </w:r>
                  <w:r>
                    <w:rPr>
                      <w:rFonts w:hint="eastAsia" w:eastAsia="Times New Roman"/>
                    </w:rPr>
                    <w:t xml:space="preserve"> </w:t>
                  </w:r>
                  <w:r>
                    <w:rPr>
                      <w:rFonts w:hint="eastAsia" w:ascii="宋体" w:hAnsi="宋体" w:eastAsia="Times New Roman" w:cs="宋体"/>
                    </w:rPr>
                    <w:t>的落后生产工艺装备，执行重点重金属污染物排放总量控制制度，依法实施强制性清洁生产审核，减少重点重金属污染物排放。</w:t>
                  </w:r>
                </w:p>
              </w:tc>
              <w:tc>
                <w:tcPr>
                  <w:tcW w:w="1607" w:type="pct"/>
                  <w:vAlign w:val="center"/>
                </w:tcPr>
                <w:p w14:paraId="4D3525F8">
                  <w:pPr>
                    <w:pStyle w:val="79"/>
                    <w:jc w:val="both"/>
                    <w:rPr>
                      <w:rFonts w:eastAsia="Times New Roman"/>
                    </w:rPr>
                  </w:pPr>
                  <w:r>
                    <w:rPr>
                      <w:rFonts w:hint="eastAsia" w:ascii="宋体" w:hAnsi="宋体" w:eastAsia="Times New Roman" w:cs="宋体"/>
                    </w:rPr>
                    <w:t>项目不使用不符合国家产业政策的落后生产工艺装备，不涉及重金属排放。</w:t>
                  </w:r>
                </w:p>
              </w:tc>
              <w:tc>
                <w:tcPr>
                  <w:tcW w:w="456" w:type="pct"/>
                  <w:vMerge w:val="continue"/>
                  <w:vAlign w:val="center"/>
                </w:tcPr>
                <w:p w14:paraId="0AFE8772">
                  <w:pPr>
                    <w:pStyle w:val="79"/>
                    <w:rPr>
                      <w:rFonts w:eastAsia="Times New Roman"/>
                    </w:rPr>
                  </w:pPr>
                </w:p>
              </w:tc>
            </w:tr>
            <w:tr w14:paraId="72DF09B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15" w:type="pct"/>
                  <w:vAlign w:val="center"/>
                </w:tcPr>
                <w:p w14:paraId="2333FA86">
                  <w:pPr>
                    <w:pStyle w:val="79"/>
                    <w:rPr>
                      <w:rFonts w:eastAsia="Times New Roman"/>
                    </w:rPr>
                  </w:pPr>
                  <w:r>
                    <w:rPr>
                      <w:rFonts w:hint="eastAsia" w:ascii="宋体" w:hAnsi="宋体" w:eastAsia="Times New Roman" w:cs="宋体"/>
                    </w:rPr>
                    <w:t>资源开发利用效率要求</w:t>
                  </w:r>
                </w:p>
              </w:tc>
              <w:tc>
                <w:tcPr>
                  <w:tcW w:w="2621" w:type="pct"/>
                  <w:vAlign w:val="center"/>
                </w:tcPr>
                <w:p w14:paraId="1C1E9E5B">
                  <w:pPr>
                    <w:pStyle w:val="79"/>
                    <w:jc w:val="both"/>
                    <w:rPr>
                      <w:rFonts w:eastAsia="Times New Roman"/>
                    </w:rPr>
                  </w:pPr>
                  <w:r>
                    <w:rPr>
                      <w:rFonts w:hint="eastAsia" w:eastAsia="Times New Roman"/>
                    </w:rPr>
                    <w:t>1</w:t>
                  </w:r>
                  <w:r>
                    <w:rPr>
                      <w:rFonts w:hint="eastAsia" w:ascii="宋体" w:hAnsi="宋体" w:eastAsia="Times New Roman" w:cs="宋体"/>
                    </w:rPr>
                    <w:t>、鼓励园区内企业采用节能减污降碳协同增效的绿色关键技术、前沿引领技术和相关设施装备。推进能源</w:t>
                  </w:r>
                  <w:r>
                    <w:rPr>
                      <w:rFonts w:hint="eastAsia" w:eastAsia="Times New Roman"/>
                    </w:rPr>
                    <w:t xml:space="preserve"> </w:t>
                  </w:r>
                  <w:r>
                    <w:rPr>
                      <w:rFonts w:hint="eastAsia" w:ascii="宋体" w:hAnsi="宋体" w:eastAsia="Times New Roman" w:cs="宋体"/>
                    </w:rPr>
                    <w:t>清洁化，提高清洁能源利用率；推广可再生能源利用；提高工业用水重复利用率，降低新鲜水的使用率。</w:t>
                  </w:r>
                </w:p>
              </w:tc>
              <w:tc>
                <w:tcPr>
                  <w:tcW w:w="1607" w:type="pct"/>
                  <w:vAlign w:val="center"/>
                </w:tcPr>
                <w:p w14:paraId="5DADBAF6">
                  <w:pPr>
                    <w:pStyle w:val="79"/>
                    <w:rPr>
                      <w:rFonts w:eastAsia="Times New Roman"/>
                    </w:rPr>
                  </w:pPr>
                  <w:r>
                    <w:rPr>
                      <w:rFonts w:hint="eastAsia" w:ascii="宋体" w:hAnsi="宋体" w:eastAsia="Times New Roman" w:cs="宋体"/>
                    </w:rPr>
                    <w:t>项目主要使用电能。</w:t>
                  </w:r>
                </w:p>
              </w:tc>
              <w:tc>
                <w:tcPr>
                  <w:tcW w:w="456" w:type="pct"/>
                  <w:vAlign w:val="center"/>
                </w:tcPr>
                <w:p w14:paraId="6CEA4828">
                  <w:pPr>
                    <w:pStyle w:val="79"/>
                    <w:rPr>
                      <w:rFonts w:eastAsia="Times New Roman"/>
                    </w:rPr>
                  </w:pPr>
                  <w:r>
                    <w:rPr>
                      <w:rFonts w:hint="eastAsia" w:ascii="宋体" w:hAnsi="宋体" w:eastAsia="Times New Roman" w:cs="宋体"/>
                    </w:rPr>
                    <w:t>符合</w:t>
                  </w:r>
                </w:p>
              </w:tc>
            </w:tr>
            <w:bookmarkEnd w:id="16"/>
          </w:tbl>
          <w:p w14:paraId="71855E04">
            <w:pPr>
              <w:pStyle w:val="117"/>
              <w:ind w:firstLine="482"/>
              <w:rPr>
                <w:b/>
                <w:bCs w:val="0"/>
              </w:rPr>
            </w:pPr>
            <w:r>
              <w:rPr>
                <w:rFonts w:hint="eastAsia"/>
                <w:b/>
                <w:bCs w:val="0"/>
              </w:rPr>
              <w:t>4、相关行业政策相符性分析</w:t>
            </w:r>
          </w:p>
          <w:p w14:paraId="2474AEE0">
            <w:pPr>
              <w:pStyle w:val="117"/>
              <w:ind w:firstLine="480"/>
            </w:pPr>
            <w:r>
              <w:rPr>
                <w:rFonts w:hint="eastAsia"/>
              </w:rPr>
              <w:t>①项目与《重点行业挥发性有机物综合治理方案》（环大气〔2019〕53 号）符合性分析：</w:t>
            </w:r>
          </w:p>
          <w:p w14:paraId="2B657EC0">
            <w:pPr>
              <w:pStyle w:val="87"/>
            </w:pPr>
            <w:r>
              <w:rPr>
                <w:rFonts w:hint="eastAsia"/>
              </w:rPr>
              <w:t>表1-6</w:t>
            </w:r>
            <w:r>
              <w:rPr>
                <w:rFonts w:hint="eastAsia"/>
              </w:rPr>
              <w:tab/>
            </w:r>
            <w:r>
              <w:rPr>
                <w:rFonts w:hint="eastAsia"/>
              </w:rPr>
              <w:t>《重点行业挥发性有机物综合治理方案》相符性分析</w:t>
            </w:r>
          </w:p>
          <w:tbl>
            <w:tblPr>
              <w:tblStyle w:val="154"/>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02"/>
              <w:gridCol w:w="992"/>
              <w:gridCol w:w="2977"/>
              <w:gridCol w:w="1701"/>
              <w:gridCol w:w="777"/>
            </w:tblGrid>
            <w:tr w14:paraId="6B527FD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Align w:val="center"/>
                </w:tcPr>
                <w:p w14:paraId="6FBC4824">
                  <w:pPr>
                    <w:pStyle w:val="79"/>
                    <w:rPr>
                      <w:rFonts w:eastAsia="Times New Roman"/>
                      <w:b w:val="0"/>
                    </w:rPr>
                  </w:pPr>
                  <w:r>
                    <w:rPr>
                      <w:rFonts w:eastAsia="Times New Roman"/>
                      <w:b/>
                      <w:szCs w:val="21"/>
                    </w:rPr>
                    <w:t>分类</w:t>
                  </w:r>
                </w:p>
              </w:tc>
              <w:tc>
                <w:tcPr>
                  <w:tcW w:w="992" w:type="dxa"/>
                  <w:vAlign w:val="center"/>
                </w:tcPr>
                <w:p w14:paraId="2528765B">
                  <w:pPr>
                    <w:pStyle w:val="79"/>
                    <w:rPr>
                      <w:rFonts w:eastAsia="Times New Roman"/>
                      <w:b w:val="0"/>
                    </w:rPr>
                  </w:pPr>
                  <w:r>
                    <w:rPr>
                      <w:rFonts w:eastAsia="Times New Roman"/>
                      <w:b/>
                      <w:szCs w:val="21"/>
                    </w:rPr>
                    <w:t>检查环节</w:t>
                  </w:r>
                </w:p>
              </w:tc>
              <w:tc>
                <w:tcPr>
                  <w:tcW w:w="2977" w:type="dxa"/>
                  <w:vAlign w:val="center"/>
                </w:tcPr>
                <w:p w14:paraId="1C513C7B">
                  <w:pPr>
                    <w:pStyle w:val="79"/>
                    <w:rPr>
                      <w:rFonts w:eastAsia="Times New Roman"/>
                      <w:b w:val="0"/>
                    </w:rPr>
                  </w:pPr>
                  <w:r>
                    <w:rPr>
                      <w:rFonts w:eastAsia="Times New Roman"/>
                      <w:b/>
                      <w:szCs w:val="21"/>
                    </w:rPr>
                    <w:t>检查要点</w:t>
                  </w:r>
                </w:p>
              </w:tc>
              <w:tc>
                <w:tcPr>
                  <w:tcW w:w="1701" w:type="dxa"/>
                  <w:vAlign w:val="center"/>
                </w:tcPr>
                <w:p w14:paraId="7389EFBB">
                  <w:pPr>
                    <w:pStyle w:val="79"/>
                    <w:rPr>
                      <w:rFonts w:eastAsia="Times New Roman"/>
                      <w:b w:val="0"/>
                    </w:rPr>
                  </w:pPr>
                  <w:r>
                    <w:rPr>
                      <w:rFonts w:eastAsia="Times New Roman"/>
                      <w:b/>
                      <w:szCs w:val="21"/>
                    </w:rPr>
                    <w:t>实际情况</w:t>
                  </w:r>
                </w:p>
              </w:tc>
              <w:tc>
                <w:tcPr>
                  <w:tcW w:w="777" w:type="dxa"/>
                  <w:vAlign w:val="center"/>
                </w:tcPr>
                <w:p w14:paraId="0DBEC9DB">
                  <w:pPr>
                    <w:pStyle w:val="79"/>
                    <w:rPr>
                      <w:rFonts w:eastAsia="Times New Roman"/>
                      <w:b w:val="0"/>
                    </w:rPr>
                  </w:pPr>
                  <w:r>
                    <w:rPr>
                      <w:rFonts w:eastAsia="Times New Roman"/>
                      <w:b/>
                      <w:szCs w:val="21"/>
                    </w:rPr>
                    <w:t>相符性</w:t>
                  </w:r>
                </w:p>
              </w:tc>
            </w:tr>
            <w:tr w14:paraId="4646EF6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restart"/>
                  <w:vAlign w:val="center"/>
                </w:tcPr>
                <w:p w14:paraId="56FF5E87">
                  <w:pPr>
                    <w:pStyle w:val="79"/>
                    <w:rPr>
                      <w:rFonts w:eastAsia="Times New Roman"/>
                    </w:rPr>
                  </w:pPr>
                  <w:r>
                    <w:rPr>
                      <w:rFonts w:eastAsia="Times New Roman"/>
                      <w:szCs w:val="21"/>
                    </w:rPr>
                    <w:t>VOCs物料储存</w:t>
                  </w:r>
                </w:p>
              </w:tc>
              <w:tc>
                <w:tcPr>
                  <w:tcW w:w="992" w:type="dxa"/>
                  <w:vAlign w:val="center"/>
                </w:tcPr>
                <w:p w14:paraId="1DDA51F6">
                  <w:pPr>
                    <w:pStyle w:val="79"/>
                    <w:rPr>
                      <w:rFonts w:eastAsia="Times New Roman"/>
                    </w:rPr>
                  </w:pPr>
                  <w:r>
                    <w:rPr>
                      <w:rFonts w:eastAsia="Times New Roman"/>
                      <w:szCs w:val="21"/>
                    </w:rPr>
                    <w:t>容器、包装袋</w:t>
                  </w:r>
                </w:p>
              </w:tc>
              <w:tc>
                <w:tcPr>
                  <w:tcW w:w="2977" w:type="dxa"/>
                  <w:vAlign w:val="center"/>
                </w:tcPr>
                <w:p w14:paraId="5B8719F1">
                  <w:pPr>
                    <w:pStyle w:val="79"/>
                    <w:jc w:val="both"/>
                    <w:rPr>
                      <w:rFonts w:eastAsia="Times New Roman"/>
                      <w:szCs w:val="21"/>
                    </w:rPr>
                  </w:pPr>
                  <w:r>
                    <w:rPr>
                      <w:rFonts w:eastAsia="Times New Roman"/>
                      <w:szCs w:val="21"/>
                    </w:rPr>
                    <w:t>1.容器或包装袋在非取用状态时是否加盖、封口，保持密闭；盛装过VOCs物料的废包装容器是否加盖密闭。</w:t>
                  </w:r>
                </w:p>
                <w:p w14:paraId="68FB08A4">
                  <w:pPr>
                    <w:pStyle w:val="79"/>
                    <w:jc w:val="both"/>
                    <w:rPr>
                      <w:rFonts w:eastAsia="Times New Roman"/>
                    </w:rPr>
                  </w:pPr>
                  <w:r>
                    <w:rPr>
                      <w:rFonts w:eastAsia="Times New Roman"/>
                      <w:szCs w:val="21"/>
                    </w:rPr>
                    <w:t>2.容器或包装袋是否存放于室内，或存放于设置有雨棚、遮阳和防渗设施的专用场地。</w:t>
                  </w:r>
                </w:p>
              </w:tc>
              <w:tc>
                <w:tcPr>
                  <w:tcW w:w="1701" w:type="dxa"/>
                  <w:vAlign w:val="center"/>
                </w:tcPr>
                <w:p w14:paraId="01877078">
                  <w:pPr>
                    <w:pStyle w:val="79"/>
                    <w:jc w:val="both"/>
                    <w:rPr>
                      <w:rFonts w:eastAsia="Times New Roman"/>
                    </w:rPr>
                  </w:pPr>
                  <w:r>
                    <w:rPr>
                      <w:rFonts w:eastAsia="Times New Roman"/>
                      <w:szCs w:val="21"/>
                    </w:rPr>
                    <w:t>项目包装袋在非取用状态时封口，保持密闭。</w:t>
                  </w:r>
                  <w:r>
                    <w:rPr>
                      <w:rFonts w:hint="eastAsia" w:eastAsia="Times New Roman"/>
                      <w:szCs w:val="21"/>
                    </w:rPr>
                    <w:t>物料存放于防风、防晒、防雨的密闭车间内。</w:t>
                  </w:r>
                </w:p>
              </w:tc>
              <w:tc>
                <w:tcPr>
                  <w:tcW w:w="777" w:type="dxa"/>
                  <w:vAlign w:val="center"/>
                </w:tcPr>
                <w:p w14:paraId="43F26CDB">
                  <w:pPr>
                    <w:pStyle w:val="79"/>
                    <w:rPr>
                      <w:rFonts w:eastAsia="Times New Roman"/>
                    </w:rPr>
                  </w:pPr>
                  <w:r>
                    <w:rPr>
                      <w:rFonts w:eastAsia="Times New Roman"/>
                      <w:szCs w:val="21"/>
                    </w:rPr>
                    <w:t>符合</w:t>
                  </w:r>
                </w:p>
              </w:tc>
            </w:tr>
            <w:tr w14:paraId="772380E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continue"/>
                  <w:vAlign w:val="center"/>
                </w:tcPr>
                <w:p w14:paraId="2A5BA35B">
                  <w:pPr>
                    <w:pStyle w:val="79"/>
                    <w:rPr>
                      <w:rFonts w:eastAsia="Times New Roman"/>
                    </w:rPr>
                  </w:pPr>
                </w:p>
              </w:tc>
              <w:tc>
                <w:tcPr>
                  <w:tcW w:w="992" w:type="dxa"/>
                  <w:vAlign w:val="center"/>
                </w:tcPr>
                <w:p w14:paraId="1896987A">
                  <w:pPr>
                    <w:pStyle w:val="79"/>
                    <w:rPr>
                      <w:rFonts w:eastAsia="Times New Roman"/>
                    </w:rPr>
                  </w:pPr>
                  <w:r>
                    <w:rPr>
                      <w:rFonts w:eastAsia="Times New Roman"/>
                      <w:szCs w:val="21"/>
                    </w:rPr>
                    <w:t>储库、料仓</w:t>
                  </w:r>
                </w:p>
              </w:tc>
              <w:tc>
                <w:tcPr>
                  <w:tcW w:w="2977" w:type="dxa"/>
                  <w:vAlign w:val="center"/>
                </w:tcPr>
                <w:p w14:paraId="64643F8F">
                  <w:pPr>
                    <w:pStyle w:val="79"/>
                    <w:jc w:val="both"/>
                    <w:rPr>
                      <w:rFonts w:eastAsia="Times New Roman"/>
                      <w:szCs w:val="21"/>
                    </w:rPr>
                  </w:pPr>
                  <w:r>
                    <w:rPr>
                      <w:rFonts w:eastAsia="Times New Roman"/>
                      <w:szCs w:val="21"/>
                    </w:rPr>
                    <w:t>1.围护结构是否完整，与周围空间完全阻隔。</w:t>
                  </w:r>
                </w:p>
                <w:p w14:paraId="74E73679">
                  <w:pPr>
                    <w:pStyle w:val="79"/>
                    <w:jc w:val="both"/>
                    <w:rPr>
                      <w:rFonts w:eastAsia="Times New Roman"/>
                    </w:rPr>
                  </w:pPr>
                  <w:r>
                    <w:rPr>
                      <w:rFonts w:eastAsia="Times New Roman"/>
                      <w:szCs w:val="21"/>
                    </w:rPr>
                    <w:t>2.门窗及其他开口（孔）部位是否关闭（人员、车辆、设备、物料进出时，以及依法设立的排气筒、通风口除外）</w:t>
                  </w:r>
                </w:p>
              </w:tc>
              <w:tc>
                <w:tcPr>
                  <w:tcW w:w="1701" w:type="dxa"/>
                  <w:vAlign w:val="center"/>
                </w:tcPr>
                <w:p w14:paraId="6521C4E1">
                  <w:pPr>
                    <w:pStyle w:val="79"/>
                    <w:jc w:val="both"/>
                    <w:rPr>
                      <w:rFonts w:eastAsia="Times New Roman"/>
                    </w:rPr>
                  </w:pPr>
                  <w:r>
                    <w:rPr>
                      <w:rFonts w:eastAsia="Times New Roman"/>
                      <w:szCs w:val="21"/>
                    </w:rPr>
                    <w:t>项目原料仓库与周边生产单元阻隔。</w:t>
                  </w:r>
                </w:p>
              </w:tc>
              <w:tc>
                <w:tcPr>
                  <w:tcW w:w="777" w:type="dxa"/>
                  <w:vAlign w:val="center"/>
                </w:tcPr>
                <w:p w14:paraId="5B8ACE91">
                  <w:pPr>
                    <w:pStyle w:val="79"/>
                    <w:rPr>
                      <w:rFonts w:eastAsia="Times New Roman"/>
                    </w:rPr>
                  </w:pPr>
                  <w:r>
                    <w:rPr>
                      <w:rFonts w:eastAsia="Times New Roman"/>
                      <w:szCs w:val="21"/>
                    </w:rPr>
                    <w:t>符合</w:t>
                  </w:r>
                </w:p>
              </w:tc>
            </w:tr>
            <w:tr w14:paraId="676BE12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restart"/>
                  <w:vAlign w:val="center"/>
                </w:tcPr>
                <w:p w14:paraId="281594F5">
                  <w:pPr>
                    <w:pStyle w:val="79"/>
                    <w:rPr>
                      <w:rFonts w:eastAsia="Times New Roman"/>
                    </w:rPr>
                  </w:pPr>
                  <w:r>
                    <w:rPr>
                      <w:rFonts w:eastAsia="Times New Roman"/>
                      <w:szCs w:val="21"/>
                    </w:rPr>
                    <w:t>VOCs物料储存</w:t>
                  </w:r>
                </w:p>
              </w:tc>
              <w:tc>
                <w:tcPr>
                  <w:tcW w:w="992" w:type="dxa"/>
                  <w:vAlign w:val="center"/>
                </w:tcPr>
                <w:p w14:paraId="5F004FE5">
                  <w:pPr>
                    <w:pStyle w:val="79"/>
                    <w:rPr>
                      <w:rFonts w:eastAsia="Times New Roman"/>
                    </w:rPr>
                  </w:pPr>
                  <w:r>
                    <w:rPr>
                      <w:rFonts w:eastAsia="Times New Roman"/>
                      <w:szCs w:val="21"/>
                    </w:rPr>
                    <w:t>容器、包装袋</w:t>
                  </w:r>
                </w:p>
              </w:tc>
              <w:tc>
                <w:tcPr>
                  <w:tcW w:w="2977" w:type="dxa"/>
                  <w:vAlign w:val="center"/>
                </w:tcPr>
                <w:p w14:paraId="2A05FCAE">
                  <w:pPr>
                    <w:pStyle w:val="79"/>
                    <w:jc w:val="both"/>
                    <w:rPr>
                      <w:rFonts w:eastAsia="Times New Roman"/>
                      <w:szCs w:val="21"/>
                    </w:rPr>
                  </w:pPr>
                  <w:r>
                    <w:rPr>
                      <w:rFonts w:eastAsia="Times New Roman"/>
                      <w:szCs w:val="21"/>
                    </w:rPr>
                    <w:t>1.容器或包装袋在非取用状态时是否加盖、封口，保持密闭；盛装过VOCs物料的废包装容器是否加盖密闭。</w:t>
                  </w:r>
                </w:p>
                <w:p w14:paraId="42BB55AF">
                  <w:pPr>
                    <w:pStyle w:val="79"/>
                    <w:jc w:val="both"/>
                    <w:rPr>
                      <w:rFonts w:eastAsia="Times New Roman"/>
                    </w:rPr>
                  </w:pPr>
                  <w:r>
                    <w:rPr>
                      <w:rFonts w:eastAsia="Times New Roman"/>
                      <w:szCs w:val="21"/>
                    </w:rPr>
                    <w:t>2.容器或包装袋是否存放于室内，或存放于设置有雨棚、遮阳和防渗设施的专用场地。</w:t>
                  </w:r>
                </w:p>
              </w:tc>
              <w:tc>
                <w:tcPr>
                  <w:tcW w:w="1701" w:type="dxa"/>
                  <w:vAlign w:val="center"/>
                </w:tcPr>
                <w:p w14:paraId="27D2F670">
                  <w:pPr>
                    <w:pStyle w:val="79"/>
                    <w:jc w:val="both"/>
                    <w:rPr>
                      <w:rFonts w:eastAsia="Times New Roman"/>
                    </w:rPr>
                  </w:pPr>
                  <w:r>
                    <w:rPr>
                      <w:rFonts w:eastAsia="Times New Roman"/>
                      <w:szCs w:val="21"/>
                    </w:rPr>
                    <w:t>项目包装袋在非取用状态时封口，保持密闭。</w:t>
                  </w:r>
                  <w:r>
                    <w:rPr>
                      <w:rFonts w:hint="eastAsia" w:eastAsia="Times New Roman"/>
                      <w:szCs w:val="21"/>
                    </w:rPr>
                    <w:t>物料存放于防风、防晒、防雨的密闭车间内。</w:t>
                  </w:r>
                </w:p>
              </w:tc>
              <w:tc>
                <w:tcPr>
                  <w:tcW w:w="777" w:type="dxa"/>
                  <w:vAlign w:val="center"/>
                </w:tcPr>
                <w:p w14:paraId="6344F4B0">
                  <w:pPr>
                    <w:pStyle w:val="79"/>
                    <w:rPr>
                      <w:rFonts w:eastAsia="Times New Roman"/>
                    </w:rPr>
                  </w:pPr>
                  <w:r>
                    <w:rPr>
                      <w:rFonts w:eastAsia="Times New Roman"/>
                      <w:szCs w:val="21"/>
                    </w:rPr>
                    <w:t>符合</w:t>
                  </w:r>
                </w:p>
              </w:tc>
            </w:tr>
            <w:tr w14:paraId="137B2D4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continue"/>
                  <w:vAlign w:val="center"/>
                </w:tcPr>
                <w:p w14:paraId="30A94725">
                  <w:pPr>
                    <w:pStyle w:val="79"/>
                    <w:rPr>
                      <w:rFonts w:eastAsia="Times New Roman"/>
                    </w:rPr>
                  </w:pPr>
                </w:p>
              </w:tc>
              <w:tc>
                <w:tcPr>
                  <w:tcW w:w="992" w:type="dxa"/>
                  <w:vAlign w:val="center"/>
                </w:tcPr>
                <w:p w14:paraId="691B3633">
                  <w:pPr>
                    <w:pStyle w:val="79"/>
                    <w:rPr>
                      <w:rFonts w:eastAsia="Times New Roman"/>
                    </w:rPr>
                  </w:pPr>
                  <w:r>
                    <w:rPr>
                      <w:rFonts w:eastAsia="Times New Roman"/>
                      <w:szCs w:val="21"/>
                    </w:rPr>
                    <w:t>储库、料仓</w:t>
                  </w:r>
                </w:p>
              </w:tc>
              <w:tc>
                <w:tcPr>
                  <w:tcW w:w="2977" w:type="dxa"/>
                  <w:vAlign w:val="center"/>
                </w:tcPr>
                <w:p w14:paraId="53FB219C">
                  <w:pPr>
                    <w:pStyle w:val="79"/>
                    <w:jc w:val="both"/>
                    <w:rPr>
                      <w:rFonts w:eastAsia="Times New Roman"/>
                      <w:szCs w:val="21"/>
                    </w:rPr>
                  </w:pPr>
                  <w:r>
                    <w:rPr>
                      <w:rFonts w:eastAsia="Times New Roman"/>
                      <w:szCs w:val="21"/>
                    </w:rPr>
                    <w:t>1.围护结构是否完整，与周围空间完全阻隔。</w:t>
                  </w:r>
                </w:p>
                <w:p w14:paraId="64454AC4">
                  <w:pPr>
                    <w:pStyle w:val="79"/>
                    <w:jc w:val="both"/>
                    <w:rPr>
                      <w:rFonts w:eastAsia="Times New Roman"/>
                    </w:rPr>
                  </w:pPr>
                  <w:r>
                    <w:rPr>
                      <w:rFonts w:eastAsia="Times New Roman"/>
                      <w:szCs w:val="21"/>
                    </w:rPr>
                    <w:t>2.门窗及其他开口（孔）部位是否关闭（人员、车辆、设备、物料进出时，以及依法设立的排气筒、通风口除外）</w:t>
                  </w:r>
                </w:p>
              </w:tc>
              <w:tc>
                <w:tcPr>
                  <w:tcW w:w="1701" w:type="dxa"/>
                  <w:vAlign w:val="center"/>
                </w:tcPr>
                <w:p w14:paraId="51522D06">
                  <w:pPr>
                    <w:pStyle w:val="79"/>
                    <w:jc w:val="both"/>
                    <w:rPr>
                      <w:rFonts w:eastAsia="Times New Roman"/>
                    </w:rPr>
                  </w:pPr>
                  <w:r>
                    <w:rPr>
                      <w:rFonts w:eastAsia="Times New Roman"/>
                      <w:szCs w:val="21"/>
                    </w:rPr>
                    <w:t>项目原料仓库与周边生产单元阻隔。</w:t>
                  </w:r>
                </w:p>
              </w:tc>
              <w:tc>
                <w:tcPr>
                  <w:tcW w:w="777" w:type="dxa"/>
                  <w:vAlign w:val="center"/>
                </w:tcPr>
                <w:p w14:paraId="589627A1">
                  <w:pPr>
                    <w:pStyle w:val="79"/>
                    <w:rPr>
                      <w:rFonts w:eastAsia="Times New Roman"/>
                    </w:rPr>
                  </w:pPr>
                  <w:r>
                    <w:rPr>
                      <w:rFonts w:eastAsia="Times New Roman"/>
                      <w:szCs w:val="21"/>
                    </w:rPr>
                    <w:t>符合</w:t>
                  </w:r>
                </w:p>
              </w:tc>
            </w:tr>
            <w:tr w14:paraId="6FBB8DC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restart"/>
                  <w:vAlign w:val="center"/>
                </w:tcPr>
                <w:p w14:paraId="77848B7A">
                  <w:pPr>
                    <w:pStyle w:val="79"/>
                    <w:rPr>
                      <w:rFonts w:eastAsia="Times New Roman"/>
                    </w:rPr>
                  </w:pPr>
                  <w:r>
                    <w:rPr>
                      <w:rFonts w:eastAsia="Times New Roman"/>
                      <w:szCs w:val="21"/>
                    </w:rPr>
                    <w:t>VOCs物料转移和输送</w:t>
                  </w:r>
                </w:p>
              </w:tc>
              <w:tc>
                <w:tcPr>
                  <w:tcW w:w="992" w:type="dxa"/>
                  <w:vAlign w:val="center"/>
                </w:tcPr>
                <w:p w14:paraId="32E7B83D">
                  <w:pPr>
                    <w:pStyle w:val="79"/>
                    <w:rPr>
                      <w:rFonts w:eastAsia="Times New Roman"/>
                    </w:rPr>
                  </w:pPr>
                  <w:r>
                    <w:rPr>
                      <w:rFonts w:eastAsia="Times New Roman"/>
                      <w:szCs w:val="21"/>
                    </w:rPr>
                    <w:t>液态VOCs物料</w:t>
                  </w:r>
                </w:p>
              </w:tc>
              <w:tc>
                <w:tcPr>
                  <w:tcW w:w="2977" w:type="dxa"/>
                  <w:vAlign w:val="center"/>
                </w:tcPr>
                <w:p w14:paraId="7E93CBCE">
                  <w:pPr>
                    <w:pStyle w:val="79"/>
                    <w:jc w:val="both"/>
                    <w:rPr>
                      <w:rFonts w:eastAsia="Times New Roman"/>
                    </w:rPr>
                  </w:pPr>
                  <w:r>
                    <w:rPr>
                      <w:rFonts w:eastAsia="Times New Roman"/>
                      <w:szCs w:val="21"/>
                    </w:rPr>
                    <w:t>1.是否采用管道密闭输送，或者采用密闭容器或罐车。</w:t>
                  </w:r>
                </w:p>
              </w:tc>
              <w:tc>
                <w:tcPr>
                  <w:tcW w:w="1701" w:type="dxa"/>
                  <w:vAlign w:val="center"/>
                </w:tcPr>
                <w:p w14:paraId="06FEA144">
                  <w:pPr>
                    <w:pStyle w:val="79"/>
                    <w:rPr>
                      <w:rFonts w:eastAsia="Times New Roman"/>
                    </w:rPr>
                  </w:pPr>
                  <w:r>
                    <w:rPr>
                      <w:rFonts w:eastAsia="Times New Roman"/>
                      <w:kern w:val="0"/>
                      <w:szCs w:val="21"/>
                      <w:lang w:val="en-US"/>
                    </w:rPr>
                    <w:t>不涉及</w:t>
                  </w:r>
                </w:p>
              </w:tc>
              <w:tc>
                <w:tcPr>
                  <w:tcW w:w="777" w:type="dxa"/>
                  <w:vAlign w:val="center"/>
                </w:tcPr>
                <w:p w14:paraId="717D51E4">
                  <w:pPr>
                    <w:pStyle w:val="79"/>
                    <w:rPr>
                      <w:rFonts w:eastAsia="Times New Roman"/>
                    </w:rPr>
                  </w:pPr>
                  <w:r>
                    <w:rPr>
                      <w:rFonts w:eastAsia="Times New Roman"/>
                      <w:szCs w:val="21"/>
                    </w:rPr>
                    <w:t>符合</w:t>
                  </w:r>
                </w:p>
              </w:tc>
            </w:tr>
            <w:tr w14:paraId="1625E90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continue"/>
                  <w:vAlign w:val="center"/>
                </w:tcPr>
                <w:p w14:paraId="093A6E73">
                  <w:pPr>
                    <w:pStyle w:val="79"/>
                    <w:rPr>
                      <w:rFonts w:eastAsia="Times New Roman"/>
                    </w:rPr>
                  </w:pPr>
                </w:p>
              </w:tc>
              <w:tc>
                <w:tcPr>
                  <w:tcW w:w="992" w:type="dxa"/>
                  <w:vAlign w:val="center"/>
                </w:tcPr>
                <w:p w14:paraId="21ABE7F4">
                  <w:pPr>
                    <w:pStyle w:val="79"/>
                    <w:rPr>
                      <w:rFonts w:eastAsia="Times New Roman"/>
                    </w:rPr>
                  </w:pPr>
                  <w:r>
                    <w:rPr>
                      <w:rFonts w:eastAsia="Times New Roman"/>
                      <w:szCs w:val="21"/>
                    </w:rPr>
                    <w:t>粉状、粒状VOCs物料</w:t>
                  </w:r>
                </w:p>
              </w:tc>
              <w:tc>
                <w:tcPr>
                  <w:tcW w:w="2977" w:type="dxa"/>
                  <w:vAlign w:val="center"/>
                </w:tcPr>
                <w:p w14:paraId="5AEE3BA1">
                  <w:pPr>
                    <w:pStyle w:val="79"/>
                    <w:jc w:val="both"/>
                    <w:rPr>
                      <w:rFonts w:eastAsia="Times New Roman"/>
                    </w:rPr>
                  </w:pPr>
                  <w:r>
                    <w:rPr>
                      <w:rFonts w:eastAsia="Times New Roman"/>
                      <w:szCs w:val="21"/>
                    </w:rPr>
                    <w:t>2.是否采用气力输送设备、管状带式输送机、螺旋输送机等密闭输送方式，或者采用密闭的包装袋、容器或罐车。</w:t>
                  </w:r>
                </w:p>
              </w:tc>
              <w:tc>
                <w:tcPr>
                  <w:tcW w:w="1701" w:type="dxa"/>
                  <w:vAlign w:val="center"/>
                </w:tcPr>
                <w:p w14:paraId="00726DFA">
                  <w:pPr>
                    <w:pStyle w:val="79"/>
                    <w:jc w:val="both"/>
                    <w:rPr>
                      <w:rFonts w:eastAsia="Times New Roman"/>
                    </w:rPr>
                  </w:pPr>
                  <w:r>
                    <w:rPr>
                      <w:rFonts w:eastAsia="Times New Roman"/>
                      <w:szCs w:val="21"/>
                    </w:rPr>
                    <w:t>项目注塑原料为塑料颗粒，采用密闭包装袋转移、存储。</w:t>
                  </w:r>
                </w:p>
              </w:tc>
              <w:tc>
                <w:tcPr>
                  <w:tcW w:w="777" w:type="dxa"/>
                  <w:vAlign w:val="center"/>
                </w:tcPr>
                <w:p w14:paraId="40F1C52B">
                  <w:pPr>
                    <w:pStyle w:val="79"/>
                    <w:rPr>
                      <w:rFonts w:eastAsia="Times New Roman"/>
                    </w:rPr>
                  </w:pPr>
                  <w:r>
                    <w:rPr>
                      <w:rFonts w:eastAsia="Times New Roman"/>
                      <w:szCs w:val="21"/>
                    </w:rPr>
                    <w:t>符合</w:t>
                  </w:r>
                </w:p>
              </w:tc>
            </w:tr>
            <w:tr w14:paraId="34AF866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continue"/>
                  <w:vAlign w:val="center"/>
                </w:tcPr>
                <w:p w14:paraId="476A6247">
                  <w:pPr>
                    <w:pStyle w:val="79"/>
                    <w:rPr>
                      <w:rFonts w:eastAsia="Times New Roman"/>
                    </w:rPr>
                  </w:pPr>
                </w:p>
              </w:tc>
              <w:tc>
                <w:tcPr>
                  <w:tcW w:w="992" w:type="dxa"/>
                  <w:vAlign w:val="center"/>
                </w:tcPr>
                <w:p w14:paraId="57490D5E">
                  <w:pPr>
                    <w:pStyle w:val="79"/>
                    <w:rPr>
                      <w:rFonts w:eastAsia="Times New Roman"/>
                    </w:rPr>
                  </w:pPr>
                  <w:r>
                    <w:rPr>
                      <w:rFonts w:eastAsia="Times New Roman"/>
                      <w:szCs w:val="21"/>
                    </w:rPr>
                    <w:t>挥发性有机液体装载</w:t>
                  </w:r>
                </w:p>
              </w:tc>
              <w:tc>
                <w:tcPr>
                  <w:tcW w:w="2977" w:type="dxa"/>
                  <w:vAlign w:val="center"/>
                </w:tcPr>
                <w:p w14:paraId="2892A53E">
                  <w:pPr>
                    <w:pStyle w:val="79"/>
                    <w:jc w:val="both"/>
                    <w:rPr>
                      <w:rFonts w:eastAsia="Times New Roman"/>
                    </w:rPr>
                  </w:pPr>
                  <w:r>
                    <w:rPr>
                      <w:rFonts w:eastAsia="Times New Roman"/>
                      <w:szCs w:val="21"/>
                    </w:rPr>
                    <w:t>3.汽车、火车运输是否采用底部装载或顶部浸没式装载方式。4.是否根据年装载量和装载物料真实蒸气压，对VOCs废气采取密闭收集处理措施，或连通至气相平衡系统；有油气回收装置的，检查油气回收量。</w:t>
                  </w:r>
                </w:p>
              </w:tc>
              <w:tc>
                <w:tcPr>
                  <w:tcW w:w="1701" w:type="dxa"/>
                  <w:vAlign w:val="center"/>
                </w:tcPr>
                <w:p w14:paraId="1CDA0A0D">
                  <w:pPr>
                    <w:pStyle w:val="79"/>
                    <w:rPr>
                      <w:rFonts w:eastAsia="Times New Roman"/>
                    </w:rPr>
                  </w:pPr>
                  <w:r>
                    <w:rPr>
                      <w:rFonts w:hint="eastAsia" w:eastAsia="Times New Roman"/>
                      <w:szCs w:val="21"/>
                    </w:rPr>
                    <w:t>不涉及</w:t>
                  </w:r>
                </w:p>
              </w:tc>
              <w:tc>
                <w:tcPr>
                  <w:tcW w:w="777" w:type="dxa"/>
                  <w:vAlign w:val="center"/>
                </w:tcPr>
                <w:p w14:paraId="73C055FB">
                  <w:pPr>
                    <w:pStyle w:val="79"/>
                    <w:rPr>
                      <w:rFonts w:eastAsia="Times New Roman"/>
                    </w:rPr>
                  </w:pPr>
                  <w:r>
                    <w:rPr>
                      <w:rFonts w:eastAsia="Times New Roman"/>
                      <w:szCs w:val="21"/>
                    </w:rPr>
                    <w:t>符合</w:t>
                  </w:r>
                </w:p>
              </w:tc>
            </w:tr>
            <w:tr w14:paraId="368CDF9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restart"/>
                  <w:vAlign w:val="center"/>
                </w:tcPr>
                <w:p w14:paraId="4CC3FFF3">
                  <w:pPr>
                    <w:pStyle w:val="79"/>
                    <w:rPr>
                      <w:rFonts w:eastAsia="Times New Roman"/>
                    </w:rPr>
                  </w:pPr>
                  <w:r>
                    <w:rPr>
                      <w:rFonts w:eastAsia="Times New Roman"/>
                      <w:szCs w:val="21"/>
                    </w:rPr>
                    <w:t>工艺过程VOCs无组织排放</w:t>
                  </w:r>
                </w:p>
              </w:tc>
              <w:tc>
                <w:tcPr>
                  <w:tcW w:w="992" w:type="dxa"/>
                  <w:vAlign w:val="center"/>
                </w:tcPr>
                <w:p w14:paraId="163EE1A6">
                  <w:pPr>
                    <w:pStyle w:val="79"/>
                    <w:rPr>
                      <w:rFonts w:eastAsia="Times New Roman"/>
                    </w:rPr>
                  </w:pPr>
                  <w:r>
                    <w:rPr>
                      <w:rFonts w:eastAsia="Times New Roman"/>
                      <w:szCs w:val="21"/>
                    </w:rPr>
                    <w:t>VOCs物料投加和卸放</w:t>
                  </w:r>
                </w:p>
              </w:tc>
              <w:tc>
                <w:tcPr>
                  <w:tcW w:w="2977" w:type="dxa"/>
                  <w:vAlign w:val="center"/>
                </w:tcPr>
                <w:p w14:paraId="05636504">
                  <w:pPr>
                    <w:pStyle w:val="137"/>
                    <w:spacing w:line="271" w:lineRule="exact"/>
                    <w:ind w:left="103"/>
                    <w:jc w:val="both"/>
                    <w:rPr>
                      <w:rFonts w:ascii="Times New Roman" w:hAnsi="Times New Roman" w:eastAsia="Times New Roman"/>
                      <w:sz w:val="21"/>
                      <w:szCs w:val="21"/>
                      <w:lang w:eastAsia="zh-CN"/>
                    </w:rPr>
                  </w:pPr>
                  <w:r>
                    <w:rPr>
                      <w:rFonts w:ascii="Times New Roman" w:hAnsi="Times New Roman" w:eastAsia="Times New Roman"/>
                      <w:sz w:val="21"/>
                      <w:szCs w:val="21"/>
                      <w:lang w:eastAsia="zh-CN"/>
                    </w:rPr>
                    <w:t>1.液态、粉粒状VOCs物料的投加过程是否密闭，或采取局部气体收集措施；废气是否排至VOCs废气收集处理系统。2.VOCs物料的卸（出、放）料过程是否密闭，或采取局部气体收集措施；废气是否排至</w:t>
                  </w:r>
                </w:p>
                <w:p w14:paraId="5126F769">
                  <w:pPr>
                    <w:pStyle w:val="79"/>
                    <w:jc w:val="both"/>
                    <w:rPr>
                      <w:rFonts w:eastAsia="Times New Roman"/>
                    </w:rPr>
                  </w:pPr>
                  <w:r>
                    <w:rPr>
                      <w:rFonts w:eastAsia="Times New Roman"/>
                      <w:szCs w:val="21"/>
                    </w:rPr>
                    <w:t>VOCs废气收集处理系统。</w:t>
                  </w:r>
                </w:p>
              </w:tc>
              <w:tc>
                <w:tcPr>
                  <w:tcW w:w="1701" w:type="dxa"/>
                  <w:vAlign w:val="center"/>
                </w:tcPr>
                <w:p w14:paraId="5EEE5062">
                  <w:pPr>
                    <w:pStyle w:val="79"/>
                    <w:jc w:val="both"/>
                    <w:rPr>
                      <w:rFonts w:eastAsia="Times New Roman"/>
                    </w:rPr>
                  </w:pPr>
                  <w:r>
                    <w:rPr>
                      <w:rFonts w:eastAsia="Times New Roman"/>
                      <w:szCs w:val="21"/>
                    </w:rPr>
                    <w:t>项目废气排至废气收集处理系统。VOCs物料贮存于仓库内，卸货时，无卸料废气产生。</w:t>
                  </w:r>
                </w:p>
              </w:tc>
              <w:tc>
                <w:tcPr>
                  <w:tcW w:w="777" w:type="dxa"/>
                  <w:vAlign w:val="center"/>
                </w:tcPr>
                <w:p w14:paraId="778EA640">
                  <w:pPr>
                    <w:pStyle w:val="79"/>
                    <w:rPr>
                      <w:rFonts w:eastAsia="Times New Roman"/>
                    </w:rPr>
                  </w:pPr>
                  <w:r>
                    <w:rPr>
                      <w:rFonts w:eastAsia="Times New Roman"/>
                      <w:szCs w:val="21"/>
                    </w:rPr>
                    <w:t>符合</w:t>
                  </w:r>
                </w:p>
              </w:tc>
            </w:tr>
            <w:tr w14:paraId="78C985C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Merge w:val="continue"/>
                  <w:vAlign w:val="center"/>
                </w:tcPr>
                <w:p w14:paraId="556B2EF9">
                  <w:pPr>
                    <w:pStyle w:val="79"/>
                    <w:rPr>
                      <w:rFonts w:eastAsia="Times New Roman"/>
                    </w:rPr>
                  </w:pPr>
                </w:p>
              </w:tc>
              <w:tc>
                <w:tcPr>
                  <w:tcW w:w="992" w:type="dxa"/>
                  <w:vAlign w:val="center"/>
                </w:tcPr>
                <w:p w14:paraId="0BF5F55B">
                  <w:pPr>
                    <w:pStyle w:val="79"/>
                    <w:rPr>
                      <w:rFonts w:eastAsia="Times New Roman"/>
                    </w:rPr>
                  </w:pPr>
                  <w:r>
                    <w:rPr>
                      <w:rFonts w:eastAsia="Times New Roman"/>
                      <w:szCs w:val="21"/>
                    </w:rPr>
                    <w:t>VOCs无组织废气收集处理系统</w:t>
                  </w:r>
                </w:p>
              </w:tc>
              <w:tc>
                <w:tcPr>
                  <w:tcW w:w="2977" w:type="dxa"/>
                  <w:vAlign w:val="center"/>
                </w:tcPr>
                <w:p w14:paraId="75D250F0">
                  <w:pPr>
                    <w:pStyle w:val="137"/>
                    <w:spacing w:line="300" w:lineRule="exact"/>
                    <w:ind w:left="103"/>
                    <w:jc w:val="both"/>
                    <w:rPr>
                      <w:rFonts w:ascii="Times New Roman" w:hAnsi="Times New Roman" w:eastAsia="Times New Roman"/>
                      <w:sz w:val="21"/>
                      <w:szCs w:val="21"/>
                      <w:lang w:eastAsia="zh-CN"/>
                    </w:rPr>
                  </w:pPr>
                  <w:r>
                    <w:rPr>
                      <w:rFonts w:ascii="Times New Roman" w:hAnsi="Times New Roman" w:eastAsia="Times New Roman"/>
                      <w:sz w:val="21"/>
                      <w:szCs w:val="21"/>
                      <w:lang w:eastAsia="zh-CN"/>
                    </w:rPr>
                    <w:t>11.是否与生产工艺设备同步运行。</w:t>
                  </w:r>
                </w:p>
                <w:p w14:paraId="2077FFD3">
                  <w:pPr>
                    <w:pStyle w:val="137"/>
                    <w:spacing w:line="300" w:lineRule="exact"/>
                    <w:ind w:left="103"/>
                    <w:jc w:val="both"/>
                    <w:rPr>
                      <w:rFonts w:ascii="Times New Roman" w:hAnsi="Times New Roman" w:eastAsia="Times New Roman"/>
                      <w:sz w:val="21"/>
                      <w:szCs w:val="21"/>
                      <w:lang w:eastAsia="zh-CN"/>
                    </w:rPr>
                  </w:pPr>
                  <w:r>
                    <w:rPr>
                      <w:rFonts w:ascii="Times New Roman" w:hAnsi="Times New Roman" w:eastAsia="Times New Roman"/>
                      <w:sz w:val="21"/>
                      <w:szCs w:val="21"/>
                      <w:lang w:eastAsia="zh-CN"/>
                    </w:rPr>
                    <w:t>12.采用外部集气罩的，距排气罩开口面最远处的VOCs无组织排放位置，控制风速是否大于等于0.3米/秒（有行业具体要求的按相应规定执行）。</w:t>
                  </w:r>
                </w:p>
                <w:p w14:paraId="369E0636">
                  <w:pPr>
                    <w:pStyle w:val="137"/>
                    <w:spacing w:line="300" w:lineRule="exact"/>
                    <w:ind w:left="103"/>
                    <w:jc w:val="both"/>
                    <w:rPr>
                      <w:rFonts w:ascii="Times New Roman" w:hAnsi="Times New Roman" w:eastAsia="Times New Roman"/>
                      <w:sz w:val="21"/>
                      <w:szCs w:val="21"/>
                      <w:lang w:eastAsia="zh-CN"/>
                    </w:rPr>
                  </w:pPr>
                  <w:r>
                    <w:rPr>
                      <w:rFonts w:ascii="Times New Roman" w:hAnsi="Times New Roman" w:eastAsia="Times New Roman"/>
                      <w:sz w:val="21"/>
                      <w:szCs w:val="21"/>
                      <w:lang w:eastAsia="zh-CN"/>
                    </w:rPr>
                    <w:t>13.废气收集系统是否负压运行；处于正压状态的，是否有泄漏。</w:t>
                  </w:r>
                </w:p>
                <w:p w14:paraId="6761272C">
                  <w:pPr>
                    <w:pStyle w:val="79"/>
                    <w:jc w:val="both"/>
                    <w:rPr>
                      <w:rFonts w:eastAsia="Times New Roman"/>
                    </w:rPr>
                  </w:pPr>
                  <w:r>
                    <w:rPr>
                      <w:rFonts w:eastAsia="Times New Roman"/>
                      <w:szCs w:val="21"/>
                    </w:rPr>
                    <w:t>14废气收集系统的输送管道是否密闭、无破损。</w:t>
                  </w:r>
                </w:p>
              </w:tc>
              <w:tc>
                <w:tcPr>
                  <w:tcW w:w="1701" w:type="dxa"/>
                  <w:vAlign w:val="center"/>
                </w:tcPr>
                <w:p w14:paraId="1528AFDC">
                  <w:pPr>
                    <w:pStyle w:val="79"/>
                    <w:jc w:val="both"/>
                    <w:rPr>
                      <w:rFonts w:eastAsia="Times New Roman"/>
                    </w:rPr>
                  </w:pPr>
                  <w:r>
                    <w:rPr>
                      <w:rFonts w:eastAsia="Times New Roman"/>
                      <w:szCs w:val="21"/>
                    </w:rPr>
                    <w:t>项目采取的废气处理措施与生产设备同步运行；废气收集系统输送管道密闭、无破损。</w:t>
                  </w:r>
                </w:p>
              </w:tc>
              <w:tc>
                <w:tcPr>
                  <w:tcW w:w="777" w:type="dxa"/>
                  <w:vAlign w:val="center"/>
                </w:tcPr>
                <w:p w14:paraId="54EF3B79">
                  <w:pPr>
                    <w:pStyle w:val="79"/>
                    <w:rPr>
                      <w:rFonts w:eastAsia="Times New Roman"/>
                    </w:rPr>
                  </w:pPr>
                  <w:r>
                    <w:rPr>
                      <w:rFonts w:hint="eastAsia" w:eastAsia="Times New Roman"/>
                      <w:szCs w:val="21"/>
                    </w:rPr>
                    <w:t>符合</w:t>
                  </w:r>
                </w:p>
              </w:tc>
            </w:tr>
            <w:tr w14:paraId="648BB63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02" w:type="dxa"/>
                  <w:vAlign w:val="center"/>
                </w:tcPr>
                <w:p w14:paraId="661DB739">
                  <w:pPr>
                    <w:pStyle w:val="79"/>
                    <w:rPr>
                      <w:rFonts w:eastAsia="Times New Roman"/>
                    </w:rPr>
                  </w:pPr>
                  <w:r>
                    <w:rPr>
                      <w:rFonts w:eastAsia="Times New Roman"/>
                      <w:szCs w:val="21"/>
                    </w:rPr>
                    <w:t>有组织VOCs排放</w:t>
                  </w:r>
                </w:p>
              </w:tc>
              <w:tc>
                <w:tcPr>
                  <w:tcW w:w="992" w:type="dxa"/>
                  <w:vAlign w:val="center"/>
                </w:tcPr>
                <w:p w14:paraId="1D0AEBD6">
                  <w:pPr>
                    <w:pStyle w:val="79"/>
                    <w:rPr>
                      <w:rFonts w:eastAsia="Times New Roman"/>
                    </w:rPr>
                  </w:pPr>
                  <w:r>
                    <w:rPr>
                      <w:rFonts w:eastAsia="Times New Roman"/>
                      <w:szCs w:val="21"/>
                    </w:rPr>
                    <w:t>排气筒</w:t>
                  </w:r>
                </w:p>
              </w:tc>
              <w:tc>
                <w:tcPr>
                  <w:tcW w:w="2977" w:type="dxa"/>
                  <w:vAlign w:val="center"/>
                </w:tcPr>
                <w:p w14:paraId="47063A52">
                  <w:pPr>
                    <w:pStyle w:val="137"/>
                    <w:spacing w:line="300" w:lineRule="exact"/>
                    <w:ind w:left="103"/>
                    <w:jc w:val="both"/>
                    <w:rPr>
                      <w:rFonts w:ascii="Times New Roman" w:hAnsi="Times New Roman" w:eastAsia="Times New Roman"/>
                      <w:sz w:val="21"/>
                      <w:szCs w:val="21"/>
                      <w:lang w:eastAsia="zh-CN"/>
                    </w:rPr>
                  </w:pPr>
                  <w:r>
                    <w:rPr>
                      <w:rFonts w:ascii="Times New Roman" w:hAnsi="Times New Roman" w:eastAsia="Times New Roman"/>
                      <w:sz w:val="21"/>
                      <w:szCs w:val="21"/>
                      <w:lang w:eastAsia="zh-CN"/>
                    </w:rPr>
                    <w:t>1.VOCs排放浓度是否稳定达标。</w:t>
                  </w:r>
                </w:p>
                <w:p w14:paraId="54F843DD">
                  <w:pPr>
                    <w:pStyle w:val="137"/>
                    <w:spacing w:line="300" w:lineRule="exact"/>
                    <w:ind w:left="103"/>
                    <w:jc w:val="both"/>
                    <w:rPr>
                      <w:rFonts w:ascii="Times New Roman" w:hAnsi="Times New Roman" w:eastAsia="Times New Roman"/>
                      <w:sz w:val="21"/>
                      <w:szCs w:val="21"/>
                      <w:lang w:eastAsia="zh-CN"/>
                    </w:rPr>
                  </w:pPr>
                  <w:r>
                    <w:rPr>
                      <w:rFonts w:ascii="Times New Roman" w:hAnsi="Times New Roman" w:eastAsia="Times New Roman"/>
                      <w:sz w:val="21"/>
                      <w:szCs w:val="21"/>
                      <w:lang w:eastAsia="zh-CN"/>
                    </w:rPr>
                    <w:t>2.车间或生产设施收集排放的废气，VOCs初始排放速率大于等于3千克/小时、重点区域大于等于2千克/小时的，VOCs治理效率是否符合要求；采用的原辅材料符合国家有关低VOCs含量产品规定的除外。</w:t>
                  </w:r>
                </w:p>
                <w:p w14:paraId="53505A96">
                  <w:pPr>
                    <w:pStyle w:val="79"/>
                    <w:jc w:val="both"/>
                    <w:rPr>
                      <w:rFonts w:eastAsia="Times New Roman"/>
                    </w:rPr>
                  </w:pPr>
                  <w:r>
                    <w:rPr>
                      <w:rFonts w:eastAsia="Times New Roman"/>
                      <w:szCs w:val="21"/>
                    </w:rPr>
                    <w:t>3.是否安装自动监控设施，自动监控设施是否正常运行，是否与生态环境部门联网。</w:t>
                  </w:r>
                </w:p>
              </w:tc>
              <w:tc>
                <w:tcPr>
                  <w:tcW w:w="1701" w:type="dxa"/>
                  <w:vAlign w:val="center"/>
                </w:tcPr>
                <w:p w14:paraId="4CB01C82">
                  <w:pPr>
                    <w:pStyle w:val="79"/>
                    <w:rPr>
                      <w:rFonts w:eastAsia="Times New Roman"/>
                    </w:rPr>
                  </w:pPr>
                  <w:r>
                    <w:rPr>
                      <w:rFonts w:hint="eastAsia" w:ascii="宋体" w:hAnsi="宋体" w:eastAsia="Times New Roman" w:cs="宋体"/>
                    </w:rPr>
                    <w:t>本项目排放的有机废气能够稳定达标；项目收集的注塑、喷漆废气中非甲烷总烃初始排放速率为</w:t>
                  </w:r>
                  <w:r>
                    <w:rPr>
                      <w:rFonts w:eastAsia="Times New Roman"/>
                    </w:rPr>
                    <w:t>0.</w:t>
                  </w:r>
                  <w:r>
                    <w:rPr>
                      <w:rFonts w:hint="eastAsia" w:eastAsiaTheme="minorEastAsia"/>
                    </w:rPr>
                    <w:t>056</w:t>
                  </w:r>
                  <w:r>
                    <w:rPr>
                      <w:rFonts w:eastAsia="Times New Roman"/>
                    </w:rPr>
                    <w:t>kg/h&lt;3kg/h</w:t>
                  </w:r>
                  <w:r>
                    <w:rPr>
                      <w:rFonts w:hint="eastAsia" w:ascii="宋体" w:hAnsi="宋体" w:eastAsia="Times New Roman" w:cs="宋体"/>
                    </w:rPr>
                    <w:t>；项目有机废气排放量较小，不属于重点排污单位，不需要安装自动监控设施。</w:t>
                  </w:r>
                </w:p>
              </w:tc>
              <w:tc>
                <w:tcPr>
                  <w:tcW w:w="777" w:type="dxa"/>
                  <w:vAlign w:val="center"/>
                </w:tcPr>
                <w:p w14:paraId="1B429646">
                  <w:pPr>
                    <w:pStyle w:val="79"/>
                    <w:rPr>
                      <w:rFonts w:eastAsia="Times New Roman"/>
                    </w:rPr>
                  </w:pPr>
                  <w:r>
                    <w:rPr>
                      <w:rFonts w:eastAsia="Times New Roman"/>
                      <w:szCs w:val="21"/>
                    </w:rPr>
                    <w:t>符合</w:t>
                  </w:r>
                </w:p>
              </w:tc>
            </w:tr>
          </w:tbl>
          <w:p w14:paraId="5EDB7F47">
            <w:pPr>
              <w:pStyle w:val="117"/>
              <w:ind w:firstLine="480"/>
            </w:pPr>
            <w:r>
              <w:rPr>
                <w:rFonts w:hint="eastAsia"/>
              </w:rPr>
              <w:t>②项目与《挥发性有机物无组织排放控制标准》符合性分析</w:t>
            </w:r>
          </w:p>
          <w:p w14:paraId="25AEB251">
            <w:pPr>
              <w:pStyle w:val="87"/>
            </w:pPr>
            <w:r>
              <w:rPr>
                <w:rFonts w:hint="eastAsia"/>
              </w:rPr>
              <w:t>表1-7</w:t>
            </w:r>
            <w:r>
              <w:rPr>
                <w:rFonts w:hint="eastAsia"/>
              </w:rPr>
              <w:tab/>
            </w:r>
            <w:r>
              <w:rPr>
                <w:rFonts w:hint="eastAsia"/>
              </w:rPr>
              <w:t>项目与《挥发性有机物无组织排放控制标准》相符性分析表</w:t>
            </w:r>
          </w:p>
          <w:tbl>
            <w:tblPr>
              <w:tblStyle w:val="154"/>
              <w:tblW w:w="6981" w:type="dxa"/>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744"/>
              <w:gridCol w:w="2835"/>
              <w:gridCol w:w="2693"/>
              <w:gridCol w:w="709"/>
            </w:tblGrid>
            <w:tr w14:paraId="0C5F50E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39FB9A01">
                  <w:pPr>
                    <w:pStyle w:val="79"/>
                    <w:rPr>
                      <w:rFonts w:eastAsia="Times New Roman"/>
                      <w:b w:val="0"/>
                    </w:rPr>
                  </w:pPr>
                  <w:r>
                    <w:rPr>
                      <w:rFonts w:eastAsia="Times New Roman"/>
                      <w:b/>
                    </w:rPr>
                    <w:t>分类</w:t>
                  </w:r>
                </w:p>
              </w:tc>
              <w:tc>
                <w:tcPr>
                  <w:tcW w:w="2835" w:type="dxa"/>
                  <w:vAlign w:val="center"/>
                </w:tcPr>
                <w:p w14:paraId="044FE445">
                  <w:pPr>
                    <w:pStyle w:val="79"/>
                    <w:rPr>
                      <w:rFonts w:eastAsia="Times New Roman"/>
                      <w:b w:val="0"/>
                    </w:rPr>
                  </w:pPr>
                  <w:r>
                    <w:rPr>
                      <w:rFonts w:eastAsia="Times New Roman"/>
                      <w:b/>
                    </w:rPr>
                    <w:t>基本要求</w:t>
                  </w:r>
                </w:p>
              </w:tc>
              <w:tc>
                <w:tcPr>
                  <w:tcW w:w="2693" w:type="dxa"/>
                  <w:vAlign w:val="center"/>
                </w:tcPr>
                <w:p w14:paraId="07F4DE9F">
                  <w:pPr>
                    <w:pStyle w:val="79"/>
                    <w:rPr>
                      <w:rFonts w:eastAsia="Times New Roman"/>
                      <w:b w:val="0"/>
                    </w:rPr>
                  </w:pPr>
                  <w:r>
                    <w:rPr>
                      <w:rFonts w:eastAsia="Times New Roman"/>
                      <w:b/>
                    </w:rPr>
                    <w:t>实际情况</w:t>
                  </w:r>
                </w:p>
              </w:tc>
              <w:tc>
                <w:tcPr>
                  <w:tcW w:w="709" w:type="dxa"/>
                  <w:vAlign w:val="center"/>
                </w:tcPr>
                <w:p w14:paraId="580D2C0A">
                  <w:pPr>
                    <w:pStyle w:val="79"/>
                    <w:rPr>
                      <w:rFonts w:eastAsia="Times New Roman"/>
                      <w:b w:val="0"/>
                    </w:rPr>
                  </w:pPr>
                  <w:r>
                    <w:rPr>
                      <w:rFonts w:eastAsia="Times New Roman"/>
                      <w:b/>
                    </w:rPr>
                    <w:t>相符性</w:t>
                  </w:r>
                </w:p>
              </w:tc>
            </w:tr>
            <w:tr w14:paraId="4A48C28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981" w:type="dxa"/>
                  <w:gridSpan w:val="4"/>
                  <w:vAlign w:val="center"/>
                </w:tcPr>
                <w:p w14:paraId="3FAF7C85">
                  <w:pPr>
                    <w:pStyle w:val="79"/>
                    <w:rPr>
                      <w:rFonts w:eastAsia="Times New Roman"/>
                    </w:rPr>
                  </w:pPr>
                  <w:r>
                    <w:rPr>
                      <w:rFonts w:eastAsia="Times New Roman"/>
                    </w:rPr>
                    <w:t>OCs物料储存无组织排放控制要求</w:t>
                  </w:r>
                </w:p>
              </w:tc>
            </w:tr>
            <w:tr w14:paraId="03E6530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645C5298">
                  <w:pPr>
                    <w:pStyle w:val="79"/>
                    <w:rPr>
                      <w:rFonts w:eastAsia="Times New Roman"/>
                    </w:rPr>
                  </w:pPr>
                  <w:r>
                    <w:rPr>
                      <w:rFonts w:eastAsia="Times New Roman"/>
                    </w:rPr>
                    <w:t>基本要求</w:t>
                  </w:r>
                </w:p>
              </w:tc>
              <w:tc>
                <w:tcPr>
                  <w:tcW w:w="2835" w:type="dxa"/>
                  <w:vAlign w:val="center"/>
                </w:tcPr>
                <w:p w14:paraId="44D973F9">
                  <w:pPr>
                    <w:pStyle w:val="79"/>
                    <w:jc w:val="both"/>
                    <w:rPr>
                      <w:rFonts w:eastAsia="Times New Roman"/>
                    </w:rPr>
                  </w:pPr>
                  <w:r>
                    <w:rPr>
                      <w:rFonts w:eastAsia="Times New Roman"/>
                    </w:rPr>
                    <w:t>VOCs物料应储存于密闭的容器、包装袋、储罐、储库、料仓中</w:t>
                  </w:r>
                </w:p>
              </w:tc>
              <w:tc>
                <w:tcPr>
                  <w:tcW w:w="2693" w:type="dxa"/>
                  <w:vAlign w:val="center"/>
                </w:tcPr>
                <w:p w14:paraId="654300BB">
                  <w:pPr>
                    <w:pStyle w:val="79"/>
                    <w:jc w:val="both"/>
                    <w:rPr>
                      <w:rFonts w:eastAsia="Times New Roman"/>
                    </w:rPr>
                  </w:pPr>
                  <w:r>
                    <w:rPr>
                      <w:rFonts w:eastAsia="Times New Roman"/>
                    </w:rPr>
                    <w:t>本项目使用的VOCs物料主要为塑料颗粒，塑料颗粒有密封包装袋包装，贮存于原料仓库内。</w:t>
                  </w:r>
                </w:p>
              </w:tc>
              <w:tc>
                <w:tcPr>
                  <w:tcW w:w="709" w:type="dxa"/>
                  <w:vAlign w:val="center"/>
                </w:tcPr>
                <w:p w14:paraId="567FE7A4">
                  <w:pPr>
                    <w:pStyle w:val="79"/>
                    <w:rPr>
                      <w:rFonts w:eastAsia="Times New Roman"/>
                    </w:rPr>
                  </w:pPr>
                  <w:r>
                    <w:rPr>
                      <w:rFonts w:eastAsia="Times New Roman"/>
                    </w:rPr>
                    <w:t>符合</w:t>
                  </w:r>
                </w:p>
              </w:tc>
            </w:tr>
            <w:tr w14:paraId="7FFE2FC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981" w:type="dxa"/>
                  <w:gridSpan w:val="4"/>
                  <w:vAlign w:val="center"/>
                </w:tcPr>
                <w:p w14:paraId="360BDBDB">
                  <w:pPr>
                    <w:pStyle w:val="79"/>
                    <w:rPr>
                      <w:rFonts w:eastAsia="Times New Roman"/>
                    </w:rPr>
                  </w:pPr>
                  <w:r>
                    <w:rPr>
                      <w:rFonts w:hint="eastAsia" w:ascii="宋体" w:hAnsi="宋体" w:eastAsia="Times New Roman" w:cs="宋体"/>
                    </w:rPr>
                    <w:t>工艺过程</w:t>
                  </w:r>
                  <w:r>
                    <w:rPr>
                      <w:rFonts w:hint="eastAsia" w:eastAsia="Times New Roman"/>
                    </w:rPr>
                    <w:t>VOCs</w:t>
                  </w:r>
                  <w:r>
                    <w:rPr>
                      <w:rFonts w:hint="eastAsia" w:ascii="宋体" w:hAnsi="宋体" w:eastAsia="Times New Roman" w:cs="宋体"/>
                    </w:rPr>
                    <w:t>无组织排放控制要求</w:t>
                  </w:r>
                </w:p>
              </w:tc>
            </w:tr>
            <w:tr w14:paraId="7D35D0B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restart"/>
                  <w:vAlign w:val="center"/>
                </w:tcPr>
                <w:p w14:paraId="557AFF17">
                  <w:pPr>
                    <w:pStyle w:val="79"/>
                    <w:rPr>
                      <w:rFonts w:eastAsia="Times New Roman"/>
                    </w:rPr>
                  </w:pPr>
                  <w:r>
                    <w:rPr>
                      <w:rFonts w:eastAsia="Times New Roman"/>
                    </w:rPr>
                    <w:t>物料投加和卸放</w:t>
                  </w:r>
                </w:p>
              </w:tc>
              <w:tc>
                <w:tcPr>
                  <w:tcW w:w="2835" w:type="dxa"/>
                  <w:vAlign w:val="center"/>
                </w:tcPr>
                <w:p w14:paraId="6A98F87C">
                  <w:pPr>
                    <w:pStyle w:val="79"/>
                    <w:jc w:val="both"/>
                    <w:rPr>
                      <w:rFonts w:eastAsia="Times New Roman"/>
                    </w:rPr>
                  </w:pPr>
                  <w:r>
                    <w:rPr>
                      <w:rFonts w:eastAsia="Times New Roman"/>
                    </w:rPr>
                    <w:t>液态VOCs物料应采用密闭管道输送方式或采用高位槽（罐）、桶泵等给料方式密闭投加。无法密闭投加的，应在密闭空间内操作，或进行局部气体收集，废气应排至VOCs废气收集处理系统。</w:t>
                  </w:r>
                </w:p>
              </w:tc>
              <w:tc>
                <w:tcPr>
                  <w:tcW w:w="2693" w:type="dxa"/>
                  <w:vAlign w:val="center"/>
                </w:tcPr>
                <w:p w14:paraId="098192CE">
                  <w:pPr>
                    <w:pStyle w:val="79"/>
                    <w:rPr>
                      <w:rFonts w:eastAsia="Times New Roman"/>
                    </w:rPr>
                  </w:pPr>
                  <w:r>
                    <w:rPr>
                      <w:rFonts w:hint="eastAsia" w:eastAsia="Times New Roman"/>
                    </w:rPr>
                    <w:t>不涉及</w:t>
                  </w:r>
                </w:p>
              </w:tc>
              <w:tc>
                <w:tcPr>
                  <w:tcW w:w="709" w:type="dxa"/>
                  <w:vAlign w:val="center"/>
                </w:tcPr>
                <w:p w14:paraId="4AE98F93">
                  <w:pPr>
                    <w:pStyle w:val="79"/>
                    <w:rPr>
                      <w:rFonts w:eastAsia="Times New Roman"/>
                    </w:rPr>
                  </w:pPr>
                  <w:r>
                    <w:rPr>
                      <w:rFonts w:eastAsia="Times New Roman"/>
                    </w:rPr>
                    <w:t>符合</w:t>
                  </w:r>
                </w:p>
              </w:tc>
            </w:tr>
            <w:tr w14:paraId="08B9020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continue"/>
                  <w:vAlign w:val="center"/>
                </w:tcPr>
                <w:p w14:paraId="14950647">
                  <w:pPr>
                    <w:pStyle w:val="79"/>
                    <w:rPr>
                      <w:rFonts w:eastAsia="Times New Roman"/>
                    </w:rPr>
                  </w:pPr>
                </w:p>
              </w:tc>
              <w:tc>
                <w:tcPr>
                  <w:tcW w:w="2835" w:type="dxa"/>
                  <w:vAlign w:val="center"/>
                </w:tcPr>
                <w:p w14:paraId="341E86C5">
                  <w:pPr>
                    <w:pStyle w:val="79"/>
                    <w:jc w:val="both"/>
                    <w:rPr>
                      <w:rFonts w:eastAsia="Times New Roman"/>
                    </w:rPr>
                  </w:pPr>
                  <w:r>
                    <w:rPr>
                      <w:rFonts w:eastAsia="Times New Roman"/>
                    </w:rPr>
                    <w:t>VOCs</w:t>
                  </w:r>
                  <w:r>
                    <w:rPr>
                      <w:rFonts w:hint="eastAsia" w:ascii="宋体" w:hAnsi="宋体" w:eastAsia="Times New Roman" w:cs="宋体"/>
                    </w:rPr>
                    <w:t>物料卸（出、放）料过程应密闭，卸料废气应排至</w:t>
                  </w:r>
                  <w:r>
                    <w:rPr>
                      <w:rFonts w:eastAsia="Times New Roman"/>
                    </w:rPr>
                    <w:t>VOCs</w:t>
                  </w:r>
                  <w:r>
                    <w:rPr>
                      <w:rFonts w:hint="eastAsia" w:ascii="宋体" w:hAnsi="宋体" w:eastAsia="Times New Roman" w:cs="宋体"/>
                    </w:rPr>
                    <w:t>废气收集处理系统</w:t>
                  </w:r>
                </w:p>
              </w:tc>
              <w:tc>
                <w:tcPr>
                  <w:tcW w:w="2693" w:type="dxa"/>
                  <w:vAlign w:val="center"/>
                </w:tcPr>
                <w:p w14:paraId="1224F728">
                  <w:pPr>
                    <w:pStyle w:val="79"/>
                    <w:jc w:val="both"/>
                    <w:rPr>
                      <w:rFonts w:eastAsia="Times New Roman"/>
                    </w:rPr>
                  </w:pPr>
                  <w:r>
                    <w:rPr>
                      <w:rFonts w:eastAsia="Times New Roman"/>
                    </w:rPr>
                    <w:t>VOCs物料</w:t>
                  </w:r>
                  <w:r>
                    <w:rPr>
                      <w:rFonts w:hint="eastAsia" w:eastAsia="Times New Roman"/>
                    </w:rPr>
                    <w:t>袋装</w:t>
                  </w:r>
                  <w:r>
                    <w:rPr>
                      <w:rFonts w:eastAsia="Times New Roman"/>
                    </w:rPr>
                    <w:t>，贮存于</w:t>
                  </w:r>
                  <w:r>
                    <w:rPr>
                      <w:rFonts w:hint="eastAsia" w:eastAsia="Times New Roman"/>
                    </w:rPr>
                    <w:t>原料区</w:t>
                  </w:r>
                  <w:r>
                    <w:rPr>
                      <w:rFonts w:eastAsia="Times New Roman"/>
                    </w:rPr>
                    <w:t>，卸货时，无卸料废气产生。</w:t>
                  </w:r>
                </w:p>
              </w:tc>
              <w:tc>
                <w:tcPr>
                  <w:tcW w:w="709" w:type="dxa"/>
                  <w:vAlign w:val="center"/>
                </w:tcPr>
                <w:p w14:paraId="2F2A66DD">
                  <w:pPr>
                    <w:pStyle w:val="79"/>
                    <w:rPr>
                      <w:rFonts w:eastAsia="Times New Roman"/>
                    </w:rPr>
                  </w:pPr>
                  <w:r>
                    <w:rPr>
                      <w:rFonts w:eastAsia="Times New Roman"/>
                    </w:rPr>
                    <w:t>符合</w:t>
                  </w:r>
                </w:p>
              </w:tc>
            </w:tr>
            <w:tr w14:paraId="495F3C0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981" w:type="dxa"/>
                  <w:gridSpan w:val="4"/>
                  <w:vAlign w:val="center"/>
                </w:tcPr>
                <w:p w14:paraId="3C8EB269">
                  <w:pPr>
                    <w:pStyle w:val="79"/>
                    <w:rPr>
                      <w:rFonts w:eastAsia="Times New Roman"/>
                    </w:rPr>
                  </w:pPr>
                  <w:r>
                    <w:rPr>
                      <w:rFonts w:hint="eastAsia" w:eastAsia="Times New Roman"/>
                    </w:rPr>
                    <w:t>VOCs</w:t>
                  </w:r>
                  <w:r>
                    <w:rPr>
                      <w:rFonts w:hint="eastAsia" w:ascii="宋体" w:hAnsi="宋体" w:eastAsia="Times New Roman" w:cs="宋体"/>
                    </w:rPr>
                    <w:t>无组织排放废气收集处理系统要求</w:t>
                  </w:r>
                </w:p>
              </w:tc>
            </w:tr>
            <w:tr w14:paraId="39A3674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658E1F12">
                  <w:pPr>
                    <w:pStyle w:val="79"/>
                    <w:rPr>
                      <w:rFonts w:eastAsia="Times New Roman"/>
                    </w:rPr>
                  </w:pPr>
                  <w:r>
                    <w:rPr>
                      <w:rFonts w:eastAsia="Times New Roman"/>
                    </w:rPr>
                    <w:t>基本要求</w:t>
                  </w:r>
                </w:p>
              </w:tc>
              <w:tc>
                <w:tcPr>
                  <w:tcW w:w="2835" w:type="dxa"/>
                  <w:vAlign w:val="center"/>
                </w:tcPr>
                <w:p w14:paraId="184AE988">
                  <w:pPr>
                    <w:pStyle w:val="79"/>
                    <w:jc w:val="both"/>
                    <w:rPr>
                      <w:rFonts w:eastAsia="Times New Roman"/>
                    </w:rPr>
                  </w:pPr>
                  <w:r>
                    <w:rPr>
                      <w:rFonts w:eastAsia="Times New Roman"/>
                    </w:rPr>
                    <w:t>VOCs废气收集处理系统应与生产工艺设备同步运行。VOCs废气收集处理系统发生故障或检修时，对应的生产工艺设备应停止运行，待检修完毕后同步投入使用；生产工艺设备不能停止运行或不能及时停止运行的，应设置废气应急处理设施或采取其他替代措施。</w:t>
                  </w:r>
                </w:p>
              </w:tc>
              <w:tc>
                <w:tcPr>
                  <w:tcW w:w="2693" w:type="dxa"/>
                  <w:vAlign w:val="center"/>
                </w:tcPr>
                <w:p w14:paraId="0CEDC0C7">
                  <w:pPr>
                    <w:pStyle w:val="79"/>
                    <w:jc w:val="both"/>
                    <w:rPr>
                      <w:rFonts w:eastAsia="Times New Roman"/>
                    </w:rPr>
                  </w:pPr>
                  <w:r>
                    <w:rPr>
                      <w:rFonts w:eastAsia="Times New Roman"/>
                    </w:rPr>
                    <w:t>VOCs废气收集处理系统与生产工艺设备同步运行。本项目的VOCs废气收集处理系统发生故障或检修时，对应的生产工艺设备停止运行，待检修完毕后同步投入使用。</w:t>
                  </w:r>
                </w:p>
              </w:tc>
              <w:tc>
                <w:tcPr>
                  <w:tcW w:w="709" w:type="dxa"/>
                  <w:vAlign w:val="center"/>
                </w:tcPr>
                <w:p w14:paraId="180958E1">
                  <w:pPr>
                    <w:pStyle w:val="79"/>
                    <w:rPr>
                      <w:rFonts w:eastAsia="Times New Roman"/>
                    </w:rPr>
                  </w:pPr>
                  <w:r>
                    <w:rPr>
                      <w:rFonts w:eastAsia="Times New Roman"/>
                    </w:rPr>
                    <w:t>符合</w:t>
                  </w:r>
                </w:p>
              </w:tc>
            </w:tr>
            <w:tr w14:paraId="626F4FD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Align w:val="center"/>
                </w:tcPr>
                <w:p w14:paraId="4CBD3FAB">
                  <w:pPr>
                    <w:pStyle w:val="79"/>
                    <w:rPr>
                      <w:rFonts w:eastAsia="Times New Roman"/>
                    </w:rPr>
                  </w:pPr>
                  <w:r>
                    <w:rPr>
                      <w:rFonts w:eastAsia="Times New Roman"/>
                    </w:rPr>
                    <w:t>废气收集系统</w:t>
                  </w:r>
                </w:p>
              </w:tc>
              <w:tc>
                <w:tcPr>
                  <w:tcW w:w="2835" w:type="dxa"/>
                  <w:vAlign w:val="center"/>
                </w:tcPr>
                <w:p w14:paraId="13406428">
                  <w:pPr>
                    <w:pStyle w:val="79"/>
                    <w:jc w:val="both"/>
                    <w:rPr>
                      <w:rFonts w:eastAsia="Times New Roman"/>
                    </w:rPr>
                  </w:pPr>
                  <w:r>
                    <w:rPr>
                      <w:rFonts w:eastAsia="Times New Roman"/>
                    </w:rPr>
                    <w:t>废气收集系统的输送管道应密闭，废气收集系统应在负压下运行。</w:t>
                  </w:r>
                </w:p>
              </w:tc>
              <w:tc>
                <w:tcPr>
                  <w:tcW w:w="2693" w:type="dxa"/>
                  <w:vAlign w:val="center"/>
                </w:tcPr>
                <w:p w14:paraId="284F0EA0">
                  <w:pPr>
                    <w:pStyle w:val="79"/>
                    <w:jc w:val="both"/>
                    <w:rPr>
                      <w:rFonts w:eastAsia="Times New Roman"/>
                    </w:rPr>
                  </w:pPr>
                  <w:r>
                    <w:rPr>
                      <w:rFonts w:eastAsia="Times New Roman"/>
                    </w:rPr>
                    <w:t>本废气收集系统的输送管道密闭，废气收集系统在负压下运行。</w:t>
                  </w:r>
                </w:p>
              </w:tc>
              <w:tc>
                <w:tcPr>
                  <w:tcW w:w="709" w:type="dxa"/>
                  <w:vAlign w:val="center"/>
                </w:tcPr>
                <w:p w14:paraId="7BF0DD86">
                  <w:pPr>
                    <w:pStyle w:val="79"/>
                    <w:rPr>
                      <w:rFonts w:eastAsia="Times New Roman"/>
                    </w:rPr>
                  </w:pPr>
                  <w:r>
                    <w:rPr>
                      <w:rFonts w:eastAsia="Times New Roman"/>
                    </w:rPr>
                    <w:t>符合</w:t>
                  </w:r>
                </w:p>
              </w:tc>
            </w:tr>
            <w:tr w14:paraId="19984E5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restart"/>
                  <w:vAlign w:val="center"/>
                </w:tcPr>
                <w:p w14:paraId="6357F0F5">
                  <w:pPr>
                    <w:pStyle w:val="79"/>
                    <w:rPr>
                      <w:rFonts w:eastAsia="Times New Roman"/>
                      <w:lang w:val="en-US"/>
                    </w:rPr>
                  </w:pPr>
                  <w:r>
                    <w:rPr>
                      <w:rFonts w:eastAsia="Times New Roman"/>
                      <w:lang w:val="en-US"/>
                    </w:rPr>
                    <w:t>VOCs</w:t>
                  </w:r>
                  <w:r>
                    <w:rPr>
                      <w:rFonts w:eastAsia="Times New Roman"/>
                    </w:rPr>
                    <w:t>排放控制要求</w:t>
                  </w:r>
                </w:p>
              </w:tc>
              <w:tc>
                <w:tcPr>
                  <w:tcW w:w="2835" w:type="dxa"/>
                  <w:vAlign w:val="center"/>
                </w:tcPr>
                <w:p w14:paraId="3FC3C3C4">
                  <w:pPr>
                    <w:pStyle w:val="79"/>
                    <w:jc w:val="both"/>
                    <w:rPr>
                      <w:rFonts w:eastAsia="Times New Roman"/>
                    </w:rPr>
                  </w:pPr>
                  <w:r>
                    <w:rPr>
                      <w:rFonts w:eastAsia="Times New Roman"/>
                    </w:rPr>
                    <w:t>VOCs废气收集处理系统污染物</w:t>
                  </w:r>
                </w:p>
                <w:p w14:paraId="543A0B19">
                  <w:pPr>
                    <w:pStyle w:val="79"/>
                    <w:jc w:val="both"/>
                    <w:rPr>
                      <w:rFonts w:eastAsia="Times New Roman"/>
                    </w:rPr>
                  </w:pPr>
                  <w:r>
                    <w:rPr>
                      <w:rFonts w:eastAsia="Times New Roman"/>
                    </w:rPr>
                    <w:t>排放应符合GB16297或相关行</w:t>
                  </w:r>
                </w:p>
                <w:p w14:paraId="51C89034">
                  <w:pPr>
                    <w:pStyle w:val="79"/>
                    <w:jc w:val="both"/>
                    <w:rPr>
                      <w:rFonts w:eastAsia="Times New Roman"/>
                    </w:rPr>
                  </w:pPr>
                  <w:r>
                    <w:rPr>
                      <w:rFonts w:eastAsia="Times New Roman"/>
                    </w:rPr>
                    <w:t>业排放标准的规定。</w:t>
                  </w:r>
                </w:p>
              </w:tc>
              <w:tc>
                <w:tcPr>
                  <w:tcW w:w="2693" w:type="dxa"/>
                  <w:vAlign w:val="center"/>
                </w:tcPr>
                <w:p w14:paraId="1650F7BB">
                  <w:pPr>
                    <w:pStyle w:val="79"/>
                    <w:jc w:val="both"/>
                    <w:rPr>
                      <w:rFonts w:eastAsia="Times New Roman"/>
                    </w:rPr>
                  </w:pPr>
                  <w:r>
                    <w:rPr>
                      <w:rFonts w:eastAsia="Times New Roman"/>
                    </w:rPr>
                    <w:t>VOCs废气收集处理系统污染物排放符合《合成树脂工业污染物排放标准》（GB31572-2015）标准要求。</w:t>
                  </w:r>
                </w:p>
              </w:tc>
              <w:tc>
                <w:tcPr>
                  <w:tcW w:w="709" w:type="dxa"/>
                  <w:vAlign w:val="center"/>
                </w:tcPr>
                <w:p w14:paraId="3B3C766F">
                  <w:pPr>
                    <w:pStyle w:val="79"/>
                    <w:rPr>
                      <w:rFonts w:eastAsia="Times New Roman"/>
                    </w:rPr>
                  </w:pPr>
                  <w:r>
                    <w:rPr>
                      <w:rFonts w:eastAsia="Times New Roman"/>
                    </w:rPr>
                    <w:t>符合</w:t>
                  </w:r>
                </w:p>
              </w:tc>
            </w:tr>
            <w:tr w14:paraId="388252D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44" w:type="dxa"/>
                  <w:vMerge w:val="continue"/>
                  <w:vAlign w:val="center"/>
                </w:tcPr>
                <w:p w14:paraId="0301A35E">
                  <w:pPr>
                    <w:pStyle w:val="79"/>
                    <w:rPr>
                      <w:rFonts w:eastAsia="Times New Roman"/>
                      <w:lang w:val="en-US"/>
                    </w:rPr>
                  </w:pPr>
                </w:p>
              </w:tc>
              <w:tc>
                <w:tcPr>
                  <w:tcW w:w="2835" w:type="dxa"/>
                  <w:vAlign w:val="center"/>
                </w:tcPr>
                <w:p w14:paraId="70E4FF1F">
                  <w:pPr>
                    <w:pStyle w:val="79"/>
                    <w:jc w:val="both"/>
                    <w:rPr>
                      <w:rFonts w:eastAsia="Times New Roman"/>
                    </w:rPr>
                  </w:pPr>
                  <w:r>
                    <w:rPr>
                      <w:rFonts w:eastAsia="Times New Roman"/>
                    </w:rPr>
                    <w:t>收集的废气中NMHC初始排放速率≥3kg/h时，应配置VOCs处理设施，处理效率不应低于80%；排气筒高度不低于15m（因安全考虑或有特殊工艺要求的除外），具体高度以及与周围建筑物的相对高度关系应根据环境影响评价文件确定。</w:t>
                  </w:r>
                </w:p>
              </w:tc>
              <w:tc>
                <w:tcPr>
                  <w:tcW w:w="2693" w:type="dxa"/>
                  <w:vAlign w:val="center"/>
                </w:tcPr>
                <w:p w14:paraId="1C1C4E63">
                  <w:pPr>
                    <w:pStyle w:val="79"/>
                    <w:rPr>
                      <w:rFonts w:eastAsia="Times New Roman"/>
                    </w:rPr>
                  </w:pPr>
                  <w:r>
                    <w:rPr>
                      <w:rFonts w:hint="eastAsia" w:ascii="宋体" w:hAnsi="宋体" w:eastAsia="Times New Roman" w:cs="宋体"/>
                    </w:rPr>
                    <w:t>本项目收集的废气中非甲烷总烃初始排放速率为</w:t>
                  </w:r>
                  <w:r>
                    <w:rPr>
                      <w:rFonts w:eastAsia="Times New Roman"/>
                    </w:rPr>
                    <w:t>0.</w:t>
                  </w:r>
                  <w:r>
                    <w:rPr>
                      <w:rFonts w:hint="eastAsia" w:eastAsiaTheme="minorEastAsia"/>
                    </w:rPr>
                    <w:t>056</w:t>
                  </w:r>
                  <w:r>
                    <w:rPr>
                      <w:rFonts w:eastAsia="Times New Roman"/>
                    </w:rPr>
                    <w:t>kg/h&lt;3kg/h</w:t>
                  </w:r>
                  <w:r>
                    <w:rPr>
                      <w:rFonts w:hint="eastAsia" w:ascii="宋体" w:hAnsi="宋体" w:eastAsia="Times New Roman" w:cs="宋体"/>
                    </w:rPr>
                    <w:t>，不要求处理效率，项目排放的有机废气经过二级活性炭处理达标后排放。</w:t>
                  </w:r>
                  <w:r>
                    <w:rPr>
                      <w:rFonts w:eastAsia="Times New Roman"/>
                    </w:rPr>
                    <w:t>DA001</w:t>
                  </w:r>
                  <w:r>
                    <w:rPr>
                      <w:rFonts w:hint="eastAsia" w:ascii="宋体" w:hAnsi="宋体" w:eastAsia="Times New Roman" w:cs="宋体"/>
                    </w:rPr>
                    <w:t>排气筒高度为</w:t>
                  </w:r>
                  <w:r>
                    <w:rPr>
                      <w:rFonts w:hint="eastAsia" w:eastAsiaTheme="minorEastAsia"/>
                    </w:rPr>
                    <w:t>15</w:t>
                  </w:r>
                  <w:r>
                    <w:rPr>
                      <w:rFonts w:eastAsia="Times New Roman"/>
                    </w:rPr>
                    <w:t>m</w:t>
                  </w:r>
                  <w:r>
                    <w:rPr>
                      <w:rFonts w:hint="eastAsia" w:ascii="宋体" w:hAnsi="宋体" w:eastAsia="Times New Roman" w:cs="宋体"/>
                    </w:rPr>
                    <w:t>。</w:t>
                  </w:r>
                </w:p>
              </w:tc>
              <w:tc>
                <w:tcPr>
                  <w:tcW w:w="709" w:type="dxa"/>
                  <w:vAlign w:val="center"/>
                </w:tcPr>
                <w:p w14:paraId="04F7FBC4">
                  <w:pPr>
                    <w:pStyle w:val="79"/>
                    <w:rPr>
                      <w:rFonts w:eastAsia="Times New Roman"/>
                    </w:rPr>
                  </w:pPr>
                  <w:r>
                    <w:rPr>
                      <w:rFonts w:eastAsia="Times New Roman"/>
                    </w:rPr>
                    <w:t>符合</w:t>
                  </w:r>
                </w:p>
              </w:tc>
            </w:tr>
          </w:tbl>
          <w:p w14:paraId="7AB0C444">
            <w:pPr>
              <w:pStyle w:val="117"/>
              <w:ind w:firstLine="480"/>
            </w:pPr>
            <w:r>
              <w:rPr>
                <w:rFonts w:hint="eastAsia"/>
              </w:rPr>
              <w:t>③项目与《柳州市挥发性有机物污染防治实施方案》相符性分析</w:t>
            </w:r>
          </w:p>
          <w:p w14:paraId="6A664D73">
            <w:pPr>
              <w:pStyle w:val="117"/>
              <w:ind w:firstLine="480"/>
            </w:pPr>
            <w:r>
              <w:rPr>
                <w:rFonts w:hint="eastAsia"/>
              </w:rPr>
              <w:t>2019年8月，柳州市生态环境局指定并印发了《柳州市挥发性有机物污染防治实施方案》（以下简称《方案》）。</w:t>
            </w:r>
          </w:p>
          <w:p w14:paraId="71B63294">
            <w:pPr>
              <w:pStyle w:val="117"/>
              <w:ind w:firstLine="480"/>
            </w:pPr>
            <w:r>
              <w:rPr>
                <w:rFonts w:hint="eastAsia"/>
              </w:rPr>
              <w:t>《方案》明确柳州市将以工业涂装、化工、木材加工、包装印刷、汽车修理4S店等5个行业为主要控制对象，坚持突出重点、以点带面、分步实施的原则，加强重点行业工艺过程无组织排放控制和废气治理，提升企业工艺装备水平和VOCs防治水平。</w:t>
            </w:r>
          </w:p>
          <w:p w14:paraId="75BF56FE">
            <w:pPr>
              <w:pStyle w:val="117"/>
              <w:ind w:firstLine="480"/>
            </w:pPr>
            <w:r>
              <w:rPr>
                <w:rFonts w:hint="eastAsia"/>
              </w:rPr>
              <w:t>项目属于汽车零部件造行业，挥发性有机物产生量较少，项目加强车间通风排气，废气在车间内无组织排放，最大程度减少有机废气无组织排放，符合《方案》要求。</w:t>
            </w:r>
          </w:p>
        </w:tc>
      </w:tr>
    </w:tbl>
    <w:p w14:paraId="6D7D15D4">
      <w:pPr>
        <w:ind w:firstLine="600"/>
        <w:outlineLvl w:val="0"/>
        <w:rPr>
          <w:rFonts w:eastAsia="黑体"/>
          <w:sz w:val="30"/>
        </w:rPr>
        <w:sectPr>
          <w:footerReference r:id="rId11" w:type="default"/>
          <w:pgSz w:w="11906" w:h="16838"/>
          <w:pgMar w:top="1474" w:right="1247" w:bottom="1474" w:left="1531" w:header="851" w:footer="850" w:gutter="0"/>
          <w:pgNumType w:start="1"/>
          <w:cols w:space="720" w:num="1"/>
          <w:docGrid w:linePitch="326" w:charSpace="0"/>
        </w:sectPr>
      </w:pPr>
    </w:p>
    <w:p w14:paraId="72BB5475">
      <w:pPr>
        <w:pStyle w:val="2"/>
        <w:rPr>
          <w:snapToGrid w:val="0"/>
          <w:color w:val="auto"/>
        </w:rPr>
      </w:pPr>
      <w:bookmarkStart w:id="18" w:name="_Toc68650489"/>
      <w:bookmarkStart w:id="19" w:name="_Toc106357848"/>
      <w:bookmarkStart w:id="20" w:name="_Toc106358051"/>
      <w:bookmarkStart w:id="21" w:name="_Toc106786249"/>
      <w:bookmarkStart w:id="22" w:name="_Toc106357934"/>
      <w:bookmarkStart w:id="23" w:name="_Toc109895243"/>
      <w:r>
        <w:rPr>
          <w:rFonts w:hint="eastAsia"/>
          <w:snapToGrid w:val="0"/>
          <w:color w:val="auto"/>
        </w:rPr>
        <w:t>二、建设项目工程分析</w:t>
      </w:r>
      <w:bookmarkEnd w:id="18"/>
      <w:bookmarkEnd w:id="19"/>
      <w:bookmarkEnd w:id="20"/>
      <w:bookmarkEnd w:id="21"/>
      <w:bookmarkEnd w:id="22"/>
      <w:bookmarkEnd w:id="23"/>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557"/>
        <w:gridCol w:w="8551"/>
      </w:tblGrid>
      <w:tr w14:paraId="09D349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041" w:hRule="atLeast"/>
          <w:jc w:val="center"/>
        </w:trPr>
        <w:tc>
          <w:tcPr>
            <w:tcW w:w="557" w:type="dxa"/>
            <w:vAlign w:val="center"/>
          </w:tcPr>
          <w:p w14:paraId="17A402D2">
            <w:pPr>
              <w:pStyle w:val="76"/>
              <w:rPr>
                <w:b/>
                <w:bCs w:val="0"/>
              </w:rPr>
            </w:pPr>
            <w:r>
              <w:rPr>
                <w:rFonts w:hint="eastAsia"/>
                <w:b/>
                <w:bCs w:val="0"/>
                <w:sz w:val="24"/>
                <w:szCs w:val="32"/>
              </w:rPr>
              <w:t>建设内容</w:t>
            </w:r>
          </w:p>
        </w:tc>
        <w:tc>
          <w:tcPr>
            <w:tcW w:w="8551" w:type="dxa"/>
          </w:tcPr>
          <w:p w14:paraId="0A0CDE93">
            <w:pPr>
              <w:pStyle w:val="9"/>
              <w:ind w:firstLine="482"/>
            </w:pPr>
            <w:r>
              <w:rPr>
                <w:rFonts w:hint="eastAsia"/>
              </w:rPr>
              <w:t>1、项目基本情况</w:t>
            </w:r>
          </w:p>
          <w:p w14:paraId="2AC36E4B">
            <w:pPr>
              <w:ind w:firstLine="480"/>
            </w:pPr>
            <w:r>
              <w:t>项目名称：</w:t>
            </w:r>
            <w:r>
              <w:rPr>
                <w:rFonts w:hint="eastAsia"/>
              </w:rPr>
              <w:t>汽车内外饰件及模具制造项目</w:t>
            </w:r>
          </w:p>
          <w:p w14:paraId="266AF243">
            <w:pPr>
              <w:ind w:firstLine="480"/>
            </w:pPr>
            <w:r>
              <w:t>建设单位：</w:t>
            </w:r>
            <w:bookmarkStart w:id="24" w:name="_Hlk213973726"/>
            <w:r>
              <w:rPr>
                <w:rFonts w:hint="eastAsia"/>
              </w:rPr>
              <w:t>柳州市远诚科技有限公司</w:t>
            </w:r>
            <w:bookmarkEnd w:id="24"/>
          </w:p>
          <w:p w14:paraId="6FDCC4F6">
            <w:pPr>
              <w:ind w:firstLine="480"/>
            </w:pPr>
            <w:r>
              <w:t>建设性质：</w:t>
            </w:r>
            <w:r>
              <w:rPr>
                <w:rFonts w:hint="eastAsia"/>
              </w:rPr>
              <w:t>新建</w:t>
            </w:r>
          </w:p>
          <w:p w14:paraId="037CFC4B">
            <w:pPr>
              <w:ind w:firstLine="480"/>
            </w:pPr>
            <w:r>
              <w:rPr>
                <w:rFonts w:hint="eastAsia"/>
              </w:rPr>
              <w:t>建设地点：项目位于广西壮族自治区柳州市鹿寨县鹿寨镇飞鹿大道505号，中心坐标为东经109°40</w:t>
            </w:r>
            <w:r>
              <w:t>’</w:t>
            </w:r>
            <w:r>
              <w:rPr>
                <w:rFonts w:hint="eastAsia"/>
              </w:rPr>
              <w:t>43.960</w:t>
            </w:r>
            <w:r>
              <w:t>”</w:t>
            </w:r>
            <w:r>
              <w:rPr>
                <w:rFonts w:hint="eastAsia"/>
              </w:rPr>
              <w:t>，北纬24°25</w:t>
            </w:r>
            <w:r>
              <w:t>’</w:t>
            </w:r>
            <w:r>
              <w:rPr>
                <w:rFonts w:hint="eastAsia"/>
              </w:rPr>
              <w:t>32.815</w:t>
            </w:r>
            <w:r>
              <w:t>”</w:t>
            </w:r>
            <w:r>
              <w:rPr>
                <w:rFonts w:hint="eastAsia"/>
              </w:rPr>
              <w:t>。项目地理位置见附图1。</w:t>
            </w:r>
          </w:p>
          <w:p w14:paraId="6CE78483">
            <w:pPr>
              <w:ind w:firstLine="480"/>
            </w:pPr>
            <w:r>
              <w:rPr>
                <w:rFonts w:hint="eastAsia"/>
              </w:rPr>
              <w:t>建设规模：项目主要建设1条注塑生产线，年产汽车空调组件600000件，门外把手总成500000件。</w:t>
            </w:r>
          </w:p>
          <w:p w14:paraId="08D3896F">
            <w:pPr>
              <w:ind w:firstLine="480"/>
            </w:pPr>
            <w:r>
              <w:rPr>
                <w:rFonts w:hint="eastAsia"/>
              </w:rPr>
              <w:t>项目</w:t>
            </w:r>
            <w:r>
              <w:t>总</w:t>
            </w:r>
            <w:r>
              <w:rPr>
                <w:rFonts w:hint="eastAsia"/>
              </w:rPr>
              <w:t>投资</w:t>
            </w:r>
            <w:r>
              <w:t>：</w:t>
            </w:r>
            <w:r>
              <w:rPr>
                <w:rFonts w:hint="eastAsia"/>
              </w:rPr>
              <w:t>5</w:t>
            </w:r>
            <w:r>
              <w:t>0</w:t>
            </w:r>
            <w:r>
              <w:rPr>
                <w:rFonts w:hint="eastAsia"/>
              </w:rPr>
              <w:t>万元</w:t>
            </w:r>
            <w:r>
              <w:t>，</w:t>
            </w:r>
            <w:r>
              <w:rPr>
                <w:rFonts w:hint="eastAsia"/>
              </w:rPr>
              <w:t>其中</w:t>
            </w:r>
            <w:r>
              <w:t>环保投资</w:t>
            </w:r>
            <w:r>
              <w:rPr>
                <w:rFonts w:hint="eastAsia"/>
              </w:rPr>
              <w:t>9万元，占总投资的18%</w:t>
            </w:r>
            <w:r>
              <w:t>。</w:t>
            </w:r>
          </w:p>
          <w:p w14:paraId="364C13E8">
            <w:pPr>
              <w:ind w:firstLine="480"/>
            </w:pPr>
            <w:r>
              <w:rPr>
                <w:rFonts w:hint="eastAsia"/>
              </w:rPr>
              <w:t>建设进度：项目施工期1个月，施工时间为202</w:t>
            </w:r>
            <w:r>
              <w:t>5</w:t>
            </w:r>
            <w:r>
              <w:rPr>
                <w:rFonts w:hint="eastAsia"/>
              </w:rPr>
              <w:t>年6月至2025年7月，并于2025年7月开始调试生产。</w:t>
            </w:r>
          </w:p>
          <w:p w14:paraId="1FA4880B">
            <w:pPr>
              <w:pStyle w:val="117"/>
              <w:ind w:firstLine="480"/>
            </w:pPr>
            <w:r>
              <w:rPr>
                <w:rFonts w:hint="eastAsia"/>
              </w:rPr>
              <w:t>劳动定员及工作制度：项目拟招募员工2</w:t>
            </w:r>
            <w:r>
              <w:t>0</w:t>
            </w:r>
            <w:r>
              <w:rPr>
                <w:rFonts w:hint="eastAsia"/>
              </w:rPr>
              <w:t>人，员工均不在厂内住宿，</w:t>
            </w:r>
            <w:r>
              <w:t>厂区不设食堂</w:t>
            </w:r>
            <w:r>
              <w:rPr>
                <w:rFonts w:hint="eastAsia"/>
              </w:rPr>
              <w:t>。项目年工作300天，每天3班，每班工作</w:t>
            </w:r>
            <w:r>
              <w:t>8</w:t>
            </w:r>
            <w:r>
              <w:rPr>
                <w:rFonts w:hint="eastAsia"/>
              </w:rPr>
              <w:t>小时，年生产720</w:t>
            </w:r>
            <w:r>
              <w:t>0</w:t>
            </w:r>
            <w:r>
              <w:rPr>
                <w:rFonts w:hint="eastAsia"/>
              </w:rPr>
              <w:t>小时。</w:t>
            </w:r>
          </w:p>
          <w:p w14:paraId="0603E2E5">
            <w:pPr>
              <w:pStyle w:val="9"/>
              <w:ind w:firstLine="482"/>
            </w:pPr>
            <w:r>
              <w:rPr>
                <w:rFonts w:hint="eastAsia"/>
              </w:rPr>
              <w:t>2</w:t>
            </w:r>
            <w:r>
              <w:t>、</w:t>
            </w:r>
            <w:r>
              <w:rPr>
                <w:rFonts w:hint="eastAsia"/>
              </w:rPr>
              <w:t>项目建设内容及规模</w:t>
            </w:r>
          </w:p>
          <w:p w14:paraId="5E2416F3">
            <w:pPr>
              <w:pStyle w:val="87"/>
            </w:pPr>
            <w:r>
              <w:t xml:space="preserve">表2-1  </w:t>
            </w:r>
            <w:r>
              <w:rPr>
                <w:rFonts w:hint="eastAsia"/>
              </w:rPr>
              <w:t>项目主要建设内容一览表</w:t>
            </w:r>
          </w:p>
          <w:tbl>
            <w:tblPr>
              <w:tblStyle w:val="39"/>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19"/>
              <w:gridCol w:w="735"/>
              <w:gridCol w:w="1252"/>
              <w:gridCol w:w="5290"/>
              <w:gridCol w:w="637"/>
            </w:tblGrid>
            <w:tr w14:paraId="63C2A70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Align w:val="center"/>
                </w:tcPr>
                <w:p w14:paraId="2991451D">
                  <w:pPr>
                    <w:pStyle w:val="79"/>
                    <w:rPr>
                      <w:b/>
                      <w:bCs/>
                    </w:rPr>
                  </w:pPr>
                  <w:r>
                    <w:rPr>
                      <w:b/>
                      <w:bCs/>
                    </w:rPr>
                    <w:t>序号</w:t>
                  </w:r>
                </w:p>
              </w:tc>
              <w:tc>
                <w:tcPr>
                  <w:tcW w:w="441" w:type="pct"/>
                  <w:vAlign w:val="center"/>
                </w:tcPr>
                <w:p w14:paraId="45154566">
                  <w:pPr>
                    <w:pStyle w:val="79"/>
                    <w:rPr>
                      <w:b/>
                      <w:bCs/>
                    </w:rPr>
                  </w:pPr>
                  <w:r>
                    <w:rPr>
                      <w:b/>
                      <w:bCs/>
                    </w:rPr>
                    <w:t>类别</w:t>
                  </w:r>
                </w:p>
              </w:tc>
              <w:tc>
                <w:tcPr>
                  <w:tcW w:w="751" w:type="pct"/>
                  <w:vAlign w:val="center"/>
                </w:tcPr>
                <w:p w14:paraId="5C14280E">
                  <w:pPr>
                    <w:pStyle w:val="79"/>
                    <w:rPr>
                      <w:b/>
                      <w:bCs/>
                    </w:rPr>
                  </w:pPr>
                  <w:r>
                    <w:rPr>
                      <w:b/>
                      <w:bCs/>
                    </w:rPr>
                    <w:t>内容</w:t>
                  </w:r>
                </w:p>
              </w:tc>
              <w:tc>
                <w:tcPr>
                  <w:tcW w:w="3174" w:type="pct"/>
                  <w:vAlign w:val="center"/>
                </w:tcPr>
                <w:p w14:paraId="0C517E4D">
                  <w:pPr>
                    <w:pStyle w:val="79"/>
                    <w:rPr>
                      <w:b/>
                      <w:bCs/>
                    </w:rPr>
                  </w:pPr>
                  <w:r>
                    <w:rPr>
                      <w:b/>
                      <w:bCs/>
                    </w:rPr>
                    <w:t>工程内容及规模</w:t>
                  </w:r>
                </w:p>
              </w:tc>
              <w:tc>
                <w:tcPr>
                  <w:tcW w:w="382" w:type="pct"/>
                  <w:vAlign w:val="center"/>
                </w:tcPr>
                <w:p w14:paraId="2D6701F4">
                  <w:pPr>
                    <w:pStyle w:val="79"/>
                    <w:rPr>
                      <w:b/>
                      <w:bCs/>
                    </w:rPr>
                  </w:pPr>
                  <w:r>
                    <w:rPr>
                      <w:b/>
                      <w:bCs/>
                    </w:rPr>
                    <w:t>备注</w:t>
                  </w:r>
                </w:p>
              </w:tc>
            </w:tr>
            <w:tr w14:paraId="1F78E3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Align w:val="center"/>
                </w:tcPr>
                <w:p w14:paraId="3D8EE35B">
                  <w:pPr>
                    <w:pStyle w:val="79"/>
                  </w:pPr>
                  <w:r>
                    <w:t>1</w:t>
                  </w:r>
                </w:p>
              </w:tc>
              <w:tc>
                <w:tcPr>
                  <w:tcW w:w="441" w:type="pct"/>
                  <w:vAlign w:val="center"/>
                </w:tcPr>
                <w:p w14:paraId="2DB4E0CB">
                  <w:pPr>
                    <w:pStyle w:val="79"/>
                  </w:pPr>
                  <w:r>
                    <w:t>主体</w:t>
                  </w:r>
                </w:p>
                <w:p w14:paraId="0F209135">
                  <w:pPr>
                    <w:pStyle w:val="79"/>
                  </w:pPr>
                  <w:r>
                    <w:t>工程</w:t>
                  </w:r>
                </w:p>
              </w:tc>
              <w:tc>
                <w:tcPr>
                  <w:tcW w:w="751" w:type="pct"/>
                  <w:vAlign w:val="center"/>
                </w:tcPr>
                <w:p w14:paraId="6F6F6057">
                  <w:pPr>
                    <w:pStyle w:val="79"/>
                  </w:pPr>
                  <w:r>
                    <w:rPr>
                      <w:rFonts w:hint="eastAsia"/>
                    </w:rPr>
                    <w:t>注塑生产线</w:t>
                  </w:r>
                </w:p>
              </w:tc>
              <w:tc>
                <w:tcPr>
                  <w:tcW w:w="3174" w:type="pct"/>
                  <w:vAlign w:val="center"/>
                </w:tcPr>
                <w:p w14:paraId="1ECFCB64">
                  <w:pPr>
                    <w:pStyle w:val="79"/>
                  </w:pPr>
                  <w:r>
                    <w:rPr>
                      <w:rFonts w:hint="eastAsia"/>
                    </w:rPr>
                    <w:t>占地面积120</w:t>
                  </w:r>
                  <w:r>
                    <w:t>0</w:t>
                  </w:r>
                  <w:r>
                    <w:rPr>
                      <w:rFonts w:hint="eastAsia"/>
                    </w:rPr>
                    <w:t>m</w:t>
                  </w:r>
                  <w:r>
                    <w:rPr>
                      <w:vertAlign w:val="superscript"/>
                    </w:rPr>
                    <w:t>2</w:t>
                  </w:r>
                  <w:r>
                    <w:rPr>
                      <w:rFonts w:hint="eastAsia"/>
                    </w:rPr>
                    <w:t>，1</w:t>
                  </w:r>
                  <w:r>
                    <w:t>F</w:t>
                  </w:r>
                  <w:r>
                    <w:rPr>
                      <w:rFonts w:hint="eastAsia"/>
                    </w:rPr>
                    <w:t>，h</w:t>
                  </w:r>
                  <w:r>
                    <w:t>=</w:t>
                  </w:r>
                  <w:r>
                    <w:rPr>
                      <w:rFonts w:hint="eastAsia"/>
                    </w:rPr>
                    <w:t>8m</w:t>
                  </w:r>
                </w:p>
              </w:tc>
              <w:tc>
                <w:tcPr>
                  <w:tcW w:w="382" w:type="pct"/>
                  <w:vAlign w:val="center"/>
                </w:tcPr>
                <w:p w14:paraId="24BA7074">
                  <w:pPr>
                    <w:pStyle w:val="79"/>
                  </w:pPr>
                  <w:bookmarkStart w:id="25" w:name="OLE_LINK9"/>
                  <w:r>
                    <w:rPr>
                      <w:rFonts w:hint="eastAsia"/>
                    </w:rPr>
                    <w:t>已建</w:t>
                  </w:r>
                  <w:bookmarkEnd w:id="25"/>
                </w:p>
              </w:tc>
            </w:tr>
            <w:tr w14:paraId="74F002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Align w:val="center"/>
                </w:tcPr>
                <w:p w14:paraId="7BC2BC35">
                  <w:pPr>
                    <w:pStyle w:val="79"/>
                  </w:pPr>
                  <w:r>
                    <w:t>2</w:t>
                  </w:r>
                </w:p>
              </w:tc>
              <w:tc>
                <w:tcPr>
                  <w:tcW w:w="441" w:type="pct"/>
                  <w:vAlign w:val="center"/>
                </w:tcPr>
                <w:p w14:paraId="78BB3A15">
                  <w:pPr>
                    <w:pStyle w:val="79"/>
                  </w:pPr>
                  <w:r>
                    <w:t>辅助</w:t>
                  </w:r>
                </w:p>
                <w:p w14:paraId="41B02925">
                  <w:pPr>
                    <w:pStyle w:val="79"/>
                  </w:pPr>
                  <w:r>
                    <w:t>工程</w:t>
                  </w:r>
                </w:p>
              </w:tc>
              <w:tc>
                <w:tcPr>
                  <w:tcW w:w="751" w:type="pct"/>
                  <w:vAlign w:val="center"/>
                </w:tcPr>
                <w:p w14:paraId="1E27517A">
                  <w:pPr>
                    <w:pStyle w:val="79"/>
                  </w:pPr>
                  <w:r>
                    <w:t>办公</w:t>
                  </w:r>
                  <w:r>
                    <w:rPr>
                      <w:rFonts w:hint="eastAsia"/>
                    </w:rPr>
                    <w:t>、生活区</w:t>
                  </w:r>
                </w:p>
              </w:tc>
              <w:tc>
                <w:tcPr>
                  <w:tcW w:w="3174" w:type="pct"/>
                  <w:vAlign w:val="center"/>
                </w:tcPr>
                <w:p w14:paraId="656D7169">
                  <w:pPr>
                    <w:pStyle w:val="79"/>
                  </w:pPr>
                  <w:r>
                    <w:t>建筑面积</w:t>
                  </w:r>
                  <w:r>
                    <w:rPr>
                      <w:rFonts w:hint="eastAsia"/>
                    </w:rPr>
                    <w:t>约3</w:t>
                  </w:r>
                  <w:r>
                    <w:t>00m</w:t>
                  </w:r>
                  <w:r>
                    <w:rPr>
                      <w:vertAlign w:val="superscript"/>
                    </w:rPr>
                    <w:t>2</w:t>
                  </w:r>
                  <w:r>
                    <w:rPr>
                      <w:rFonts w:hint="eastAsia"/>
                    </w:rPr>
                    <w:t>，1</w:t>
                  </w:r>
                  <w:r>
                    <w:t>F</w:t>
                  </w:r>
                  <w:r>
                    <w:rPr>
                      <w:rFonts w:hint="eastAsia"/>
                    </w:rPr>
                    <w:t>，h</w:t>
                  </w:r>
                  <w:r>
                    <w:t>=3</w:t>
                  </w:r>
                  <w:r>
                    <w:rPr>
                      <w:rFonts w:hint="eastAsia"/>
                    </w:rPr>
                    <w:t>m</w:t>
                  </w:r>
                </w:p>
              </w:tc>
              <w:tc>
                <w:tcPr>
                  <w:tcW w:w="382" w:type="pct"/>
                  <w:vAlign w:val="center"/>
                </w:tcPr>
                <w:p w14:paraId="32A4BCE9">
                  <w:pPr>
                    <w:pStyle w:val="79"/>
                  </w:pPr>
                  <w:r>
                    <w:rPr>
                      <w:rFonts w:hint="eastAsia"/>
                    </w:rPr>
                    <w:t>已建</w:t>
                  </w:r>
                </w:p>
              </w:tc>
            </w:tr>
            <w:tr w14:paraId="238DDE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Align w:val="center"/>
                </w:tcPr>
                <w:p w14:paraId="369BAEE7">
                  <w:pPr>
                    <w:pStyle w:val="79"/>
                  </w:pPr>
                  <w:r>
                    <w:rPr>
                      <w:rFonts w:hint="eastAsia"/>
                    </w:rPr>
                    <w:t>3</w:t>
                  </w:r>
                </w:p>
              </w:tc>
              <w:tc>
                <w:tcPr>
                  <w:tcW w:w="441" w:type="pct"/>
                  <w:vAlign w:val="center"/>
                </w:tcPr>
                <w:p w14:paraId="0D91B0C2">
                  <w:pPr>
                    <w:pStyle w:val="79"/>
                  </w:pPr>
                  <w:r>
                    <w:rPr>
                      <w:rFonts w:hint="eastAsia"/>
                    </w:rPr>
                    <w:t>储运工程</w:t>
                  </w:r>
                </w:p>
              </w:tc>
              <w:tc>
                <w:tcPr>
                  <w:tcW w:w="751" w:type="pct"/>
                  <w:vAlign w:val="center"/>
                </w:tcPr>
                <w:p w14:paraId="2936B7FA">
                  <w:pPr>
                    <w:pStyle w:val="79"/>
                  </w:pPr>
                  <w:r>
                    <w:rPr>
                      <w:rFonts w:hint="eastAsia"/>
                    </w:rPr>
                    <w:t>原料区</w:t>
                  </w:r>
                </w:p>
              </w:tc>
              <w:tc>
                <w:tcPr>
                  <w:tcW w:w="3174" w:type="pct"/>
                  <w:vAlign w:val="center"/>
                </w:tcPr>
                <w:p w14:paraId="333CBFD2">
                  <w:pPr>
                    <w:pStyle w:val="79"/>
                  </w:pPr>
                  <w:r>
                    <w:rPr>
                      <w:rFonts w:hint="eastAsia"/>
                    </w:rPr>
                    <w:t>占地面积60</w:t>
                  </w:r>
                  <w:r>
                    <w:t>0</w:t>
                  </w:r>
                  <w:r>
                    <w:rPr>
                      <w:rFonts w:hint="eastAsia"/>
                    </w:rPr>
                    <w:t>m</w:t>
                  </w:r>
                  <w:r>
                    <w:rPr>
                      <w:vertAlign w:val="superscript"/>
                    </w:rPr>
                    <w:t>2</w:t>
                  </w:r>
                  <w:r>
                    <w:rPr>
                      <w:rFonts w:hint="eastAsia"/>
                    </w:rPr>
                    <w:t>，1</w:t>
                  </w:r>
                  <w:r>
                    <w:t>F</w:t>
                  </w:r>
                  <w:r>
                    <w:rPr>
                      <w:rFonts w:hint="eastAsia"/>
                    </w:rPr>
                    <w:t>，h</w:t>
                  </w:r>
                  <w:r>
                    <w:t>=</w:t>
                  </w:r>
                  <w:r>
                    <w:rPr>
                      <w:rFonts w:hint="eastAsia"/>
                    </w:rPr>
                    <w:t>6.5m，主要用于储存产品</w:t>
                  </w:r>
                </w:p>
              </w:tc>
              <w:tc>
                <w:tcPr>
                  <w:tcW w:w="382" w:type="pct"/>
                  <w:vAlign w:val="center"/>
                </w:tcPr>
                <w:p w14:paraId="3C97B880">
                  <w:pPr>
                    <w:pStyle w:val="79"/>
                  </w:pPr>
                  <w:r>
                    <w:rPr>
                      <w:rFonts w:hint="eastAsia"/>
                    </w:rPr>
                    <w:t>已建</w:t>
                  </w:r>
                </w:p>
              </w:tc>
            </w:tr>
            <w:tr w14:paraId="2E889D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restart"/>
                  <w:vAlign w:val="center"/>
                </w:tcPr>
                <w:p w14:paraId="14AABDDE">
                  <w:pPr>
                    <w:pStyle w:val="79"/>
                  </w:pPr>
                  <w:r>
                    <w:t>4</w:t>
                  </w:r>
                </w:p>
              </w:tc>
              <w:tc>
                <w:tcPr>
                  <w:tcW w:w="441" w:type="pct"/>
                  <w:vMerge w:val="restart"/>
                  <w:vAlign w:val="center"/>
                </w:tcPr>
                <w:p w14:paraId="7542A65E">
                  <w:pPr>
                    <w:pStyle w:val="79"/>
                  </w:pPr>
                  <w:r>
                    <w:t>公用工程</w:t>
                  </w:r>
                </w:p>
              </w:tc>
              <w:tc>
                <w:tcPr>
                  <w:tcW w:w="751" w:type="pct"/>
                  <w:vAlign w:val="center"/>
                </w:tcPr>
                <w:p w14:paraId="18F5513F">
                  <w:pPr>
                    <w:pStyle w:val="79"/>
                  </w:pPr>
                  <w:r>
                    <w:t>给水</w:t>
                  </w:r>
                </w:p>
              </w:tc>
              <w:tc>
                <w:tcPr>
                  <w:tcW w:w="3174" w:type="pct"/>
                  <w:vAlign w:val="center"/>
                </w:tcPr>
                <w:p w14:paraId="163AA359">
                  <w:pPr>
                    <w:pStyle w:val="79"/>
                    <w:rPr>
                      <w:highlight w:val="yellow"/>
                    </w:rPr>
                  </w:pPr>
                  <w:r>
                    <w:rPr>
                      <w:rFonts w:hint="eastAsia"/>
                    </w:rPr>
                    <w:t>由市政供水</w:t>
                  </w:r>
                </w:p>
              </w:tc>
              <w:tc>
                <w:tcPr>
                  <w:tcW w:w="382" w:type="pct"/>
                  <w:vMerge w:val="restart"/>
                  <w:vAlign w:val="center"/>
                </w:tcPr>
                <w:p w14:paraId="62994F6B">
                  <w:pPr>
                    <w:pStyle w:val="79"/>
                  </w:pPr>
                  <w:r>
                    <w:rPr>
                      <w:rFonts w:hint="eastAsia"/>
                    </w:rPr>
                    <w:t>依托厂房现有</w:t>
                  </w:r>
                </w:p>
              </w:tc>
            </w:tr>
            <w:tr w14:paraId="76F317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continue"/>
                  <w:vAlign w:val="center"/>
                </w:tcPr>
                <w:p w14:paraId="4A14EB15">
                  <w:pPr>
                    <w:pStyle w:val="79"/>
                  </w:pPr>
                </w:p>
              </w:tc>
              <w:tc>
                <w:tcPr>
                  <w:tcW w:w="441" w:type="pct"/>
                  <w:vMerge w:val="continue"/>
                  <w:vAlign w:val="center"/>
                </w:tcPr>
                <w:p w14:paraId="1F8B4F2F">
                  <w:pPr>
                    <w:pStyle w:val="79"/>
                  </w:pPr>
                </w:p>
              </w:tc>
              <w:tc>
                <w:tcPr>
                  <w:tcW w:w="751" w:type="pct"/>
                  <w:vAlign w:val="center"/>
                </w:tcPr>
                <w:p w14:paraId="3E698DA6">
                  <w:pPr>
                    <w:pStyle w:val="79"/>
                  </w:pPr>
                  <w:r>
                    <w:t>排水</w:t>
                  </w:r>
                </w:p>
              </w:tc>
              <w:tc>
                <w:tcPr>
                  <w:tcW w:w="3174" w:type="pct"/>
                  <w:vAlign w:val="center"/>
                </w:tcPr>
                <w:p w14:paraId="726BEF65">
                  <w:pPr>
                    <w:pStyle w:val="79"/>
                    <w:jc w:val="both"/>
                  </w:pPr>
                  <w:r>
                    <w:rPr>
                      <w:rFonts w:hint="eastAsia"/>
                    </w:rPr>
                    <w:t>项目排水采用雨污分流制，生活污水经化粪池处理后经市政管网排入鹿寨县第二污水处理厂，处理后最终排入洛清江；雨水经厂区雨水沟收集后排入市政管网。</w:t>
                  </w:r>
                </w:p>
              </w:tc>
              <w:tc>
                <w:tcPr>
                  <w:tcW w:w="382" w:type="pct"/>
                  <w:vMerge w:val="continue"/>
                  <w:vAlign w:val="center"/>
                </w:tcPr>
                <w:p w14:paraId="31CBEA95">
                  <w:pPr>
                    <w:pStyle w:val="79"/>
                  </w:pPr>
                </w:p>
              </w:tc>
            </w:tr>
            <w:tr w14:paraId="470FB3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continue"/>
                  <w:vAlign w:val="center"/>
                </w:tcPr>
                <w:p w14:paraId="66D5392F">
                  <w:pPr>
                    <w:pStyle w:val="79"/>
                  </w:pPr>
                </w:p>
              </w:tc>
              <w:tc>
                <w:tcPr>
                  <w:tcW w:w="441" w:type="pct"/>
                  <w:vMerge w:val="continue"/>
                  <w:vAlign w:val="center"/>
                </w:tcPr>
                <w:p w14:paraId="1CFFA29B">
                  <w:pPr>
                    <w:pStyle w:val="79"/>
                  </w:pPr>
                </w:p>
              </w:tc>
              <w:tc>
                <w:tcPr>
                  <w:tcW w:w="751" w:type="pct"/>
                  <w:vAlign w:val="center"/>
                </w:tcPr>
                <w:p w14:paraId="160DE8AE">
                  <w:pPr>
                    <w:pStyle w:val="79"/>
                  </w:pPr>
                  <w:r>
                    <w:t>供电</w:t>
                  </w:r>
                </w:p>
              </w:tc>
              <w:tc>
                <w:tcPr>
                  <w:tcW w:w="3174" w:type="pct"/>
                  <w:vAlign w:val="center"/>
                </w:tcPr>
                <w:p w14:paraId="2EA422EB">
                  <w:pPr>
                    <w:pStyle w:val="79"/>
                  </w:pPr>
                  <w:r>
                    <w:rPr>
                      <w:rFonts w:hint="eastAsia"/>
                    </w:rPr>
                    <w:t>由市政供电</w:t>
                  </w:r>
                </w:p>
              </w:tc>
              <w:tc>
                <w:tcPr>
                  <w:tcW w:w="382" w:type="pct"/>
                  <w:vMerge w:val="continue"/>
                  <w:vAlign w:val="center"/>
                </w:tcPr>
                <w:p w14:paraId="69DC64B0">
                  <w:pPr>
                    <w:pStyle w:val="79"/>
                  </w:pPr>
                </w:p>
              </w:tc>
            </w:tr>
            <w:tr w14:paraId="4CC6DE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restart"/>
                  <w:vAlign w:val="center"/>
                </w:tcPr>
                <w:p w14:paraId="40679BC9">
                  <w:pPr>
                    <w:pStyle w:val="79"/>
                  </w:pPr>
                  <w:r>
                    <w:t>5</w:t>
                  </w:r>
                </w:p>
              </w:tc>
              <w:tc>
                <w:tcPr>
                  <w:tcW w:w="441" w:type="pct"/>
                  <w:vMerge w:val="restart"/>
                  <w:vAlign w:val="center"/>
                </w:tcPr>
                <w:p w14:paraId="61D04203">
                  <w:pPr>
                    <w:pStyle w:val="79"/>
                  </w:pPr>
                  <w:r>
                    <w:t>环保工程</w:t>
                  </w:r>
                </w:p>
              </w:tc>
              <w:tc>
                <w:tcPr>
                  <w:tcW w:w="751" w:type="pct"/>
                  <w:vMerge w:val="restart"/>
                  <w:vAlign w:val="center"/>
                </w:tcPr>
                <w:p w14:paraId="0D815EAF">
                  <w:pPr>
                    <w:pStyle w:val="79"/>
                  </w:pPr>
                  <w:r>
                    <w:t>废水</w:t>
                  </w:r>
                </w:p>
              </w:tc>
              <w:tc>
                <w:tcPr>
                  <w:tcW w:w="3174" w:type="pct"/>
                  <w:vAlign w:val="center"/>
                </w:tcPr>
                <w:p w14:paraId="371A2123">
                  <w:pPr>
                    <w:pStyle w:val="79"/>
                    <w:jc w:val="both"/>
                  </w:pPr>
                  <w:r>
                    <w:rPr>
                      <w:rFonts w:hint="eastAsia"/>
                    </w:rPr>
                    <w:t>生产废水：项目冷却用水均循环使用，不外排</w:t>
                  </w:r>
                </w:p>
              </w:tc>
              <w:tc>
                <w:tcPr>
                  <w:tcW w:w="382" w:type="pct"/>
                  <w:vAlign w:val="center"/>
                </w:tcPr>
                <w:p w14:paraId="00761316">
                  <w:pPr>
                    <w:pStyle w:val="79"/>
                  </w:pPr>
                  <w:r>
                    <w:rPr>
                      <w:rFonts w:hint="eastAsia"/>
                    </w:rPr>
                    <w:t>已建</w:t>
                  </w:r>
                </w:p>
              </w:tc>
            </w:tr>
            <w:tr w14:paraId="2267F0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continue"/>
                  <w:vAlign w:val="center"/>
                </w:tcPr>
                <w:p w14:paraId="0453A8FB">
                  <w:pPr>
                    <w:pStyle w:val="79"/>
                  </w:pPr>
                </w:p>
              </w:tc>
              <w:tc>
                <w:tcPr>
                  <w:tcW w:w="441" w:type="pct"/>
                  <w:vMerge w:val="continue"/>
                  <w:vAlign w:val="center"/>
                </w:tcPr>
                <w:p w14:paraId="18864C26">
                  <w:pPr>
                    <w:pStyle w:val="79"/>
                  </w:pPr>
                </w:p>
              </w:tc>
              <w:tc>
                <w:tcPr>
                  <w:tcW w:w="751" w:type="pct"/>
                  <w:vMerge w:val="continue"/>
                  <w:vAlign w:val="center"/>
                </w:tcPr>
                <w:p w14:paraId="732412A9">
                  <w:pPr>
                    <w:pStyle w:val="79"/>
                  </w:pPr>
                </w:p>
              </w:tc>
              <w:tc>
                <w:tcPr>
                  <w:tcW w:w="3174" w:type="pct"/>
                  <w:vAlign w:val="center"/>
                </w:tcPr>
                <w:p w14:paraId="49ECDAD3">
                  <w:pPr>
                    <w:pStyle w:val="79"/>
                    <w:jc w:val="both"/>
                  </w:pPr>
                  <w:r>
                    <w:rPr>
                      <w:rFonts w:hint="eastAsia"/>
                    </w:rPr>
                    <w:t>生活污水：经化粪池处理后经市政管网排入鹿寨县第二污水处理厂，处理后最终排入洛清江</w:t>
                  </w:r>
                </w:p>
              </w:tc>
              <w:tc>
                <w:tcPr>
                  <w:tcW w:w="382" w:type="pct"/>
                  <w:vAlign w:val="center"/>
                </w:tcPr>
                <w:p w14:paraId="1E93AD31">
                  <w:pPr>
                    <w:pStyle w:val="79"/>
                  </w:pPr>
                  <w:r>
                    <w:rPr>
                      <w:rFonts w:hint="eastAsia"/>
                    </w:rPr>
                    <w:t>依托厂房现有</w:t>
                  </w:r>
                </w:p>
              </w:tc>
            </w:tr>
            <w:tr w14:paraId="68DE5C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continue"/>
                  <w:vAlign w:val="center"/>
                </w:tcPr>
                <w:p w14:paraId="088D53DF">
                  <w:pPr>
                    <w:pStyle w:val="79"/>
                  </w:pPr>
                </w:p>
              </w:tc>
              <w:tc>
                <w:tcPr>
                  <w:tcW w:w="441" w:type="pct"/>
                  <w:vMerge w:val="continue"/>
                  <w:vAlign w:val="center"/>
                </w:tcPr>
                <w:p w14:paraId="30D7475D">
                  <w:pPr>
                    <w:pStyle w:val="79"/>
                  </w:pPr>
                </w:p>
              </w:tc>
              <w:tc>
                <w:tcPr>
                  <w:tcW w:w="751" w:type="pct"/>
                  <w:vAlign w:val="center"/>
                </w:tcPr>
                <w:p w14:paraId="4DD97AD9">
                  <w:pPr>
                    <w:pStyle w:val="79"/>
                  </w:pPr>
                  <w:r>
                    <w:t>废气</w:t>
                  </w:r>
                </w:p>
              </w:tc>
              <w:tc>
                <w:tcPr>
                  <w:tcW w:w="3174" w:type="pct"/>
                  <w:vAlign w:val="center"/>
                </w:tcPr>
                <w:p w14:paraId="2B4ABC49">
                  <w:pPr>
                    <w:pStyle w:val="79"/>
                    <w:jc w:val="both"/>
                  </w:pPr>
                  <w:r>
                    <w:rPr>
                      <w:rFonts w:hint="eastAsia"/>
                    </w:rPr>
                    <w:t>厂房通风系统、集气罩+二级活性炭处理+15m高DA001排气筒。</w:t>
                  </w:r>
                </w:p>
              </w:tc>
              <w:tc>
                <w:tcPr>
                  <w:tcW w:w="382" w:type="pct"/>
                  <w:vAlign w:val="center"/>
                </w:tcPr>
                <w:p w14:paraId="6D26141C">
                  <w:pPr>
                    <w:pStyle w:val="79"/>
                  </w:pPr>
                  <w:r>
                    <w:rPr>
                      <w:rFonts w:hint="eastAsia"/>
                    </w:rPr>
                    <w:t>未建</w:t>
                  </w:r>
                </w:p>
              </w:tc>
            </w:tr>
            <w:tr w14:paraId="2D2023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continue"/>
                  <w:vAlign w:val="center"/>
                </w:tcPr>
                <w:p w14:paraId="35A19E64">
                  <w:pPr>
                    <w:pStyle w:val="79"/>
                  </w:pPr>
                </w:p>
              </w:tc>
              <w:tc>
                <w:tcPr>
                  <w:tcW w:w="441" w:type="pct"/>
                  <w:vMerge w:val="continue"/>
                  <w:vAlign w:val="center"/>
                </w:tcPr>
                <w:p w14:paraId="14462551">
                  <w:pPr>
                    <w:pStyle w:val="79"/>
                  </w:pPr>
                </w:p>
              </w:tc>
              <w:tc>
                <w:tcPr>
                  <w:tcW w:w="751" w:type="pct"/>
                  <w:vAlign w:val="center"/>
                </w:tcPr>
                <w:p w14:paraId="621256BC">
                  <w:pPr>
                    <w:pStyle w:val="79"/>
                  </w:pPr>
                  <w:r>
                    <w:t>噪声</w:t>
                  </w:r>
                </w:p>
              </w:tc>
              <w:tc>
                <w:tcPr>
                  <w:tcW w:w="3174" w:type="pct"/>
                  <w:vAlign w:val="center"/>
                </w:tcPr>
                <w:p w14:paraId="749660FB">
                  <w:pPr>
                    <w:pStyle w:val="79"/>
                  </w:pPr>
                  <w:r>
                    <w:t>生产机械设备经设置减震垫、厂房隔音等措施</w:t>
                  </w:r>
                </w:p>
              </w:tc>
              <w:tc>
                <w:tcPr>
                  <w:tcW w:w="382" w:type="pct"/>
                  <w:vAlign w:val="center"/>
                </w:tcPr>
                <w:p w14:paraId="48137299">
                  <w:pPr>
                    <w:pStyle w:val="79"/>
                  </w:pPr>
                  <w:r>
                    <w:rPr>
                      <w:rFonts w:hint="eastAsia"/>
                    </w:rPr>
                    <w:t>已建</w:t>
                  </w:r>
                </w:p>
              </w:tc>
            </w:tr>
            <w:tr w14:paraId="15FE7E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continue"/>
                  <w:vAlign w:val="center"/>
                </w:tcPr>
                <w:p w14:paraId="44F86638">
                  <w:pPr>
                    <w:pStyle w:val="79"/>
                  </w:pPr>
                </w:p>
              </w:tc>
              <w:tc>
                <w:tcPr>
                  <w:tcW w:w="441" w:type="pct"/>
                  <w:vMerge w:val="continue"/>
                  <w:vAlign w:val="center"/>
                </w:tcPr>
                <w:p w14:paraId="0876533B">
                  <w:pPr>
                    <w:pStyle w:val="79"/>
                  </w:pPr>
                </w:p>
              </w:tc>
              <w:tc>
                <w:tcPr>
                  <w:tcW w:w="751" w:type="pct"/>
                  <w:vAlign w:val="center"/>
                </w:tcPr>
                <w:p w14:paraId="3E63AC97">
                  <w:pPr>
                    <w:pStyle w:val="79"/>
                  </w:pPr>
                  <w:r>
                    <w:t>危废暂存间</w:t>
                  </w:r>
                </w:p>
              </w:tc>
              <w:tc>
                <w:tcPr>
                  <w:tcW w:w="3174" w:type="pct"/>
                  <w:vAlign w:val="center"/>
                </w:tcPr>
                <w:p w14:paraId="10E0F280">
                  <w:pPr>
                    <w:pStyle w:val="79"/>
                  </w:pPr>
                  <w:r>
                    <w:rPr>
                      <w:rFonts w:hint="eastAsia"/>
                    </w:rPr>
                    <w:t>位于厂区北部，</w:t>
                  </w:r>
                  <w:r>
                    <w:t>用于存放</w:t>
                  </w:r>
                  <w:r>
                    <w:rPr>
                      <w:rFonts w:hint="eastAsia"/>
                    </w:rPr>
                    <w:t>废活性炭、废润滑油、含油抹布等危险废物</w:t>
                  </w:r>
                  <w:r>
                    <w:t>，占地10m</w:t>
                  </w:r>
                  <w:r>
                    <w:rPr>
                      <w:vertAlign w:val="superscript"/>
                    </w:rPr>
                    <w:t>2</w:t>
                  </w:r>
                </w:p>
              </w:tc>
              <w:tc>
                <w:tcPr>
                  <w:tcW w:w="382" w:type="pct"/>
                  <w:vAlign w:val="center"/>
                </w:tcPr>
                <w:p w14:paraId="20C3E395">
                  <w:pPr>
                    <w:pStyle w:val="79"/>
                  </w:pPr>
                  <w:r>
                    <w:rPr>
                      <w:rFonts w:hint="eastAsia"/>
                    </w:rPr>
                    <w:t>未建</w:t>
                  </w:r>
                </w:p>
              </w:tc>
            </w:tr>
            <w:tr w14:paraId="593BD5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continue"/>
                  <w:vAlign w:val="center"/>
                </w:tcPr>
                <w:p w14:paraId="5F5191B8">
                  <w:pPr>
                    <w:pStyle w:val="79"/>
                  </w:pPr>
                </w:p>
              </w:tc>
              <w:tc>
                <w:tcPr>
                  <w:tcW w:w="441" w:type="pct"/>
                  <w:vMerge w:val="continue"/>
                  <w:vAlign w:val="center"/>
                </w:tcPr>
                <w:p w14:paraId="5750375A">
                  <w:pPr>
                    <w:pStyle w:val="79"/>
                  </w:pPr>
                </w:p>
              </w:tc>
              <w:tc>
                <w:tcPr>
                  <w:tcW w:w="751" w:type="pct"/>
                  <w:vAlign w:val="center"/>
                </w:tcPr>
                <w:p w14:paraId="3B686D09">
                  <w:pPr>
                    <w:pStyle w:val="79"/>
                  </w:pPr>
                  <w:r>
                    <w:rPr>
                      <w:rFonts w:hint="eastAsia"/>
                    </w:rPr>
                    <w:t>一般固废储存区</w:t>
                  </w:r>
                </w:p>
              </w:tc>
              <w:tc>
                <w:tcPr>
                  <w:tcW w:w="3174" w:type="pct"/>
                  <w:vAlign w:val="center"/>
                </w:tcPr>
                <w:p w14:paraId="302BB6FB">
                  <w:pPr>
                    <w:pStyle w:val="79"/>
                    <w:jc w:val="both"/>
                  </w:pPr>
                  <w:r>
                    <w:rPr>
                      <w:rFonts w:hint="eastAsia"/>
                    </w:rPr>
                    <w:t xml:space="preserve"> 厂区北部，用于存放一般工业固体废物，占地面积1</w:t>
                  </w:r>
                  <w:r>
                    <w:t>0</w:t>
                  </w:r>
                  <w:r>
                    <w:rPr>
                      <w:rFonts w:hint="eastAsia"/>
                    </w:rPr>
                    <w:t>m</w:t>
                  </w:r>
                  <w:r>
                    <w:rPr>
                      <w:vertAlign w:val="superscript"/>
                    </w:rPr>
                    <w:t>2</w:t>
                  </w:r>
                </w:p>
              </w:tc>
              <w:tc>
                <w:tcPr>
                  <w:tcW w:w="382" w:type="pct"/>
                  <w:vAlign w:val="center"/>
                </w:tcPr>
                <w:p w14:paraId="18178451">
                  <w:pPr>
                    <w:pStyle w:val="79"/>
                  </w:pPr>
                  <w:r>
                    <w:rPr>
                      <w:rFonts w:hint="eastAsia"/>
                    </w:rPr>
                    <w:t>已建</w:t>
                  </w:r>
                </w:p>
              </w:tc>
            </w:tr>
            <w:tr w14:paraId="31349F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2" w:type="pct"/>
                  <w:vMerge w:val="continue"/>
                  <w:vAlign w:val="center"/>
                </w:tcPr>
                <w:p w14:paraId="6781BEF7">
                  <w:pPr>
                    <w:pStyle w:val="79"/>
                  </w:pPr>
                </w:p>
              </w:tc>
              <w:tc>
                <w:tcPr>
                  <w:tcW w:w="441" w:type="pct"/>
                  <w:vMerge w:val="continue"/>
                  <w:vAlign w:val="center"/>
                </w:tcPr>
                <w:p w14:paraId="7787F77F">
                  <w:pPr>
                    <w:pStyle w:val="79"/>
                  </w:pPr>
                </w:p>
              </w:tc>
              <w:tc>
                <w:tcPr>
                  <w:tcW w:w="751" w:type="pct"/>
                  <w:vAlign w:val="center"/>
                </w:tcPr>
                <w:p w14:paraId="362EC750">
                  <w:pPr>
                    <w:pStyle w:val="79"/>
                  </w:pPr>
                  <w:r>
                    <w:t>生活垃圾</w:t>
                  </w:r>
                </w:p>
              </w:tc>
              <w:tc>
                <w:tcPr>
                  <w:tcW w:w="3174" w:type="pct"/>
                  <w:vAlign w:val="center"/>
                </w:tcPr>
                <w:p w14:paraId="3BA10B6C">
                  <w:pPr>
                    <w:pStyle w:val="79"/>
                  </w:pPr>
                  <w:r>
                    <w:rPr>
                      <w:rFonts w:hint="eastAsia"/>
                    </w:rPr>
                    <w:t>在厂内设置垃圾桶等，</w:t>
                  </w:r>
                  <w:r>
                    <w:t>集中收集</w:t>
                  </w:r>
                  <w:r>
                    <w:rPr>
                      <w:rFonts w:hint="eastAsia"/>
                    </w:rPr>
                    <w:t>后</w:t>
                  </w:r>
                  <w:r>
                    <w:t>由环卫部门统一处理</w:t>
                  </w:r>
                </w:p>
              </w:tc>
              <w:tc>
                <w:tcPr>
                  <w:tcW w:w="382" w:type="pct"/>
                  <w:vAlign w:val="center"/>
                </w:tcPr>
                <w:p w14:paraId="2C401364">
                  <w:pPr>
                    <w:pStyle w:val="79"/>
                  </w:pPr>
                  <w:r>
                    <w:rPr>
                      <w:rFonts w:hint="eastAsia"/>
                    </w:rPr>
                    <w:t>已建</w:t>
                  </w:r>
                </w:p>
              </w:tc>
            </w:tr>
          </w:tbl>
          <w:p w14:paraId="4AC66048">
            <w:pPr>
              <w:pStyle w:val="9"/>
              <w:ind w:firstLine="482"/>
            </w:pPr>
            <w:r>
              <w:rPr>
                <w:rFonts w:hint="eastAsia"/>
              </w:rPr>
              <w:t>3、主要生产设备</w:t>
            </w:r>
          </w:p>
          <w:p w14:paraId="37688A97">
            <w:pPr>
              <w:ind w:firstLine="480"/>
            </w:pPr>
            <w:r>
              <w:rPr>
                <w:rFonts w:hint="eastAsia"/>
              </w:rPr>
              <w:t>项目主要生产设备见下表。</w:t>
            </w:r>
          </w:p>
          <w:p w14:paraId="409993EE">
            <w:pPr>
              <w:pStyle w:val="87"/>
            </w:pPr>
            <w:r>
              <w:rPr>
                <w:rFonts w:hint="eastAsia"/>
              </w:rPr>
              <w:t>表</w:t>
            </w:r>
            <w:r>
              <w:t xml:space="preserve">2-2  </w:t>
            </w:r>
            <w:r>
              <w:rPr>
                <w:rFonts w:hint="eastAsia"/>
              </w:rPr>
              <w:t>主要生产设备一览表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864"/>
              <w:gridCol w:w="2470"/>
              <w:gridCol w:w="2332"/>
              <w:gridCol w:w="823"/>
              <w:gridCol w:w="962"/>
              <w:gridCol w:w="884"/>
            </w:tblGrid>
            <w:tr w14:paraId="1E073E3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5ECCD977">
                  <w:pPr>
                    <w:pStyle w:val="79"/>
                    <w:rPr>
                      <w:rFonts w:eastAsia="Times New Roman"/>
                      <w:b/>
                      <w:szCs w:val="21"/>
                    </w:rPr>
                  </w:pPr>
                  <w:r>
                    <w:rPr>
                      <w:rFonts w:eastAsia="Times New Roman"/>
                      <w:b/>
                      <w:szCs w:val="21"/>
                    </w:rPr>
                    <w:t>序号</w:t>
                  </w:r>
                </w:p>
              </w:tc>
              <w:tc>
                <w:tcPr>
                  <w:tcW w:w="1482" w:type="pct"/>
                  <w:vAlign w:val="center"/>
                </w:tcPr>
                <w:p w14:paraId="73BF996C">
                  <w:pPr>
                    <w:pStyle w:val="79"/>
                    <w:rPr>
                      <w:rFonts w:eastAsia="Times New Roman"/>
                      <w:b/>
                      <w:szCs w:val="21"/>
                    </w:rPr>
                  </w:pPr>
                  <w:r>
                    <w:rPr>
                      <w:rFonts w:eastAsia="Times New Roman"/>
                      <w:b/>
                      <w:szCs w:val="21"/>
                    </w:rPr>
                    <w:t>设备名称</w:t>
                  </w:r>
                </w:p>
              </w:tc>
              <w:tc>
                <w:tcPr>
                  <w:tcW w:w="1399" w:type="pct"/>
                  <w:vAlign w:val="center"/>
                </w:tcPr>
                <w:p w14:paraId="186DB35B">
                  <w:pPr>
                    <w:pStyle w:val="79"/>
                    <w:rPr>
                      <w:rFonts w:eastAsia="Times New Roman"/>
                      <w:b/>
                      <w:szCs w:val="21"/>
                    </w:rPr>
                  </w:pPr>
                  <w:r>
                    <w:rPr>
                      <w:rFonts w:eastAsia="Times New Roman"/>
                      <w:b/>
                      <w:szCs w:val="21"/>
                    </w:rPr>
                    <w:t>规格/型号</w:t>
                  </w:r>
                </w:p>
              </w:tc>
              <w:tc>
                <w:tcPr>
                  <w:tcW w:w="494" w:type="pct"/>
                  <w:vAlign w:val="center"/>
                </w:tcPr>
                <w:p w14:paraId="43866BEC">
                  <w:pPr>
                    <w:pStyle w:val="79"/>
                    <w:rPr>
                      <w:rFonts w:eastAsia="Times New Roman"/>
                      <w:b/>
                      <w:szCs w:val="21"/>
                    </w:rPr>
                  </w:pPr>
                  <w:r>
                    <w:rPr>
                      <w:rFonts w:eastAsia="Times New Roman"/>
                      <w:b/>
                      <w:szCs w:val="21"/>
                    </w:rPr>
                    <w:t>单位</w:t>
                  </w:r>
                </w:p>
              </w:tc>
              <w:tc>
                <w:tcPr>
                  <w:tcW w:w="577" w:type="pct"/>
                  <w:vAlign w:val="center"/>
                </w:tcPr>
                <w:p w14:paraId="16E7099D">
                  <w:pPr>
                    <w:pStyle w:val="79"/>
                    <w:rPr>
                      <w:rFonts w:eastAsia="Times New Roman"/>
                      <w:b/>
                      <w:szCs w:val="21"/>
                    </w:rPr>
                  </w:pPr>
                  <w:r>
                    <w:rPr>
                      <w:rFonts w:eastAsia="Times New Roman"/>
                      <w:b/>
                      <w:szCs w:val="21"/>
                    </w:rPr>
                    <w:t>数量</w:t>
                  </w:r>
                </w:p>
              </w:tc>
              <w:tc>
                <w:tcPr>
                  <w:tcW w:w="530" w:type="pct"/>
                  <w:vAlign w:val="center"/>
                </w:tcPr>
                <w:p w14:paraId="38688D73">
                  <w:pPr>
                    <w:pStyle w:val="79"/>
                    <w:rPr>
                      <w:rFonts w:eastAsia="Times New Roman"/>
                      <w:b/>
                      <w:szCs w:val="21"/>
                    </w:rPr>
                  </w:pPr>
                  <w:r>
                    <w:rPr>
                      <w:rFonts w:eastAsia="Times New Roman"/>
                      <w:b/>
                      <w:szCs w:val="21"/>
                    </w:rPr>
                    <w:t>备注</w:t>
                  </w:r>
                </w:p>
              </w:tc>
            </w:tr>
            <w:tr w14:paraId="7863743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16EA5165">
                  <w:pPr>
                    <w:pStyle w:val="79"/>
                    <w:rPr>
                      <w:rFonts w:eastAsia="Times New Roman"/>
                      <w:szCs w:val="21"/>
                    </w:rPr>
                  </w:pPr>
                  <w:r>
                    <w:rPr>
                      <w:rFonts w:eastAsia="Times New Roman"/>
                      <w:szCs w:val="21"/>
                    </w:rPr>
                    <w:t>1</w:t>
                  </w:r>
                </w:p>
              </w:tc>
              <w:tc>
                <w:tcPr>
                  <w:tcW w:w="1482" w:type="pct"/>
                  <w:tcBorders>
                    <w:top w:val="single" w:color="000000" w:sz="4" w:space="0"/>
                    <w:left w:val="single" w:color="000000" w:sz="4" w:space="0"/>
                    <w:bottom w:val="single" w:color="000000" w:sz="4" w:space="0"/>
                    <w:right w:val="single" w:color="000000" w:sz="4" w:space="0"/>
                  </w:tcBorders>
                  <w:vAlign w:val="center"/>
                </w:tcPr>
                <w:p w14:paraId="364156E0">
                  <w:pPr>
                    <w:pStyle w:val="79"/>
                    <w:rPr>
                      <w:rFonts w:ascii="宋体" w:hAnsi="宋体" w:eastAsia="Times New Roman"/>
                      <w:szCs w:val="21"/>
                    </w:rPr>
                  </w:pPr>
                  <w:r>
                    <w:rPr>
                      <w:rFonts w:hint="eastAsia" w:ascii="宋体" w:hAnsi="宋体" w:eastAsia="Times New Roman"/>
                      <w:szCs w:val="21"/>
                    </w:rPr>
                    <w:t>注塑机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03AE9849">
                  <w:pPr>
                    <w:pStyle w:val="79"/>
                    <w:rPr>
                      <w:rFonts w:eastAsia="Times New Roman"/>
                      <w:szCs w:val="21"/>
                    </w:rPr>
                  </w:pPr>
                  <w:r>
                    <w:rPr>
                      <w:rStyle w:val="180"/>
                      <w:rFonts w:hint="eastAsia" w:eastAsia="楷体_GB2312"/>
                      <w:bCs/>
                      <w:kern w:val="1"/>
                      <w:sz w:val="21"/>
                      <w:szCs w:val="21"/>
                      <w:lang w:val="en-US"/>
                    </w:rPr>
                    <w:t>600T</w:t>
                  </w:r>
                </w:p>
              </w:tc>
              <w:tc>
                <w:tcPr>
                  <w:tcW w:w="494" w:type="pct"/>
                  <w:vAlign w:val="center"/>
                </w:tcPr>
                <w:p w14:paraId="5C14D1E1">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25C488C5">
                  <w:pPr>
                    <w:pStyle w:val="79"/>
                    <w:rPr>
                      <w:rFonts w:eastAsia="Times New Roman"/>
                      <w:szCs w:val="21"/>
                    </w:rPr>
                  </w:pPr>
                  <w:r>
                    <w:rPr>
                      <w:rStyle w:val="180"/>
                      <w:rFonts w:hint="eastAsia" w:eastAsia="楷体_GB2312"/>
                      <w:bCs/>
                      <w:kern w:val="1"/>
                      <w:sz w:val="21"/>
                      <w:szCs w:val="21"/>
                      <w:lang w:val="en-US"/>
                    </w:rPr>
                    <w:t>2</w:t>
                  </w:r>
                </w:p>
              </w:tc>
              <w:tc>
                <w:tcPr>
                  <w:tcW w:w="530" w:type="pct"/>
                  <w:vAlign w:val="center"/>
                </w:tcPr>
                <w:p w14:paraId="7FBFB3D8">
                  <w:pPr>
                    <w:pStyle w:val="79"/>
                    <w:rPr>
                      <w:rFonts w:eastAsia="Times New Roman"/>
                      <w:szCs w:val="21"/>
                    </w:rPr>
                  </w:pPr>
                  <w:r>
                    <w:rPr>
                      <w:rFonts w:eastAsia="Times New Roman"/>
                      <w:szCs w:val="21"/>
                    </w:rPr>
                    <w:t>已建</w:t>
                  </w:r>
                </w:p>
              </w:tc>
            </w:tr>
            <w:tr w14:paraId="6DD3A6B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1A6DF025">
                  <w:pPr>
                    <w:pStyle w:val="79"/>
                    <w:rPr>
                      <w:rFonts w:eastAsia="Times New Roman"/>
                      <w:szCs w:val="21"/>
                    </w:rPr>
                  </w:pPr>
                  <w:r>
                    <w:rPr>
                      <w:rFonts w:eastAsia="Times New Roman"/>
                      <w:szCs w:val="21"/>
                    </w:rPr>
                    <w:t>2</w:t>
                  </w:r>
                </w:p>
              </w:tc>
              <w:tc>
                <w:tcPr>
                  <w:tcW w:w="1482" w:type="pct"/>
                  <w:tcBorders>
                    <w:top w:val="single" w:color="000000" w:sz="4" w:space="0"/>
                    <w:left w:val="single" w:color="000000" w:sz="4" w:space="0"/>
                    <w:bottom w:val="single" w:color="000000" w:sz="4" w:space="0"/>
                    <w:right w:val="single" w:color="000000" w:sz="4" w:space="0"/>
                  </w:tcBorders>
                  <w:vAlign w:val="center"/>
                </w:tcPr>
                <w:p w14:paraId="06A27BA9">
                  <w:pPr>
                    <w:pStyle w:val="79"/>
                    <w:rPr>
                      <w:rFonts w:ascii="宋体" w:hAnsi="宋体" w:eastAsia="Times New Roman"/>
                      <w:szCs w:val="21"/>
                    </w:rPr>
                  </w:pPr>
                  <w:r>
                    <w:rPr>
                      <w:rFonts w:hint="eastAsia" w:ascii="宋体" w:hAnsi="宋体" w:eastAsia="Times New Roman"/>
                      <w:szCs w:val="21"/>
                    </w:rPr>
                    <w:t>注塑机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226EA90F">
                  <w:pPr>
                    <w:pStyle w:val="79"/>
                    <w:rPr>
                      <w:rFonts w:eastAsia="Times New Roman"/>
                      <w:szCs w:val="21"/>
                    </w:rPr>
                  </w:pPr>
                  <w:r>
                    <w:rPr>
                      <w:rStyle w:val="180"/>
                      <w:rFonts w:hint="eastAsia" w:eastAsia="楷体_GB2312"/>
                      <w:bCs/>
                      <w:kern w:val="1"/>
                      <w:sz w:val="21"/>
                      <w:szCs w:val="21"/>
                      <w:lang w:val="en-US"/>
                    </w:rPr>
                    <w:t>470T</w:t>
                  </w:r>
                </w:p>
              </w:tc>
              <w:tc>
                <w:tcPr>
                  <w:tcW w:w="494" w:type="pct"/>
                  <w:vAlign w:val="center"/>
                </w:tcPr>
                <w:p w14:paraId="0A5873CD">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7E5F40A8">
                  <w:pPr>
                    <w:pStyle w:val="79"/>
                    <w:rPr>
                      <w:rFonts w:eastAsia="Times New Roman"/>
                      <w:szCs w:val="21"/>
                    </w:rPr>
                  </w:pPr>
                  <w:r>
                    <w:rPr>
                      <w:rStyle w:val="180"/>
                      <w:rFonts w:hint="eastAsia" w:eastAsia="楷体_GB2312"/>
                      <w:bCs/>
                      <w:kern w:val="1"/>
                      <w:sz w:val="21"/>
                      <w:szCs w:val="21"/>
                      <w:lang w:val="en-US"/>
                    </w:rPr>
                    <w:t>2</w:t>
                  </w:r>
                </w:p>
              </w:tc>
              <w:tc>
                <w:tcPr>
                  <w:tcW w:w="530" w:type="pct"/>
                  <w:vAlign w:val="center"/>
                </w:tcPr>
                <w:p w14:paraId="27406E49">
                  <w:pPr>
                    <w:pStyle w:val="79"/>
                    <w:rPr>
                      <w:rFonts w:eastAsia="Times New Roman"/>
                      <w:szCs w:val="21"/>
                    </w:rPr>
                  </w:pPr>
                  <w:r>
                    <w:rPr>
                      <w:rFonts w:eastAsia="Times New Roman"/>
                      <w:szCs w:val="21"/>
                    </w:rPr>
                    <w:t>已建</w:t>
                  </w:r>
                </w:p>
              </w:tc>
            </w:tr>
            <w:tr w14:paraId="5E5E0C7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6BB04752">
                  <w:pPr>
                    <w:pStyle w:val="79"/>
                    <w:rPr>
                      <w:rFonts w:eastAsia="Times New Roman"/>
                      <w:szCs w:val="21"/>
                    </w:rPr>
                  </w:pPr>
                  <w:r>
                    <w:rPr>
                      <w:rFonts w:eastAsia="Times New Roman"/>
                      <w:szCs w:val="21"/>
                    </w:rPr>
                    <w:t>3</w:t>
                  </w:r>
                </w:p>
              </w:tc>
              <w:tc>
                <w:tcPr>
                  <w:tcW w:w="1482" w:type="pct"/>
                  <w:tcBorders>
                    <w:top w:val="single" w:color="000000" w:sz="4" w:space="0"/>
                    <w:left w:val="single" w:color="000000" w:sz="4" w:space="0"/>
                    <w:bottom w:val="single" w:color="000000" w:sz="4" w:space="0"/>
                    <w:right w:val="single" w:color="000000" w:sz="4" w:space="0"/>
                  </w:tcBorders>
                  <w:vAlign w:val="center"/>
                </w:tcPr>
                <w:p w14:paraId="64AD0A80">
                  <w:pPr>
                    <w:pStyle w:val="79"/>
                    <w:rPr>
                      <w:rFonts w:ascii="宋体" w:hAnsi="宋体" w:eastAsia="Times New Roman"/>
                      <w:szCs w:val="21"/>
                    </w:rPr>
                  </w:pPr>
                  <w:r>
                    <w:rPr>
                      <w:rFonts w:hint="eastAsia" w:ascii="宋体" w:hAnsi="宋体" w:eastAsia="Times New Roman"/>
                      <w:szCs w:val="21"/>
                    </w:rPr>
                    <w:t>注塑机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5D78B820">
                  <w:pPr>
                    <w:pStyle w:val="79"/>
                    <w:rPr>
                      <w:rFonts w:eastAsia="Times New Roman"/>
                      <w:szCs w:val="21"/>
                    </w:rPr>
                  </w:pPr>
                  <w:r>
                    <w:rPr>
                      <w:rStyle w:val="180"/>
                      <w:rFonts w:hint="eastAsia" w:eastAsia="楷体_GB2312"/>
                      <w:bCs/>
                      <w:kern w:val="1"/>
                      <w:sz w:val="21"/>
                      <w:szCs w:val="21"/>
                      <w:lang w:val="en-US"/>
                    </w:rPr>
                    <w:t>250T/260T</w:t>
                  </w:r>
                </w:p>
              </w:tc>
              <w:tc>
                <w:tcPr>
                  <w:tcW w:w="494" w:type="pct"/>
                  <w:vAlign w:val="center"/>
                </w:tcPr>
                <w:p w14:paraId="7B3C857A">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5BD9A210">
                  <w:pPr>
                    <w:pStyle w:val="79"/>
                    <w:rPr>
                      <w:rFonts w:eastAsia="Times New Roman"/>
                      <w:szCs w:val="21"/>
                    </w:rPr>
                  </w:pPr>
                  <w:r>
                    <w:rPr>
                      <w:rStyle w:val="180"/>
                      <w:rFonts w:hint="eastAsia" w:eastAsia="楷体_GB2312"/>
                      <w:bCs/>
                      <w:kern w:val="1"/>
                      <w:sz w:val="21"/>
                      <w:szCs w:val="21"/>
                      <w:lang w:val="en-US"/>
                    </w:rPr>
                    <w:t>2</w:t>
                  </w:r>
                </w:p>
              </w:tc>
              <w:tc>
                <w:tcPr>
                  <w:tcW w:w="530" w:type="pct"/>
                  <w:vAlign w:val="center"/>
                </w:tcPr>
                <w:p w14:paraId="472B2CAF">
                  <w:pPr>
                    <w:pStyle w:val="79"/>
                    <w:rPr>
                      <w:rFonts w:eastAsia="Times New Roman"/>
                      <w:szCs w:val="21"/>
                    </w:rPr>
                  </w:pPr>
                  <w:r>
                    <w:rPr>
                      <w:rFonts w:eastAsia="Times New Roman"/>
                      <w:szCs w:val="21"/>
                    </w:rPr>
                    <w:t>已建</w:t>
                  </w:r>
                </w:p>
              </w:tc>
            </w:tr>
            <w:tr w14:paraId="5E05CF1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59120C39">
                  <w:pPr>
                    <w:pStyle w:val="79"/>
                    <w:rPr>
                      <w:rFonts w:eastAsia="Times New Roman"/>
                      <w:szCs w:val="21"/>
                    </w:rPr>
                  </w:pPr>
                  <w:r>
                    <w:rPr>
                      <w:rFonts w:eastAsia="Times New Roman"/>
                      <w:szCs w:val="21"/>
                    </w:rPr>
                    <w:t>4</w:t>
                  </w:r>
                </w:p>
              </w:tc>
              <w:tc>
                <w:tcPr>
                  <w:tcW w:w="1482" w:type="pct"/>
                  <w:tcBorders>
                    <w:top w:val="single" w:color="000000" w:sz="4" w:space="0"/>
                    <w:left w:val="single" w:color="000000" w:sz="4" w:space="0"/>
                    <w:bottom w:val="single" w:color="000000" w:sz="4" w:space="0"/>
                    <w:right w:val="single" w:color="000000" w:sz="4" w:space="0"/>
                  </w:tcBorders>
                  <w:vAlign w:val="center"/>
                </w:tcPr>
                <w:p w14:paraId="246BC75E">
                  <w:pPr>
                    <w:pStyle w:val="79"/>
                    <w:rPr>
                      <w:rFonts w:ascii="宋体" w:hAnsi="宋体" w:eastAsia="Times New Roman"/>
                      <w:szCs w:val="21"/>
                    </w:rPr>
                  </w:pPr>
                  <w:r>
                    <w:rPr>
                      <w:rFonts w:hint="eastAsia" w:ascii="宋体" w:hAnsi="宋体" w:eastAsia="Times New Roman"/>
                      <w:szCs w:val="21"/>
                    </w:rPr>
                    <w:t>注塑机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55CC20C3">
                  <w:pPr>
                    <w:pStyle w:val="79"/>
                    <w:rPr>
                      <w:rFonts w:eastAsia="Times New Roman"/>
                      <w:szCs w:val="21"/>
                    </w:rPr>
                  </w:pPr>
                  <w:r>
                    <w:rPr>
                      <w:rStyle w:val="180"/>
                      <w:rFonts w:hint="eastAsia" w:eastAsia="楷体_GB2312"/>
                      <w:bCs/>
                      <w:kern w:val="1"/>
                      <w:sz w:val="21"/>
                      <w:szCs w:val="21"/>
                      <w:lang w:val="en-US"/>
                    </w:rPr>
                    <w:t>400T</w:t>
                  </w:r>
                </w:p>
              </w:tc>
              <w:tc>
                <w:tcPr>
                  <w:tcW w:w="494" w:type="pct"/>
                  <w:vAlign w:val="center"/>
                </w:tcPr>
                <w:p w14:paraId="1311BAD9">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2A39E0CA">
                  <w:pPr>
                    <w:pStyle w:val="79"/>
                    <w:rPr>
                      <w:rFonts w:eastAsia="Times New Roman"/>
                      <w:szCs w:val="21"/>
                    </w:rPr>
                  </w:pPr>
                  <w:r>
                    <w:rPr>
                      <w:rStyle w:val="180"/>
                      <w:rFonts w:hint="eastAsia" w:eastAsia="楷体_GB2312"/>
                      <w:bCs/>
                      <w:kern w:val="1"/>
                      <w:sz w:val="21"/>
                      <w:szCs w:val="21"/>
                      <w:lang w:val="en-US"/>
                    </w:rPr>
                    <w:t>1</w:t>
                  </w:r>
                </w:p>
              </w:tc>
              <w:tc>
                <w:tcPr>
                  <w:tcW w:w="530" w:type="pct"/>
                  <w:vAlign w:val="center"/>
                </w:tcPr>
                <w:p w14:paraId="09716394">
                  <w:pPr>
                    <w:pStyle w:val="79"/>
                    <w:rPr>
                      <w:rFonts w:eastAsia="Times New Roman"/>
                      <w:szCs w:val="21"/>
                    </w:rPr>
                  </w:pPr>
                  <w:r>
                    <w:rPr>
                      <w:rFonts w:eastAsia="Times New Roman"/>
                      <w:szCs w:val="21"/>
                    </w:rPr>
                    <w:t>已建</w:t>
                  </w:r>
                </w:p>
              </w:tc>
            </w:tr>
            <w:tr w14:paraId="2C46445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1FE6E3FA">
                  <w:pPr>
                    <w:pStyle w:val="79"/>
                    <w:rPr>
                      <w:rFonts w:eastAsia="Times New Roman"/>
                      <w:szCs w:val="21"/>
                    </w:rPr>
                  </w:pPr>
                  <w:r>
                    <w:rPr>
                      <w:rFonts w:eastAsia="Times New Roman"/>
                      <w:szCs w:val="21"/>
                    </w:rPr>
                    <w:t>5</w:t>
                  </w:r>
                </w:p>
              </w:tc>
              <w:tc>
                <w:tcPr>
                  <w:tcW w:w="1482" w:type="pct"/>
                  <w:tcBorders>
                    <w:top w:val="single" w:color="000000" w:sz="4" w:space="0"/>
                    <w:left w:val="single" w:color="000000" w:sz="4" w:space="0"/>
                    <w:bottom w:val="single" w:color="000000" w:sz="4" w:space="0"/>
                    <w:right w:val="single" w:color="000000" w:sz="4" w:space="0"/>
                  </w:tcBorders>
                  <w:vAlign w:val="center"/>
                </w:tcPr>
                <w:p w14:paraId="77C4A4E4">
                  <w:pPr>
                    <w:pStyle w:val="79"/>
                    <w:rPr>
                      <w:rFonts w:ascii="宋体" w:hAnsi="宋体" w:eastAsia="Times New Roman"/>
                      <w:szCs w:val="21"/>
                    </w:rPr>
                  </w:pPr>
                  <w:r>
                    <w:rPr>
                      <w:rFonts w:hint="eastAsia" w:ascii="宋体" w:hAnsi="宋体" w:eastAsia="Times New Roman"/>
                      <w:szCs w:val="21"/>
                    </w:rPr>
                    <w:t>注塑机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4DF6AC13">
                  <w:pPr>
                    <w:pStyle w:val="79"/>
                    <w:rPr>
                      <w:rFonts w:eastAsia="Times New Roman"/>
                      <w:szCs w:val="21"/>
                    </w:rPr>
                  </w:pPr>
                  <w:r>
                    <w:rPr>
                      <w:rStyle w:val="180"/>
                      <w:rFonts w:hint="eastAsia" w:eastAsia="楷体_GB2312"/>
                      <w:bCs/>
                      <w:kern w:val="1"/>
                      <w:sz w:val="21"/>
                      <w:szCs w:val="21"/>
                      <w:lang w:val="en-US"/>
                    </w:rPr>
                    <w:t>700T</w:t>
                  </w:r>
                </w:p>
              </w:tc>
              <w:tc>
                <w:tcPr>
                  <w:tcW w:w="494" w:type="pct"/>
                  <w:vAlign w:val="center"/>
                </w:tcPr>
                <w:p w14:paraId="0B342873">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6B008B8E">
                  <w:pPr>
                    <w:pStyle w:val="79"/>
                    <w:rPr>
                      <w:rFonts w:eastAsia="Times New Roman"/>
                      <w:szCs w:val="21"/>
                    </w:rPr>
                  </w:pPr>
                  <w:r>
                    <w:rPr>
                      <w:rStyle w:val="180"/>
                      <w:rFonts w:hint="eastAsia" w:eastAsia="楷体_GB2312"/>
                      <w:bCs/>
                      <w:kern w:val="1"/>
                      <w:sz w:val="21"/>
                      <w:szCs w:val="21"/>
                      <w:lang w:val="en-US"/>
                    </w:rPr>
                    <w:t>1</w:t>
                  </w:r>
                </w:p>
              </w:tc>
              <w:tc>
                <w:tcPr>
                  <w:tcW w:w="530" w:type="pct"/>
                  <w:vAlign w:val="center"/>
                </w:tcPr>
                <w:p w14:paraId="0EF6C73E">
                  <w:pPr>
                    <w:pStyle w:val="79"/>
                    <w:rPr>
                      <w:rFonts w:eastAsia="Times New Roman"/>
                      <w:szCs w:val="21"/>
                    </w:rPr>
                  </w:pPr>
                  <w:r>
                    <w:rPr>
                      <w:rFonts w:eastAsia="Times New Roman"/>
                      <w:szCs w:val="21"/>
                    </w:rPr>
                    <w:t>已建</w:t>
                  </w:r>
                </w:p>
              </w:tc>
            </w:tr>
            <w:tr w14:paraId="6CB5B31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1EB91EB1">
                  <w:pPr>
                    <w:pStyle w:val="79"/>
                    <w:rPr>
                      <w:rFonts w:eastAsia="Times New Roman"/>
                      <w:szCs w:val="21"/>
                    </w:rPr>
                  </w:pPr>
                  <w:r>
                    <w:rPr>
                      <w:rFonts w:eastAsia="Times New Roman"/>
                      <w:szCs w:val="21"/>
                    </w:rPr>
                    <w:t>6</w:t>
                  </w:r>
                </w:p>
              </w:tc>
              <w:tc>
                <w:tcPr>
                  <w:tcW w:w="1482" w:type="pct"/>
                  <w:tcBorders>
                    <w:top w:val="single" w:color="000000" w:sz="4" w:space="0"/>
                    <w:left w:val="single" w:color="000000" w:sz="4" w:space="0"/>
                    <w:bottom w:val="single" w:color="000000" w:sz="4" w:space="0"/>
                    <w:right w:val="single" w:color="000000" w:sz="4" w:space="0"/>
                  </w:tcBorders>
                  <w:vAlign w:val="center"/>
                </w:tcPr>
                <w:p w14:paraId="3EDB38A7">
                  <w:pPr>
                    <w:pStyle w:val="79"/>
                    <w:rPr>
                      <w:rFonts w:ascii="宋体" w:hAnsi="宋体" w:eastAsia="Times New Roman"/>
                      <w:szCs w:val="21"/>
                    </w:rPr>
                  </w:pPr>
                  <w:r>
                    <w:rPr>
                      <w:rFonts w:hint="eastAsia" w:ascii="宋体" w:hAnsi="宋体" w:eastAsia="Times New Roman"/>
                      <w:szCs w:val="21"/>
                    </w:rPr>
                    <w:t>注塑机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7B193C06">
                  <w:pPr>
                    <w:pStyle w:val="79"/>
                    <w:rPr>
                      <w:rFonts w:eastAsia="Times New Roman"/>
                      <w:szCs w:val="21"/>
                    </w:rPr>
                  </w:pPr>
                  <w:r>
                    <w:rPr>
                      <w:rStyle w:val="180"/>
                      <w:rFonts w:hint="eastAsia" w:eastAsia="楷体_GB2312"/>
                      <w:bCs/>
                      <w:kern w:val="1"/>
                      <w:sz w:val="21"/>
                      <w:szCs w:val="21"/>
                      <w:lang w:val="en-US"/>
                    </w:rPr>
                    <w:t>320T</w:t>
                  </w:r>
                </w:p>
              </w:tc>
              <w:tc>
                <w:tcPr>
                  <w:tcW w:w="494" w:type="pct"/>
                  <w:vAlign w:val="center"/>
                </w:tcPr>
                <w:p w14:paraId="1220BED3">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0D4555E2">
                  <w:pPr>
                    <w:pStyle w:val="79"/>
                    <w:rPr>
                      <w:rFonts w:eastAsia="Times New Roman"/>
                      <w:szCs w:val="21"/>
                    </w:rPr>
                  </w:pPr>
                  <w:r>
                    <w:rPr>
                      <w:rStyle w:val="180"/>
                      <w:rFonts w:hint="eastAsia" w:eastAsia="楷体_GB2312"/>
                      <w:bCs/>
                      <w:kern w:val="1"/>
                      <w:sz w:val="21"/>
                      <w:szCs w:val="21"/>
                      <w:lang w:val="en-US"/>
                    </w:rPr>
                    <w:t>1</w:t>
                  </w:r>
                </w:p>
              </w:tc>
              <w:tc>
                <w:tcPr>
                  <w:tcW w:w="530" w:type="pct"/>
                  <w:vAlign w:val="center"/>
                </w:tcPr>
                <w:p w14:paraId="37FC7F8A">
                  <w:pPr>
                    <w:pStyle w:val="79"/>
                    <w:rPr>
                      <w:rFonts w:eastAsia="Times New Roman"/>
                      <w:szCs w:val="21"/>
                    </w:rPr>
                  </w:pPr>
                  <w:r>
                    <w:rPr>
                      <w:rFonts w:eastAsia="Times New Roman"/>
                      <w:szCs w:val="21"/>
                    </w:rPr>
                    <w:t>已建</w:t>
                  </w:r>
                </w:p>
              </w:tc>
            </w:tr>
            <w:tr w14:paraId="6D83846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11A3562A">
                  <w:pPr>
                    <w:pStyle w:val="79"/>
                    <w:rPr>
                      <w:rFonts w:eastAsia="Times New Roman"/>
                      <w:szCs w:val="21"/>
                    </w:rPr>
                  </w:pPr>
                  <w:r>
                    <w:rPr>
                      <w:rFonts w:eastAsia="Times New Roman"/>
                      <w:szCs w:val="21"/>
                    </w:rPr>
                    <w:t>7</w:t>
                  </w:r>
                </w:p>
              </w:tc>
              <w:tc>
                <w:tcPr>
                  <w:tcW w:w="1482" w:type="pct"/>
                  <w:tcBorders>
                    <w:top w:val="single" w:color="000000" w:sz="4" w:space="0"/>
                    <w:left w:val="single" w:color="000000" w:sz="4" w:space="0"/>
                    <w:bottom w:val="single" w:color="000000" w:sz="4" w:space="0"/>
                    <w:right w:val="single" w:color="000000" w:sz="4" w:space="0"/>
                  </w:tcBorders>
                  <w:vAlign w:val="center"/>
                </w:tcPr>
                <w:p w14:paraId="422D4BB8">
                  <w:pPr>
                    <w:pStyle w:val="79"/>
                    <w:rPr>
                      <w:rFonts w:ascii="宋体" w:hAnsi="宋体" w:eastAsia="Times New Roman"/>
                      <w:szCs w:val="21"/>
                    </w:rPr>
                  </w:pPr>
                  <w:r>
                    <w:rPr>
                      <w:rFonts w:hint="eastAsia" w:ascii="宋体" w:hAnsi="宋体" w:eastAsia="Times New Roman"/>
                      <w:szCs w:val="21"/>
                    </w:rPr>
                    <w:t>注塑机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5EBEB01A">
                  <w:pPr>
                    <w:pStyle w:val="79"/>
                    <w:rPr>
                      <w:rFonts w:eastAsia="Times New Roman"/>
                      <w:szCs w:val="21"/>
                    </w:rPr>
                  </w:pPr>
                  <w:r>
                    <w:rPr>
                      <w:rStyle w:val="180"/>
                      <w:rFonts w:hint="eastAsia" w:eastAsia="楷体_GB2312"/>
                      <w:bCs/>
                      <w:kern w:val="1"/>
                      <w:sz w:val="21"/>
                      <w:szCs w:val="21"/>
                      <w:lang w:val="en-US"/>
                    </w:rPr>
                    <w:t>650T</w:t>
                  </w:r>
                </w:p>
              </w:tc>
              <w:tc>
                <w:tcPr>
                  <w:tcW w:w="494" w:type="pct"/>
                  <w:vAlign w:val="center"/>
                </w:tcPr>
                <w:p w14:paraId="5476C29D">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6B14F3D3">
                  <w:pPr>
                    <w:pStyle w:val="79"/>
                    <w:rPr>
                      <w:rFonts w:eastAsia="Times New Roman"/>
                      <w:szCs w:val="21"/>
                    </w:rPr>
                  </w:pPr>
                  <w:r>
                    <w:rPr>
                      <w:rStyle w:val="180"/>
                      <w:rFonts w:hint="eastAsia" w:eastAsia="楷体_GB2312"/>
                      <w:bCs/>
                      <w:kern w:val="1"/>
                      <w:sz w:val="21"/>
                      <w:szCs w:val="21"/>
                      <w:lang w:val="en-US"/>
                    </w:rPr>
                    <w:t>1</w:t>
                  </w:r>
                </w:p>
              </w:tc>
              <w:tc>
                <w:tcPr>
                  <w:tcW w:w="530" w:type="pct"/>
                  <w:vAlign w:val="center"/>
                </w:tcPr>
                <w:p w14:paraId="1DDAC9FC">
                  <w:pPr>
                    <w:pStyle w:val="79"/>
                    <w:rPr>
                      <w:rFonts w:eastAsia="Times New Roman"/>
                      <w:szCs w:val="21"/>
                    </w:rPr>
                  </w:pPr>
                  <w:r>
                    <w:rPr>
                      <w:rFonts w:eastAsia="Times New Roman"/>
                      <w:szCs w:val="21"/>
                    </w:rPr>
                    <w:t>已建</w:t>
                  </w:r>
                </w:p>
              </w:tc>
            </w:tr>
            <w:tr w14:paraId="49A7611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697BB55D">
                  <w:pPr>
                    <w:pStyle w:val="79"/>
                    <w:rPr>
                      <w:rFonts w:eastAsia="Times New Roman"/>
                      <w:szCs w:val="21"/>
                    </w:rPr>
                  </w:pPr>
                  <w:r>
                    <w:rPr>
                      <w:rFonts w:eastAsia="Times New Roman"/>
                      <w:szCs w:val="21"/>
                    </w:rPr>
                    <w:t>8</w:t>
                  </w:r>
                </w:p>
              </w:tc>
              <w:tc>
                <w:tcPr>
                  <w:tcW w:w="1482" w:type="pct"/>
                  <w:tcBorders>
                    <w:top w:val="single" w:color="000000" w:sz="4" w:space="0"/>
                    <w:left w:val="single" w:color="000000" w:sz="4" w:space="0"/>
                    <w:bottom w:val="single" w:color="000000" w:sz="4" w:space="0"/>
                    <w:right w:val="single" w:color="000000" w:sz="4" w:space="0"/>
                  </w:tcBorders>
                  <w:vAlign w:val="center"/>
                </w:tcPr>
                <w:p w14:paraId="49E9AF7D">
                  <w:pPr>
                    <w:pStyle w:val="79"/>
                    <w:rPr>
                      <w:rFonts w:ascii="宋体" w:hAnsi="宋体" w:eastAsia="Times New Roman"/>
                      <w:szCs w:val="21"/>
                    </w:rPr>
                  </w:pPr>
                  <w:r>
                    <w:rPr>
                      <w:rFonts w:hint="eastAsia" w:ascii="宋体" w:hAnsi="宋体" w:eastAsia="Times New Roman"/>
                      <w:szCs w:val="21"/>
                    </w:rPr>
                    <w:t>上料机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24FE2E2C">
                  <w:pPr>
                    <w:pStyle w:val="79"/>
                    <w:rPr>
                      <w:rFonts w:eastAsiaTheme="minorEastAsia"/>
                      <w:szCs w:val="21"/>
                    </w:rPr>
                  </w:pPr>
                  <w:r>
                    <w:rPr>
                      <w:rFonts w:hint="eastAsia" w:eastAsiaTheme="minorEastAsia"/>
                      <w:szCs w:val="21"/>
                    </w:rPr>
                    <w:t>/</w:t>
                  </w:r>
                </w:p>
              </w:tc>
              <w:tc>
                <w:tcPr>
                  <w:tcW w:w="494" w:type="pct"/>
                  <w:vAlign w:val="center"/>
                </w:tcPr>
                <w:p w14:paraId="463E06B4">
                  <w:pPr>
                    <w:pStyle w:val="79"/>
                    <w:rPr>
                      <w:rFonts w:eastAsia="Times New Roman"/>
                      <w:szCs w:val="21"/>
                    </w:rPr>
                  </w:pPr>
                  <w:r>
                    <w:rPr>
                      <w:rFonts w:hint="eastAsia" w:ascii="宋体" w:hAnsi="宋体" w:eastAsia="Times New Roman" w:cs="宋体"/>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5494147C">
                  <w:pPr>
                    <w:pStyle w:val="79"/>
                    <w:rPr>
                      <w:rFonts w:eastAsiaTheme="minorEastAsia"/>
                      <w:szCs w:val="21"/>
                    </w:rPr>
                  </w:pPr>
                  <w:r>
                    <w:rPr>
                      <w:rStyle w:val="180"/>
                      <w:rFonts w:hint="eastAsia" w:eastAsia="楷体_GB2312"/>
                      <w:bCs/>
                      <w:kern w:val="1"/>
                      <w:sz w:val="21"/>
                      <w:szCs w:val="21"/>
                      <w:lang w:val="en-US"/>
                    </w:rPr>
                    <w:t>10</w:t>
                  </w:r>
                </w:p>
              </w:tc>
              <w:tc>
                <w:tcPr>
                  <w:tcW w:w="530" w:type="pct"/>
                  <w:vAlign w:val="center"/>
                </w:tcPr>
                <w:p w14:paraId="4FE2C4DE">
                  <w:pPr>
                    <w:pStyle w:val="79"/>
                    <w:rPr>
                      <w:rFonts w:eastAsia="Times New Roman"/>
                      <w:szCs w:val="21"/>
                    </w:rPr>
                  </w:pPr>
                  <w:r>
                    <w:rPr>
                      <w:rFonts w:eastAsia="Times New Roman"/>
                      <w:szCs w:val="21"/>
                    </w:rPr>
                    <w:t>已建</w:t>
                  </w:r>
                </w:p>
              </w:tc>
            </w:tr>
            <w:tr w14:paraId="778F3CA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3544DDDD">
                  <w:pPr>
                    <w:pStyle w:val="79"/>
                    <w:rPr>
                      <w:rFonts w:eastAsia="Times New Roman"/>
                      <w:szCs w:val="21"/>
                    </w:rPr>
                  </w:pPr>
                  <w:r>
                    <w:rPr>
                      <w:rFonts w:eastAsia="Times New Roman"/>
                      <w:szCs w:val="21"/>
                    </w:rPr>
                    <w:t>9</w:t>
                  </w:r>
                </w:p>
              </w:tc>
              <w:tc>
                <w:tcPr>
                  <w:tcW w:w="1482" w:type="pct"/>
                  <w:tcBorders>
                    <w:top w:val="single" w:color="000000" w:sz="4" w:space="0"/>
                    <w:left w:val="single" w:color="000000" w:sz="4" w:space="0"/>
                    <w:bottom w:val="single" w:color="000000" w:sz="4" w:space="0"/>
                    <w:right w:val="single" w:color="000000" w:sz="4" w:space="0"/>
                  </w:tcBorders>
                  <w:vAlign w:val="center"/>
                </w:tcPr>
                <w:p w14:paraId="2E0042B3">
                  <w:pPr>
                    <w:pStyle w:val="79"/>
                    <w:rPr>
                      <w:rFonts w:ascii="宋体" w:hAnsi="宋体" w:eastAsia="Times New Roman"/>
                      <w:szCs w:val="21"/>
                    </w:rPr>
                  </w:pPr>
                  <w:r>
                    <w:rPr>
                      <w:rFonts w:hint="eastAsia" w:ascii="宋体" w:hAnsi="宋体" w:eastAsia="Times New Roman"/>
                      <w:szCs w:val="21"/>
                    </w:rPr>
                    <w:t>机械手</w:t>
                  </w:r>
                </w:p>
              </w:tc>
              <w:tc>
                <w:tcPr>
                  <w:tcW w:w="1399" w:type="pct"/>
                  <w:tcBorders>
                    <w:top w:val="single" w:color="000000" w:sz="4" w:space="0"/>
                    <w:left w:val="single" w:color="000000" w:sz="4" w:space="0"/>
                    <w:bottom w:val="single" w:color="000000" w:sz="4" w:space="0"/>
                    <w:right w:val="single" w:color="000000" w:sz="4" w:space="0"/>
                  </w:tcBorders>
                  <w:vAlign w:val="center"/>
                </w:tcPr>
                <w:p w14:paraId="5B0B9794">
                  <w:pPr>
                    <w:pStyle w:val="79"/>
                    <w:rPr>
                      <w:rFonts w:eastAsiaTheme="minorEastAsia"/>
                      <w:szCs w:val="21"/>
                    </w:rPr>
                  </w:pPr>
                  <w:r>
                    <w:rPr>
                      <w:rFonts w:hint="eastAsia" w:eastAsiaTheme="minorEastAsia"/>
                      <w:szCs w:val="21"/>
                    </w:rPr>
                    <w:t>/</w:t>
                  </w:r>
                </w:p>
              </w:tc>
              <w:tc>
                <w:tcPr>
                  <w:tcW w:w="494" w:type="pct"/>
                  <w:vAlign w:val="center"/>
                </w:tcPr>
                <w:p w14:paraId="66C2FEB3">
                  <w:pPr>
                    <w:pStyle w:val="79"/>
                    <w:rPr>
                      <w:rFonts w:eastAsia="Times New Roman"/>
                      <w:szCs w:val="21"/>
                    </w:rPr>
                  </w:pPr>
                  <w:r>
                    <w:rPr>
                      <w:rFonts w:hint="eastAsia" w:ascii="宋体" w:hAnsi="宋体" w:eastAsia="Times New Roman" w:cs="宋体"/>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61B2157B">
                  <w:pPr>
                    <w:pStyle w:val="79"/>
                    <w:rPr>
                      <w:rFonts w:eastAsiaTheme="minorEastAsia"/>
                      <w:szCs w:val="21"/>
                    </w:rPr>
                  </w:pPr>
                  <w:r>
                    <w:rPr>
                      <w:rStyle w:val="180"/>
                      <w:rFonts w:hint="eastAsia" w:eastAsia="楷体_GB2312"/>
                      <w:bCs/>
                      <w:kern w:val="1"/>
                      <w:sz w:val="21"/>
                      <w:szCs w:val="21"/>
                      <w:lang w:val="en-US"/>
                    </w:rPr>
                    <w:t>10</w:t>
                  </w:r>
                </w:p>
              </w:tc>
              <w:tc>
                <w:tcPr>
                  <w:tcW w:w="530" w:type="pct"/>
                  <w:vAlign w:val="center"/>
                </w:tcPr>
                <w:p w14:paraId="07EF0493">
                  <w:pPr>
                    <w:pStyle w:val="79"/>
                    <w:rPr>
                      <w:rFonts w:eastAsia="Times New Roman"/>
                      <w:szCs w:val="21"/>
                    </w:rPr>
                  </w:pPr>
                  <w:r>
                    <w:rPr>
                      <w:rFonts w:eastAsia="Times New Roman"/>
                      <w:szCs w:val="21"/>
                    </w:rPr>
                    <w:t>已建</w:t>
                  </w:r>
                </w:p>
              </w:tc>
            </w:tr>
            <w:tr w14:paraId="55B7448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4D17279D">
                  <w:pPr>
                    <w:pStyle w:val="79"/>
                    <w:rPr>
                      <w:rFonts w:eastAsia="Times New Roman"/>
                      <w:szCs w:val="21"/>
                    </w:rPr>
                  </w:pPr>
                  <w:r>
                    <w:rPr>
                      <w:rFonts w:eastAsia="Times New Roman"/>
                      <w:szCs w:val="21"/>
                    </w:rPr>
                    <w:t>10</w:t>
                  </w:r>
                </w:p>
              </w:tc>
              <w:tc>
                <w:tcPr>
                  <w:tcW w:w="1482" w:type="pct"/>
                  <w:tcBorders>
                    <w:top w:val="single" w:color="000000" w:sz="4" w:space="0"/>
                    <w:left w:val="single" w:color="000000" w:sz="4" w:space="0"/>
                    <w:bottom w:val="single" w:color="000000" w:sz="4" w:space="0"/>
                    <w:right w:val="single" w:color="000000" w:sz="4" w:space="0"/>
                  </w:tcBorders>
                  <w:vAlign w:val="center"/>
                </w:tcPr>
                <w:p w14:paraId="0C579492">
                  <w:pPr>
                    <w:pStyle w:val="79"/>
                    <w:rPr>
                      <w:rFonts w:ascii="宋体" w:hAnsi="宋体" w:eastAsia="Times New Roman"/>
                      <w:szCs w:val="21"/>
                    </w:rPr>
                  </w:pPr>
                  <w:r>
                    <w:rPr>
                      <w:rFonts w:hint="eastAsia" w:ascii="宋体" w:hAnsi="宋体" w:eastAsia="Times New Roman"/>
                      <w:szCs w:val="21"/>
                    </w:rPr>
                    <w:t>冷却塔</w:t>
                  </w:r>
                </w:p>
              </w:tc>
              <w:tc>
                <w:tcPr>
                  <w:tcW w:w="1399" w:type="pct"/>
                  <w:tcBorders>
                    <w:top w:val="single" w:color="000000" w:sz="4" w:space="0"/>
                    <w:left w:val="single" w:color="000000" w:sz="4" w:space="0"/>
                    <w:bottom w:val="single" w:color="000000" w:sz="4" w:space="0"/>
                    <w:right w:val="single" w:color="000000" w:sz="4" w:space="0"/>
                  </w:tcBorders>
                  <w:vAlign w:val="center"/>
                </w:tcPr>
                <w:p w14:paraId="16EB530C">
                  <w:pPr>
                    <w:pStyle w:val="79"/>
                    <w:rPr>
                      <w:rFonts w:eastAsiaTheme="minorEastAsia"/>
                      <w:szCs w:val="21"/>
                    </w:rPr>
                  </w:pPr>
                  <w:r>
                    <w:rPr>
                      <w:rFonts w:hint="eastAsia" w:eastAsiaTheme="minorEastAsia"/>
                      <w:szCs w:val="21"/>
                    </w:rPr>
                    <w:t>/</w:t>
                  </w:r>
                </w:p>
              </w:tc>
              <w:tc>
                <w:tcPr>
                  <w:tcW w:w="494" w:type="pct"/>
                  <w:vAlign w:val="center"/>
                </w:tcPr>
                <w:p w14:paraId="5CDDBB10">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415E4E7F">
                  <w:pPr>
                    <w:pStyle w:val="79"/>
                    <w:rPr>
                      <w:rFonts w:eastAsia="Times New Roman"/>
                      <w:szCs w:val="21"/>
                    </w:rPr>
                  </w:pPr>
                  <w:r>
                    <w:rPr>
                      <w:rStyle w:val="180"/>
                      <w:rFonts w:hint="eastAsia" w:eastAsia="楷体_GB2312"/>
                      <w:bCs/>
                      <w:kern w:val="1"/>
                      <w:sz w:val="21"/>
                      <w:szCs w:val="21"/>
                      <w:lang w:val="en-US"/>
                    </w:rPr>
                    <w:t>2</w:t>
                  </w:r>
                </w:p>
              </w:tc>
              <w:tc>
                <w:tcPr>
                  <w:tcW w:w="530" w:type="pct"/>
                  <w:vAlign w:val="center"/>
                </w:tcPr>
                <w:p w14:paraId="59F63760">
                  <w:pPr>
                    <w:pStyle w:val="79"/>
                    <w:rPr>
                      <w:rFonts w:eastAsia="Times New Roman"/>
                      <w:szCs w:val="21"/>
                    </w:rPr>
                  </w:pPr>
                  <w:r>
                    <w:rPr>
                      <w:rFonts w:eastAsia="Times New Roman"/>
                      <w:szCs w:val="21"/>
                    </w:rPr>
                    <w:t>已建</w:t>
                  </w:r>
                </w:p>
              </w:tc>
            </w:tr>
            <w:tr w14:paraId="3A21BA4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72CCC309">
                  <w:pPr>
                    <w:pStyle w:val="79"/>
                    <w:rPr>
                      <w:rFonts w:eastAsia="Times New Roman"/>
                      <w:szCs w:val="21"/>
                    </w:rPr>
                  </w:pPr>
                  <w:r>
                    <w:rPr>
                      <w:rFonts w:eastAsia="Times New Roman"/>
                      <w:szCs w:val="21"/>
                    </w:rPr>
                    <w:t>11</w:t>
                  </w:r>
                </w:p>
              </w:tc>
              <w:tc>
                <w:tcPr>
                  <w:tcW w:w="1482" w:type="pct"/>
                  <w:tcBorders>
                    <w:top w:val="single" w:color="000000" w:sz="4" w:space="0"/>
                    <w:left w:val="single" w:color="000000" w:sz="4" w:space="0"/>
                    <w:bottom w:val="single" w:color="000000" w:sz="4" w:space="0"/>
                    <w:right w:val="single" w:color="000000" w:sz="4" w:space="0"/>
                  </w:tcBorders>
                  <w:vAlign w:val="center"/>
                </w:tcPr>
                <w:p w14:paraId="346321DD">
                  <w:pPr>
                    <w:pStyle w:val="79"/>
                    <w:rPr>
                      <w:rFonts w:ascii="宋体" w:hAnsi="宋体" w:eastAsia="Times New Roman"/>
                      <w:szCs w:val="21"/>
                    </w:rPr>
                  </w:pPr>
                  <w:r>
                    <w:rPr>
                      <w:rFonts w:hint="eastAsia" w:ascii="宋体" w:hAnsi="宋体" w:eastAsia="Times New Roman"/>
                      <w:szCs w:val="21"/>
                    </w:rPr>
                    <w:t>破碎机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5A16DCD9">
                  <w:pPr>
                    <w:pStyle w:val="79"/>
                    <w:rPr>
                      <w:rFonts w:eastAsiaTheme="minorEastAsia"/>
                      <w:szCs w:val="21"/>
                    </w:rPr>
                  </w:pPr>
                  <w:r>
                    <w:rPr>
                      <w:rFonts w:hint="eastAsia" w:eastAsiaTheme="minorEastAsia"/>
                      <w:szCs w:val="21"/>
                    </w:rPr>
                    <w:t>/</w:t>
                  </w:r>
                </w:p>
              </w:tc>
              <w:tc>
                <w:tcPr>
                  <w:tcW w:w="494" w:type="pct"/>
                  <w:vAlign w:val="center"/>
                </w:tcPr>
                <w:p w14:paraId="3A234833">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76959E6C">
                  <w:pPr>
                    <w:pStyle w:val="79"/>
                    <w:rPr>
                      <w:rFonts w:eastAsia="Times New Roman"/>
                      <w:szCs w:val="21"/>
                    </w:rPr>
                  </w:pPr>
                  <w:r>
                    <w:rPr>
                      <w:rStyle w:val="180"/>
                      <w:rFonts w:hint="eastAsia" w:eastAsia="楷体_GB2312"/>
                      <w:bCs/>
                      <w:kern w:val="1"/>
                      <w:sz w:val="21"/>
                      <w:szCs w:val="21"/>
                      <w:lang w:val="en-US"/>
                    </w:rPr>
                    <w:t>1</w:t>
                  </w:r>
                </w:p>
              </w:tc>
              <w:tc>
                <w:tcPr>
                  <w:tcW w:w="530" w:type="pct"/>
                  <w:vAlign w:val="center"/>
                </w:tcPr>
                <w:p w14:paraId="64EB8387">
                  <w:pPr>
                    <w:pStyle w:val="79"/>
                    <w:rPr>
                      <w:rFonts w:eastAsia="Times New Roman"/>
                      <w:szCs w:val="21"/>
                    </w:rPr>
                  </w:pPr>
                  <w:r>
                    <w:rPr>
                      <w:rFonts w:eastAsia="Times New Roman"/>
                      <w:szCs w:val="21"/>
                    </w:rPr>
                    <w:t>已建</w:t>
                  </w:r>
                </w:p>
              </w:tc>
            </w:tr>
            <w:tr w14:paraId="717FB64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3AF3B5F2">
                  <w:pPr>
                    <w:pStyle w:val="79"/>
                    <w:rPr>
                      <w:rFonts w:eastAsia="Times New Roman"/>
                      <w:szCs w:val="21"/>
                    </w:rPr>
                  </w:pPr>
                  <w:r>
                    <w:rPr>
                      <w:rFonts w:eastAsia="Times New Roman"/>
                      <w:szCs w:val="21"/>
                    </w:rPr>
                    <w:t>12</w:t>
                  </w:r>
                </w:p>
              </w:tc>
              <w:tc>
                <w:tcPr>
                  <w:tcW w:w="1482" w:type="pct"/>
                  <w:tcBorders>
                    <w:top w:val="single" w:color="000000" w:sz="4" w:space="0"/>
                    <w:left w:val="single" w:color="000000" w:sz="4" w:space="0"/>
                    <w:bottom w:val="single" w:color="000000" w:sz="4" w:space="0"/>
                    <w:right w:val="single" w:color="000000" w:sz="4" w:space="0"/>
                  </w:tcBorders>
                  <w:vAlign w:val="center"/>
                </w:tcPr>
                <w:p w14:paraId="3297C654">
                  <w:pPr>
                    <w:pStyle w:val="79"/>
                    <w:rPr>
                      <w:rFonts w:ascii="宋体" w:hAnsi="宋体" w:eastAsia="Times New Roman"/>
                      <w:szCs w:val="21"/>
                    </w:rPr>
                  </w:pPr>
                  <w:r>
                    <w:rPr>
                      <w:rFonts w:hint="eastAsia" w:ascii="宋体" w:hAnsi="宋体" w:eastAsia="Times New Roman"/>
                      <w:szCs w:val="21"/>
                    </w:rPr>
                    <w:t>叉车</w:t>
                  </w:r>
                </w:p>
              </w:tc>
              <w:tc>
                <w:tcPr>
                  <w:tcW w:w="1399" w:type="pct"/>
                  <w:tcBorders>
                    <w:top w:val="single" w:color="000000" w:sz="4" w:space="0"/>
                    <w:left w:val="single" w:color="000000" w:sz="4" w:space="0"/>
                    <w:bottom w:val="single" w:color="000000" w:sz="4" w:space="0"/>
                    <w:right w:val="single" w:color="000000" w:sz="4" w:space="0"/>
                  </w:tcBorders>
                  <w:vAlign w:val="center"/>
                </w:tcPr>
                <w:p w14:paraId="03A04DF3">
                  <w:pPr>
                    <w:pStyle w:val="79"/>
                    <w:rPr>
                      <w:rFonts w:eastAsiaTheme="minorEastAsia"/>
                      <w:szCs w:val="21"/>
                    </w:rPr>
                  </w:pPr>
                  <w:r>
                    <w:rPr>
                      <w:rFonts w:hint="eastAsia" w:eastAsiaTheme="minorEastAsia"/>
                      <w:szCs w:val="21"/>
                    </w:rPr>
                    <w:t>/</w:t>
                  </w:r>
                </w:p>
              </w:tc>
              <w:tc>
                <w:tcPr>
                  <w:tcW w:w="494" w:type="pct"/>
                  <w:vAlign w:val="center"/>
                </w:tcPr>
                <w:p w14:paraId="37DB170E">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6B103B44">
                  <w:pPr>
                    <w:pStyle w:val="79"/>
                    <w:rPr>
                      <w:rFonts w:eastAsia="Times New Roman"/>
                      <w:szCs w:val="21"/>
                    </w:rPr>
                  </w:pPr>
                  <w:r>
                    <w:rPr>
                      <w:rStyle w:val="180"/>
                      <w:rFonts w:hint="eastAsia" w:eastAsia="楷体_GB2312"/>
                      <w:bCs/>
                      <w:kern w:val="1"/>
                      <w:sz w:val="21"/>
                      <w:szCs w:val="21"/>
                      <w:lang w:val="en-US"/>
                    </w:rPr>
                    <w:t>1</w:t>
                  </w:r>
                </w:p>
              </w:tc>
              <w:tc>
                <w:tcPr>
                  <w:tcW w:w="530" w:type="pct"/>
                  <w:vAlign w:val="center"/>
                </w:tcPr>
                <w:p w14:paraId="68BE8EF8">
                  <w:pPr>
                    <w:pStyle w:val="79"/>
                    <w:rPr>
                      <w:rFonts w:eastAsia="Times New Roman"/>
                      <w:szCs w:val="21"/>
                    </w:rPr>
                  </w:pPr>
                  <w:r>
                    <w:rPr>
                      <w:rFonts w:eastAsia="Times New Roman"/>
                      <w:szCs w:val="21"/>
                    </w:rPr>
                    <w:t>已建</w:t>
                  </w:r>
                </w:p>
              </w:tc>
            </w:tr>
            <w:tr w14:paraId="2426845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4B7FC69C">
                  <w:pPr>
                    <w:pStyle w:val="79"/>
                    <w:rPr>
                      <w:rFonts w:eastAsia="Times New Roman"/>
                      <w:szCs w:val="21"/>
                    </w:rPr>
                  </w:pPr>
                  <w:r>
                    <w:rPr>
                      <w:rFonts w:eastAsia="Times New Roman"/>
                      <w:szCs w:val="21"/>
                    </w:rPr>
                    <w:t>13</w:t>
                  </w:r>
                </w:p>
              </w:tc>
              <w:tc>
                <w:tcPr>
                  <w:tcW w:w="1482" w:type="pct"/>
                  <w:tcBorders>
                    <w:top w:val="single" w:color="000000" w:sz="4" w:space="0"/>
                    <w:left w:val="single" w:color="000000" w:sz="4" w:space="0"/>
                    <w:bottom w:val="single" w:color="000000" w:sz="4" w:space="0"/>
                    <w:right w:val="single" w:color="000000" w:sz="4" w:space="0"/>
                  </w:tcBorders>
                  <w:vAlign w:val="center"/>
                </w:tcPr>
                <w:p w14:paraId="7FF33731">
                  <w:pPr>
                    <w:pStyle w:val="79"/>
                    <w:rPr>
                      <w:rFonts w:ascii="宋体" w:hAnsi="宋体" w:eastAsia="Times New Roman"/>
                      <w:szCs w:val="21"/>
                    </w:rPr>
                  </w:pPr>
                  <w:r>
                    <w:rPr>
                      <w:rFonts w:hint="eastAsia" w:ascii="宋体" w:hAnsi="宋体" w:eastAsia="Times New Roman"/>
                      <w:szCs w:val="21"/>
                    </w:rPr>
                    <w:t>螺杆空压机</w:t>
                  </w:r>
                </w:p>
              </w:tc>
              <w:tc>
                <w:tcPr>
                  <w:tcW w:w="1399" w:type="pct"/>
                  <w:tcBorders>
                    <w:top w:val="single" w:color="000000" w:sz="4" w:space="0"/>
                    <w:left w:val="single" w:color="000000" w:sz="4" w:space="0"/>
                    <w:bottom w:val="single" w:color="000000" w:sz="4" w:space="0"/>
                    <w:right w:val="single" w:color="000000" w:sz="4" w:space="0"/>
                  </w:tcBorders>
                  <w:vAlign w:val="center"/>
                </w:tcPr>
                <w:p w14:paraId="309961EA">
                  <w:pPr>
                    <w:pStyle w:val="79"/>
                    <w:rPr>
                      <w:rFonts w:eastAsiaTheme="minorEastAsia"/>
                      <w:szCs w:val="21"/>
                    </w:rPr>
                  </w:pPr>
                  <w:r>
                    <w:rPr>
                      <w:rFonts w:hint="eastAsia" w:eastAsiaTheme="minorEastAsia"/>
                      <w:szCs w:val="21"/>
                    </w:rPr>
                    <w:t>/</w:t>
                  </w:r>
                </w:p>
              </w:tc>
              <w:tc>
                <w:tcPr>
                  <w:tcW w:w="494" w:type="pct"/>
                  <w:vAlign w:val="center"/>
                </w:tcPr>
                <w:p w14:paraId="074E2574">
                  <w:pPr>
                    <w:pStyle w:val="79"/>
                    <w:rPr>
                      <w:rFonts w:eastAsia="Times New Roman"/>
                      <w:szCs w:val="21"/>
                    </w:rPr>
                  </w:pPr>
                  <w:r>
                    <w:rPr>
                      <w:rFonts w:eastAsia="Times New Roman"/>
                      <w:szCs w:val="21"/>
                    </w:rPr>
                    <w:t>台</w:t>
                  </w:r>
                </w:p>
              </w:tc>
              <w:tc>
                <w:tcPr>
                  <w:tcW w:w="577" w:type="pct"/>
                  <w:tcBorders>
                    <w:top w:val="single" w:color="000000" w:sz="4" w:space="0"/>
                    <w:left w:val="single" w:color="000000" w:sz="4" w:space="0"/>
                    <w:bottom w:val="single" w:color="000000" w:sz="4" w:space="0"/>
                    <w:right w:val="single" w:color="000000" w:sz="4" w:space="0"/>
                  </w:tcBorders>
                  <w:vAlign w:val="center"/>
                </w:tcPr>
                <w:p w14:paraId="5BFF85A4">
                  <w:pPr>
                    <w:pStyle w:val="79"/>
                    <w:rPr>
                      <w:rFonts w:eastAsia="Times New Roman"/>
                      <w:szCs w:val="21"/>
                    </w:rPr>
                  </w:pPr>
                  <w:r>
                    <w:rPr>
                      <w:rStyle w:val="180"/>
                      <w:rFonts w:hint="eastAsia" w:eastAsia="楷体_GB2312"/>
                      <w:bCs/>
                      <w:kern w:val="1"/>
                      <w:sz w:val="21"/>
                      <w:szCs w:val="21"/>
                      <w:lang w:val="en-US"/>
                    </w:rPr>
                    <w:t>1</w:t>
                  </w:r>
                </w:p>
              </w:tc>
              <w:tc>
                <w:tcPr>
                  <w:tcW w:w="530" w:type="pct"/>
                  <w:vAlign w:val="center"/>
                </w:tcPr>
                <w:p w14:paraId="74B6CEC0">
                  <w:pPr>
                    <w:pStyle w:val="79"/>
                    <w:rPr>
                      <w:rFonts w:eastAsia="Times New Roman"/>
                      <w:szCs w:val="21"/>
                    </w:rPr>
                  </w:pPr>
                  <w:r>
                    <w:rPr>
                      <w:rFonts w:eastAsia="Times New Roman"/>
                      <w:szCs w:val="21"/>
                    </w:rPr>
                    <w:t>已建</w:t>
                  </w:r>
                </w:p>
              </w:tc>
            </w:tr>
            <w:tr w14:paraId="7A332C6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518" w:type="pct"/>
                  <w:vAlign w:val="center"/>
                </w:tcPr>
                <w:p w14:paraId="74B03A0C">
                  <w:pPr>
                    <w:pStyle w:val="79"/>
                    <w:rPr>
                      <w:rFonts w:eastAsiaTheme="minorEastAsia"/>
                      <w:szCs w:val="21"/>
                    </w:rPr>
                  </w:pPr>
                  <w:r>
                    <w:rPr>
                      <w:rFonts w:hint="eastAsia" w:eastAsiaTheme="minorEastAsia"/>
                      <w:szCs w:val="21"/>
                    </w:rPr>
                    <w:t>14</w:t>
                  </w:r>
                </w:p>
              </w:tc>
              <w:tc>
                <w:tcPr>
                  <w:tcW w:w="1482" w:type="pct"/>
                  <w:vAlign w:val="center"/>
                </w:tcPr>
                <w:p w14:paraId="27AFD7E5">
                  <w:pPr>
                    <w:pStyle w:val="79"/>
                    <w:rPr>
                      <w:rFonts w:ascii="宋体" w:hAnsi="宋体" w:eastAsia="Times New Roman"/>
                      <w:szCs w:val="21"/>
                    </w:rPr>
                  </w:pPr>
                  <w:r>
                    <w:rPr>
                      <w:rFonts w:hint="eastAsia" w:ascii="宋体" w:hAnsi="宋体" w:eastAsia="Times New Roman"/>
                      <w:szCs w:val="21"/>
                    </w:rPr>
                    <w:t>二级活性炭吸附装置</w:t>
                  </w:r>
                </w:p>
              </w:tc>
              <w:tc>
                <w:tcPr>
                  <w:tcW w:w="1399" w:type="pct"/>
                  <w:vAlign w:val="center"/>
                </w:tcPr>
                <w:p w14:paraId="1FFA37A5">
                  <w:pPr>
                    <w:pStyle w:val="79"/>
                    <w:rPr>
                      <w:rFonts w:eastAsiaTheme="minorEastAsia"/>
                      <w:szCs w:val="21"/>
                    </w:rPr>
                  </w:pPr>
                  <w:r>
                    <w:rPr>
                      <w:rFonts w:hint="eastAsia" w:eastAsiaTheme="minorEastAsia"/>
                      <w:szCs w:val="21"/>
                    </w:rPr>
                    <w:t>10000m</w:t>
                  </w:r>
                  <w:r>
                    <w:rPr>
                      <w:rFonts w:hint="eastAsia" w:eastAsiaTheme="minorEastAsia"/>
                      <w:szCs w:val="21"/>
                      <w:vertAlign w:val="superscript"/>
                    </w:rPr>
                    <w:t>3</w:t>
                  </w:r>
                  <w:r>
                    <w:rPr>
                      <w:rFonts w:hint="eastAsia" w:eastAsiaTheme="minorEastAsia"/>
                      <w:szCs w:val="21"/>
                    </w:rPr>
                    <w:t>/h</w:t>
                  </w:r>
                </w:p>
              </w:tc>
              <w:tc>
                <w:tcPr>
                  <w:tcW w:w="494" w:type="pct"/>
                  <w:vAlign w:val="center"/>
                </w:tcPr>
                <w:p w14:paraId="5D358B68">
                  <w:pPr>
                    <w:pStyle w:val="79"/>
                    <w:rPr>
                      <w:rFonts w:eastAsia="Times New Roman"/>
                      <w:szCs w:val="21"/>
                    </w:rPr>
                  </w:pPr>
                  <w:r>
                    <w:rPr>
                      <w:rFonts w:hint="eastAsia" w:ascii="宋体" w:hAnsi="宋体" w:eastAsia="Times New Roman" w:cs="宋体"/>
                      <w:szCs w:val="21"/>
                    </w:rPr>
                    <w:t>套</w:t>
                  </w:r>
                </w:p>
              </w:tc>
              <w:tc>
                <w:tcPr>
                  <w:tcW w:w="577" w:type="pct"/>
                  <w:vAlign w:val="center"/>
                </w:tcPr>
                <w:p w14:paraId="6A320625">
                  <w:pPr>
                    <w:pStyle w:val="79"/>
                    <w:rPr>
                      <w:rFonts w:eastAsiaTheme="minorEastAsia"/>
                      <w:szCs w:val="21"/>
                    </w:rPr>
                  </w:pPr>
                  <w:r>
                    <w:rPr>
                      <w:rFonts w:hint="eastAsia" w:eastAsiaTheme="minorEastAsia"/>
                      <w:szCs w:val="21"/>
                    </w:rPr>
                    <w:t>1</w:t>
                  </w:r>
                </w:p>
              </w:tc>
              <w:tc>
                <w:tcPr>
                  <w:tcW w:w="530" w:type="pct"/>
                  <w:vAlign w:val="center"/>
                </w:tcPr>
                <w:p w14:paraId="1C22B2D4">
                  <w:pPr>
                    <w:pStyle w:val="79"/>
                    <w:rPr>
                      <w:rFonts w:eastAsia="Times New Roman"/>
                      <w:szCs w:val="21"/>
                    </w:rPr>
                  </w:pPr>
                  <w:r>
                    <w:rPr>
                      <w:rFonts w:hint="eastAsia" w:ascii="宋体" w:hAnsi="宋体" w:eastAsia="Times New Roman" w:cs="宋体"/>
                      <w:szCs w:val="21"/>
                    </w:rPr>
                    <w:t>未建</w:t>
                  </w:r>
                </w:p>
              </w:tc>
            </w:tr>
          </w:tbl>
          <w:p w14:paraId="183A7C61">
            <w:pPr>
              <w:pStyle w:val="9"/>
              <w:ind w:firstLine="482"/>
            </w:pPr>
            <w:r>
              <w:rPr>
                <w:rFonts w:hint="eastAsia"/>
              </w:rPr>
              <w:t>4、主要原辅材料</w:t>
            </w:r>
          </w:p>
          <w:p w14:paraId="16C24186">
            <w:pPr>
              <w:ind w:firstLine="480"/>
            </w:pPr>
            <w:r>
              <w:rPr>
                <w:rFonts w:hint="eastAsia"/>
              </w:rPr>
              <w:t>项目原辅材料消耗及能源消耗情况详</w:t>
            </w:r>
            <w:r>
              <w:rPr>
                <w:bCs/>
              </w:rPr>
              <w:t>见</w:t>
            </w:r>
            <w:r>
              <w:rPr>
                <w:rFonts w:hint="eastAsia"/>
                <w:bCs/>
              </w:rPr>
              <w:t>下</w:t>
            </w:r>
            <w:r>
              <w:rPr>
                <w:bCs/>
              </w:rPr>
              <w:t>表</w:t>
            </w:r>
            <w:r>
              <w:rPr>
                <w:rFonts w:hint="eastAsia"/>
              </w:rPr>
              <w:t>。</w:t>
            </w:r>
          </w:p>
          <w:p w14:paraId="35587292">
            <w:pPr>
              <w:pStyle w:val="87"/>
            </w:pPr>
            <w:r>
              <w:rPr>
                <w:rFonts w:hint="eastAsia"/>
              </w:rPr>
              <w:t>表</w:t>
            </w:r>
            <w:r>
              <w:t xml:space="preserve">2-3  </w:t>
            </w:r>
            <w:r>
              <w:rPr>
                <w:rFonts w:hint="eastAsia"/>
              </w:rPr>
              <w:t>项目主要原辅材料及能源消耗情况</w:t>
            </w:r>
            <w:r>
              <w:t>一览表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191"/>
              <w:gridCol w:w="2308"/>
              <w:gridCol w:w="842"/>
              <w:gridCol w:w="1080"/>
              <w:gridCol w:w="2914"/>
            </w:tblGrid>
            <w:tr w14:paraId="30F5848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14" w:type="pct"/>
                  <w:vAlign w:val="center"/>
                </w:tcPr>
                <w:p w14:paraId="1D300A0E">
                  <w:pPr>
                    <w:pStyle w:val="79"/>
                    <w:rPr>
                      <w:rFonts w:eastAsia="Times New Roman"/>
                      <w:b w:val="0"/>
                    </w:rPr>
                  </w:pPr>
                  <w:r>
                    <w:rPr>
                      <w:rFonts w:hint="eastAsia" w:eastAsia="Times New Roman"/>
                      <w:b/>
                    </w:rPr>
                    <w:t>产品类别</w:t>
                  </w:r>
                </w:p>
              </w:tc>
              <w:tc>
                <w:tcPr>
                  <w:tcW w:w="1384" w:type="pct"/>
                  <w:vAlign w:val="center"/>
                </w:tcPr>
                <w:p w14:paraId="56FE8BB5">
                  <w:pPr>
                    <w:pStyle w:val="79"/>
                    <w:rPr>
                      <w:rFonts w:eastAsia="Times New Roman"/>
                      <w:b w:val="0"/>
                    </w:rPr>
                  </w:pPr>
                  <w:r>
                    <w:rPr>
                      <w:rFonts w:hint="eastAsia" w:eastAsia="Times New Roman"/>
                      <w:b/>
                    </w:rPr>
                    <w:t>物料类别</w:t>
                  </w:r>
                </w:p>
              </w:tc>
              <w:tc>
                <w:tcPr>
                  <w:tcW w:w="505" w:type="pct"/>
                  <w:vAlign w:val="center"/>
                </w:tcPr>
                <w:p w14:paraId="7E4289AC">
                  <w:pPr>
                    <w:pStyle w:val="79"/>
                    <w:rPr>
                      <w:rFonts w:eastAsia="Times New Roman"/>
                      <w:b w:val="0"/>
                    </w:rPr>
                  </w:pPr>
                  <w:r>
                    <w:rPr>
                      <w:rFonts w:hint="eastAsia" w:eastAsia="Times New Roman"/>
                      <w:b/>
                    </w:rPr>
                    <w:t>单位</w:t>
                  </w:r>
                </w:p>
              </w:tc>
              <w:tc>
                <w:tcPr>
                  <w:tcW w:w="648" w:type="pct"/>
                  <w:vAlign w:val="center"/>
                </w:tcPr>
                <w:p w14:paraId="59A89367">
                  <w:pPr>
                    <w:pStyle w:val="79"/>
                    <w:rPr>
                      <w:rFonts w:eastAsia="Times New Roman"/>
                      <w:b w:val="0"/>
                    </w:rPr>
                  </w:pPr>
                  <w:r>
                    <w:rPr>
                      <w:rFonts w:hint="eastAsia" w:eastAsia="Times New Roman"/>
                      <w:b/>
                    </w:rPr>
                    <w:t>数量</w:t>
                  </w:r>
                </w:p>
              </w:tc>
              <w:tc>
                <w:tcPr>
                  <w:tcW w:w="1748" w:type="pct"/>
                  <w:vAlign w:val="center"/>
                </w:tcPr>
                <w:p w14:paraId="332BC371">
                  <w:pPr>
                    <w:pStyle w:val="79"/>
                    <w:rPr>
                      <w:rFonts w:eastAsia="Times New Roman"/>
                      <w:b w:val="0"/>
                    </w:rPr>
                  </w:pPr>
                  <w:r>
                    <w:rPr>
                      <w:rFonts w:hint="eastAsia" w:eastAsia="Times New Roman"/>
                      <w:b/>
                    </w:rPr>
                    <w:t>备注</w:t>
                  </w:r>
                </w:p>
              </w:tc>
            </w:tr>
            <w:tr w14:paraId="4A9CACE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14" w:type="pct"/>
                  <w:vMerge w:val="restart"/>
                  <w:vAlign w:val="center"/>
                </w:tcPr>
                <w:p w14:paraId="55EA8EB4">
                  <w:pPr>
                    <w:pStyle w:val="79"/>
                    <w:rPr>
                      <w:rFonts w:eastAsia="Times New Roman"/>
                    </w:rPr>
                  </w:pPr>
                  <w:r>
                    <w:rPr>
                      <w:rFonts w:hint="eastAsia" w:eastAsia="Times New Roman"/>
                    </w:rPr>
                    <w:t>原料</w:t>
                  </w:r>
                </w:p>
              </w:tc>
              <w:tc>
                <w:tcPr>
                  <w:tcW w:w="1384" w:type="pct"/>
                  <w:vAlign w:val="center"/>
                </w:tcPr>
                <w:p w14:paraId="227170CD">
                  <w:pPr>
                    <w:pStyle w:val="79"/>
                    <w:rPr>
                      <w:rFonts w:eastAsia="Times New Roman"/>
                    </w:rPr>
                  </w:pPr>
                  <w:r>
                    <w:rPr>
                      <w:rFonts w:hint="eastAsia" w:eastAsia="Times New Roman"/>
                    </w:rPr>
                    <w:t>PP</w:t>
                  </w:r>
                  <w:r>
                    <w:rPr>
                      <w:rFonts w:hint="eastAsia" w:ascii="宋体" w:hAnsi="宋体" w:eastAsia="Times New Roman" w:cs="宋体"/>
                    </w:rPr>
                    <w:t>（聚丙烯）</w:t>
                  </w:r>
                  <w:r>
                    <w:rPr>
                      <w:rFonts w:hint="eastAsia" w:eastAsia="Times New Roman"/>
                    </w:rPr>
                    <w:t>塑料颗粒</w:t>
                  </w:r>
                </w:p>
              </w:tc>
              <w:tc>
                <w:tcPr>
                  <w:tcW w:w="505" w:type="pct"/>
                  <w:vAlign w:val="center"/>
                </w:tcPr>
                <w:p w14:paraId="7501210A">
                  <w:pPr>
                    <w:pStyle w:val="79"/>
                    <w:rPr>
                      <w:rFonts w:eastAsia="Times New Roman"/>
                    </w:rPr>
                  </w:pPr>
                  <w:r>
                    <w:rPr>
                      <w:rFonts w:hint="eastAsia" w:eastAsia="Times New Roman"/>
                    </w:rPr>
                    <w:t>t</w:t>
                  </w:r>
                  <w:r>
                    <w:rPr>
                      <w:rFonts w:eastAsia="Times New Roman"/>
                    </w:rPr>
                    <w:t>/a</w:t>
                  </w:r>
                </w:p>
              </w:tc>
              <w:tc>
                <w:tcPr>
                  <w:tcW w:w="648" w:type="pct"/>
                  <w:vAlign w:val="center"/>
                </w:tcPr>
                <w:p w14:paraId="475D8228">
                  <w:pPr>
                    <w:pStyle w:val="79"/>
                    <w:rPr>
                      <w:rFonts w:eastAsia="Times New Roman"/>
                    </w:rPr>
                  </w:pPr>
                  <w:r>
                    <w:rPr>
                      <w:rFonts w:hint="eastAsia" w:eastAsiaTheme="minorEastAsia"/>
                    </w:rPr>
                    <w:t>265</w:t>
                  </w:r>
                </w:p>
              </w:tc>
              <w:tc>
                <w:tcPr>
                  <w:tcW w:w="1748" w:type="pct"/>
                  <w:vAlign w:val="center"/>
                </w:tcPr>
                <w:p w14:paraId="69570661">
                  <w:pPr>
                    <w:pStyle w:val="79"/>
                    <w:rPr>
                      <w:rFonts w:eastAsia="Times New Roman"/>
                    </w:rPr>
                  </w:pPr>
                  <w:bookmarkStart w:id="26" w:name="OLE_LINK3"/>
                  <w:r>
                    <w:rPr>
                      <w:rFonts w:hint="eastAsia" w:eastAsia="Times New Roman"/>
                    </w:rPr>
                    <w:t>颗粒，袋装</w:t>
                  </w:r>
                  <w:bookmarkEnd w:id="26"/>
                  <w:r>
                    <w:rPr>
                      <w:rFonts w:eastAsia="Times New Roman"/>
                    </w:rPr>
                    <w:t>，最大储存量10t</w:t>
                  </w:r>
                </w:p>
              </w:tc>
            </w:tr>
            <w:tr w14:paraId="47BA566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14" w:type="pct"/>
                  <w:vMerge w:val="continue"/>
                  <w:vAlign w:val="center"/>
                </w:tcPr>
                <w:p w14:paraId="77A0EDF4">
                  <w:pPr>
                    <w:pStyle w:val="79"/>
                    <w:rPr>
                      <w:rFonts w:eastAsia="Times New Roman"/>
                    </w:rPr>
                  </w:pPr>
                </w:p>
              </w:tc>
              <w:tc>
                <w:tcPr>
                  <w:tcW w:w="1384" w:type="pct"/>
                  <w:vAlign w:val="center"/>
                </w:tcPr>
                <w:p w14:paraId="73D5AF03">
                  <w:pPr>
                    <w:pStyle w:val="79"/>
                    <w:rPr>
                      <w:rFonts w:eastAsia="Times New Roman"/>
                    </w:rPr>
                  </w:pPr>
                  <w:r>
                    <w:rPr>
                      <w:rFonts w:eastAsia="Times New Roman"/>
                    </w:rPr>
                    <w:t>ABS</w:t>
                  </w:r>
                  <w:r>
                    <w:rPr>
                      <w:rFonts w:hint="eastAsia" w:ascii="宋体" w:hAnsi="宋体" w:eastAsia="Times New Roman" w:cs="宋体"/>
                    </w:rPr>
                    <w:t>塑料颗粒</w:t>
                  </w:r>
                </w:p>
              </w:tc>
              <w:tc>
                <w:tcPr>
                  <w:tcW w:w="505" w:type="pct"/>
                  <w:vAlign w:val="center"/>
                </w:tcPr>
                <w:p w14:paraId="67A7EC37">
                  <w:pPr>
                    <w:pStyle w:val="79"/>
                    <w:rPr>
                      <w:rFonts w:eastAsiaTheme="minorEastAsia"/>
                    </w:rPr>
                  </w:pPr>
                  <w:r>
                    <w:rPr>
                      <w:rFonts w:hint="eastAsia" w:eastAsiaTheme="minorEastAsia"/>
                    </w:rPr>
                    <w:t>t/a</w:t>
                  </w:r>
                </w:p>
              </w:tc>
              <w:tc>
                <w:tcPr>
                  <w:tcW w:w="648" w:type="pct"/>
                  <w:vAlign w:val="center"/>
                </w:tcPr>
                <w:p w14:paraId="301DEA00">
                  <w:pPr>
                    <w:pStyle w:val="79"/>
                    <w:rPr>
                      <w:rFonts w:eastAsiaTheme="minorEastAsia"/>
                    </w:rPr>
                  </w:pPr>
                  <w:r>
                    <w:rPr>
                      <w:rFonts w:hint="eastAsia" w:eastAsiaTheme="minorEastAsia"/>
                    </w:rPr>
                    <w:t>155</w:t>
                  </w:r>
                </w:p>
              </w:tc>
              <w:tc>
                <w:tcPr>
                  <w:tcW w:w="1748" w:type="pct"/>
                  <w:vAlign w:val="center"/>
                </w:tcPr>
                <w:p w14:paraId="06A6CAAF">
                  <w:pPr>
                    <w:pStyle w:val="79"/>
                    <w:rPr>
                      <w:rFonts w:eastAsiaTheme="minorEastAsia"/>
                    </w:rPr>
                  </w:pPr>
                  <w:r>
                    <w:rPr>
                      <w:rFonts w:hint="eastAsia" w:eastAsia="Times New Roman"/>
                    </w:rPr>
                    <w:t>颗粒，袋装</w:t>
                  </w:r>
                  <w:r>
                    <w:rPr>
                      <w:rFonts w:hint="eastAsia" w:ascii="宋体" w:hAnsi="宋体" w:eastAsia="Times New Roman" w:cs="宋体"/>
                    </w:rPr>
                    <w:t>，最大储存</w:t>
                  </w:r>
                  <w:r>
                    <w:rPr>
                      <w:rFonts w:eastAsia="Times New Roman"/>
                    </w:rPr>
                    <w:t>量6t</w:t>
                  </w:r>
                </w:p>
              </w:tc>
            </w:tr>
            <w:tr w14:paraId="18F1DFA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14" w:type="pct"/>
                  <w:vMerge w:val="restart"/>
                  <w:vAlign w:val="center"/>
                </w:tcPr>
                <w:p w14:paraId="52912AB8">
                  <w:pPr>
                    <w:pStyle w:val="79"/>
                    <w:rPr>
                      <w:rFonts w:eastAsia="Times New Roman"/>
                    </w:rPr>
                  </w:pPr>
                  <w:r>
                    <w:rPr>
                      <w:rFonts w:hint="eastAsia" w:eastAsia="Times New Roman"/>
                    </w:rPr>
                    <w:t>能耗</w:t>
                  </w:r>
                </w:p>
              </w:tc>
              <w:tc>
                <w:tcPr>
                  <w:tcW w:w="1384" w:type="pct"/>
                  <w:vAlign w:val="center"/>
                </w:tcPr>
                <w:p w14:paraId="2620C05E">
                  <w:pPr>
                    <w:pStyle w:val="79"/>
                    <w:rPr>
                      <w:rFonts w:eastAsia="Times New Roman"/>
                    </w:rPr>
                  </w:pPr>
                  <w:r>
                    <w:rPr>
                      <w:rFonts w:hint="eastAsia" w:eastAsia="Times New Roman"/>
                    </w:rPr>
                    <w:t>水</w:t>
                  </w:r>
                </w:p>
              </w:tc>
              <w:tc>
                <w:tcPr>
                  <w:tcW w:w="505" w:type="pct"/>
                  <w:vAlign w:val="center"/>
                </w:tcPr>
                <w:p w14:paraId="5180A2B9">
                  <w:pPr>
                    <w:pStyle w:val="79"/>
                    <w:rPr>
                      <w:rFonts w:eastAsia="Times New Roman"/>
                    </w:rPr>
                  </w:pPr>
                  <w:r>
                    <w:rPr>
                      <w:rFonts w:eastAsia="Times New Roman"/>
                    </w:rPr>
                    <w:t>m</w:t>
                  </w:r>
                  <w:r>
                    <w:rPr>
                      <w:rFonts w:eastAsia="Times New Roman"/>
                      <w:vertAlign w:val="superscript"/>
                    </w:rPr>
                    <w:t>3</w:t>
                  </w:r>
                  <w:r>
                    <w:rPr>
                      <w:rFonts w:eastAsia="Times New Roman"/>
                    </w:rPr>
                    <w:t>/a</w:t>
                  </w:r>
                </w:p>
              </w:tc>
              <w:tc>
                <w:tcPr>
                  <w:tcW w:w="648" w:type="pct"/>
                  <w:vAlign w:val="center"/>
                </w:tcPr>
                <w:p w14:paraId="4EEF8579">
                  <w:pPr>
                    <w:pStyle w:val="79"/>
                    <w:rPr>
                      <w:rFonts w:eastAsia="Times New Roman"/>
                    </w:rPr>
                  </w:pPr>
                  <w:r>
                    <w:rPr>
                      <w:rFonts w:eastAsiaTheme="minorEastAsia"/>
                    </w:rPr>
                    <w:t>1500</w:t>
                  </w:r>
                </w:p>
              </w:tc>
              <w:tc>
                <w:tcPr>
                  <w:tcW w:w="1748" w:type="pct"/>
                  <w:vAlign w:val="center"/>
                </w:tcPr>
                <w:p w14:paraId="55E04CDF">
                  <w:pPr>
                    <w:pStyle w:val="79"/>
                    <w:rPr>
                      <w:rFonts w:eastAsia="Times New Roman"/>
                    </w:rPr>
                  </w:pPr>
                  <w:r>
                    <w:rPr>
                      <w:rFonts w:hint="eastAsia" w:eastAsia="Times New Roman"/>
                    </w:rPr>
                    <w:t>由市政自来水管网提供</w:t>
                  </w:r>
                </w:p>
              </w:tc>
            </w:tr>
            <w:tr w14:paraId="7A191B0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14" w:type="pct"/>
                  <w:vMerge w:val="continue"/>
                  <w:vAlign w:val="center"/>
                </w:tcPr>
                <w:p w14:paraId="121DDEF1">
                  <w:pPr>
                    <w:pStyle w:val="79"/>
                    <w:rPr>
                      <w:rFonts w:eastAsia="Times New Roman"/>
                    </w:rPr>
                  </w:pPr>
                </w:p>
              </w:tc>
              <w:tc>
                <w:tcPr>
                  <w:tcW w:w="1384" w:type="pct"/>
                  <w:vAlign w:val="center"/>
                </w:tcPr>
                <w:p w14:paraId="1EFE6BCA">
                  <w:pPr>
                    <w:pStyle w:val="79"/>
                    <w:rPr>
                      <w:rFonts w:eastAsia="Times New Roman"/>
                    </w:rPr>
                  </w:pPr>
                  <w:r>
                    <w:rPr>
                      <w:rFonts w:hint="eastAsia" w:eastAsia="Times New Roman"/>
                    </w:rPr>
                    <w:t>电</w:t>
                  </w:r>
                </w:p>
              </w:tc>
              <w:tc>
                <w:tcPr>
                  <w:tcW w:w="505" w:type="pct"/>
                  <w:vAlign w:val="center"/>
                </w:tcPr>
                <w:p w14:paraId="2179EC9E">
                  <w:pPr>
                    <w:pStyle w:val="79"/>
                    <w:rPr>
                      <w:rFonts w:eastAsia="Times New Roman"/>
                    </w:rPr>
                  </w:pPr>
                  <w:r>
                    <w:rPr>
                      <w:rFonts w:hint="eastAsia" w:eastAsia="Times New Roman"/>
                    </w:rPr>
                    <w:t>万</w:t>
                  </w:r>
                  <w:r>
                    <w:rPr>
                      <w:rFonts w:eastAsia="Times New Roman"/>
                    </w:rPr>
                    <w:t>kwh/a</w:t>
                  </w:r>
                </w:p>
              </w:tc>
              <w:tc>
                <w:tcPr>
                  <w:tcW w:w="648" w:type="pct"/>
                  <w:vAlign w:val="center"/>
                </w:tcPr>
                <w:p w14:paraId="5D7720C5">
                  <w:pPr>
                    <w:pStyle w:val="79"/>
                    <w:rPr>
                      <w:rFonts w:eastAsia="Times New Roman"/>
                    </w:rPr>
                  </w:pPr>
                  <w:r>
                    <w:rPr>
                      <w:rFonts w:eastAsiaTheme="minorEastAsia"/>
                    </w:rPr>
                    <w:t>12</w:t>
                  </w:r>
                  <w:r>
                    <w:rPr>
                      <w:rFonts w:eastAsia="Times New Roman"/>
                    </w:rPr>
                    <w:t>0</w:t>
                  </w:r>
                </w:p>
              </w:tc>
              <w:tc>
                <w:tcPr>
                  <w:tcW w:w="1748" w:type="pct"/>
                  <w:vAlign w:val="center"/>
                </w:tcPr>
                <w:p w14:paraId="3E310853">
                  <w:pPr>
                    <w:pStyle w:val="79"/>
                    <w:rPr>
                      <w:rFonts w:eastAsia="Times New Roman"/>
                    </w:rPr>
                  </w:pPr>
                  <w:r>
                    <w:rPr>
                      <w:rFonts w:hint="eastAsia" w:eastAsia="Times New Roman"/>
                    </w:rPr>
                    <w:t>由市政供电管网提供</w:t>
                  </w:r>
                </w:p>
              </w:tc>
            </w:tr>
          </w:tbl>
          <w:p w14:paraId="30301685">
            <w:pPr>
              <w:pStyle w:val="117"/>
              <w:ind w:firstLine="480"/>
            </w:pPr>
            <w:r>
              <w:rPr>
                <w:rFonts w:hint="eastAsia"/>
              </w:rPr>
              <w:t>PP(聚丙烯)：PP粒料为圆柱状颗粒，颗粒光洁，粒子的尺寸在任意方向上为2mm～5mm，通常为半透明无色固体，无臭无毒，无机械杂质、易于着色，由于结构规整而高度结晶化，故熔点可高达167℃。耐热、耐腐蚀、密度小，是最轻的通用塑料。该品以高纯度丙烯为主要原料，乙烯为共聚单体，采用高活性催化剂在62℃～80℃及低于4.0MPa的压力下经气相反应生产聚丙烯粉料，再经干燥、混炼、挤压、造粒、筛分、均化成聚丙烯颗粒。密度为0.90g/cm</w:t>
            </w:r>
            <w:r>
              <w:rPr>
                <w:rFonts w:hint="eastAsia"/>
                <w:vertAlign w:val="superscript"/>
              </w:rPr>
              <w:t>3</w:t>
            </w:r>
            <w:r>
              <w:rPr>
                <w:rFonts w:hint="eastAsia"/>
              </w:rPr>
              <w:t>～0.91g/cm</w:t>
            </w:r>
            <w:r>
              <w:rPr>
                <w:rFonts w:hint="eastAsia"/>
                <w:vertAlign w:val="superscript"/>
              </w:rPr>
              <w:t>3</w:t>
            </w:r>
            <w:r>
              <w:rPr>
                <w:rFonts w:hint="eastAsia"/>
              </w:rPr>
              <w:t>，是通用塑料中最轻的一种。聚丙烯树脂具有优良的机械性能和耐热性能，使用温度范围-30℃～140℃。同时具有优良的电绝缘性能和化学稳定性，几乎不吸水，与绝大多数化学品接触不发生作用。该品耐腐蚀，抗张强度30MPa，强度、刚性和透明性都比聚乙烯好；缺点是耐低温冲击</w:t>
            </w:r>
            <w:bookmarkStart w:id="27" w:name="OLE_LINK6"/>
            <w:r>
              <w:rPr>
                <w:rFonts w:hint="eastAsia"/>
              </w:rPr>
              <w:t>性差，较易老化，但可分别通过改性和添加抗氧剂予以克服。与发烟硫酸、发烟硝酸、铬酸溶液、卤素、苯、四氯化碳、氯仿等接触有腐蚀作用。可用作工程塑料，注塑制品可用作日用品、周转箱、医疗卫生器材，汽车、电气、机械、仪表、无线电、纺织、国防等工程配件</w:t>
            </w:r>
            <w:r>
              <w:t>。</w:t>
            </w:r>
            <w:bookmarkEnd w:id="27"/>
          </w:p>
          <w:p w14:paraId="3FDCC0C3">
            <w:pPr>
              <w:pStyle w:val="117"/>
              <w:ind w:firstLine="480"/>
            </w:pPr>
            <w:r>
              <w:rPr>
                <w:rFonts w:hint="eastAsia"/>
              </w:rPr>
              <w:t>ABS塑料颗粒：中文名丙烯腈一丁二烯苯乙烯共聚物，是由丙烯腈、丁二烯和苯乙烯组成的三元共聚物，无毒、无味，外观呈象牙色半透明，或透明颗粒或粉状，密度为1.05~1.18g/cm</w:t>
            </w:r>
            <w:r>
              <w:rPr>
                <w:rFonts w:hint="eastAsia"/>
                <w:vertAlign w:val="superscript"/>
              </w:rPr>
              <w:t>3</w:t>
            </w:r>
            <w:r>
              <w:rPr>
                <w:rFonts w:hint="eastAsia"/>
              </w:rPr>
              <w:t>，收缩率为0.4%~0.9%，熔融温度217~237℃，热分解温度&gt;250℃，广泛应用于机械、汽车、电子电器、仪器仪表、纺织和建筑等工业领域，是一种用途极广的热塑性工程塑料。</w:t>
            </w:r>
          </w:p>
          <w:p w14:paraId="12DBC785">
            <w:pPr>
              <w:pStyle w:val="9"/>
              <w:ind w:firstLine="482"/>
            </w:pPr>
            <w:r>
              <w:rPr>
                <w:rFonts w:hint="eastAsia"/>
                <w:bCs/>
              </w:rPr>
              <w:t>5、</w:t>
            </w:r>
            <w:r>
              <w:rPr>
                <w:rFonts w:hint="eastAsia"/>
              </w:rPr>
              <w:t>产品方案</w:t>
            </w:r>
          </w:p>
          <w:p w14:paraId="1481E228">
            <w:pPr>
              <w:ind w:firstLine="480"/>
            </w:pPr>
            <w:r>
              <w:rPr>
                <w:rFonts w:hint="eastAsia"/>
              </w:rPr>
              <w:t>项目产品方案详</w:t>
            </w:r>
            <w:r>
              <w:rPr>
                <w:bCs/>
              </w:rPr>
              <w:t>见</w:t>
            </w:r>
            <w:r>
              <w:rPr>
                <w:rFonts w:hint="eastAsia"/>
                <w:bCs/>
              </w:rPr>
              <w:t>下</w:t>
            </w:r>
            <w:r>
              <w:rPr>
                <w:bCs/>
              </w:rPr>
              <w:t>表</w:t>
            </w:r>
            <w:r>
              <w:rPr>
                <w:rFonts w:hint="eastAsia"/>
              </w:rPr>
              <w:t>。</w:t>
            </w:r>
          </w:p>
          <w:p w14:paraId="55CDCBC8">
            <w:pPr>
              <w:pStyle w:val="87"/>
            </w:pPr>
            <w:r>
              <w:rPr>
                <w:rFonts w:hint="eastAsia"/>
              </w:rPr>
              <w:t>表</w:t>
            </w:r>
            <w:r>
              <w:t xml:space="preserve">2-5  </w:t>
            </w:r>
            <w:r>
              <w:rPr>
                <w:rFonts w:hint="eastAsia"/>
              </w:rPr>
              <w:t>项目产品一览表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280"/>
              <w:gridCol w:w="1855"/>
              <w:gridCol w:w="2886"/>
              <w:gridCol w:w="2314"/>
            </w:tblGrid>
            <w:tr w14:paraId="40DC822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68" w:type="pct"/>
                  <w:vAlign w:val="center"/>
                </w:tcPr>
                <w:p w14:paraId="530F9AC9">
                  <w:pPr>
                    <w:pStyle w:val="79"/>
                    <w:rPr>
                      <w:rFonts w:eastAsia="Times New Roman"/>
                      <w:b/>
                    </w:rPr>
                  </w:pPr>
                  <w:r>
                    <w:rPr>
                      <w:rFonts w:eastAsia="Times New Roman"/>
                      <w:b/>
                    </w:rPr>
                    <w:t>序号</w:t>
                  </w:r>
                </w:p>
              </w:tc>
              <w:tc>
                <w:tcPr>
                  <w:tcW w:w="1113" w:type="pct"/>
                  <w:vAlign w:val="center"/>
                </w:tcPr>
                <w:p w14:paraId="18B1F6C6">
                  <w:pPr>
                    <w:pStyle w:val="79"/>
                    <w:rPr>
                      <w:rFonts w:eastAsia="Times New Roman"/>
                      <w:b/>
                    </w:rPr>
                  </w:pPr>
                  <w:r>
                    <w:rPr>
                      <w:rFonts w:eastAsia="Times New Roman"/>
                      <w:b/>
                    </w:rPr>
                    <w:t>产品名称</w:t>
                  </w:r>
                </w:p>
              </w:tc>
              <w:tc>
                <w:tcPr>
                  <w:tcW w:w="1731" w:type="pct"/>
                  <w:vAlign w:val="center"/>
                </w:tcPr>
                <w:p w14:paraId="7E54D707">
                  <w:pPr>
                    <w:pStyle w:val="79"/>
                    <w:rPr>
                      <w:rFonts w:eastAsia="Times New Roman"/>
                      <w:b/>
                    </w:rPr>
                  </w:pPr>
                  <w:r>
                    <w:rPr>
                      <w:rFonts w:eastAsia="Times New Roman"/>
                      <w:b/>
                    </w:rPr>
                    <w:t>产量</w:t>
                  </w:r>
                </w:p>
              </w:tc>
              <w:tc>
                <w:tcPr>
                  <w:tcW w:w="1388" w:type="pct"/>
                  <w:vAlign w:val="center"/>
                </w:tcPr>
                <w:p w14:paraId="17CA243A">
                  <w:pPr>
                    <w:pStyle w:val="79"/>
                    <w:rPr>
                      <w:rFonts w:eastAsia="Times New Roman"/>
                      <w:b/>
                    </w:rPr>
                  </w:pPr>
                  <w:r>
                    <w:rPr>
                      <w:rFonts w:eastAsia="Times New Roman"/>
                      <w:b/>
                    </w:rPr>
                    <w:t>备注</w:t>
                  </w:r>
                </w:p>
              </w:tc>
            </w:tr>
            <w:tr w14:paraId="0047D2A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68" w:type="pct"/>
                  <w:vAlign w:val="center"/>
                </w:tcPr>
                <w:p w14:paraId="667953FA">
                  <w:pPr>
                    <w:pStyle w:val="79"/>
                    <w:rPr>
                      <w:rFonts w:eastAsia="Times New Roman"/>
                    </w:rPr>
                  </w:pPr>
                  <w:r>
                    <w:rPr>
                      <w:rFonts w:eastAsia="Times New Roman"/>
                    </w:rPr>
                    <w:t>1</w:t>
                  </w:r>
                </w:p>
              </w:tc>
              <w:tc>
                <w:tcPr>
                  <w:tcW w:w="1113" w:type="pct"/>
                  <w:vAlign w:val="center"/>
                </w:tcPr>
                <w:p w14:paraId="579780CD">
                  <w:pPr>
                    <w:pStyle w:val="79"/>
                    <w:rPr>
                      <w:rFonts w:eastAsia="Times New Roman"/>
                    </w:rPr>
                  </w:pPr>
                  <w:r>
                    <w:rPr>
                      <w:rFonts w:eastAsia="Times New Roman"/>
                    </w:rPr>
                    <w:t>汽车空调组件</w:t>
                  </w:r>
                </w:p>
              </w:tc>
              <w:tc>
                <w:tcPr>
                  <w:tcW w:w="1731" w:type="pct"/>
                  <w:vAlign w:val="center"/>
                </w:tcPr>
                <w:p w14:paraId="6A351049">
                  <w:pPr>
                    <w:pStyle w:val="79"/>
                    <w:rPr>
                      <w:rFonts w:eastAsia="Times New Roman"/>
                    </w:rPr>
                  </w:pPr>
                  <w:r>
                    <w:rPr>
                      <w:rFonts w:eastAsia="Times New Roman"/>
                    </w:rPr>
                    <w:t>600000件/a</w:t>
                  </w:r>
                </w:p>
              </w:tc>
              <w:tc>
                <w:tcPr>
                  <w:tcW w:w="1388" w:type="pct"/>
                  <w:vAlign w:val="center"/>
                </w:tcPr>
                <w:p w14:paraId="10BEBC3B">
                  <w:pPr>
                    <w:pStyle w:val="79"/>
                    <w:rPr>
                      <w:rFonts w:eastAsia="Times New Roman"/>
                    </w:rPr>
                  </w:pPr>
                  <w:r>
                    <w:rPr>
                      <w:rFonts w:eastAsia="Times New Roman"/>
                    </w:rPr>
                    <w:t>/</w:t>
                  </w:r>
                </w:p>
              </w:tc>
            </w:tr>
            <w:tr w14:paraId="331C6BE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768" w:type="pct"/>
                  <w:vAlign w:val="center"/>
                </w:tcPr>
                <w:p w14:paraId="5E68A1B0">
                  <w:pPr>
                    <w:pStyle w:val="79"/>
                    <w:rPr>
                      <w:rFonts w:eastAsia="Times New Roman"/>
                    </w:rPr>
                  </w:pPr>
                  <w:r>
                    <w:rPr>
                      <w:rFonts w:eastAsia="Times New Roman"/>
                    </w:rPr>
                    <w:t>2</w:t>
                  </w:r>
                </w:p>
              </w:tc>
              <w:tc>
                <w:tcPr>
                  <w:tcW w:w="1113" w:type="pct"/>
                  <w:vAlign w:val="center"/>
                </w:tcPr>
                <w:p w14:paraId="6F0FBB0C">
                  <w:pPr>
                    <w:pStyle w:val="79"/>
                    <w:rPr>
                      <w:rFonts w:eastAsia="Times New Roman"/>
                    </w:rPr>
                  </w:pPr>
                  <w:r>
                    <w:rPr>
                      <w:rFonts w:eastAsia="Times New Roman"/>
                    </w:rPr>
                    <w:t>门外把手总成</w:t>
                  </w:r>
                </w:p>
              </w:tc>
              <w:tc>
                <w:tcPr>
                  <w:tcW w:w="1731" w:type="pct"/>
                  <w:vAlign w:val="center"/>
                </w:tcPr>
                <w:p w14:paraId="4987A8FB">
                  <w:pPr>
                    <w:pStyle w:val="79"/>
                    <w:rPr>
                      <w:rFonts w:eastAsia="Times New Roman"/>
                    </w:rPr>
                  </w:pPr>
                  <w:r>
                    <w:rPr>
                      <w:rFonts w:eastAsia="Times New Roman"/>
                    </w:rPr>
                    <w:t>500000件/a</w:t>
                  </w:r>
                </w:p>
              </w:tc>
              <w:tc>
                <w:tcPr>
                  <w:tcW w:w="1388" w:type="pct"/>
                  <w:vAlign w:val="center"/>
                </w:tcPr>
                <w:p w14:paraId="746A7521">
                  <w:pPr>
                    <w:pStyle w:val="79"/>
                    <w:rPr>
                      <w:rFonts w:eastAsia="Times New Roman"/>
                    </w:rPr>
                  </w:pPr>
                  <w:r>
                    <w:rPr>
                      <w:rFonts w:eastAsia="Times New Roman"/>
                    </w:rPr>
                    <w:t>/</w:t>
                  </w:r>
                </w:p>
              </w:tc>
            </w:tr>
            <w:tr w14:paraId="672E165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881" w:type="pct"/>
                  <w:gridSpan w:val="2"/>
                  <w:vAlign w:val="center"/>
                </w:tcPr>
                <w:p w14:paraId="64651D2A">
                  <w:pPr>
                    <w:pStyle w:val="79"/>
                    <w:rPr>
                      <w:rFonts w:eastAsia="Times New Roman"/>
                    </w:rPr>
                  </w:pPr>
                  <w:r>
                    <w:rPr>
                      <w:rFonts w:hint="eastAsia" w:ascii="宋体" w:hAnsi="宋体" w:eastAsia="Times New Roman" w:cs="宋体"/>
                    </w:rPr>
                    <w:t>合计</w:t>
                  </w:r>
                </w:p>
              </w:tc>
              <w:tc>
                <w:tcPr>
                  <w:tcW w:w="1731" w:type="pct"/>
                  <w:vAlign w:val="center"/>
                </w:tcPr>
                <w:p w14:paraId="161CCBB2">
                  <w:pPr>
                    <w:pStyle w:val="79"/>
                    <w:rPr>
                      <w:rFonts w:eastAsiaTheme="minorEastAsia"/>
                    </w:rPr>
                  </w:pPr>
                  <w:r>
                    <w:rPr>
                      <w:rFonts w:hint="eastAsia" w:eastAsiaTheme="minorEastAsia"/>
                    </w:rPr>
                    <w:t>1100000件/a</w:t>
                  </w:r>
                </w:p>
              </w:tc>
              <w:tc>
                <w:tcPr>
                  <w:tcW w:w="1388" w:type="pct"/>
                  <w:vAlign w:val="center"/>
                </w:tcPr>
                <w:p w14:paraId="69BF33AB">
                  <w:pPr>
                    <w:pStyle w:val="79"/>
                    <w:rPr>
                      <w:rFonts w:eastAsiaTheme="minorEastAsia"/>
                    </w:rPr>
                  </w:pPr>
                  <w:r>
                    <w:rPr>
                      <w:rFonts w:hint="eastAsia" w:eastAsiaTheme="minorEastAsia"/>
                    </w:rPr>
                    <w:t>/</w:t>
                  </w:r>
                </w:p>
              </w:tc>
            </w:tr>
          </w:tbl>
          <w:p w14:paraId="6E1AEA2E">
            <w:pPr>
              <w:pStyle w:val="9"/>
              <w:ind w:firstLine="482"/>
            </w:pPr>
            <w:r>
              <w:rPr>
                <w:rFonts w:hint="eastAsia"/>
              </w:rPr>
              <w:t>6、总平布置</w:t>
            </w:r>
          </w:p>
          <w:p w14:paraId="1996CEDD">
            <w:pPr>
              <w:pStyle w:val="9"/>
              <w:ind w:firstLine="480"/>
              <w:rPr>
                <w:b w:val="0"/>
                <w:bCs/>
              </w:rPr>
            </w:pPr>
            <w:r>
              <w:rPr>
                <w:b w:val="0"/>
                <w:bCs/>
              </w:rPr>
              <w:t>项目占地面积</w:t>
            </w:r>
            <w:r>
              <w:rPr>
                <w:rFonts w:hint="eastAsia"/>
                <w:b w:val="0"/>
                <w:bCs/>
              </w:rPr>
              <w:t>2673</w:t>
            </w:r>
            <w:r>
              <w:rPr>
                <w:b w:val="0"/>
                <w:bCs/>
              </w:rPr>
              <w:t>m</w:t>
            </w:r>
            <w:r>
              <w:rPr>
                <w:b w:val="0"/>
                <w:bCs/>
                <w:vertAlign w:val="superscript"/>
              </w:rPr>
              <w:t>2</w:t>
            </w:r>
            <w:r>
              <w:rPr>
                <w:rFonts w:hint="eastAsia"/>
                <w:b w:val="0"/>
                <w:bCs/>
              </w:rPr>
              <w:t>，整体呈矩形</w:t>
            </w:r>
            <w:r>
              <w:rPr>
                <w:b w:val="0"/>
                <w:bCs/>
              </w:rPr>
              <w:t>。其中：厂区正门位于项目</w:t>
            </w:r>
            <w:r>
              <w:rPr>
                <w:rFonts w:hint="eastAsia"/>
                <w:b w:val="0"/>
                <w:bCs/>
              </w:rPr>
              <w:t>东面；正门北面为办公区；正门南面为物流中转区；厂区中部为原料、成品区；厂区西部为生产区。</w:t>
            </w:r>
          </w:p>
          <w:p w14:paraId="498ABA58">
            <w:pPr>
              <w:pStyle w:val="9"/>
              <w:ind w:firstLine="480"/>
              <w:rPr>
                <w:b w:val="0"/>
                <w:bCs/>
              </w:rPr>
            </w:pPr>
            <w:r>
              <w:rPr>
                <w:b w:val="0"/>
                <w:bCs/>
              </w:rPr>
              <w:t>项目总体平面布置详见附图2。</w:t>
            </w:r>
          </w:p>
          <w:p w14:paraId="6A1B9570">
            <w:pPr>
              <w:pStyle w:val="9"/>
              <w:ind w:firstLine="482"/>
            </w:pPr>
            <w:r>
              <w:rPr>
                <w:rFonts w:hint="eastAsia"/>
              </w:rPr>
              <w:t>7、公用工程</w:t>
            </w:r>
          </w:p>
          <w:p w14:paraId="3F40D0DD">
            <w:pPr>
              <w:ind w:firstLine="480"/>
            </w:pPr>
            <w:r>
              <w:t>（</w:t>
            </w:r>
            <w:r>
              <w:rPr>
                <w:rFonts w:hint="eastAsia"/>
              </w:rPr>
              <w:t>1</w:t>
            </w:r>
            <w:r>
              <w:t>）给水</w:t>
            </w:r>
          </w:p>
          <w:p w14:paraId="34998CB2">
            <w:pPr>
              <w:ind w:firstLine="480"/>
            </w:pPr>
            <w:r>
              <w:rPr>
                <w:rFonts w:hint="eastAsia"/>
              </w:rPr>
              <w:t>本项目自来水由市政供水管网提供。本项目用水主要为冷却用水和员工生活用水，根据建设单位提供资料，项目用水如下：</w:t>
            </w:r>
          </w:p>
          <w:p w14:paraId="01B75D69">
            <w:pPr>
              <w:pStyle w:val="117"/>
              <w:ind w:firstLine="480" w:firstLineChars="0"/>
            </w:pPr>
            <w:r>
              <w:rPr>
                <w:rFonts w:hint="eastAsia"/>
                <w:bCs w:val="0"/>
              </w:rPr>
              <w:t>①</w:t>
            </w:r>
            <w:r>
              <w:rPr>
                <w:bCs w:val="0"/>
              </w:rPr>
              <w:t>冷</w:t>
            </w:r>
            <w:r>
              <w:t>却用水</w:t>
            </w:r>
          </w:p>
          <w:p w14:paraId="72874954">
            <w:pPr>
              <w:ind w:firstLine="480"/>
            </w:pPr>
            <w:r>
              <w:t>注塑</w:t>
            </w:r>
            <w:r>
              <w:rPr>
                <w:rFonts w:hint="eastAsia"/>
              </w:rPr>
              <w:t>工序</w:t>
            </w:r>
            <w:r>
              <w:t>使用循环冷却水系统对产品进行冷却，冷却水循环使用，不外排，根据建设单位提供资料，</w:t>
            </w:r>
            <w:r>
              <w:rPr>
                <w:rFonts w:hint="eastAsia"/>
              </w:rPr>
              <w:t>注塑工序</w:t>
            </w:r>
            <w:r>
              <w:t>循环水量约</w:t>
            </w:r>
            <w:r>
              <w:rPr>
                <w:rFonts w:hint="eastAsia"/>
              </w:rPr>
              <w:t>5</w:t>
            </w:r>
            <w:r>
              <w:t>m</w:t>
            </w:r>
            <w:r>
              <w:rPr>
                <w:vertAlign w:val="superscript"/>
              </w:rPr>
              <w:t>3</w:t>
            </w:r>
            <w:r>
              <w:t>/</w:t>
            </w:r>
            <w:r>
              <w:rPr>
                <w:rFonts w:hint="eastAsia"/>
              </w:rPr>
              <w:t>h</w:t>
            </w:r>
            <w:r>
              <w:t>（</w:t>
            </w:r>
            <w:r>
              <w:rPr>
                <w:rFonts w:hint="eastAsia"/>
              </w:rPr>
              <w:t>120m</w:t>
            </w:r>
            <w:r>
              <w:rPr>
                <w:rFonts w:hint="eastAsia"/>
                <w:vertAlign w:val="superscript"/>
              </w:rPr>
              <w:t>3</w:t>
            </w:r>
            <w:r>
              <w:rPr>
                <w:rFonts w:hint="eastAsia"/>
              </w:rPr>
              <w:t>/d，36000m</w:t>
            </w:r>
            <w:r>
              <w:rPr>
                <w:rFonts w:hint="eastAsia"/>
                <w:vertAlign w:val="superscript"/>
              </w:rPr>
              <w:t>3</w:t>
            </w:r>
            <w:r>
              <w:rPr>
                <w:rFonts w:hint="eastAsia"/>
              </w:rPr>
              <w:t>/a</w:t>
            </w:r>
            <w:r>
              <w:t>），循环水以蒸发方式损耗，损耗量以循环水量的</w:t>
            </w:r>
            <w:r>
              <w:rPr>
                <w:rFonts w:hint="eastAsia"/>
              </w:rPr>
              <w:t>5</w:t>
            </w:r>
            <w:r>
              <w:t>%计，即</w:t>
            </w:r>
            <w:r>
              <w:rPr>
                <w:rFonts w:hint="eastAsia"/>
              </w:rPr>
              <w:t>6</w:t>
            </w:r>
            <w:r>
              <w:t>m</w:t>
            </w:r>
            <w:r>
              <w:rPr>
                <w:vertAlign w:val="superscript"/>
              </w:rPr>
              <w:t>3</w:t>
            </w:r>
            <w:r>
              <w:t>/d</w:t>
            </w:r>
            <w:r>
              <w:rPr>
                <w:rFonts w:hint="eastAsia"/>
              </w:rPr>
              <w:t>、1800</w:t>
            </w:r>
            <w:r>
              <w:t>m</w:t>
            </w:r>
            <w:r>
              <w:rPr>
                <w:vertAlign w:val="superscript"/>
              </w:rPr>
              <w:t>3</w:t>
            </w:r>
            <w:r>
              <w:t>/a。</w:t>
            </w:r>
          </w:p>
          <w:p w14:paraId="4B150099">
            <w:pPr>
              <w:ind w:firstLine="480"/>
            </w:pPr>
            <w:r>
              <w:rPr>
                <w:rFonts w:hint="eastAsia"/>
              </w:rPr>
              <w:t>②</w:t>
            </w:r>
            <w:r>
              <w:t>员工生活用水</w:t>
            </w:r>
          </w:p>
          <w:p w14:paraId="7FC4B955">
            <w:pPr>
              <w:ind w:firstLine="480"/>
            </w:pPr>
            <w:r>
              <w:rPr>
                <w:rFonts w:hint="eastAsia"/>
              </w:rPr>
              <w:t>项目营运期无生产废水排放，排放废水主要为员工生活污水。</w:t>
            </w:r>
            <w:r>
              <w:t>项目劳动定员</w:t>
            </w:r>
            <w:r>
              <w:rPr>
                <w:rFonts w:hint="eastAsia"/>
              </w:rPr>
              <w:t>1</w:t>
            </w:r>
            <w:r>
              <w:t>0</w:t>
            </w:r>
            <w:r>
              <w:rPr>
                <w:rFonts w:hint="eastAsia"/>
              </w:rPr>
              <w:t>人，员工均不</w:t>
            </w:r>
            <w:r>
              <w:t>住在厂内。按照《建筑给水排水设计规范》（</w:t>
            </w:r>
            <w:r>
              <w:rPr>
                <w:rFonts w:hint="eastAsia"/>
              </w:rPr>
              <w:t>GB50015-2019</w:t>
            </w:r>
            <w:r>
              <w:t>）中企业员工用水定额，不住厂员工用水量按0.1m</w:t>
            </w:r>
            <w:r>
              <w:rPr>
                <w:vertAlign w:val="superscript"/>
              </w:rPr>
              <w:t>3</w:t>
            </w:r>
            <w:r>
              <w:t>/(人·d)计算，则项目运营期生活用水量为</w:t>
            </w:r>
            <w:r>
              <w:rPr>
                <w:rFonts w:hint="eastAsia"/>
              </w:rPr>
              <w:t>1</w:t>
            </w:r>
            <w:r>
              <w:t>.0m</w:t>
            </w:r>
            <w:r>
              <w:rPr>
                <w:vertAlign w:val="superscript"/>
              </w:rPr>
              <w:t>3</w:t>
            </w:r>
            <w:r>
              <w:t>/d，</w:t>
            </w:r>
            <w:r>
              <w:rPr>
                <w:rFonts w:hint="eastAsia"/>
              </w:rPr>
              <w:t>30</w:t>
            </w:r>
            <w:r>
              <w:t>0m</w:t>
            </w:r>
            <w:r>
              <w:rPr>
                <w:vertAlign w:val="superscript"/>
              </w:rPr>
              <w:t>3</w:t>
            </w:r>
            <w:r>
              <w:t>/a。生活污水产生量按用水量的80%计，则员工排放的生活污水量为</w:t>
            </w:r>
            <w:r>
              <w:rPr>
                <w:rFonts w:hint="eastAsia"/>
                <w:bCs/>
              </w:rPr>
              <w:t>0.8</w:t>
            </w:r>
            <w:r>
              <w:rPr>
                <w:bCs/>
              </w:rPr>
              <w:t>m</w:t>
            </w:r>
            <w:r>
              <w:rPr>
                <w:bCs/>
                <w:vertAlign w:val="superscript"/>
              </w:rPr>
              <w:t>3</w:t>
            </w:r>
            <w:r>
              <w:rPr>
                <w:bCs/>
              </w:rPr>
              <w:t>/d，即</w:t>
            </w:r>
            <w:r>
              <w:rPr>
                <w:rFonts w:hint="eastAsia"/>
                <w:bCs/>
              </w:rPr>
              <w:t>240</w:t>
            </w:r>
            <w:r>
              <w:rPr>
                <w:bCs/>
              </w:rPr>
              <w:t>m</w:t>
            </w:r>
            <w:r>
              <w:rPr>
                <w:bCs/>
                <w:vertAlign w:val="superscript"/>
              </w:rPr>
              <w:t>3</w:t>
            </w:r>
            <w:r>
              <w:rPr>
                <w:bCs/>
              </w:rPr>
              <w:t>/a</w:t>
            </w:r>
            <w:r>
              <w:t>。</w:t>
            </w:r>
          </w:p>
          <w:p w14:paraId="3906E438">
            <w:pPr>
              <w:ind w:firstLine="480"/>
            </w:pPr>
            <w:r>
              <w:t>（</w:t>
            </w:r>
            <w:r>
              <w:rPr>
                <w:rFonts w:hint="eastAsia"/>
              </w:rPr>
              <w:t>2</w:t>
            </w:r>
            <w:r>
              <w:t>）排水：项目排水采用雨污分流制，雨水经厂区雨水沟收集后排入</w:t>
            </w:r>
            <w:r>
              <w:rPr>
                <w:rFonts w:hint="eastAsia"/>
              </w:rPr>
              <w:t>市政管网</w:t>
            </w:r>
            <w:r>
              <w:t>。营运期内产生的生活污水经化粪池处理后</w:t>
            </w:r>
            <w:r>
              <w:rPr>
                <w:rFonts w:hint="eastAsia"/>
              </w:rPr>
              <w:t>排入鹿寨县第二污水处理厂，经处理后最终排入洛清江</w:t>
            </w:r>
            <w:r>
              <w:t>。项目生产冷却用水循环使用，不外排。</w:t>
            </w:r>
          </w:p>
          <w:p w14:paraId="586E1960">
            <w:pPr>
              <w:ind w:firstLine="480"/>
            </w:pPr>
            <w:r>
              <w:t>（</w:t>
            </w:r>
            <w:r>
              <w:rPr>
                <w:rFonts w:hint="eastAsia"/>
              </w:rPr>
              <w:t>3</w:t>
            </w:r>
            <w:r>
              <w:t>）供电：用电由市政电网线路提供，能够满足项目生产和生活的用电需求。</w:t>
            </w:r>
          </w:p>
          <w:p w14:paraId="12D05A55">
            <w:pPr>
              <w:pStyle w:val="9"/>
              <w:ind w:firstLine="482"/>
            </w:pPr>
            <w:r>
              <w:rPr>
                <w:rFonts w:hint="eastAsia"/>
              </w:rPr>
              <w:t>8、环保投资</w:t>
            </w:r>
          </w:p>
          <w:p w14:paraId="5E263C47">
            <w:pPr>
              <w:pStyle w:val="117"/>
              <w:ind w:firstLine="480"/>
            </w:pPr>
            <w:r>
              <w:rPr>
                <w:rFonts w:hint="eastAsia"/>
              </w:rPr>
              <w:t>本项目总投资为50万元，其中环保投资为9万元，占工程总投资的18.0%，环保投资情况见表2-6。</w:t>
            </w:r>
          </w:p>
          <w:p w14:paraId="7BE361FB">
            <w:pPr>
              <w:pStyle w:val="87"/>
            </w:pPr>
            <w:r>
              <w:t>表</w:t>
            </w:r>
            <w:r>
              <w:rPr>
                <w:spacing w:val="-48"/>
              </w:rPr>
              <w:t xml:space="preserve"> </w:t>
            </w:r>
            <w:r>
              <w:rPr>
                <w:rFonts w:eastAsia="Times New Roman"/>
                <w:bCs/>
              </w:rPr>
              <w:t>2-</w:t>
            </w:r>
            <w:r>
              <w:rPr>
                <w:rFonts w:hint="eastAsia" w:eastAsiaTheme="minorEastAsia"/>
                <w:bCs/>
              </w:rPr>
              <w:t>6</w:t>
            </w:r>
            <w:r>
              <w:rPr>
                <w:rFonts w:eastAsia="Times New Roman"/>
                <w:bCs/>
              </w:rPr>
              <w:tab/>
            </w:r>
            <w:r>
              <w:t>环保设施投资</w:t>
            </w:r>
            <w:r>
              <w:rPr>
                <w:rFonts w:hint="eastAsia"/>
              </w:rPr>
              <w:t>一览表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657"/>
              <w:gridCol w:w="2541"/>
              <w:gridCol w:w="3152"/>
              <w:gridCol w:w="1985"/>
            </w:tblGrid>
            <w:tr w14:paraId="14156FC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4" w:type="pct"/>
                  <w:vAlign w:val="center"/>
                </w:tcPr>
                <w:p w14:paraId="5D32D37E">
                  <w:pPr>
                    <w:pStyle w:val="79"/>
                    <w:rPr>
                      <w:rFonts w:eastAsia="Times New Roman"/>
                      <w:b/>
                    </w:rPr>
                  </w:pPr>
                  <w:r>
                    <w:rPr>
                      <w:rFonts w:eastAsia="Times New Roman"/>
                      <w:b/>
                    </w:rPr>
                    <w:t>序号</w:t>
                  </w:r>
                </w:p>
              </w:tc>
              <w:tc>
                <w:tcPr>
                  <w:tcW w:w="1524" w:type="pct"/>
                  <w:vAlign w:val="center"/>
                </w:tcPr>
                <w:p w14:paraId="01E8659D">
                  <w:pPr>
                    <w:pStyle w:val="79"/>
                    <w:rPr>
                      <w:rFonts w:eastAsia="Times New Roman"/>
                      <w:b/>
                    </w:rPr>
                  </w:pPr>
                  <w:r>
                    <w:rPr>
                      <w:rFonts w:eastAsia="Times New Roman"/>
                      <w:b/>
                    </w:rPr>
                    <w:t>主要污染源</w:t>
                  </w:r>
                </w:p>
              </w:tc>
              <w:tc>
                <w:tcPr>
                  <w:tcW w:w="1891" w:type="pct"/>
                  <w:vAlign w:val="center"/>
                </w:tcPr>
                <w:p w14:paraId="4B8EED89">
                  <w:pPr>
                    <w:pStyle w:val="79"/>
                    <w:rPr>
                      <w:rFonts w:eastAsia="Times New Roman"/>
                      <w:b/>
                    </w:rPr>
                  </w:pPr>
                  <w:r>
                    <w:rPr>
                      <w:rFonts w:eastAsia="Times New Roman"/>
                      <w:b/>
                    </w:rPr>
                    <w:t>治理措施</w:t>
                  </w:r>
                </w:p>
              </w:tc>
              <w:tc>
                <w:tcPr>
                  <w:tcW w:w="1191" w:type="pct"/>
                  <w:vAlign w:val="center"/>
                </w:tcPr>
                <w:p w14:paraId="453B6EC6">
                  <w:pPr>
                    <w:pStyle w:val="79"/>
                    <w:rPr>
                      <w:rFonts w:eastAsia="Times New Roman"/>
                      <w:b/>
                    </w:rPr>
                  </w:pPr>
                  <w:r>
                    <w:rPr>
                      <w:rFonts w:eastAsia="Times New Roman"/>
                      <w:b/>
                    </w:rPr>
                    <w:t>投资金额（万元）</w:t>
                  </w:r>
                </w:p>
              </w:tc>
            </w:tr>
            <w:tr w14:paraId="2120655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4" w:type="pct"/>
                  <w:vAlign w:val="center"/>
                </w:tcPr>
                <w:p w14:paraId="156E1AEF">
                  <w:pPr>
                    <w:pStyle w:val="79"/>
                    <w:rPr>
                      <w:rFonts w:eastAsia="Times New Roman"/>
                    </w:rPr>
                  </w:pPr>
                  <w:r>
                    <w:rPr>
                      <w:rFonts w:eastAsia="Times New Roman"/>
                    </w:rPr>
                    <w:t>1</w:t>
                  </w:r>
                </w:p>
              </w:tc>
              <w:tc>
                <w:tcPr>
                  <w:tcW w:w="1524" w:type="pct"/>
                  <w:vAlign w:val="center"/>
                </w:tcPr>
                <w:p w14:paraId="3C0BFD0B">
                  <w:pPr>
                    <w:pStyle w:val="79"/>
                    <w:rPr>
                      <w:rFonts w:eastAsia="Times New Roman"/>
                    </w:rPr>
                  </w:pPr>
                  <w:r>
                    <w:rPr>
                      <w:rFonts w:eastAsia="Times New Roman"/>
                    </w:rPr>
                    <w:t>废气</w:t>
                  </w:r>
                </w:p>
              </w:tc>
              <w:tc>
                <w:tcPr>
                  <w:tcW w:w="1891" w:type="pct"/>
                  <w:vAlign w:val="center"/>
                </w:tcPr>
                <w:p w14:paraId="32F76E02">
                  <w:pPr>
                    <w:pStyle w:val="79"/>
                    <w:rPr>
                      <w:rFonts w:eastAsia="Times New Roman"/>
                    </w:rPr>
                  </w:pPr>
                  <w:r>
                    <w:rPr>
                      <w:rFonts w:eastAsia="Times New Roman"/>
                    </w:rPr>
                    <w:t>通风系统、二级活性炭、15m高排气筒</w:t>
                  </w:r>
                </w:p>
              </w:tc>
              <w:tc>
                <w:tcPr>
                  <w:tcW w:w="1191" w:type="pct"/>
                  <w:vAlign w:val="center"/>
                </w:tcPr>
                <w:p w14:paraId="5944027D">
                  <w:pPr>
                    <w:pStyle w:val="79"/>
                    <w:rPr>
                      <w:rFonts w:eastAsia="Times New Roman"/>
                    </w:rPr>
                  </w:pPr>
                  <w:r>
                    <w:rPr>
                      <w:rFonts w:hint="eastAsia" w:eastAsia="Times New Roman"/>
                    </w:rPr>
                    <w:t>5</w:t>
                  </w:r>
                </w:p>
              </w:tc>
            </w:tr>
            <w:tr w14:paraId="4DCF6CA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4" w:type="pct"/>
                  <w:vAlign w:val="center"/>
                </w:tcPr>
                <w:p w14:paraId="72DD15C5">
                  <w:pPr>
                    <w:pStyle w:val="79"/>
                    <w:rPr>
                      <w:rFonts w:eastAsia="Times New Roman"/>
                    </w:rPr>
                  </w:pPr>
                  <w:r>
                    <w:rPr>
                      <w:rFonts w:eastAsia="Times New Roman"/>
                    </w:rPr>
                    <w:t>2</w:t>
                  </w:r>
                </w:p>
              </w:tc>
              <w:tc>
                <w:tcPr>
                  <w:tcW w:w="1524" w:type="pct"/>
                  <w:vAlign w:val="center"/>
                </w:tcPr>
                <w:p w14:paraId="26990BDF">
                  <w:pPr>
                    <w:pStyle w:val="79"/>
                    <w:rPr>
                      <w:rFonts w:eastAsia="Times New Roman"/>
                    </w:rPr>
                  </w:pPr>
                  <w:r>
                    <w:rPr>
                      <w:rFonts w:eastAsia="Times New Roman"/>
                    </w:rPr>
                    <w:t>生活污水</w:t>
                  </w:r>
                </w:p>
              </w:tc>
              <w:tc>
                <w:tcPr>
                  <w:tcW w:w="1891" w:type="pct"/>
                  <w:vAlign w:val="center"/>
                </w:tcPr>
                <w:p w14:paraId="586933AA">
                  <w:pPr>
                    <w:pStyle w:val="79"/>
                    <w:rPr>
                      <w:rFonts w:eastAsia="Times New Roman"/>
                    </w:rPr>
                  </w:pPr>
                  <w:r>
                    <w:rPr>
                      <w:rFonts w:eastAsia="Times New Roman"/>
                    </w:rPr>
                    <w:t>化粪池</w:t>
                  </w:r>
                </w:p>
              </w:tc>
              <w:tc>
                <w:tcPr>
                  <w:tcW w:w="1191" w:type="pct"/>
                  <w:vAlign w:val="center"/>
                </w:tcPr>
                <w:p w14:paraId="56EFEFCD">
                  <w:pPr>
                    <w:pStyle w:val="79"/>
                    <w:rPr>
                      <w:rFonts w:eastAsia="Times New Roman"/>
                    </w:rPr>
                  </w:pPr>
                  <w:r>
                    <w:rPr>
                      <w:rFonts w:eastAsia="Times New Roman"/>
                    </w:rPr>
                    <w:t>0（依托现有）</w:t>
                  </w:r>
                </w:p>
              </w:tc>
            </w:tr>
            <w:tr w14:paraId="18491CE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4" w:type="pct"/>
                  <w:vAlign w:val="center"/>
                </w:tcPr>
                <w:p w14:paraId="29883310">
                  <w:pPr>
                    <w:pStyle w:val="79"/>
                    <w:rPr>
                      <w:rFonts w:eastAsia="Times New Roman"/>
                    </w:rPr>
                  </w:pPr>
                  <w:r>
                    <w:rPr>
                      <w:rFonts w:eastAsia="Times New Roman"/>
                    </w:rPr>
                    <w:t>3</w:t>
                  </w:r>
                </w:p>
              </w:tc>
              <w:tc>
                <w:tcPr>
                  <w:tcW w:w="1524" w:type="pct"/>
                  <w:vAlign w:val="center"/>
                </w:tcPr>
                <w:p w14:paraId="691BB1F8">
                  <w:pPr>
                    <w:pStyle w:val="79"/>
                    <w:rPr>
                      <w:rFonts w:eastAsia="Times New Roman"/>
                    </w:rPr>
                  </w:pPr>
                  <w:r>
                    <w:rPr>
                      <w:rFonts w:eastAsia="Times New Roman"/>
                    </w:rPr>
                    <w:t>机械噪声</w:t>
                  </w:r>
                </w:p>
              </w:tc>
              <w:tc>
                <w:tcPr>
                  <w:tcW w:w="1891" w:type="pct"/>
                  <w:vAlign w:val="center"/>
                </w:tcPr>
                <w:p w14:paraId="66876A08">
                  <w:pPr>
                    <w:pStyle w:val="79"/>
                    <w:rPr>
                      <w:rFonts w:eastAsia="Times New Roman"/>
                    </w:rPr>
                  </w:pPr>
                  <w:r>
                    <w:rPr>
                      <w:rFonts w:eastAsia="Times New Roman"/>
                    </w:rPr>
                    <w:t>墙体阻隔、距离衰减</w:t>
                  </w:r>
                </w:p>
              </w:tc>
              <w:tc>
                <w:tcPr>
                  <w:tcW w:w="1191" w:type="pct"/>
                  <w:vAlign w:val="center"/>
                </w:tcPr>
                <w:p w14:paraId="73FBA72B">
                  <w:pPr>
                    <w:pStyle w:val="79"/>
                    <w:rPr>
                      <w:rFonts w:eastAsia="Times New Roman"/>
                    </w:rPr>
                  </w:pPr>
                  <w:r>
                    <w:rPr>
                      <w:rFonts w:eastAsia="Times New Roman"/>
                    </w:rPr>
                    <w:t>2</w:t>
                  </w:r>
                </w:p>
              </w:tc>
            </w:tr>
            <w:tr w14:paraId="7D09BB1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4" w:type="pct"/>
                  <w:vAlign w:val="center"/>
                </w:tcPr>
                <w:p w14:paraId="47E67C32">
                  <w:pPr>
                    <w:pStyle w:val="79"/>
                    <w:rPr>
                      <w:rFonts w:eastAsia="Times New Roman"/>
                    </w:rPr>
                  </w:pPr>
                  <w:r>
                    <w:rPr>
                      <w:rFonts w:eastAsia="Times New Roman"/>
                    </w:rPr>
                    <w:t>4</w:t>
                  </w:r>
                </w:p>
              </w:tc>
              <w:tc>
                <w:tcPr>
                  <w:tcW w:w="1524" w:type="pct"/>
                  <w:vAlign w:val="center"/>
                </w:tcPr>
                <w:p w14:paraId="70375F6E">
                  <w:pPr>
                    <w:pStyle w:val="79"/>
                    <w:rPr>
                      <w:rFonts w:eastAsia="Times New Roman"/>
                    </w:rPr>
                  </w:pPr>
                  <w:r>
                    <w:rPr>
                      <w:rFonts w:eastAsia="Times New Roman"/>
                    </w:rPr>
                    <w:t>危险废物</w:t>
                  </w:r>
                </w:p>
              </w:tc>
              <w:tc>
                <w:tcPr>
                  <w:tcW w:w="1891" w:type="pct"/>
                  <w:vAlign w:val="center"/>
                </w:tcPr>
                <w:p w14:paraId="1754F3ED">
                  <w:pPr>
                    <w:pStyle w:val="79"/>
                    <w:rPr>
                      <w:rFonts w:eastAsia="Times New Roman"/>
                    </w:rPr>
                  </w:pPr>
                  <w:r>
                    <w:rPr>
                      <w:rFonts w:eastAsia="Times New Roman"/>
                    </w:rPr>
                    <w:t>危废暂存间</w:t>
                  </w:r>
                </w:p>
              </w:tc>
              <w:tc>
                <w:tcPr>
                  <w:tcW w:w="1191" w:type="pct"/>
                  <w:vMerge w:val="restart"/>
                  <w:vAlign w:val="center"/>
                </w:tcPr>
                <w:p w14:paraId="311E9368">
                  <w:pPr>
                    <w:pStyle w:val="79"/>
                    <w:rPr>
                      <w:rFonts w:eastAsia="Times New Roman"/>
                    </w:rPr>
                  </w:pPr>
                  <w:r>
                    <w:rPr>
                      <w:rFonts w:eastAsia="Times New Roman"/>
                    </w:rPr>
                    <w:t>2</w:t>
                  </w:r>
                </w:p>
              </w:tc>
            </w:tr>
            <w:tr w14:paraId="3F1F39A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4" w:type="pct"/>
                  <w:vAlign w:val="center"/>
                </w:tcPr>
                <w:p w14:paraId="795C72E5">
                  <w:pPr>
                    <w:pStyle w:val="79"/>
                    <w:rPr>
                      <w:rFonts w:eastAsia="Times New Roman"/>
                    </w:rPr>
                  </w:pPr>
                  <w:r>
                    <w:rPr>
                      <w:rFonts w:eastAsia="Times New Roman"/>
                    </w:rPr>
                    <w:t>5</w:t>
                  </w:r>
                </w:p>
              </w:tc>
              <w:tc>
                <w:tcPr>
                  <w:tcW w:w="1524" w:type="pct"/>
                  <w:vAlign w:val="center"/>
                </w:tcPr>
                <w:p w14:paraId="6AB0A4EA">
                  <w:pPr>
                    <w:pStyle w:val="79"/>
                    <w:rPr>
                      <w:rFonts w:eastAsia="Times New Roman"/>
                    </w:rPr>
                  </w:pPr>
                  <w:r>
                    <w:rPr>
                      <w:rFonts w:eastAsia="Times New Roman"/>
                    </w:rPr>
                    <w:t>一般固废</w:t>
                  </w:r>
                </w:p>
              </w:tc>
              <w:tc>
                <w:tcPr>
                  <w:tcW w:w="1891" w:type="pct"/>
                  <w:vAlign w:val="center"/>
                </w:tcPr>
                <w:p w14:paraId="15B38A3D">
                  <w:pPr>
                    <w:pStyle w:val="79"/>
                    <w:rPr>
                      <w:rFonts w:eastAsia="Times New Roman"/>
                    </w:rPr>
                  </w:pPr>
                  <w:r>
                    <w:rPr>
                      <w:rFonts w:eastAsia="Times New Roman"/>
                    </w:rPr>
                    <w:t>定期收集、回收处理</w:t>
                  </w:r>
                </w:p>
              </w:tc>
              <w:tc>
                <w:tcPr>
                  <w:tcW w:w="1191" w:type="pct"/>
                  <w:vMerge w:val="continue"/>
                  <w:vAlign w:val="center"/>
                </w:tcPr>
                <w:p w14:paraId="23CB08D9">
                  <w:pPr>
                    <w:pStyle w:val="79"/>
                    <w:rPr>
                      <w:rFonts w:eastAsia="Times New Roman"/>
                    </w:rPr>
                  </w:pPr>
                </w:p>
              </w:tc>
            </w:tr>
            <w:tr w14:paraId="449D388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4" w:type="pct"/>
                  <w:vAlign w:val="center"/>
                </w:tcPr>
                <w:p w14:paraId="2BF2DCA9">
                  <w:pPr>
                    <w:pStyle w:val="79"/>
                    <w:rPr>
                      <w:rFonts w:eastAsia="Times New Roman"/>
                    </w:rPr>
                  </w:pPr>
                  <w:r>
                    <w:rPr>
                      <w:rFonts w:eastAsia="Times New Roman"/>
                    </w:rPr>
                    <w:t>6</w:t>
                  </w:r>
                </w:p>
              </w:tc>
              <w:tc>
                <w:tcPr>
                  <w:tcW w:w="1524" w:type="pct"/>
                  <w:vAlign w:val="center"/>
                </w:tcPr>
                <w:p w14:paraId="1F080CF3">
                  <w:pPr>
                    <w:pStyle w:val="79"/>
                    <w:rPr>
                      <w:rFonts w:eastAsia="Times New Roman"/>
                    </w:rPr>
                  </w:pPr>
                  <w:r>
                    <w:rPr>
                      <w:rFonts w:eastAsia="Times New Roman"/>
                    </w:rPr>
                    <w:t>员工生活垃圾</w:t>
                  </w:r>
                </w:p>
              </w:tc>
              <w:tc>
                <w:tcPr>
                  <w:tcW w:w="1891" w:type="pct"/>
                  <w:vAlign w:val="center"/>
                </w:tcPr>
                <w:p w14:paraId="12E579AE">
                  <w:pPr>
                    <w:pStyle w:val="79"/>
                    <w:rPr>
                      <w:rFonts w:eastAsia="Times New Roman"/>
                    </w:rPr>
                  </w:pPr>
                  <w:r>
                    <w:rPr>
                      <w:rFonts w:eastAsia="Times New Roman"/>
                    </w:rPr>
                    <w:t>垃圾桶</w:t>
                  </w:r>
                </w:p>
              </w:tc>
              <w:tc>
                <w:tcPr>
                  <w:tcW w:w="1191" w:type="pct"/>
                  <w:vMerge w:val="continue"/>
                  <w:vAlign w:val="center"/>
                </w:tcPr>
                <w:p w14:paraId="0879D2EB">
                  <w:pPr>
                    <w:pStyle w:val="79"/>
                    <w:rPr>
                      <w:rFonts w:eastAsia="Times New Roman"/>
                    </w:rPr>
                  </w:pPr>
                </w:p>
              </w:tc>
            </w:tr>
            <w:tr w14:paraId="0958FBF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4" w:type="pct"/>
                  <w:vAlign w:val="center"/>
                </w:tcPr>
                <w:p w14:paraId="5E8E142A">
                  <w:pPr>
                    <w:pStyle w:val="79"/>
                    <w:rPr>
                      <w:rFonts w:eastAsia="Times New Roman"/>
                    </w:rPr>
                  </w:pPr>
                  <w:r>
                    <w:rPr>
                      <w:rFonts w:eastAsia="Times New Roman"/>
                    </w:rPr>
                    <w:t>8</w:t>
                  </w:r>
                </w:p>
              </w:tc>
              <w:tc>
                <w:tcPr>
                  <w:tcW w:w="3415" w:type="pct"/>
                  <w:gridSpan w:val="2"/>
                  <w:vAlign w:val="center"/>
                </w:tcPr>
                <w:p w14:paraId="0BA884E6">
                  <w:pPr>
                    <w:pStyle w:val="79"/>
                    <w:rPr>
                      <w:rFonts w:eastAsia="Times New Roman"/>
                    </w:rPr>
                  </w:pPr>
                  <w:r>
                    <w:rPr>
                      <w:rFonts w:eastAsia="Times New Roman"/>
                    </w:rPr>
                    <w:t>总计</w:t>
                  </w:r>
                </w:p>
              </w:tc>
              <w:tc>
                <w:tcPr>
                  <w:tcW w:w="1191" w:type="pct"/>
                  <w:vAlign w:val="center"/>
                </w:tcPr>
                <w:p w14:paraId="5AFF25C6">
                  <w:pPr>
                    <w:pStyle w:val="79"/>
                    <w:rPr>
                      <w:rFonts w:eastAsia="Times New Roman"/>
                    </w:rPr>
                  </w:pPr>
                  <w:r>
                    <w:rPr>
                      <w:rFonts w:hint="eastAsia" w:eastAsia="Times New Roman"/>
                    </w:rPr>
                    <w:t>9</w:t>
                  </w:r>
                </w:p>
              </w:tc>
            </w:tr>
          </w:tbl>
          <w:p w14:paraId="35C60C51">
            <w:pPr>
              <w:ind w:firstLine="480"/>
            </w:pPr>
          </w:p>
        </w:tc>
      </w:tr>
      <w:tr w14:paraId="471237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5" w:hRule="atLeast"/>
          <w:jc w:val="center"/>
        </w:trPr>
        <w:tc>
          <w:tcPr>
            <w:tcW w:w="557" w:type="dxa"/>
            <w:vAlign w:val="center"/>
          </w:tcPr>
          <w:p w14:paraId="09A49371">
            <w:pPr>
              <w:pStyle w:val="35"/>
              <w:adjustRightInd w:val="0"/>
              <w:snapToGrid w:val="0"/>
              <w:spacing w:before="0" w:beforeAutospacing="0" w:after="0" w:afterAutospacing="0"/>
              <w:ind w:firstLine="0" w:firstLineChars="0"/>
              <w:jc w:val="center"/>
              <w:rPr>
                <w:rFonts w:hint="eastAsia" w:cs="宋体"/>
                <w:b/>
                <w:bCs/>
                <w:szCs w:val="24"/>
              </w:rPr>
            </w:pPr>
            <w:r>
              <w:rPr>
                <w:rFonts w:hint="eastAsia" w:cs="宋体"/>
                <w:b/>
                <w:bCs/>
                <w:szCs w:val="24"/>
              </w:rPr>
              <w:t>工艺流程和产排污环节</w:t>
            </w:r>
          </w:p>
        </w:tc>
        <w:tc>
          <w:tcPr>
            <w:tcW w:w="8551" w:type="dxa"/>
          </w:tcPr>
          <w:p w14:paraId="09B914FF">
            <w:pPr>
              <w:pStyle w:val="87"/>
            </w:pPr>
            <w:r>
              <w:drawing>
                <wp:inline distT="0" distB="0" distL="0" distR="0">
                  <wp:extent cx="5295900" cy="2724150"/>
                  <wp:effectExtent l="0" t="0" r="0" b="0"/>
                  <wp:docPr id="50387380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73807"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95900" cy="2724150"/>
                          </a:xfrm>
                          <a:prstGeom prst="rect">
                            <a:avLst/>
                          </a:prstGeom>
                          <a:noFill/>
                          <a:ln>
                            <a:noFill/>
                          </a:ln>
                        </pic:spPr>
                      </pic:pic>
                    </a:graphicData>
                  </a:graphic>
                </wp:inline>
              </w:drawing>
            </w:r>
            <w:r>
              <w:t>图2-</w:t>
            </w:r>
            <w:r>
              <w:rPr>
                <w:rFonts w:hint="eastAsia"/>
              </w:rPr>
              <w:t>1</w:t>
            </w:r>
            <w:r>
              <w:t xml:space="preserve">  </w:t>
            </w:r>
            <w:r>
              <w:rPr>
                <w:rFonts w:hint="eastAsia"/>
              </w:rPr>
              <w:t>项目运营期生产工艺流程及产污环节图</w:t>
            </w:r>
          </w:p>
          <w:p w14:paraId="1C671DEE">
            <w:pPr>
              <w:pStyle w:val="9"/>
              <w:ind w:firstLine="482"/>
            </w:pPr>
            <w:r>
              <w:rPr>
                <w:rFonts w:hint="eastAsia"/>
              </w:rPr>
              <w:t>工艺流程简述：</w:t>
            </w:r>
          </w:p>
          <w:p w14:paraId="3AF3FC24">
            <w:pPr>
              <w:pStyle w:val="117"/>
              <w:ind w:firstLine="480"/>
            </w:pPr>
            <w:r>
              <w:rPr>
                <w:rFonts w:hint="eastAsia"/>
              </w:rPr>
              <w:t>（1）投料：将外购的原料塑料颗粒投入注塑机料筒内。该过程会产生投料粉尘（G1）及设备噪声（N）。</w:t>
            </w:r>
          </w:p>
          <w:p w14:paraId="3D1CD243">
            <w:pPr>
              <w:pStyle w:val="117"/>
              <w:ind w:firstLine="480"/>
            </w:pPr>
            <w:r>
              <w:rPr>
                <w:rFonts w:hint="eastAsia"/>
              </w:rPr>
              <w:t>（2）预热：通过电加热的方式对注塑机料筒内的塑料颗粒进行加热，加热温度为100℃-120℃（未超过PP、ABS分解温度），料筒使用电加热并用电偶分段进行温度检测和控制，通过料筒壁向内传热使塑料熔融塑化。该过程会产生注塑废气（G2）及设备噪声（N）。</w:t>
            </w:r>
          </w:p>
          <w:p w14:paraId="15BB1E5F">
            <w:pPr>
              <w:pStyle w:val="117"/>
              <w:ind w:firstLine="480"/>
            </w:pPr>
            <w:r>
              <w:rPr>
                <w:rFonts w:hint="eastAsia"/>
              </w:rPr>
              <w:t>（3）注塑成型：将加热后的物料充入模具中，使其变成具有一定几何形状和尺寸精度的塑料制品，然后经过注塑机配套的冷却装置，使注塑好的塑料制品冷却成型，项目冷却装置是一个封闭的循环系统，将冷却水分配到几个独立的回路中，冷却水经冷却塔冷却散热后循环回用。该过程会产生注塑废气（G2，以非甲烷总烃表征）及设备噪声（N）。</w:t>
            </w:r>
          </w:p>
          <w:p w14:paraId="4688E7AC">
            <w:pPr>
              <w:pStyle w:val="117"/>
              <w:ind w:firstLine="480"/>
            </w:pPr>
            <w:r>
              <w:rPr>
                <w:rFonts w:hint="eastAsia"/>
              </w:rPr>
              <w:t>（4）检查、修边：人工对成型的塑料工件进行检查，修理掉多余的边角，本项目修边采用手工切割的方式。该过程会产生边角料和不合格塑料件（S1）及噪声（N）。</w:t>
            </w:r>
          </w:p>
          <w:p w14:paraId="0D2C7E11">
            <w:pPr>
              <w:pStyle w:val="117"/>
              <w:ind w:firstLine="480"/>
            </w:pPr>
            <w:r>
              <w:rPr>
                <w:rFonts w:hint="eastAsia"/>
              </w:rPr>
              <w:t>（5）破碎：将修边产生的边角料及不合格塑料工件（S1）运至破碎机进行破碎，破碎得到的碎塑料片回用于生产，该过程会产生破碎粉尘（G3）及设备噪声（N）。</w:t>
            </w:r>
          </w:p>
          <w:p w14:paraId="7EECF7B6">
            <w:pPr>
              <w:pStyle w:val="117"/>
              <w:ind w:firstLine="480"/>
              <w:rPr>
                <w:b/>
              </w:rPr>
            </w:pPr>
            <w:r>
              <w:rPr>
                <w:rFonts w:hint="eastAsia"/>
                <w:bCs w:val="0"/>
              </w:rPr>
              <w:t>（6）</w:t>
            </w:r>
            <w:r>
              <w:rPr>
                <w:bCs w:val="0"/>
              </w:rPr>
              <w:t>入库</w:t>
            </w:r>
            <w:r>
              <w:rPr>
                <w:bCs w:val="0"/>
                <w:spacing w:val="-17"/>
              </w:rPr>
              <w:t>：</w:t>
            </w:r>
            <w:r>
              <w:rPr>
                <w:bCs w:val="0"/>
              </w:rPr>
              <w:t>验收合格即得出成品</w:t>
            </w:r>
            <w:r>
              <w:rPr>
                <w:bCs w:val="0"/>
                <w:spacing w:val="-29"/>
              </w:rPr>
              <w:t>，</w:t>
            </w:r>
            <w:r>
              <w:rPr>
                <w:bCs w:val="0"/>
              </w:rPr>
              <w:t>暂存于</w:t>
            </w:r>
            <w:r>
              <w:rPr>
                <w:rFonts w:hint="eastAsia"/>
                <w:bCs w:val="0"/>
              </w:rPr>
              <w:t>料仓待售</w:t>
            </w:r>
            <w:r>
              <w:rPr>
                <w:rFonts w:hint="eastAsia"/>
                <w:bCs w:val="0"/>
                <w:spacing w:val="-32"/>
              </w:rPr>
              <w:t>。</w:t>
            </w:r>
          </w:p>
          <w:p w14:paraId="63E80164">
            <w:pPr>
              <w:ind w:firstLine="482"/>
              <w:rPr>
                <w:b/>
              </w:rPr>
            </w:pPr>
            <w:r>
              <w:rPr>
                <w:rFonts w:hint="eastAsia"/>
                <w:b/>
              </w:rPr>
              <w:t>二、主要污染工序</w:t>
            </w:r>
          </w:p>
          <w:p w14:paraId="568A5855">
            <w:pPr>
              <w:pStyle w:val="87"/>
            </w:pPr>
            <w:r>
              <w:t>表</w:t>
            </w:r>
            <w:r>
              <w:rPr>
                <w:spacing w:val="-52"/>
              </w:rPr>
              <w:t xml:space="preserve"> </w:t>
            </w:r>
            <w:r>
              <w:rPr>
                <w:rFonts w:eastAsia="Times New Roman"/>
                <w:bCs/>
                <w:spacing w:val="1"/>
              </w:rPr>
              <w:t>2</w:t>
            </w:r>
            <w:r>
              <w:rPr>
                <w:rFonts w:hint="eastAsia" w:eastAsiaTheme="minorEastAsia"/>
                <w:bCs/>
                <w:spacing w:val="-3"/>
              </w:rPr>
              <w:t xml:space="preserve">-7  </w:t>
            </w:r>
            <w:r>
              <w:t>项目运</w:t>
            </w:r>
            <w:r>
              <w:rPr>
                <w:spacing w:val="-1"/>
              </w:rPr>
              <w:t>营</w:t>
            </w:r>
            <w:r>
              <w:rPr>
                <w:spacing w:val="4"/>
              </w:rPr>
              <w:t>期</w:t>
            </w:r>
            <w:r>
              <w:t>主要污</w:t>
            </w:r>
            <w:r>
              <w:rPr>
                <w:spacing w:val="-1"/>
              </w:rPr>
              <w:t>染</w:t>
            </w:r>
            <w:r>
              <w:t>工序汇总表</w:t>
            </w:r>
          </w:p>
          <w:tbl>
            <w:tblPr>
              <w:tblStyle w:val="154"/>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52"/>
              <w:gridCol w:w="587"/>
              <w:gridCol w:w="1308"/>
              <w:gridCol w:w="1421"/>
              <w:gridCol w:w="1349"/>
              <w:gridCol w:w="2053"/>
              <w:gridCol w:w="923"/>
            </w:tblGrid>
            <w:tr w14:paraId="2914561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Align w:val="center"/>
                </w:tcPr>
                <w:p w14:paraId="146B8A26">
                  <w:pPr>
                    <w:pStyle w:val="79"/>
                    <w:rPr>
                      <w:rFonts w:eastAsia="Times New Roman"/>
                      <w:b/>
                    </w:rPr>
                  </w:pPr>
                  <w:r>
                    <w:rPr>
                      <w:rFonts w:eastAsia="Times New Roman"/>
                      <w:b/>
                    </w:rPr>
                    <w:t>类型</w:t>
                  </w:r>
                </w:p>
              </w:tc>
              <w:tc>
                <w:tcPr>
                  <w:tcW w:w="587" w:type="dxa"/>
                  <w:vAlign w:val="center"/>
                </w:tcPr>
                <w:p w14:paraId="7C9FA267">
                  <w:pPr>
                    <w:pStyle w:val="79"/>
                    <w:rPr>
                      <w:rFonts w:eastAsia="Times New Roman"/>
                      <w:b/>
                    </w:rPr>
                  </w:pPr>
                  <w:r>
                    <w:rPr>
                      <w:rFonts w:eastAsia="Times New Roman"/>
                      <w:b/>
                    </w:rPr>
                    <w:t>序号</w:t>
                  </w:r>
                </w:p>
              </w:tc>
              <w:tc>
                <w:tcPr>
                  <w:tcW w:w="1308" w:type="dxa"/>
                  <w:vAlign w:val="center"/>
                </w:tcPr>
                <w:p w14:paraId="13263804">
                  <w:pPr>
                    <w:pStyle w:val="79"/>
                    <w:rPr>
                      <w:rFonts w:eastAsia="Times New Roman"/>
                      <w:b/>
                    </w:rPr>
                  </w:pPr>
                  <w:r>
                    <w:rPr>
                      <w:rFonts w:eastAsia="Times New Roman"/>
                      <w:b/>
                    </w:rPr>
                    <w:t>污染源名称</w:t>
                  </w:r>
                </w:p>
              </w:tc>
              <w:tc>
                <w:tcPr>
                  <w:tcW w:w="1421" w:type="dxa"/>
                  <w:vAlign w:val="center"/>
                </w:tcPr>
                <w:p w14:paraId="3C3FA8D3">
                  <w:pPr>
                    <w:pStyle w:val="79"/>
                    <w:rPr>
                      <w:rFonts w:eastAsia="Times New Roman"/>
                      <w:b/>
                    </w:rPr>
                  </w:pPr>
                  <w:r>
                    <w:rPr>
                      <w:rFonts w:eastAsia="Times New Roman"/>
                      <w:b/>
                    </w:rPr>
                    <w:t>主要污染物</w:t>
                  </w:r>
                </w:p>
              </w:tc>
              <w:tc>
                <w:tcPr>
                  <w:tcW w:w="1349" w:type="dxa"/>
                  <w:vAlign w:val="center"/>
                </w:tcPr>
                <w:p w14:paraId="713C8968">
                  <w:pPr>
                    <w:pStyle w:val="79"/>
                    <w:rPr>
                      <w:rFonts w:eastAsia="Times New Roman"/>
                      <w:b/>
                    </w:rPr>
                  </w:pPr>
                  <w:r>
                    <w:rPr>
                      <w:rFonts w:eastAsia="Times New Roman"/>
                      <w:b/>
                    </w:rPr>
                    <w:t>产生环节</w:t>
                  </w:r>
                </w:p>
              </w:tc>
              <w:tc>
                <w:tcPr>
                  <w:tcW w:w="2053" w:type="dxa"/>
                  <w:vAlign w:val="center"/>
                </w:tcPr>
                <w:p w14:paraId="3A70440E">
                  <w:pPr>
                    <w:pStyle w:val="79"/>
                    <w:rPr>
                      <w:rFonts w:eastAsia="Times New Roman"/>
                      <w:b/>
                    </w:rPr>
                  </w:pPr>
                  <w:r>
                    <w:rPr>
                      <w:rFonts w:eastAsia="Times New Roman"/>
                      <w:b/>
                    </w:rPr>
                    <w:t>治理措施</w:t>
                  </w:r>
                </w:p>
              </w:tc>
              <w:tc>
                <w:tcPr>
                  <w:tcW w:w="923" w:type="dxa"/>
                  <w:vAlign w:val="center"/>
                </w:tcPr>
                <w:p w14:paraId="7FEFAEDD">
                  <w:pPr>
                    <w:pStyle w:val="79"/>
                    <w:rPr>
                      <w:rFonts w:eastAsia="Times New Roman"/>
                      <w:b/>
                    </w:rPr>
                  </w:pPr>
                  <w:r>
                    <w:rPr>
                      <w:rFonts w:eastAsia="Times New Roman"/>
                      <w:b/>
                    </w:rPr>
                    <w:t>排放特点</w:t>
                  </w:r>
                </w:p>
              </w:tc>
            </w:tr>
            <w:tr w14:paraId="6D36F88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restart"/>
                  <w:vAlign w:val="center"/>
                </w:tcPr>
                <w:p w14:paraId="0C366E5F">
                  <w:pPr>
                    <w:pStyle w:val="79"/>
                    <w:rPr>
                      <w:rFonts w:eastAsia="Times New Roman"/>
                    </w:rPr>
                  </w:pPr>
                  <w:r>
                    <w:rPr>
                      <w:rFonts w:eastAsia="Times New Roman"/>
                    </w:rPr>
                    <w:t>废气</w:t>
                  </w:r>
                </w:p>
              </w:tc>
              <w:tc>
                <w:tcPr>
                  <w:tcW w:w="587" w:type="dxa"/>
                  <w:vAlign w:val="center"/>
                </w:tcPr>
                <w:p w14:paraId="1F34DBBA">
                  <w:pPr>
                    <w:pStyle w:val="79"/>
                    <w:rPr>
                      <w:rFonts w:eastAsia="Times New Roman"/>
                    </w:rPr>
                  </w:pPr>
                  <w:r>
                    <w:rPr>
                      <w:rFonts w:eastAsia="Times New Roman"/>
                    </w:rPr>
                    <w:t>G1</w:t>
                  </w:r>
                </w:p>
              </w:tc>
              <w:tc>
                <w:tcPr>
                  <w:tcW w:w="1308" w:type="dxa"/>
                  <w:vAlign w:val="center"/>
                </w:tcPr>
                <w:p w14:paraId="49DE1E4D">
                  <w:pPr>
                    <w:pStyle w:val="79"/>
                    <w:rPr>
                      <w:rFonts w:eastAsia="Times New Roman"/>
                    </w:rPr>
                  </w:pPr>
                  <w:r>
                    <w:rPr>
                      <w:rFonts w:eastAsia="Times New Roman"/>
                    </w:rPr>
                    <w:t>投料粉尘</w:t>
                  </w:r>
                </w:p>
              </w:tc>
              <w:tc>
                <w:tcPr>
                  <w:tcW w:w="1421" w:type="dxa"/>
                  <w:vAlign w:val="center"/>
                </w:tcPr>
                <w:p w14:paraId="693D3E7F">
                  <w:pPr>
                    <w:pStyle w:val="79"/>
                    <w:rPr>
                      <w:rFonts w:eastAsia="Times New Roman"/>
                    </w:rPr>
                  </w:pPr>
                  <w:r>
                    <w:rPr>
                      <w:rFonts w:eastAsia="Times New Roman"/>
                    </w:rPr>
                    <w:t>颗粒物</w:t>
                  </w:r>
                </w:p>
              </w:tc>
              <w:tc>
                <w:tcPr>
                  <w:tcW w:w="1349" w:type="dxa"/>
                  <w:vAlign w:val="center"/>
                </w:tcPr>
                <w:p w14:paraId="6D9375C3">
                  <w:pPr>
                    <w:pStyle w:val="79"/>
                    <w:rPr>
                      <w:rFonts w:eastAsia="Times New Roman"/>
                    </w:rPr>
                  </w:pPr>
                  <w:r>
                    <w:rPr>
                      <w:rFonts w:eastAsia="Times New Roman"/>
                    </w:rPr>
                    <w:t>投料</w:t>
                  </w:r>
                </w:p>
              </w:tc>
              <w:tc>
                <w:tcPr>
                  <w:tcW w:w="2053" w:type="dxa"/>
                  <w:vAlign w:val="center"/>
                </w:tcPr>
                <w:p w14:paraId="4D199BB2">
                  <w:pPr>
                    <w:pStyle w:val="79"/>
                    <w:rPr>
                      <w:rFonts w:eastAsia="Times New Roman"/>
                    </w:rPr>
                  </w:pPr>
                  <w:r>
                    <w:rPr>
                      <w:rFonts w:eastAsia="Times New Roman"/>
                    </w:rPr>
                    <w:t>车间通风换气</w:t>
                  </w:r>
                </w:p>
              </w:tc>
              <w:tc>
                <w:tcPr>
                  <w:tcW w:w="923" w:type="dxa"/>
                  <w:vAlign w:val="center"/>
                </w:tcPr>
                <w:p w14:paraId="6A76DE31">
                  <w:pPr>
                    <w:pStyle w:val="79"/>
                    <w:rPr>
                      <w:rFonts w:eastAsia="Times New Roman"/>
                    </w:rPr>
                  </w:pPr>
                  <w:r>
                    <w:rPr>
                      <w:rFonts w:eastAsia="Times New Roman"/>
                    </w:rPr>
                    <w:t>连续</w:t>
                  </w:r>
                </w:p>
              </w:tc>
            </w:tr>
            <w:tr w14:paraId="4247D6D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continue"/>
                  <w:vAlign w:val="center"/>
                </w:tcPr>
                <w:p w14:paraId="70E96779">
                  <w:pPr>
                    <w:pStyle w:val="79"/>
                    <w:rPr>
                      <w:rFonts w:eastAsia="Times New Roman"/>
                    </w:rPr>
                  </w:pPr>
                </w:p>
              </w:tc>
              <w:tc>
                <w:tcPr>
                  <w:tcW w:w="587" w:type="dxa"/>
                  <w:vAlign w:val="center"/>
                </w:tcPr>
                <w:p w14:paraId="453386B7">
                  <w:pPr>
                    <w:pStyle w:val="79"/>
                    <w:rPr>
                      <w:rFonts w:eastAsia="Times New Roman"/>
                    </w:rPr>
                  </w:pPr>
                  <w:r>
                    <w:rPr>
                      <w:rFonts w:eastAsia="Times New Roman"/>
                    </w:rPr>
                    <w:t>G2</w:t>
                  </w:r>
                </w:p>
              </w:tc>
              <w:tc>
                <w:tcPr>
                  <w:tcW w:w="1308" w:type="dxa"/>
                  <w:vAlign w:val="center"/>
                </w:tcPr>
                <w:p w14:paraId="64C3FAC3">
                  <w:pPr>
                    <w:pStyle w:val="79"/>
                    <w:rPr>
                      <w:rFonts w:eastAsia="Times New Roman"/>
                    </w:rPr>
                  </w:pPr>
                  <w:r>
                    <w:rPr>
                      <w:rFonts w:eastAsia="Times New Roman"/>
                    </w:rPr>
                    <w:t>注塑废气</w:t>
                  </w:r>
                </w:p>
              </w:tc>
              <w:tc>
                <w:tcPr>
                  <w:tcW w:w="1421" w:type="dxa"/>
                  <w:vAlign w:val="center"/>
                </w:tcPr>
                <w:p w14:paraId="4D77F457">
                  <w:pPr>
                    <w:pStyle w:val="79"/>
                    <w:rPr>
                      <w:rFonts w:eastAsia="Times New Roman"/>
                    </w:rPr>
                  </w:pPr>
                  <w:r>
                    <w:rPr>
                      <w:rFonts w:hint="eastAsia" w:ascii="宋体" w:hAnsi="宋体" w:eastAsia="Times New Roman" w:cs="宋体"/>
                    </w:rPr>
                    <w:t>非甲烷总烃</w:t>
                  </w:r>
                </w:p>
              </w:tc>
              <w:tc>
                <w:tcPr>
                  <w:tcW w:w="1349" w:type="dxa"/>
                  <w:vAlign w:val="center"/>
                </w:tcPr>
                <w:p w14:paraId="0DE57DDB">
                  <w:pPr>
                    <w:pStyle w:val="79"/>
                    <w:rPr>
                      <w:rFonts w:eastAsia="Times New Roman"/>
                    </w:rPr>
                  </w:pPr>
                  <w:r>
                    <w:rPr>
                      <w:rFonts w:eastAsia="Times New Roman"/>
                    </w:rPr>
                    <w:t>预热、注塑</w:t>
                  </w:r>
                </w:p>
              </w:tc>
              <w:tc>
                <w:tcPr>
                  <w:tcW w:w="2053" w:type="dxa"/>
                  <w:vAlign w:val="center"/>
                </w:tcPr>
                <w:p w14:paraId="381A02A4">
                  <w:pPr>
                    <w:pStyle w:val="79"/>
                    <w:jc w:val="both"/>
                    <w:rPr>
                      <w:rFonts w:eastAsia="Times New Roman"/>
                    </w:rPr>
                  </w:pPr>
                  <w:r>
                    <w:rPr>
                      <w:rFonts w:hint="eastAsia" w:eastAsia="Times New Roman"/>
                    </w:rPr>
                    <w:t>二级活性炭</w:t>
                  </w:r>
                  <w:r>
                    <w:rPr>
                      <w:rFonts w:eastAsia="Times New Roman"/>
                    </w:rPr>
                    <w:t>+1</w:t>
                  </w:r>
                  <w:r>
                    <w:rPr>
                      <w:rFonts w:hint="eastAsia" w:eastAsiaTheme="minorEastAsia"/>
                    </w:rPr>
                    <w:t>5</w:t>
                  </w:r>
                  <w:r>
                    <w:rPr>
                      <w:rFonts w:eastAsia="Times New Roman"/>
                    </w:rPr>
                    <w:t>m高排气筒（DA001）</w:t>
                  </w:r>
                </w:p>
              </w:tc>
              <w:tc>
                <w:tcPr>
                  <w:tcW w:w="923" w:type="dxa"/>
                  <w:vAlign w:val="center"/>
                </w:tcPr>
                <w:p w14:paraId="58E41D60">
                  <w:pPr>
                    <w:pStyle w:val="79"/>
                    <w:rPr>
                      <w:rFonts w:eastAsia="Times New Roman"/>
                    </w:rPr>
                  </w:pPr>
                  <w:r>
                    <w:rPr>
                      <w:rFonts w:eastAsia="Times New Roman"/>
                    </w:rPr>
                    <w:t>连续</w:t>
                  </w:r>
                </w:p>
              </w:tc>
            </w:tr>
            <w:tr w14:paraId="5CB9143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continue"/>
                  <w:vAlign w:val="center"/>
                </w:tcPr>
                <w:p w14:paraId="590B1189">
                  <w:pPr>
                    <w:pStyle w:val="79"/>
                    <w:rPr>
                      <w:rFonts w:eastAsia="Times New Roman"/>
                    </w:rPr>
                  </w:pPr>
                </w:p>
              </w:tc>
              <w:tc>
                <w:tcPr>
                  <w:tcW w:w="587" w:type="dxa"/>
                  <w:vAlign w:val="center"/>
                </w:tcPr>
                <w:p w14:paraId="18AC9D86">
                  <w:pPr>
                    <w:pStyle w:val="79"/>
                    <w:rPr>
                      <w:rFonts w:eastAsia="Times New Roman"/>
                    </w:rPr>
                  </w:pPr>
                  <w:r>
                    <w:rPr>
                      <w:rFonts w:eastAsia="Times New Roman"/>
                    </w:rPr>
                    <w:t>G</w:t>
                  </w:r>
                  <w:r>
                    <w:rPr>
                      <w:rFonts w:hint="eastAsia" w:eastAsiaTheme="minorEastAsia"/>
                    </w:rPr>
                    <w:t>3</w:t>
                  </w:r>
                </w:p>
              </w:tc>
              <w:tc>
                <w:tcPr>
                  <w:tcW w:w="1308" w:type="dxa"/>
                  <w:vAlign w:val="center"/>
                </w:tcPr>
                <w:p w14:paraId="3123CE9C">
                  <w:pPr>
                    <w:pStyle w:val="79"/>
                    <w:rPr>
                      <w:rFonts w:eastAsia="Times New Roman"/>
                    </w:rPr>
                  </w:pPr>
                  <w:r>
                    <w:rPr>
                      <w:rFonts w:eastAsia="Times New Roman"/>
                    </w:rPr>
                    <w:t>破碎粉尘</w:t>
                  </w:r>
                </w:p>
              </w:tc>
              <w:tc>
                <w:tcPr>
                  <w:tcW w:w="1421" w:type="dxa"/>
                  <w:vAlign w:val="center"/>
                </w:tcPr>
                <w:p w14:paraId="45BA019A">
                  <w:pPr>
                    <w:pStyle w:val="79"/>
                    <w:rPr>
                      <w:rFonts w:eastAsia="Times New Roman"/>
                    </w:rPr>
                  </w:pPr>
                  <w:r>
                    <w:rPr>
                      <w:rFonts w:eastAsia="Times New Roman"/>
                    </w:rPr>
                    <w:t>颗粒物</w:t>
                  </w:r>
                </w:p>
              </w:tc>
              <w:tc>
                <w:tcPr>
                  <w:tcW w:w="1349" w:type="dxa"/>
                  <w:vAlign w:val="center"/>
                </w:tcPr>
                <w:p w14:paraId="0BDC3D00">
                  <w:pPr>
                    <w:pStyle w:val="79"/>
                    <w:rPr>
                      <w:rFonts w:eastAsia="Times New Roman"/>
                    </w:rPr>
                  </w:pPr>
                  <w:r>
                    <w:rPr>
                      <w:rFonts w:eastAsia="Times New Roman"/>
                    </w:rPr>
                    <w:t>破碎</w:t>
                  </w:r>
                </w:p>
              </w:tc>
              <w:tc>
                <w:tcPr>
                  <w:tcW w:w="2053" w:type="dxa"/>
                  <w:vAlign w:val="center"/>
                </w:tcPr>
                <w:p w14:paraId="1B1CEA7D">
                  <w:pPr>
                    <w:pStyle w:val="79"/>
                    <w:rPr>
                      <w:rFonts w:eastAsia="Times New Roman"/>
                    </w:rPr>
                  </w:pPr>
                  <w:r>
                    <w:rPr>
                      <w:rFonts w:eastAsia="Times New Roman"/>
                    </w:rPr>
                    <w:t>封闭车间内自然沉降</w:t>
                  </w:r>
                </w:p>
              </w:tc>
              <w:tc>
                <w:tcPr>
                  <w:tcW w:w="923" w:type="dxa"/>
                  <w:vAlign w:val="center"/>
                </w:tcPr>
                <w:p w14:paraId="3F5C8DCF">
                  <w:pPr>
                    <w:pStyle w:val="79"/>
                    <w:rPr>
                      <w:rFonts w:eastAsia="Times New Roman"/>
                    </w:rPr>
                  </w:pPr>
                  <w:r>
                    <w:rPr>
                      <w:rFonts w:eastAsia="Times New Roman"/>
                    </w:rPr>
                    <w:t>连续</w:t>
                  </w:r>
                </w:p>
              </w:tc>
            </w:tr>
            <w:tr w14:paraId="2854628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restart"/>
                  <w:vAlign w:val="center"/>
                </w:tcPr>
                <w:p w14:paraId="43496FE7">
                  <w:pPr>
                    <w:pStyle w:val="79"/>
                    <w:rPr>
                      <w:rFonts w:eastAsia="Times New Roman"/>
                    </w:rPr>
                  </w:pPr>
                  <w:r>
                    <w:rPr>
                      <w:rFonts w:eastAsia="Times New Roman"/>
                    </w:rPr>
                    <w:t>废水</w:t>
                  </w:r>
                </w:p>
              </w:tc>
              <w:tc>
                <w:tcPr>
                  <w:tcW w:w="587" w:type="dxa"/>
                  <w:vAlign w:val="center"/>
                </w:tcPr>
                <w:p w14:paraId="7356B64C">
                  <w:pPr>
                    <w:pStyle w:val="79"/>
                    <w:rPr>
                      <w:rFonts w:eastAsia="Times New Roman"/>
                    </w:rPr>
                  </w:pPr>
                  <w:r>
                    <w:rPr>
                      <w:rFonts w:eastAsia="Times New Roman"/>
                    </w:rPr>
                    <w:t>W1</w:t>
                  </w:r>
                </w:p>
              </w:tc>
              <w:tc>
                <w:tcPr>
                  <w:tcW w:w="1308" w:type="dxa"/>
                  <w:vAlign w:val="center"/>
                </w:tcPr>
                <w:p w14:paraId="609C8974">
                  <w:pPr>
                    <w:pStyle w:val="79"/>
                    <w:rPr>
                      <w:rFonts w:eastAsia="Times New Roman"/>
                    </w:rPr>
                  </w:pPr>
                  <w:r>
                    <w:rPr>
                      <w:rFonts w:eastAsia="Times New Roman"/>
                    </w:rPr>
                    <w:t>生产废水</w:t>
                  </w:r>
                </w:p>
              </w:tc>
              <w:tc>
                <w:tcPr>
                  <w:tcW w:w="1421" w:type="dxa"/>
                  <w:vAlign w:val="center"/>
                </w:tcPr>
                <w:p w14:paraId="70520D1E">
                  <w:pPr>
                    <w:pStyle w:val="79"/>
                    <w:rPr>
                      <w:rFonts w:eastAsia="Times New Roman"/>
                    </w:rPr>
                  </w:pPr>
                  <w:r>
                    <w:rPr>
                      <w:rFonts w:eastAsia="Times New Roman"/>
                    </w:rPr>
                    <w:t xml:space="preserve">COD、SS </w:t>
                  </w:r>
                </w:p>
              </w:tc>
              <w:tc>
                <w:tcPr>
                  <w:tcW w:w="1349" w:type="dxa"/>
                  <w:vAlign w:val="center"/>
                </w:tcPr>
                <w:p w14:paraId="16CE19E8">
                  <w:pPr>
                    <w:pStyle w:val="79"/>
                    <w:rPr>
                      <w:rFonts w:eastAsia="Times New Roman"/>
                    </w:rPr>
                  </w:pPr>
                  <w:r>
                    <w:rPr>
                      <w:rFonts w:eastAsia="Times New Roman"/>
                    </w:rPr>
                    <w:t>冷却塔</w:t>
                  </w:r>
                </w:p>
              </w:tc>
              <w:tc>
                <w:tcPr>
                  <w:tcW w:w="2053" w:type="dxa"/>
                  <w:vAlign w:val="center"/>
                </w:tcPr>
                <w:p w14:paraId="7BC4A33B">
                  <w:pPr>
                    <w:pStyle w:val="79"/>
                    <w:jc w:val="both"/>
                    <w:rPr>
                      <w:rFonts w:eastAsia="Times New Roman"/>
                    </w:rPr>
                  </w:pPr>
                  <w:r>
                    <w:rPr>
                      <w:rFonts w:hint="eastAsia" w:ascii="宋体" w:hAnsi="宋体" w:eastAsia="Times New Roman" w:cs="宋体"/>
                    </w:rPr>
                    <w:t>冷却后回用于生产，不外排，定期添加新鲜水</w:t>
                  </w:r>
                </w:p>
              </w:tc>
              <w:tc>
                <w:tcPr>
                  <w:tcW w:w="923" w:type="dxa"/>
                  <w:vAlign w:val="center"/>
                </w:tcPr>
                <w:p w14:paraId="41B7195A">
                  <w:pPr>
                    <w:pStyle w:val="79"/>
                    <w:rPr>
                      <w:rFonts w:eastAsia="Times New Roman"/>
                    </w:rPr>
                  </w:pPr>
                  <w:r>
                    <w:rPr>
                      <w:rFonts w:eastAsia="Times New Roman"/>
                    </w:rPr>
                    <w:t>不外排</w:t>
                  </w:r>
                </w:p>
              </w:tc>
            </w:tr>
            <w:tr w14:paraId="708019A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continue"/>
                  <w:vAlign w:val="center"/>
                </w:tcPr>
                <w:p w14:paraId="485547F6">
                  <w:pPr>
                    <w:pStyle w:val="79"/>
                    <w:rPr>
                      <w:rFonts w:eastAsia="Times New Roman"/>
                    </w:rPr>
                  </w:pPr>
                </w:p>
              </w:tc>
              <w:tc>
                <w:tcPr>
                  <w:tcW w:w="587" w:type="dxa"/>
                  <w:vAlign w:val="center"/>
                </w:tcPr>
                <w:p w14:paraId="0AB67D90">
                  <w:pPr>
                    <w:pStyle w:val="79"/>
                    <w:rPr>
                      <w:rFonts w:eastAsia="Times New Roman"/>
                    </w:rPr>
                  </w:pPr>
                  <w:r>
                    <w:rPr>
                      <w:rFonts w:eastAsia="Times New Roman"/>
                    </w:rPr>
                    <w:t>W2</w:t>
                  </w:r>
                </w:p>
              </w:tc>
              <w:tc>
                <w:tcPr>
                  <w:tcW w:w="1308" w:type="dxa"/>
                  <w:vAlign w:val="center"/>
                </w:tcPr>
                <w:p w14:paraId="15FBC4F2">
                  <w:pPr>
                    <w:pStyle w:val="79"/>
                    <w:rPr>
                      <w:rFonts w:eastAsia="Times New Roman"/>
                    </w:rPr>
                  </w:pPr>
                  <w:r>
                    <w:rPr>
                      <w:rFonts w:eastAsia="Times New Roman"/>
                    </w:rPr>
                    <w:t>生活污水</w:t>
                  </w:r>
                </w:p>
              </w:tc>
              <w:tc>
                <w:tcPr>
                  <w:tcW w:w="1421" w:type="dxa"/>
                  <w:vAlign w:val="center"/>
                </w:tcPr>
                <w:p w14:paraId="76BF4443">
                  <w:pPr>
                    <w:pStyle w:val="79"/>
                    <w:rPr>
                      <w:rFonts w:eastAsia="Times New Roman"/>
                    </w:rPr>
                  </w:pPr>
                  <w:r>
                    <w:rPr>
                      <w:rFonts w:eastAsia="Times New Roman"/>
                    </w:rPr>
                    <w:t>COD</w:t>
                  </w:r>
                  <w:r>
                    <w:rPr>
                      <w:rFonts w:hint="eastAsia" w:ascii="宋体" w:hAnsi="宋体" w:eastAsia="Times New Roman" w:cs="宋体"/>
                    </w:rPr>
                    <w:t>、</w:t>
                  </w:r>
                  <w:r>
                    <w:rPr>
                      <w:rFonts w:eastAsia="Times New Roman"/>
                    </w:rPr>
                    <w:t>SS</w:t>
                  </w:r>
                  <w:r>
                    <w:rPr>
                      <w:rFonts w:hint="eastAsia" w:ascii="宋体" w:hAnsi="宋体" w:eastAsia="Times New Roman" w:cs="宋体"/>
                    </w:rPr>
                    <w:t>、</w:t>
                  </w:r>
                  <w:r>
                    <w:rPr>
                      <w:rFonts w:eastAsia="Times New Roman"/>
                    </w:rPr>
                    <w:t>NH</w:t>
                  </w:r>
                  <w:r>
                    <w:rPr>
                      <w:rFonts w:eastAsia="Times New Roman"/>
                      <w:vertAlign w:val="subscript"/>
                    </w:rPr>
                    <w:t>3</w:t>
                  </w:r>
                  <w:r>
                    <w:rPr>
                      <w:rFonts w:eastAsia="Times New Roman"/>
                    </w:rPr>
                    <w:t>-N</w:t>
                  </w:r>
                  <w:r>
                    <w:rPr>
                      <w:rFonts w:hint="eastAsia" w:ascii="宋体" w:hAnsi="宋体" w:eastAsia="Times New Roman" w:cs="宋体"/>
                    </w:rPr>
                    <w:t>、</w:t>
                  </w:r>
                  <w:r>
                    <w:rPr>
                      <w:rFonts w:eastAsia="Times New Roman"/>
                    </w:rPr>
                    <w:t>BOD</w:t>
                  </w:r>
                  <w:r>
                    <w:rPr>
                      <w:rFonts w:eastAsia="Times New Roman"/>
                      <w:vertAlign w:val="subscript"/>
                    </w:rPr>
                    <w:t>5</w:t>
                  </w:r>
                </w:p>
              </w:tc>
              <w:tc>
                <w:tcPr>
                  <w:tcW w:w="1349" w:type="dxa"/>
                  <w:vAlign w:val="center"/>
                </w:tcPr>
                <w:p w14:paraId="22AAC211">
                  <w:pPr>
                    <w:pStyle w:val="79"/>
                    <w:rPr>
                      <w:rFonts w:eastAsia="Times New Roman"/>
                    </w:rPr>
                  </w:pPr>
                  <w:r>
                    <w:rPr>
                      <w:rFonts w:eastAsia="Times New Roman"/>
                    </w:rPr>
                    <w:t>员工日常生活</w:t>
                  </w:r>
                </w:p>
              </w:tc>
              <w:tc>
                <w:tcPr>
                  <w:tcW w:w="2053" w:type="dxa"/>
                  <w:vAlign w:val="center"/>
                </w:tcPr>
                <w:p w14:paraId="0BE3C63E">
                  <w:pPr>
                    <w:pStyle w:val="79"/>
                    <w:rPr>
                      <w:rFonts w:eastAsia="Times New Roman"/>
                    </w:rPr>
                  </w:pPr>
                  <w:r>
                    <w:rPr>
                      <w:rFonts w:eastAsia="Times New Roman"/>
                    </w:rPr>
                    <w:t>三级化粪池</w:t>
                  </w:r>
                </w:p>
              </w:tc>
              <w:tc>
                <w:tcPr>
                  <w:tcW w:w="923" w:type="dxa"/>
                  <w:vAlign w:val="center"/>
                </w:tcPr>
                <w:p w14:paraId="3C38F79D">
                  <w:pPr>
                    <w:pStyle w:val="79"/>
                    <w:rPr>
                      <w:rFonts w:eastAsia="Times New Roman"/>
                    </w:rPr>
                  </w:pPr>
                  <w:r>
                    <w:rPr>
                      <w:rFonts w:eastAsia="Times New Roman"/>
                    </w:rPr>
                    <w:t>间歇</w:t>
                  </w:r>
                </w:p>
              </w:tc>
            </w:tr>
            <w:tr w14:paraId="0B2578A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Align w:val="center"/>
                </w:tcPr>
                <w:p w14:paraId="7D63F5EC">
                  <w:pPr>
                    <w:pStyle w:val="79"/>
                    <w:rPr>
                      <w:rFonts w:eastAsia="Times New Roman"/>
                    </w:rPr>
                  </w:pPr>
                  <w:r>
                    <w:rPr>
                      <w:rFonts w:eastAsia="Times New Roman"/>
                    </w:rPr>
                    <w:t>噪声</w:t>
                  </w:r>
                </w:p>
              </w:tc>
              <w:tc>
                <w:tcPr>
                  <w:tcW w:w="587" w:type="dxa"/>
                  <w:vAlign w:val="center"/>
                </w:tcPr>
                <w:p w14:paraId="7EDE6707">
                  <w:pPr>
                    <w:pStyle w:val="79"/>
                    <w:rPr>
                      <w:rFonts w:eastAsia="Times New Roman"/>
                    </w:rPr>
                  </w:pPr>
                  <w:r>
                    <w:rPr>
                      <w:rFonts w:eastAsia="Times New Roman"/>
                    </w:rPr>
                    <w:t>N1</w:t>
                  </w:r>
                </w:p>
              </w:tc>
              <w:tc>
                <w:tcPr>
                  <w:tcW w:w="1308" w:type="dxa"/>
                  <w:vAlign w:val="center"/>
                </w:tcPr>
                <w:p w14:paraId="352360F8">
                  <w:pPr>
                    <w:pStyle w:val="79"/>
                    <w:rPr>
                      <w:rFonts w:eastAsia="Times New Roman"/>
                    </w:rPr>
                  </w:pPr>
                  <w:r>
                    <w:rPr>
                      <w:rFonts w:eastAsia="Times New Roman"/>
                    </w:rPr>
                    <w:t>设备噪声</w:t>
                  </w:r>
                </w:p>
              </w:tc>
              <w:tc>
                <w:tcPr>
                  <w:tcW w:w="1421" w:type="dxa"/>
                  <w:vAlign w:val="center"/>
                </w:tcPr>
                <w:p w14:paraId="294BD373">
                  <w:pPr>
                    <w:pStyle w:val="79"/>
                    <w:rPr>
                      <w:rFonts w:eastAsia="Times New Roman"/>
                    </w:rPr>
                  </w:pPr>
                  <w:r>
                    <w:rPr>
                      <w:rFonts w:eastAsia="Times New Roman"/>
                    </w:rPr>
                    <w:t>Leq</w:t>
                  </w:r>
                  <w:r>
                    <w:rPr>
                      <w:rFonts w:hint="eastAsia" w:ascii="宋体" w:hAnsi="宋体" w:eastAsia="Times New Roman" w:cs="宋体"/>
                    </w:rPr>
                    <w:t>（</w:t>
                  </w:r>
                  <w:r>
                    <w:rPr>
                      <w:rFonts w:eastAsia="Times New Roman"/>
                    </w:rPr>
                    <w:t>dB</w:t>
                  </w:r>
                  <w:r>
                    <w:rPr>
                      <w:rFonts w:hint="eastAsia" w:eastAsiaTheme="minorEastAsia"/>
                    </w:rPr>
                    <w:t>(</w:t>
                  </w:r>
                  <w:r>
                    <w:rPr>
                      <w:rFonts w:eastAsia="Times New Roman"/>
                    </w:rPr>
                    <w:t>A</w:t>
                  </w:r>
                  <w:r>
                    <w:rPr>
                      <w:rFonts w:hint="eastAsia" w:eastAsiaTheme="minorEastAsia"/>
                    </w:rPr>
                    <w:t>)</w:t>
                  </w:r>
                  <w:r>
                    <w:rPr>
                      <w:rFonts w:hint="eastAsia" w:ascii="宋体" w:hAnsi="宋体" w:eastAsia="Times New Roman" w:cs="宋体"/>
                    </w:rPr>
                    <w:t>）</w:t>
                  </w:r>
                </w:p>
              </w:tc>
              <w:tc>
                <w:tcPr>
                  <w:tcW w:w="1349" w:type="dxa"/>
                  <w:vAlign w:val="center"/>
                </w:tcPr>
                <w:p w14:paraId="5CFBB5F2">
                  <w:pPr>
                    <w:pStyle w:val="79"/>
                    <w:rPr>
                      <w:rFonts w:eastAsia="Times New Roman"/>
                    </w:rPr>
                  </w:pPr>
                  <w:r>
                    <w:rPr>
                      <w:rFonts w:eastAsia="Times New Roman"/>
                    </w:rPr>
                    <w:t>生产线</w:t>
                  </w:r>
                </w:p>
              </w:tc>
              <w:tc>
                <w:tcPr>
                  <w:tcW w:w="2053" w:type="dxa"/>
                  <w:vAlign w:val="center"/>
                </w:tcPr>
                <w:p w14:paraId="3F7FF695">
                  <w:pPr>
                    <w:pStyle w:val="79"/>
                    <w:rPr>
                      <w:rFonts w:eastAsia="Times New Roman"/>
                    </w:rPr>
                  </w:pPr>
                  <w:r>
                    <w:rPr>
                      <w:rFonts w:eastAsia="Times New Roman"/>
                    </w:rPr>
                    <w:t>选用低噪声设备、车间合理布局、建筑隔声、距离衰减</w:t>
                  </w:r>
                </w:p>
              </w:tc>
              <w:tc>
                <w:tcPr>
                  <w:tcW w:w="923" w:type="dxa"/>
                  <w:vAlign w:val="center"/>
                </w:tcPr>
                <w:p w14:paraId="2B237AA9">
                  <w:pPr>
                    <w:pStyle w:val="79"/>
                    <w:rPr>
                      <w:rFonts w:eastAsia="Times New Roman"/>
                    </w:rPr>
                  </w:pPr>
                  <w:r>
                    <w:rPr>
                      <w:rFonts w:eastAsia="Times New Roman"/>
                    </w:rPr>
                    <w:t>连续</w:t>
                  </w:r>
                </w:p>
              </w:tc>
            </w:tr>
            <w:tr w14:paraId="42E3B01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restart"/>
                  <w:vAlign w:val="center"/>
                </w:tcPr>
                <w:p w14:paraId="3791FDDA">
                  <w:pPr>
                    <w:pStyle w:val="79"/>
                    <w:rPr>
                      <w:rFonts w:eastAsia="Times New Roman"/>
                    </w:rPr>
                  </w:pPr>
                  <w:r>
                    <w:rPr>
                      <w:rFonts w:eastAsia="Times New Roman"/>
                    </w:rPr>
                    <w:t>固废</w:t>
                  </w:r>
                </w:p>
              </w:tc>
              <w:tc>
                <w:tcPr>
                  <w:tcW w:w="587" w:type="dxa"/>
                  <w:vAlign w:val="center"/>
                </w:tcPr>
                <w:p w14:paraId="76C4589A">
                  <w:pPr>
                    <w:pStyle w:val="79"/>
                    <w:rPr>
                      <w:rFonts w:eastAsia="Times New Roman"/>
                    </w:rPr>
                  </w:pPr>
                  <w:r>
                    <w:rPr>
                      <w:rFonts w:eastAsia="Times New Roman"/>
                    </w:rPr>
                    <w:t>S1</w:t>
                  </w:r>
                </w:p>
              </w:tc>
              <w:tc>
                <w:tcPr>
                  <w:tcW w:w="2729" w:type="dxa"/>
                  <w:gridSpan w:val="2"/>
                  <w:vAlign w:val="center"/>
                </w:tcPr>
                <w:p w14:paraId="658805ED">
                  <w:pPr>
                    <w:pStyle w:val="79"/>
                    <w:rPr>
                      <w:rFonts w:eastAsia="Times New Roman"/>
                    </w:rPr>
                  </w:pPr>
                  <w:r>
                    <w:rPr>
                      <w:rFonts w:eastAsia="Times New Roman"/>
                    </w:rPr>
                    <w:t>边角料和不合格塑料件</w:t>
                  </w:r>
                </w:p>
              </w:tc>
              <w:tc>
                <w:tcPr>
                  <w:tcW w:w="1349" w:type="dxa"/>
                  <w:vAlign w:val="center"/>
                </w:tcPr>
                <w:p w14:paraId="2E584A36">
                  <w:pPr>
                    <w:pStyle w:val="79"/>
                    <w:rPr>
                      <w:rFonts w:eastAsia="Times New Roman"/>
                    </w:rPr>
                  </w:pPr>
                  <w:r>
                    <w:rPr>
                      <w:rFonts w:eastAsia="Times New Roman"/>
                    </w:rPr>
                    <w:t>检查、修边</w:t>
                  </w:r>
                </w:p>
              </w:tc>
              <w:tc>
                <w:tcPr>
                  <w:tcW w:w="2053" w:type="dxa"/>
                  <w:vAlign w:val="center"/>
                </w:tcPr>
                <w:p w14:paraId="0C23CFCA">
                  <w:pPr>
                    <w:pStyle w:val="79"/>
                    <w:rPr>
                      <w:rFonts w:eastAsia="Times New Roman"/>
                    </w:rPr>
                  </w:pPr>
                  <w:r>
                    <w:rPr>
                      <w:rFonts w:eastAsia="Times New Roman"/>
                    </w:rPr>
                    <w:t>破碎后回用于生产</w:t>
                  </w:r>
                </w:p>
              </w:tc>
              <w:tc>
                <w:tcPr>
                  <w:tcW w:w="923" w:type="dxa"/>
                  <w:vAlign w:val="center"/>
                </w:tcPr>
                <w:p w14:paraId="54E72783">
                  <w:pPr>
                    <w:pStyle w:val="79"/>
                    <w:rPr>
                      <w:rFonts w:eastAsia="Times New Roman"/>
                    </w:rPr>
                  </w:pPr>
                  <w:r>
                    <w:rPr>
                      <w:rFonts w:eastAsia="Times New Roman"/>
                    </w:rPr>
                    <w:t>间歇</w:t>
                  </w:r>
                </w:p>
              </w:tc>
            </w:tr>
            <w:tr w14:paraId="3EE1C96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continue"/>
                  <w:vAlign w:val="center"/>
                </w:tcPr>
                <w:p w14:paraId="33E76AF3">
                  <w:pPr>
                    <w:pStyle w:val="79"/>
                    <w:rPr>
                      <w:rFonts w:eastAsia="Times New Roman"/>
                    </w:rPr>
                  </w:pPr>
                </w:p>
              </w:tc>
              <w:tc>
                <w:tcPr>
                  <w:tcW w:w="587" w:type="dxa"/>
                  <w:vAlign w:val="center"/>
                </w:tcPr>
                <w:p w14:paraId="4FFECB23">
                  <w:pPr>
                    <w:pStyle w:val="79"/>
                    <w:rPr>
                      <w:rFonts w:eastAsia="Times New Roman"/>
                    </w:rPr>
                  </w:pPr>
                  <w:r>
                    <w:rPr>
                      <w:rFonts w:eastAsia="Times New Roman"/>
                    </w:rPr>
                    <w:t>S2</w:t>
                  </w:r>
                </w:p>
              </w:tc>
              <w:tc>
                <w:tcPr>
                  <w:tcW w:w="2729" w:type="dxa"/>
                  <w:gridSpan w:val="2"/>
                  <w:vAlign w:val="center"/>
                </w:tcPr>
                <w:p w14:paraId="7CC3D5E7">
                  <w:pPr>
                    <w:pStyle w:val="79"/>
                    <w:rPr>
                      <w:rFonts w:eastAsia="Times New Roman"/>
                    </w:rPr>
                  </w:pPr>
                  <w:r>
                    <w:rPr>
                      <w:rFonts w:eastAsia="Times New Roman"/>
                    </w:rPr>
                    <w:t>废活性炭</w:t>
                  </w:r>
                </w:p>
              </w:tc>
              <w:tc>
                <w:tcPr>
                  <w:tcW w:w="1349" w:type="dxa"/>
                  <w:vAlign w:val="center"/>
                </w:tcPr>
                <w:p w14:paraId="7FF1F719">
                  <w:pPr>
                    <w:pStyle w:val="79"/>
                    <w:rPr>
                      <w:rFonts w:eastAsia="Times New Roman"/>
                    </w:rPr>
                  </w:pPr>
                  <w:r>
                    <w:rPr>
                      <w:rFonts w:eastAsia="Times New Roman"/>
                    </w:rPr>
                    <w:t>废气处理</w:t>
                  </w:r>
                </w:p>
              </w:tc>
              <w:tc>
                <w:tcPr>
                  <w:tcW w:w="2053" w:type="dxa"/>
                  <w:vMerge w:val="restart"/>
                  <w:vAlign w:val="center"/>
                </w:tcPr>
                <w:p w14:paraId="00A187C7">
                  <w:pPr>
                    <w:pStyle w:val="79"/>
                    <w:jc w:val="both"/>
                    <w:rPr>
                      <w:rFonts w:eastAsia="Times New Roman"/>
                    </w:rPr>
                  </w:pPr>
                  <w:r>
                    <w:rPr>
                      <w:rFonts w:hint="eastAsia" w:ascii="宋体" w:hAnsi="宋体" w:eastAsia="Times New Roman" w:cs="宋体"/>
                    </w:rPr>
                    <w:t>收集好暂存于危废暂存间内，定期委托有资质单位进行处置</w:t>
                  </w:r>
                </w:p>
              </w:tc>
              <w:tc>
                <w:tcPr>
                  <w:tcW w:w="923" w:type="dxa"/>
                  <w:vAlign w:val="center"/>
                </w:tcPr>
                <w:p w14:paraId="4FE27CFD">
                  <w:pPr>
                    <w:pStyle w:val="79"/>
                    <w:rPr>
                      <w:rFonts w:eastAsia="Times New Roman"/>
                    </w:rPr>
                  </w:pPr>
                  <w:r>
                    <w:rPr>
                      <w:rFonts w:eastAsia="Times New Roman"/>
                    </w:rPr>
                    <w:t>间歇</w:t>
                  </w:r>
                </w:p>
              </w:tc>
            </w:tr>
            <w:tr w14:paraId="7B689C8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continue"/>
                  <w:vAlign w:val="center"/>
                </w:tcPr>
                <w:p w14:paraId="76F780E0">
                  <w:pPr>
                    <w:pStyle w:val="79"/>
                    <w:rPr>
                      <w:rFonts w:eastAsia="Times New Roman"/>
                    </w:rPr>
                  </w:pPr>
                </w:p>
              </w:tc>
              <w:tc>
                <w:tcPr>
                  <w:tcW w:w="587" w:type="dxa"/>
                  <w:vAlign w:val="center"/>
                </w:tcPr>
                <w:p w14:paraId="10180E22">
                  <w:pPr>
                    <w:pStyle w:val="79"/>
                    <w:rPr>
                      <w:rFonts w:eastAsia="Times New Roman"/>
                    </w:rPr>
                  </w:pPr>
                  <w:r>
                    <w:rPr>
                      <w:rFonts w:eastAsia="Times New Roman"/>
                    </w:rPr>
                    <w:t>S4</w:t>
                  </w:r>
                </w:p>
              </w:tc>
              <w:tc>
                <w:tcPr>
                  <w:tcW w:w="2729" w:type="dxa"/>
                  <w:gridSpan w:val="2"/>
                  <w:vAlign w:val="center"/>
                </w:tcPr>
                <w:p w14:paraId="05E2F277">
                  <w:pPr>
                    <w:pStyle w:val="79"/>
                    <w:rPr>
                      <w:rFonts w:eastAsia="Times New Roman"/>
                    </w:rPr>
                  </w:pPr>
                  <w:r>
                    <w:rPr>
                      <w:rFonts w:eastAsia="Times New Roman"/>
                    </w:rPr>
                    <w:t>废润滑油</w:t>
                  </w:r>
                </w:p>
              </w:tc>
              <w:tc>
                <w:tcPr>
                  <w:tcW w:w="1349" w:type="dxa"/>
                  <w:vAlign w:val="center"/>
                </w:tcPr>
                <w:p w14:paraId="6E7C76FA">
                  <w:pPr>
                    <w:pStyle w:val="79"/>
                    <w:rPr>
                      <w:rFonts w:eastAsia="Times New Roman"/>
                    </w:rPr>
                  </w:pPr>
                  <w:r>
                    <w:rPr>
                      <w:rFonts w:eastAsia="Times New Roman"/>
                    </w:rPr>
                    <w:t>设备检修</w:t>
                  </w:r>
                </w:p>
              </w:tc>
              <w:tc>
                <w:tcPr>
                  <w:tcW w:w="2053" w:type="dxa"/>
                  <w:vMerge w:val="continue"/>
                  <w:vAlign w:val="center"/>
                </w:tcPr>
                <w:p w14:paraId="37ED340E">
                  <w:pPr>
                    <w:pStyle w:val="79"/>
                    <w:rPr>
                      <w:rFonts w:eastAsia="Times New Roman"/>
                    </w:rPr>
                  </w:pPr>
                </w:p>
              </w:tc>
              <w:tc>
                <w:tcPr>
                  <w:tcW w:w="923" w:type="dxa"/>
                  <w:vAlign w:val="center"/>
                </w:tcPr>
                <w:p w14:paraId="21F2D1D5">
                  <w:pPr>
                    <w:pStyle w:val="79"/>
                    <w:rPr>
                      <w:rFonts w:eastAsia="Times New Roman"/>
                    </w:rPr>
                  </w:pPr>
                  <w:r>
                    <w:rPr>
                      <w:rFonts w:eastAsia="Times New Roman"/>
                    </w:rPr>
                    <w:t>间歇</w:t>
                  </w:r>
                </w:p>
              </w:tc>
            </w:tr>
            <w:tr w14:paraId="6EDAF77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continue"/>
                  <w:vAlign w:val="center"/>
                </w:tcPr>
                <w:p w14:paraId="774B2563">
                  <w:pPr>
                    <w:pStyle w:val="79"/>
                    <w:rPr>
                      <w:rFonts w:eastAsia="Times New Roman"/>
                    </w:rPr>
                  </w:pPr>
                </w:p>
              </w:tc>
              <w:tc>
                <w:tcPr>
                  <w:tcW w:w="587" w:type="dxa"/>
                  <w:vAlign w:val="center"/>
                </w:tcPr>
                <w:p w14:paraId="18E64885">
                  <w:pPr>
                    <w:pStyle w:val="79"/>
                    <w:rPr>
                      <w:rFonts w:eastAsia="Times New Roman"/>
                    </w:rPr>
                  </w:pPr>
                  <w:r>
                    <w:rPr>
                      <w:rFonts w:eastAsia="Times New Roman"/>
                    </w:rPr>
                    <w:t>S1</w:t>
                  </w:r>
                </w:p>
              </w:tc>
              <w:tc>
                <w:tcPr>
                  <w:tcW w:w="2729" w:type="dxa"/>
                  <w:gridSpan w:val="2"/>
                  <w:vAlign w:val="center"/>
                </w:tcPr>
                <w:p w14:paraId="5578CC0A">
                  <w:pPr>
                    <w:pStyle w:val="79"/>
                    <w:rPr>
                      <w:rFonts w:eastAsiaTheme="minorEastAsia"/>
                    </w:rPr>
                  </w:pPr>
                  <w:r>
                    <w:rPr>
                      <w:rFonts w:eastAsia="Times New Roman"/>
                    </w:rPr>
                    <w:t>含油抹布</w:t>
                  </w:r>
                </w:p>
              </w:tc>
              <w:tc>
                <w:tcPr>
                  <w:tcW w:w="1349" w:type="dxa"/>
                  <w:vAlign w:val="center"/>
                </w:tcPr>
                <w:p w14:paraId="16387E8B">
                  <w:pPr>
                    <w:pStyle w:val="79"/>
                    <w:rPr>
                      <w:rFonts w:eastAsia="Times New Roman"/>
                    </w:rPr>
                  </w:pPr>
                  <w:r>
                    <w:rPr>
                      <w:rFonts w:eastAsia="Times New Roman"/>
                    </w:rPr>
                    <w:t>设备检修</w:t>
                  </w:r>
                </w:p>
              </w:tc>
              <w:tc>
                <w:tcPr>
                  <w:tcW w:w="2053" w:type="dxa"/>
                  <w:vMerge w:val="continue"/>
                  <w:vAlign w:val="center"/>
                </w:tcPr>
                <w:p w14:paraId="105B44FC">
                  <w:pPr>
                    <w:pStyle w:val="79"/>
                    <w:rPr>
                      <w:rFonts w:eastAsia="Times New Roman"/>
                    </w:rPr>
                  </w:pPr>
                </w:p>
              </w:tc>
              <w:tc>
                <w:tcPr>
                  <w:tcW w:w="923" w:type="dxa"/>
                  <w:vAlign w:val="center"/>
                </w:tcPr>
                <w:p w14:paraId="18722AA7">
                  <w:pPr>
                    <w:pStyle w:val="79"/>
                    <w:rPr>
                      <w:rFonts w:eastAsia="Times New Roman"/>
                    </w:rPr>
                  </w:pPr>
                  <w:r>
                    <w:rPr>
                      <w:rFonts w:eastAsia="Times New Roman"/>
                    </w:rPr>
                    <w:t>间歇</w:t>
                  </w:r>
                </w:p>
              </w:tc>
            </w:tr>
            <w:tr w14:paraId="576A663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continue"/>
                  <w:vAlign w:val="center"/>
                </w:tcPr>
                <w:p w14:paraId="6155B121">
                  <w:pPr>
                    <w:pStyle w:val="79"/>
                    <w:rPr>
                      <w:rFonts w:eastAsia="Times New Roman"/>
                    </w:rPr>
                  </w:pPr>
                </w:p>
              </w:tc>
              <w:tc>
                <w:tcPr>
                  <w:tcW w:w="587" w:type="dxa"/>
                  <w:vAlign w:val="center"/>
                </w:tcPr>
                <w:p w14:paraId="2F7931B4">
                  <w:pPr>
                    <w:pStyle w:val="79"/>
                    <w:rPr>
                      <w:rFonts w:eastAsia="Times New Roman"/>
                    </w:rPr>
                  </w:pPr>
                  <w:r>
                    <w:rPr>
                      <w:rFonts w:eastAsia="Times New Roman"/>
                    </w:rPr>
                    <w:t>S2</w:t>
                  </w:r>
                </w:p>
              </w:tc>
              <w:tc>
                <w:tcPr>
                  <w:tcW w:w="2729" w:type="dxa"/>
                  <w:gridSpan w:val="2"/>
                  <w:vAlign w:val="center"/>
                </w:tcPr>
                <w:p w14:paraId="5774A3C0">
                  <w:pPr>
                    <w:pStyle w:val="79"/>
                    <w:rPr>
                      <w:rFonts w:eastAsia="Times New Roman"/>
                    </w:rPr>
                  </w:pPr>
                  <w:r>
                    <w:rPr>
                      <w:rFonts w:eastAsia="Times New Roman"/>
                    </w:rPr>
                    <w:t>废包装袋</w:t>
                  </w:r>
                </w:p>
              </w:tc>
              <w:tc>
                <w:tcPr>
                  <w:tcW w:w="1349" w:type="dxa"/>
                  <w:vAlign w:val="center"/>
                </w:tcPr>
                <w:p w14:paraId="30BAE307">
                  <w:pPr>
                    <w:pStyle w:val="79"/>
                    <w:rPr>
                      <w:rFonts w:eastAsia="Times New Roman"/>
                    </w:rPr>
                  </w:pPr>
                  <w:r>
                    <w:rPr>
                      <w:rFonts w:eastAsia="Times New Roman"/>
                    </w:rPr>
                    <w:t>产品包装</w:t>
                  </w:r>
                </w:p>
              </w:tc>
              <w:tc>
                <w:tcPr>
                  <w:tcW w:w="2053" w:type="dxa"/>
                  <w:vAlign w:val="center"/>
                </w:tcPr>
                <w:p w14:paraId="0CA45B10">
                  <w:pPr>
                    <w:pStyle w:val="79"/>
                    <w:rPr>
                      <w:rFonts w:eastAsia="Times New Roman"/>
                    </w:rPr>
                  </w:pPr>
                  <w:r>
                    <w:rPr>
                      <w:rFonts w:hint="eastAsia" w:ascii="宋体" w:hAnsi="宋体" w:eastAsia="Times New Roman" w:cs="宋体"/>
                    </w:rPr>
                    <w:t>集中</w:t>
                  </w:r>
                  <w:r>
                    <w:rPr>
                      <w:rFonts w:eastAsia="Times New Roman"/>
                    </w:rPr>
                    <w:t>收集后外售</w:t>
                  </w:r>
                </w:p>
              </w:tc>
              <w:tc>
                <w:tcPr>
                  <w:tcW w:w="923" w:type="dxa"/>
                  <w:vAlign w:val="center"/>
                </w:tcPr>
                <w:p w14:paraId="18462E49">
                  <w:pPr>
                    <w:pStyle w:val="79"/>
                    <w:rPr>
                      <w:rFonts w:eastAsia="Times New Roman"/>
                    </w:rPr>
                  </w:pPr>
                  <w:r>
                    <w:rPr>
                      <w:rFonts w:eastAsia="Times New Roman"/>
                    </w:rPr>
                    <w:t>间歇</w:t>
                  </w:r>
                </w:p>
              </w:tc>
            </w:tr>
            <w:tr w14:paraId="51A9D6E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52" w:type="dxa"/>
                  <w:vMerge w:val="continue"/>
                  <w:vAlign w:val="center"/>
                </w:tcPr>
                <w:p w14:paraId="27DFE83B">
                  <w:pPr>
                    <w:pStyle w:val="79"/>
                    <w:rPr>
                      <w:rFonts w:eastAsia="Times New Roman"/>
                    </w:rPr>
                  </w:pPr>
                </w:p>
              </w:tc>
              <w:tc>
                <w:tcPr>
                  <w:tcW w:w="587" w:type="dxa"/>
                  <w:vAlign w:val="center"/>
                </w:tcPr>
                <w:p w14:paraId="53DCE544">
                  <w:pPr>
                    <w:pStyle w:val="79"/>
                    <w:rPr>
                      <w:rFonts w:eastAsia="Times New Roman"/>
                    </w:rPr>
                  </w:pPr>
                  <w:r>
                    <w:rPr>
                      <w:rFonts w:eastAsia="Times New Roman"/>
                    </w:rPr>
                    <w:t>S4</w:t>
                  </w:r>
                </w:p>
              </w:tc>
              <w:tc>
                <w:tcPr>
                  <w:tcW w:w="2729" w:type="dxa"/>
                  <w:gridSpan w:val="2"/>
                  <w:vAlign w:val="center"/>
                </w:tcPr>
                <w:p w14:paraId="5C5446A1">
                  <w:pPr>
                    <w:pStyle w:val="79"/>
                    <w:rPr>
                      <w:rFonts w:eastAsia="Times New Roman"/>
                    </w:rPr>
                  </w:pPr>
                  <w:r>
                    <w:rPr>
                      <w:rFonts w:eastAsia="Times New Roman"/>
                    </w:rPr>
                    <w:t>生活垃圾</w:t>
                  </w:r>
                </w:p>
              </w:tc>
              <w:tc>
                <w:tcPr>
                  <w:tcW w:w="1349" w:type="dxa"/>
                  <w:vAlign w:val="center"/>
                </w:tcPr>
                <w:p w14:paraId="28268208">
                  <w:pPr>
                    <w:pStyle w:val="79"/>
                    <w:rPr>
                      <w:rFonts w:eastAsia="Times New Roman"/>
                    </w:rPr>
                  </w:pPr>
                  <w:r>
                    <w:rPr>
                      <w:rFonts w:eastAsia="Times New Roman"/>
                    </w:rPr>
                    <w:t>办公生活</w:t>
                  </w:r>
                </w:p>
              </w:tc>
              <w:tc>
                <w:tcPr>
                  <w:tcW w:w="2053" w:type="dxa"/>
                  <w:vAlign w:val="center"/>
                </w:tcPr>
                <w:p w14:paraId="685723D4">
                  <w:pPr>
                    <w:pStyle w:val="79"/>
                    <w:rPr>
                      <w:rFonts w:eastAsia="Times New Roman"/>
                    </w:rPr>
                  </w:pPr>
                  <w:r>
                    <w:rPr>
                      <w:rFonts w:eastAsia="Times New Roman"/>
                    </w:rPr>
                    <w:t>收集后委托环卫部门</w:t>
                  </w:r>
                </w:p>
                <w:p w14:paraId="72065B52">
                  <w:pPr>
                    <w:pStyle w:val="79"/>
                    <w:rPr>
                      <w:rFonts w:eastAsia="Times New Roman"/>
                    </w:rPr>
                  </w:pPr>
                  <w:r>
                    <w:rPr>
                      <w:rFonts w:eastAsia="Times New Roman"/>
                    </w:rPr>
                    <w:t>清运处理</w:t>
                  </w:r>
                </w:p>
              </w:tc>
              <w:tc>
                <w:tcPr>
                  <w:tcW w:w="923" w:type="dxa"/>
                  <w:vAlign w:val="center"/>
                </w:tcPr>
                <w:p w14:paraId="78EA5AC9">
                  <w:pPr>
                    <w:pStyle w:val="79"/>
                    <w:rPr>
                      <w:rFonts w:eastAsia="Times New Roman"/>
                    </w:rPr>
                  </w:pPr>
                  <w:r>
                    <w:rPr>
                      <w:rFonts w:eastAsia="Times New Roman"/>
                    </w:rPr>
                    <w:t>间歇</w:t>
                  </w:r>
                </w:p>
              </w:tc>
            </w:tr>
          </w:tbl>
          <w:p w14:paraId="7BA6BF9F">
            <w:pPr>
              <w:spacing w:line="336" w:lineRule="auto"/>
              <w:ind w:firstLine="480"/>
            </w:pPr>
          </w:p>
        </w:tc>
      </w:tr>
      <w:tr w14:paraId="7F0AFB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24" w:hRule="atLeast"/>
          <w:jc w:val="center"/>
        </w:trPr>
        <w:tc>
          <w:tcPr>
            <w:tcW w:w="557" w:type="dxa"/>
            <w:vAlign w:val="center"/>
          </w:tcPr>
          <w:p w14:paraId="20DC132B">
            <w:pPr>
              <w:pStyle w:val="76"/>
              <w:rPr>
                <w:b/>
                <w:bCs w:val="0"/>
              </w:rPr>
            </w:pPr>
            <w:r>
              <w:rPr>
                <w:rFonts w:hint="eastAsia"/>
                <w:b/>
                <w:bCs w:val="0"/>
              </w:rPr>
              <w:t>与项目有关的原有环境污染问题</w:t>
            </w:r>
          </w:p>
        </w:tc>
        <w:tc>
          <w:tcPr>
            <w:tcW w:w="8551" w:type="dxa"/>
            <w:vAlign w:val="center"/>
          </w:tcPr>
          <w:p w14:paraId="35D80D39">
            <w:pPr>
              <w:pStyle w:val="175"/>
              <w:spacing w:before="120"/>
              <w:ind w:firstLine="480"/>
              <w:rPr>
                <w:rFonts w:hint="eastAsia"/>
                <w:bCs/>
              </w:rPr>
            </w:pPr>
            <w:r>
              <w:rPr>
                <w:rFonts w:hint="eastAsia"/>
              </w:rPr>
              <w:t>一、现状工程</w:t>
            </w:r>
            <w:r>
              <w:t>污染物</w:t>
            </w:r>
            <w:r>
              <w:rPr>
                <w:rFonts w:hint="eastAsia"/>
              </w:rPr>
              <w:t>排放情况</w:t>
            </w:r>
          </w:p>
          <w:p w14:paraId="3C800AD1">
            <w:pPr>
              <w:ind w:firstLine="480"/>
            </w:pPr>
            <w:r>
              <w:rPr>
                <w:rFonts w:hint="eastAsia"/>
              </w:rPr>
              <w:t>项目已于2025年7月完成主要生产设备，并开始调试生产，生产过程中主要污染物为破碎废气、注塑废气，员工生活污水及生产固废。</w:t>
            </w:r>
          </w:p>
          <w:p w14:paraId="172BB5DE">
            <w:pPr>
              <w:ind w:firstLine="480"/>
            </w:pPr>
            <w:r>
              <w:rPr>
                <w:rFonts w:hint="eastAsia"/>
              </w:rPr>
              <w:t>为了解项目调试生产过程中各污染物排放达标情况，本次环评委托广西德益环保科技有限公司对项目污染物排放达标情况进行监测，监测期间项目正常生产，监测结果如下：</w:t>
            </w:r>
          </w:p>
          <w:p w14:paraId="02ECB322">
            <w:pPr>
              <w:pStyle w:val="132"/>
              <w:numPr>
                <w:ilvl w:val="0"/>
                <w:numId w:val="3"/>
              </w:numPr>
              <w:ind w:firstLineChars="0"/>
            </w:pPr>
            <w:r>
              <w:rPr>
                <w:rFonts w:hint="eastAsia"/>
              </w:rPr>
              <w:t>废气</w:t>
            </w:r>
          </w:p>
          <w:p w14:paraId="4DA0DCA4">
            <w:pPr>
              <w:pStyle w:val="117"/>
              <w:ind w:firstLine="480"/>
            </w:pPr>
            <w:r>
              <w:rPr>
                <w:rFonts w:hint="eastAsia"/>
              </w:rPr>
              <w:t>项目生产过程中产生的废气主要为破碎废气及注塑废气，项目未建设废气收集处置措施，项目废气均为无组织排放。根据广西德益环保科技有限公司出具的《柳州市远诚科技有限公司环评监测报告》（报告编号：德益（环监）[2025]017号，详见附件7），项目厂界无组织排放废气监测结果见表2-8。</w:t>
            </w:r>
          </w:p>
          <w:p w14:paraId="2F3D6FC0">
            <w:pPr>
              <w:pStyle w:val="87"/>
            </w:pPr>
          </w:p>
          <w:p w14:paraId="62F4E001">
            <w:pPr>
              <w:pStyle w:val="87"/>
            </w:pPr>
          </w:p>
          <w:p w14:paraId="67427C99">
            <w:pPr>
              <w:pStyle w:val="87"/>
            </w:pPr>
            <w:r>
              <w:rPr>
                <w:rFonts w:hint="eastAsia"/>
              </w:rPr>
              <w:t>表2-8  项目厂界无组织废气监测结果表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74"/>
              <w:gridCol w:w="1737"/>
              <w:gridCol w:w="1612"/>
              <w:gridCol w:w="635"/>
              <w:gridCol w:w="635"/>
              <w:gridCol w:w="635"/>
              <w:gridCol w:w="635"/>
              <w:gridCol w:w="640"/>
              <w:gridCol w:w="410"/>
              <w:gridCol w:w="922"/>
            </w:tblGrid>
            <w:tr w14:paraId="4C83172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restart"/>
                  <w:vAlign w:val="center"/>
                </w:tcPr>
                <w:p w14:paraId="7CB2EB8B">
                  <w:pPr>
                    <w:pStyle w:val="79"/>
                    <w:rPr>
                      <w:rFonts w:eastAsia="Times New Roman"/>
                      <w:b w:val="0"/>
                    </w:rPr>
                  </w:pPr>
                  <w:r>
                    <w:rPr>
                      <w:rFonts w:eastAsia="Times New Roman"/>
                      <w:b/>
                    </w:rPr>
                    <w:t>监测</w:t>
                  </w:r>
                </w:p>
                <w:p w14:paraId="77033E43">
                  <w:pPr>
                    <w:pStyle w:val="79"/>
                    <w:rPr>
                      <w:rFonts w:eastAsia="Times New Roman"/>
                      <w:b/>
                    </w:rPr>
                  </w:pPr>
                  <w:r>
                    <w:rPr>
                      <w:rFonts w:eastAsia="Times New Roman"/>
                      <w:b/>
                    </w:rPr>
                    <w:t>日期</w:t>
                  </w:r>
                </w:p>
              </w:tc>
              <w:tc>
                <w:tcPr>
                  <w:tcW w:w="1042" w:type="pct"/>
                  <w:vMerge w:val="restart"/>
                  <w:vAlign w:val="center"/>
                </w:tcPr>
                <w:p w14:paraId="52787977">
                  <w:pPr>
                    <w:pStyle w:val="79"/>
                    <w:rPr>
                      <w:rFonts w:eastAsia="Times New Roman"/>
                      <w:b/>
                    </w:rPr>
                  </w:pPr>
                  <w:r>
                    <w:rPr>
                      <w:rFonts w:eastAsia="Times New Roman"/>
                      <w:b/>
                    </w:rPr>
                    <w:t>监测点位</w:t>
                  </w:r>
                </w:p>
              </w:tc>
              <w:tc>
                <w:tcPr>
                  <w:tcW w:w="967" w:type="pct"/>
                  <w:vMerge w:val="restart"/>
                  <w:vAlign w:val="center"/>
                </w:tcPr>
                <w:p w14:paraId="72D89E13">
                  <w:pPr>
                    <w:pStyle w:val="79"/>
                    <w:rPr>
                      <w:rFonts w:eastAsia="Times New Roman"/>
                      <w:b w:val="0"/>
                    </w:rPr>
                  </w:pPr>
                  <w:r>
                    <w:rPr>
                      <w:rFonts w:eastAsia="Times New Roman"/>
                      <w:b/>
                    </w:rPr>
                    <w:t>监测</w:t>
                  </w:r>
                </w:p>
                <w:p w14:paraId="7B35228E">
                  <w:pPr>
                    <w:pStyle w:val="79"/>
                    <w:rPr>
                      <w:rFonts w:eastAsia="Times New Roman"/>
                      <w:b w:val="0"/>
                    </w:rPr>
                  </w:pPr>
                  <w:r>
                    <w:rPr>
                      <w:rFonts w:hint="eastAsia" w:eastAsia="Times New Roman"/>
                      <w:b/>
                    </w:rPr>
                    <w:t>分析</w:t>
                  </w:r>
                </w:p>
                <w:p w14:paraId="407B91E7">
                  <w:pPr>
                    <w:pStyle w:val="79"/>
                    <w:rPr>
                      <w:rFonts w:eastAsia="Times New Roman"/>
                      <w:b/>
                    </w:rPr>
                  </w:pPr>
                  <w:r>
                    <w:rPr>
                      <w:rFonts w:eastAsia="Times New Roman"/>
                      <w:b/>
                    </w:rPr>
                    <w:t>项目</w:t>
                  </w:r>
                </w:p>
              </w:tc>
              <w:tc>
                <w:tcPr>
                  <w:tcW w:w="1908" w:type="pct"/>
                  <w:gridSpan w:val="5"/>
                  <w:vAlign w:val="center"/>
                </w:tcPr>
                <w:p w14:paraId="5F992F8C">
                  <w:pPr>
                    <w:pStyle w:val="79"/>
                    <w:rPr>
                      <w:rFonts w:eastAsia="Times New Roman"/>
                      <w:b/>
                    </w:rPr>
                  </w:pPr>
                  <w:r>
                    <w:rPr>
                      <w:rFonts w:hint="eastAsia" w:eastAsia="Times New Roman"/>
                      <w:b/>
                    </w:rPr>
                    <w:t>监测结果</w:t>
                  </w:r>
                </w:p>
              </w:tc>
              <w:tc>
                <w:tcPr>
                  <w:tcW w:w="246" w:type="pct"/>
                  <w:vMerge w:val="restart"/>
                  <w:vAlign w:val="center"/>
                </w:tcPr>
                <w:p w14:paraId="12C1E587">
                  <w:pPr>
                    <w:pStyle w:val="79"/>
                    <w:rPr>
                      <w:rFonts w:ascii="宋体" w:hAnsi="宋体" w:eastAsia="Times New Roman" w:cs="宋体"/>
                      <w:b w:val="0"/>
                    </w:rPr>
                  </w:pPr>
                  <w:r>
                    <w:rPr>
                      <w:rFonts w:hint="eastAsia" w:ascii="宋体" w:hAnsi="宋体" w:eastAsia="Times New Roman" w:cs="宋体"/>
                      <w:b/>
                    </w:rPr>
                    <w:t>执行</w:t>
                  </w:r>
                </w:p>
                <w:p w14:paraId="338F3373">
                  <w:pPr>
                    <w:pStyle w:val="79"/>
                    <w:rPr>
                      <w:rFonts w:eastAsia="Times New Roman"/>
                      <w:b/>
                    </w:rPr>
                  </w:pPr>
                  <w:r>
                    <w:rPr>
                      <w:rFonts w:hint="eastAsia" w:ascii="宋体" w:hAnsi="宋体" w:eastAsia="Times New Roman" w:cs="宋体"/>
                      <w:b/>
                    </w:rPr>
                    <w:t>标准</w:t>
                  </w:r>
                </w:p>
              </w:tc>
              <w:tc>
                <w:tcPr>
                  <w:tcW w:w="553" w:type="pct"/>
                  <w:vMerge w:val="restart"/>
                  <w:vAlign w:val="center"/>
                </w:tcPr>
                <w:p w14:paraId="17B5A097">
                  <w:pPr>
                    <w:pStyle w:val="79"/>
                    <w:rPr>
                      <w:rFonts w:eastAsia="Times New Roman"/>
                      <w:b w:val="0"/>
                    </w:rPr>
                  </w:pPr>
                  <w:r>
                    <w:rPr>
                      <w:rFonts w:hint="eastAsia" w:eastAsia="Times New Roman"/>
                      <w:b/>
                    </w:rPr>
                    <w:t>达标</w:t>
                  </w:r>
                </w:p>
                <w:p w14:paraId="2DDE8438">
                  <w:pPr>
                    <w:pStyle w:val="79"/>
                    <w:rPr>
                      <w:rFonts w:eastAsia="Times New Roman"/>
                      <w:b/>
                    </w:rPr>
                  </w:pPr>
                  <w:r>
                    <w:rPr>
                      <w:rFonts w:hint="eastAsia" w:eastAsia="Times New Roman"/>
                      <w:b/>
                    </w:rPr>
                    <w:t>情况</w:t>
                  </w:r>
                </w:p>
              </w:tc>
            </w:tr>
            <w:tr w14:paraId="4243B59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5C1B556E">
                  <w:pPr>
                    <w:pStyle w:val="79"/>
                    <w:rPr>
                      <w:rFonts w:eastAsia="Times New Roman"/>
                    </w:rPr>
                  </w:pPr>
                </w:p>
              </w:tc>
              <w:tc>
                <w:tcPr>
                  <w:tcW w:w="1042" w:type="pct"/>
                  <w:vMerge w:val="continue"/>
                  <w:vAlign w:val="center"/>
                </w:tcPr>
                <w:p w14:paraId="1FA95440">
                  <w:pPr>
                    <w:pStyle w:val="79"/>
                    <w:rPr>
                      <w:rFonts w:eastAsia="Times New Roman"/>
                    </w:rPr>
                  </w:pPr>
                </w:p>
              </w:tc>
              <w:tc>
                <w:tcPr>
                  <w:tcW w:w="967" w:type="pct"/>
                  <w:vMerge w:val="continue"/>
                  <w:vAlign w:val="center"/>
                </w:tcPr>
                <w:p w14:paraId="3E11D552">
                  <w:pPr>
                    <w:pStyle w:val="79"/>
                    <w:rPr>
                      <w:rFonts w:eastAsia="Times New Roman"/>
                    </w:rPr>
                  </w:pPr>
                </w:p>
              </w:tc>
              <w:tc>
                <w:tcPr>
                  <w:tcW w:w="381" w:type="pct"/>
                  <w:vAlign w:val="center"/>
                </w:tcPr>
                <w:p w14:paraId="4D317BDC">
                  <w:pPr>
                    <w:pStyle w:val="79"/>
                    <w:rPr>
                      <w:rFonts w:eastAsia="Times New Roman"/>
                      <w:b/>
                      <w:bCs/>
                    </w:rPr>
                  </w:pPr>
                  <w:r>
                    <w:rPr>
                      <w:rFonts w:hint="eastAsia" w:eastAsia="Times New Roman"/>
                      <w:b/>
                      <w:bCs/>
                      <w:lang w:val="en-US"/>
                    </w:rPr>
                    <w:t>第1次</w:t>
                  </w:r>
                </w:p>
              </w:tc>
              <w:tc>
                <w:tcPr>
                  <w:tcW w:w="381" w:type="pct"/>
                  <w:vAlign w:val="center"/>
                </w:tcPr>
                <w:p w14:paraId="7E69954A">
                  <w:pPr>
                    <w:pStyle w:val="79"/>
                    <w:rPr>
                      <w:rFonts w:eastAsia="Times New Roman"/>
                      <w:b/>
                      <w:bCs/>
                    </w:rPr>
                  </w:pPr>
                  <w:r>
                    <w:rPr>
                      <w:rFonts w:hint="eastAsia" w:eastAsia="Times New Roman"/>
                      <w:b/>
                      <w:bCs/>
                      <w:lang w:val="en-US"/>
                    </w:rPr>
                    <w:t>第2次</w:t>
                  </w:r>
                </w:p>
              </w:tc>
              <w:tc>
                <w:tcPr>
                  <w:tcW w:w="381" w:type="pct"/>
                  <w:vAlign w:val="center"/>
                </w:tcPr>
                <w:p w14:paraId="33912714">
                  <w:pPr>
                    <w:pStyle w:val="79"/>
                    <w:rPr>
                      <w:rFonts w:eastAsia="Times New Roman"/>
                      <w:b/>
                      <w:bCs/>
                    </w:rPr>
                  </w:pPr>
                  <w:r>
                    <w:rPr>
                      <w:rFonts w:hint="eastAsia" w:eastAsia="Times New Roman"/>
                      <w:b/>
                      <w:bCs/>
                      <w:lang w:val="en-US"/>
                    </w:rPr>
                    <w:t>第3次</w:t>
                  </w:r>
                </w:p>
              </w:tc>
              <w:tc>
                <w:tcPr>
                  <w:tcW w:w="381" w:type="pct"/>
                  <w:vAlign w:val="center"/>
                </w:tcPr>
                <w:p w14:paraId="6294F305">
                  <w:pPr>
                    <w:pStyle w:val="79"/>
                    <w:rPr>
                      <w:rFonts w:eastAsia="Times New Roman"/>
                      <w:b/>
                      <w:bCs/>
                    </w:rPr>
                  </w:pPr>
                  <w:r>
                    <w:rPr>
                      <w:rFonts w:hint="eastAsia" w:eastAsia="Times New Roman"/>
                      <w:b/>
                      <w:bCs/>
                      <w:lang w:val="en-US"/>
                    </w:rPr>
                    <w:t>第4次</w:t>
                  </w:r>
                </w:p>
              </w:tc>
              <w:tc>
                <w:tcPr>
                  <w:tcW w:w="384" w:type="pct"/>
                  <w:vAlign w:val="center"/>
                </w:tcPr>
                <w:p w14:paraId="073BEEF8">
                  <w:pPr>
                    <w:pStyle w:val="79"/>
                    <w:rPr>
                      <w:rFonts w:eastAsia="Times New Roman"/>
                      <w:b/>
                      <w:bCs/>
                    </w:rPr>
                  </w:pPr>
                  <w:r>
                    <w:rPr>
                      <w:rFonts w:hint="eastAsia" w:eastAsia="Times New Roman"/>
                      <w:b/>
                      <w:bCs/>
                      <w:lang w:val="en-US"/>
                    </w:rPr>
                    <w:t>最大值</w:t>
                  </w:r>
                </w:p>
              </w:tc>
              <w:tc>
                <w:tcPr>
                  <w:tcW w:w="246" w:type="pct"/>
                  <w:vMerge w:val="continue"/>
                  <w:vAlign w:val="center"/>
                </w:tcPr>
                <w:p w14:paraId="214B6601">
                  <w:pPr>
                    <w:pStyle w:val="79"/>
                    <w:rPr>
                      <w:rFonts w:eastAsia="Times New Roman"/>
                      <w:lang w:val="en-US"/>
                    </w:rPr>
                  </w:pPr>
                </w:p>
              </w:tc>
              <w:tc>
                <w:tcPr>
                  <w:tcW w:w="553" w:type="pct"/>
                  <w:vMerge w:val="continue"/>
                  <w:vAlign w:val="center"/>
                </w:tcPr>
                <w:p w14:paraId="6494F9E5">
                  <w:pPr>
                    <w:pStyle w:val="79"/>
                    <w:rPr>
                      <w:rFonts w:eastAsia="Times New Roman"/>
                      <w:lang w:val="en-US"/>
                    </w:rPr>
                  </w:pPr>
                </w:p>
              </w:tc>
            </w:tr>
            <w:tr w14:paraId="1AB4B2C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restart"/>
                  <w:vAlign w:val="center"/>
                </w:tcPr>
                <w:p w14:paraId="3A9AFF55">
                  <w:pPr>
                    <w:pStyle w:val="79"/>
                    <w:rPr>
                      <w:rFonts w:eastAsiaTheme="minorEastAsia"/>
                      <w:lang w:val="en-US"/>
                    </w:rPr>
                  </w:pPr>
                  <w:r>
                    <w:rPr>
                      <w:rFonts w:hint="eastAsia" w:eastAsia="Times New Roman"/>
                      <w:lang w:val="en-US"/>
                    </w:rPr>
                    <w:t>2025</w:t>
                  </w:r>
                  <w:r>
                    <w:rPr>
                      <w:rFonts w:hint="eastAsia" w:eastAsiaTheme="minorEastAsia"/>
                      <w:lang w:val="en-US"/>
                    </w:rPr>
                    <w:t>.</w:t>
                  </w:r>
                </w:p>
                <w:p w14:paraId="67423BAA">
                  <w:pPr>
                    <w:pStyle w:val="79"/>
                    <w:rPr>
                      <w:rFonts w:eastAsia="Times New Roman"/>
                    </w:rPr>
                  </w:pPr>
                  <w:r>
                    <w:rPr>
                      <w:rFonts w:hint="eastAsia" w:eastAsia="Times New Roman"/>
                      <w:lang w:val="en-US"/>
                    </w:rPr>
                    <w:t>07.13</w:t>
                  </w:r>
                </w:p>
              </w:tc>
              <w:tc>
                <w:tcPr>
                  <w:tcW w:w="1042" w:type="pct"/>
                  <w:vAlign w:val="center"/>
                </w:tcPr>
                <w:p w14:paraId="72F7D626">
                  <w:pPr>
                    <w:pStyle w:val="79"/>
                    <w:rPr>
                      <w:rFonts w:eastAsia="Times New Roman"/>
                    </w:rPr>
                  </w:pPr>
                  <w:r>
                    <w:rPr>
                      <w:rFonts w:hint="eastAsia" w:eastAsia="Times New Roman"/>
                      <w:lang w:val="en-US"/>
                    </w:rPr>
                    <w:t>1#</w:t>
                  </w:r>
                  <w:r>
                    <w:rPr>
                      <w:rFonts w:hint="eastAsia" w:ascii="宋体" w:hAnsi="宋体" w:eastAsia="Times New Roman" w:cs="宋体"/>
                      <w:lang w:val="en-US"/>
                    </w:rPr>
                    <w:t>项目厂界上风向</w:t>
                  </w:r>
                </w:p>
              </w:tc>
              <w:tc>
                <w:tcPr>
                  <w:tcW w:w="967" w:type="pct"/>
                  <w:vMerge w:val="restart"/>
                  <w:vAlign w:val="center"/>
                </w:tcPr>
                <w:p w14:paraId="28DF7780">
                  <w:pPr>
                    <w:pStyle w:val="79"/>
                    <w:rPr>
                      <w:rFonts w:eastAsia="Times New Roman"/>
                      <w:szCs w:val="24"/>
                      <w:lang w:val="en-US"/>
                    </w:rPr>
                  </w:pPr>
                  <w:r>
                    <w:rPr>
                      <w:rFonts w:hint="eastAsia" w:eastAsia="Times New Roman"/>
                      <w:szCs w:val="24"/>
                      <w:lang w:val="en-US"/>
                    </w:rPr>
                    <w:t>非甲烷</w:t>
                  </w:r>
                </w:p>
                <w:p w14:paraId="1FF8418B">
                  <w:pPr>
                    <w:pStyle w:val="79"/>
                    <w:rPr>
                      <w:rFonts w:eastAsia="Times New Roman"/>
                      <w:szCs w:val="24"/>
                      <w:lang w:val="en-US"/>
                    </w:rPr>
                  </w:pPr>
                  <w:r>
                    <w:rPr>
                      <w:rFonts w:hint="eastAsia" w:eastAsia="Times New Roman"/>
                      <w:szCs w:val="24"/>
                      <w:lang w:val="en-US"/>
                    </w:rPr>
                    <w:t>总烃</w:t>
                  </w:r>
                </w:p>
                <w:p w14:paraId="11F73562">
                  <w:pPr>
                    <w:pStyle w:val="79"/>
                    <w:rPr>
                      <w:rFonts w:eastAsia="Times New Roman"/>
                      <w:szCs w:val="24"/>
                    </w:rPr>
                  </w:pPr>
                  <w:r>
                    <w:rPr>
                      <w:rFonts w:hint="eastAsia" w:eastAsia="Times New Roman"/>
                      <w:szCs w:val="24"/>
                      <w:lang w:val="en-US"/>
                    </w:rPr>
                    <w:t>（mg/m³）</w:t>
                  </w:r>
                </w:p>
              </w:tc>
              <w:tc>
                <w:tcPr>
                  <w:tcW w:w="381" w:type="pct"/>
                  <w:vAlign w:val="center"/>
                </w:tcPr>
                <w:p w14:paraId="53C7B9CE">
                  <w:pPr>
                    <w:pStyle w:val="79"/>
                    <w:rPr>
                      <w:rFonts w:eastAsiaTheme="minorEastAsia"/>
                    </w:rPr>
                  </w:pPr>
                  <w:r>
                    <w:rPr>
                      <w:rFonts w:hint="eastAsia" w:eastAsiaTheme="minorEastAsia"/>
                      <w:szCs w:val="21"/>
                      <w:lang w:val="en-US"/>
                    </w:rPr>
                    <w:t xml:space="preserve"> </w:t>
                  </w:r>
                </w:p>
              </w:tc>
              <w:tc>
                <w:tcPr>
                  <w:tcW w:w="381" w:type="pct"/>
                  <w:vAlign w:val="center"/>
                </w:tcPr>
                <w:p w14:paraId="302FFF6F">
                  <w:pPr>
                    <w:pStyle w:val="79"/>
                    <w:rPr>
                      <w:rFonts w:eastAsia="Times New Roman"/>
                    </w:rPr>
                  </w:pPr>
                  <w:r>
                    <w:rPr>
                      <w:rFonts w:hint="eastAsia" w:eastAsiaTheme="minorEastAsia"/>
                      <w:szCs w:val="21"/>
                      <w:lang w:val="en-US"/>
                    </w:rPr>
                    <w:t xml:space="preserve"> </w:t>
                  </w:r>
                </w:p>
              </w:tc>
              <w:tc>
                <w:tcPr>
                  <w:tcW w:w="381" w:type="pct"/>
                  <w:vAlign w:val="center"/>
                </w:tcPr>
                <w:p w14:paraId="3C6718DF">
                  <w:pPr>
                    <w:pStyle w:val="79"/>
                    <w:rPr>
                      <w:rFonts w:eastAsia="Times New Roman"/>
                    </w:rPr>
                  </w:pPr>
                  <w:r>
                    <w:rPr>
                      <w:rFonts w:hint="eastAsia" w:eastAsiaTheme="minorEastAsia"/>
                      <w:szCs w:val="21"/>
                      <w:lang w:val="en-US"/>
                    </w:rPr>
                    <w:t xml:space="preserve"> </w:t>
                  </w:r>
                </w:p>
              </w:tc>
              <w:tc>
                <w:tcPr>
                  <w:tcW w:w="381" w:type="pct"/>
                  <w:vAlign w:val="center"/>
                </w:tcPr>
                <w:p w14:paraId="5A31EACB">
                  <w:pPr>
                    <w:pStyle w:val="79"/>
                    <w:rPr>
                      <w:rFonts w:eastAsia="Times New Roman"/>
                    </w:rPr>
                  </w:pPr>
                  <w:r>
                    <w:rPr>
                      <w:rFonts w:hint="eastAsia" w:eastAsiaTheme="minorEastAsia"/>
                      <w:szCs w:val="21"/>
                      <w:lang w:val="en-US"/>
                    </w:rPr>
                    <w:t xml:space="preserve"> </w:t>
                  </w:r>
                </w:p>
              </w:tc>
              <w:tc>
                <w:tcPr>
                  <w:tcW w:w="384" w:type="pct"/>
                  <w:vAlign w:val="center"/>
                </w:tcPr>
                <w:p w14:paraId="48094809">
                  <w:pPr>
                    <w:pStyle w:val="79"/>
                    <w:rPr>
                      <w:rFonts w:eastAsia="Times New Roman"/>
                    </w:rPr>
                  </w:pPr>
                  <w:r>
                    <w:rPr>
                      <w:rFonts w:hint="eastAsia" w:eastAsiaTheme="minorEastAsia"/>
                      <w:szCs w:val="21"/>
                      <w:lang w:val="en-US"/>
                    </w:rPr>
                    <w:t xml:space="preserve"> </w:t>
                  </w:r>
                </w:p>
              </w:tc>
              <w:tc>
                <w:tcPr>
                  <w:tcW w:w="246" w:type="pct"/>
                  <w:vMerge w:val="restart"/>
                  <w:vAlign w:val="center"/>
                </w:tcPr>
                <w:p w14:paraId="271D5664">
                  <w:pPr>
                    <w:pStyle w:val="79"/>
                    <w:rPr>
                      <w:rFonts w:eastAsiaTheme="minorEastAsia"/>
                      <w:lang w:val="en-US"/>
                    </w:rPr>
                  </w:pPr>
                  <w:r>
                    <w:rPr>
                      <w:rFonts w:hint="eastAsia" w:eastAsiaTheme="minorEastAsia"/>
                      <w:lang w:val="en-US"/>
                    </w:rPr>
                    <w:t>4.0</w:t>
                  </w:r>
                </w:p>
              </w:tc>
              <w:tc>
                <w:tcPr>
                  <w:tcW w:w="553" w:type="pct"/>
                  <w:vAlign w:val="center"/>
                </w:tcPr>
                <w:p w14:paraId="2B87FAFE">
                  <w:pPr>
                    <w:pStyle w:val="79"/>
                    <w:rPr>
                      <w:rFonts w:eastAsia="Times New Roman"/>
                      <w:lang w:val="en-US"/>
                    </w:rPr>
                  </w:pPr>
                  <w:r>
                    <w:rPr>
                      <w:rFonts w:hint="eastAsia" w:eastAsiaTheme="minorEastAsia"/>
                      <w:szCs w:val="21"/>
                      <w:lang w:val="en-US"/>
                    </w:rPr>
                    <w:t xml:space="preserve"> </w:t>
                  </w:r>
                </w:p>
              </w:tc>
            </w:tr>
            <w:tr w14:paraId="7BC865E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213A2660">
                  <w:pPr>
                    <w:pStyle w:val="79"/>
                    <w:rPr>
                      <w:rFonts w:eastAsia="Times New Roman"/>
                    </w:rPr>
                  </w:pPr>
                </w:p>
              </w:tc>
              <w:tc>
                <w:tcPr>
                  <w:tcW w:w="1042" w:type="pct"/>
                  <w:vAlign w:val="center"/>
                </w:tcPr>
                <w:p w14:paraId="4EDEF44F">
                  <w:pPr>
                    <w:pStyle w:val="79"/>
                    <w:rPr>
                      <w:rFonts w:eastAsia="Times New Roman"/>
                    </w:rPr>
                  </w:pPr>
                  <w:r>
                    <w:rPr>
                      <w:rFonts w:hint="eastAsia" w:eastAsia="Times New Roman"/>
                      <w:lang w:val="en-US"/>
                    </w:rPr>
                    <w:t>2#</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5A4F66D2">
                  <w:pPr>
                    <w:pStyle w:val="79"/>
                    <w:rPr>
                      <w:rFonts w:eastAsia="Times New Roman"/>
                      <w:szCs w:val="24"/>
                    </w:rPr>
                  </w:pPr>
                </w:p>
              </w:tc>
              <w:tc>
                <w:tcPr>
                  <w:tcW w:w="381" w:type="pct"/>
                  <w:vAlign w:val="center"/>
                </w:tcPr>
                <w:p w14:paraId="33286440">
                  <w:pPr>
                    <w:pStyle w:val="79"/>
                    <w:rPr>
                      <w:rFonts w:eastAsiaTheme="minorEastAsia"/>
                    </w:rPr>
                  </w:pPr>
                  <w:r>
                    <w:rPr>
                      <w:rFonts w:hint="eastAsia" w:eastAsiaTheme="minorEastAsia"/>
                      <w:szCs w:val="21"/>
                      <w:lang w:val="en-US"/>
                    </w:rPr>
                    <w:t xml:space="preserve"> </w:t>
                  </w:r>
                </w:p>
              </w:tc>
              <w:tc>
                <w:tcPr>
                  <w:tcW w:w="381" w:type="pct"/>
                  <w:vAlign w:val="center"/>
                </w:tcPr>
                <w:p w14:paraId="2F9ABC8C">
                  <w:pPr>
                    <w:pStyle w:val="79"/>
                    <w:rPr>
                      <w:rFonts w:eastAsia="Times New Roman"/>
                    </w:rPr>
                  </w:pPr>
                  <w:r>
                    <w:rPr>
                      <w:rFonts w:hint="eastAsia" w:eastAsiaTheme="minorEastAsia"/>
                      <w:szCs w:val="21"/>
                      <w:lang w:val="en-US"/>
                    </w:rPr>
                    <w:t xml:space="preserve"> </w:t>
                  </w:r>
                </w:p>
              </w:tc>
              <w:tc>
                <w:tcPr>
                  <w:tcW w:w="381" w:type="pct"/>
                  <w:vAlign w:val="center"/>
                </w:tcPr>
                <w:p w14:paraId="5E4023C5">
                  <w:pPr>
                    <w:pStyle w:val="79"/>
                    <w:rPr>
                      <w:rFonts w:eastAsia="Times New Roman"/>
                    </w:rPr>
                  </w:pPr>
                  <w:r>
                    <w:rPr>
                      <w:rFonts w:hint="eastAsia" w:eastAsiaTheme="minorEastAsia"/>
                      <w:szCs w:val="21"/>
                      <w:lang w:val="en-US"/>
                    </w:rPr>
                    <w:t xml:space="preserve"> </w:t>
                  </w:r>
                </w:p>
              </w:tc>
              <w:tc>
                <w:tcPr>
                  <w:tcW w:w="381" w:type="pct"/>
                  <w:vAlign w:val="center"/>
                </w:tcPr>
                <w:p w14:paraId="5DA91F65">
                  <w:pPr>
                    <w:pStyle w:val="79"/>
                    <w:rPr>
                      <w:rFonts w:eastAsia="Times New Roman"/>
                    </w:rPr>
                  </w:pPr>
                  <w:r>
                    <w:rPr>
                      <w:rFonts w:hint="eastAsia" w:eastAsiaTheme="minorEastAsia"/>
                      <w:szCs w:val="21"/>
                      <w:lang w:val="en-US"/>
                    </w:rPr>
                    <w:t xml:space="preserve"> </w:t>
                  </w:r>
                </w:p>
              </w:tc>
              <w:tc>
                <w:tcPr>
                  <w:tcW w:w="384" w:type="pct"/>
                  <w:vAlign w:val="center"/>
                </w:tcPr>
                <w:p w14:paraId="3C2655EF">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25BB8F69">
                  <w:pPr>
                    <w:pStyle w:val="79"/>
                    <w:rPr>
                      <w:rFonts w:eastAsia="Times New Roman"/>
                      <w:lang w:val="en-US"/>
                    </w:rPr>
                  </w:pPr>
                </w:p>
              </w:tc>
              <w:tc>
                <w:tcPr>
                  <w:tcW w:w="553" w:type="pct"/>
                  <w:vAlign w:val="center"/>
                </w:tcPr>
                <w:p w14:paraId="277983F7">
                  <w:pPr>
                    <w:pStyle w:val="79"/>
                    <w:rPr>
                      <w:rFonts w:eastAsia="Times New Roman"/>
                      <w:lang w:val="en-US"/>
                    </w:rPr>
                  </w:pPr>
                  <w:r>
                    <w:rPr>
                      <w:rFonts w:hint="eastAsia" w:eastAsiaTheme="minorEastAsia"/>
                      <w:szCs w:val="21"/>
                      <w:lang w:val="en-US"/>
                    </w:rPr>
                    <w:t xml:space="preserve"> </w:t>
                  </w:r>
                </w:p>
              </w:tc>
            </w:tr>
            <w:tr w14:paraId="2469B93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51F9700F">
                  <w:pPr>
                    <w:pStyle w:val="79"/>
                    <w:rPr>
                      <w:rFonts w:eastAsia="Times New Roman"/>
                    </w:rPr>
                  </w:pPr>
                </w:p>
              </w:tc>
              <w:tc>
                <w:tcPr>
                  <w:tcW w:w="1042" w:type="pct"/>
                  <w:vAlign w:val="center"/>
                </w:tcPr>
                <w:p w14:paraId="694CCB16">
                  <w:pPr>
                    <w:pStyle w:val="79"/>
                    <w:rPr>
                      <w:rFonts w:eastAsia="Times New Roman"/>
                    </w:rPr>
                  </w:pPr>
                  <w:r>
                    <w:rPr>
                      <w:rFonts w:hint="eastAsia" w:eastAsia="Times New Roman"/>
                      <w:lang w:val="en-US"/>
                    </w:rPr>
                    <w:t>3#</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4217EA73">
                  <w:pPr>
                    <w:pStyle w:val="79"/>
                    <w:rPr>
                      <w:rFonts w:eastAsia="Times New Roman"/>
                      <w:szCs w:val="24"/>
                    </w:rPr>
                  </w:pPr>
                </w:p>
              </w:tc>
              <w:tc>
                <w:tcPr>
                  <w:tcW w:w="381" w:type="pct"/>
                  <w:vAlign w:val="center"/>
                </w:tcPr>
                <w:p w14:paraId="2A8A275A">
                  <w:pPr>
                    <w:pStyle w:val="79"/>
                    <w:rPr>
                      <w:rFonts w:eastAsiaTheme="minorEastAsia"/>
                    </w:rPr>
                  </w:pPr>
                  <w:r>
                    <w:rPr>
                      <w:rFonts w:hint="eastAsia" w:eastAsiaTheme="minorEastAsia"/>
                      <w:szCs w:val="21"/>
                      <w:lang w:val="en-US"/>
                    </w:rPr>
                    <w:t xml:space="preserve"> </w:t>
                  </w:r>
                </w:p>
              </w:tc>
              <w:tc>
                <w:tcPr>
                  <w:tcW w:w="381" w:type="pct"/>
                  <w:vAlign w:val="center"/>
                </w:tcPr>
                <w:p w14:paraId="11147EEA">
                  <w:pPr>
                    <w:pStyle w:val="79"/>
                    <w:rPr>
                      <w:rFonts w:eastAsia="Times New Roman"/>
                    </w:rPr>
                  </w:pPr>
                  <w:r>
                    <w:rPr>
                      <w:rFonts w:hint="eastAsia" w:eastAsiaTheme="minorEastAsia"/>
                      <w:szCs w:val="21"/>
                      <w:lang w:val="en-US"/>
                    </w:rPr>
                    <w:t xml:space="preserve"> </w:t>
                  </w:r>
                </w:p>
              </w:tc>
              <w:tc>
                <w:tcPr>
                  <w:tcW w:w="381" w:type="pct"/>
                  <w:vAlign w:val="center"/>
                </w:tcPr>
                <w:p w14:paraId="5A559AF7">
                  <w:pPr>
                    <w:pStyle w:val="79"/>
                    <w:rPr>
                      <w:rFonts w:eastAsia="Times New Roman"/>
                    </w:rPr>
                  </w:pPr>
                  <w:r>
                    <w:rPr>
                      <w:rFonts w:hint="eastAsia" w:eastAsiaTheme="minorEastAsia"/>
                      <w:szCs w:val="21"/>
                      <w:lang w:val="en-US"/>
                    </w:rPr>
                    <w:t xml:space="preserve"> </w:t>
                  </w:r>
                </w:p>
              </w:tc>
              <w:tc>
                <w:tcPr>
                  <w:tcW w:w="381" w:type="pct"/>
                  <w:vAlign w:val="center"/>
                </w:tcPr>
                <w:p w14:paraId="2126EC45">
                  <w:pPr>
                    <w:pStyle w:val="79"/>
                    <w:rPr>
                      <w:rFonts w:eastAsia="Times New Roman"/>
                    </w:rPr>
                  </w:pPr>
                  <w:r>
                    <w:rPr>
                      <w:rFonts w:hint="eastAsia" w:eastAsiaTheme="minorEastAsia"/>
                      <w:szCs w:val="21"/>
                      <w:lang w:val="en-US"/>
                    </w:rPr>
                    <w:t xml:space="preserve"> </w:t>
                  </w:r>
                </w:p>
              </w:tc>
              <w:tc>
                <w:tcPr>
                  <w:tcW w:w="384" w:type="pct"/>
                  <w:vAlign w:val="center"/>
                </w:tcPr>
                <w:p w14:paraId="6D42D42D">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37D2BCA2">
                  <w:pPr>
                    <w:pStyle w:val="79"/>
                    <w:rPr>
                      <w:rFonts w:eastAsia="Times New Roman"/>
                      <w:lang w:val="en-US"/>
                    </w:rPr>
                  </w:pPr>
                </w:p>
              </w:tc>
              <w:tc>
                <w:tcPr>
                  <w:tcW w:w="553" w:type="pct"/>
                  <w:vAlign w:val="center"/>
                </w:tcPr>
                <w:p w14:paraId="2A9B571D">
                  <w:pPr>
                    <w:pStyle w:val="79"/>
                    <w:rPr>
                      <w:rFonts w:eastAsia="Times New Roman"/>
                      <w:lang w:val="en-US"/>
                    </w:rPr>
                  </w:pPr>
                  <w:r>
                    <w:rPr>
                      <w:rFonts w:hint="eastAsia" w:eastAsiaTheme="minorEastAsia"/>
                      <w:szCs w:val="21"/>
                      <w:lang w:val="en-US"/>
                    </w:rPr>
                    <w:t xml:space="preserve"> </w:t>
                  </w:r>
                </w:p>
              </w:tc>
            </w:tr>
            <w:tr w14:paraId="781BEFE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06F37057">
                  <w:pPr>
                    <w:pStyle w:val="79"/>
                    <w:rPr>
                      <w:rFonts w:eastAsia="Times New Roman"/>
                    </w:rPr>
                  </w:pPr>
                </w:p>
              </w:tc>
              <w:tc>
                <w:tcPr>
                  <w:tcW w:w="1042" w:type="pct"/>
                  <w:vAlign w:val="center"/>
                </w:tcPr>
                <w:p w14:paraId="442968A9">
                  <w:pPr>
                    <w:pStyle w:val="79"/>
                    <w:rPr>
                      <w:rFonts w:eastAsia="Times New Roman"/>
                    </w:rPr>
                  </w:pPr>
                  <w:r>
                    <w:rPr>
                      <w:rFonts w:hint="eastAsia" w:eastAsia="Times New Roman"/>
                      <w:lang w:val="en-US"/>
                    </w:rPr>
                    <w:t>4#</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03A0F7EF">
                  <w:pPr>
                    <w:pStyle w:val="79"/>
                    <w:rPr>
                      <w:rFonts w:eastAsia="Times New Roman"/>
                      <w:szCs w:val="24"/>
                    </w:rPr>
                  </w:pPr>
                </w:p>
              </w:tc>
              <w:tc>
                <w:tcPr>
                  <w:tcW w:w="381" w:type="pct"/>
                  <w:vAlign w:val="center"/>
                </w:tcPr>
                <w:p w14:paraId="51544BD0">
                  <w:pPr>
                    <w:pStyle w:val="79"/>
                    <w:rPr>
                      <w:rFonts w:eastAsiaTheme="minorEastAsia"/>
                    </w:rPr>
                  </w:pPr>
                  <w:r>
                    <w:rPr>
                      <w:rFonts w:hint="eastAsia" w:eastAsiaTheme="minorEastAsia"/>
                      <w:szCs w:val="21"/>
                      <w:lang w:val="en-US"/>
                    </w:rPr>
                    <w:t xml:space="preserve"> </w:t>
                  </w:r>
                </w:p>
              </w:tc>
              <w:tc>
                <w:tcPr>
                  <w:tcW w:w="381" w:type="pct"/>
                  <w:vAlign w:val="center"/>
                </w:tcPr>
                <w:p w14:paraId="29ED490C">
                  <w:pPr>
                    <w:pStyle w:val="79"/>
                    <w:rPr>
                      <w:rFonts w:eastAsia="Times New Roman"/>
                    </w:rPr>
                  </w:pPr>
                  <w:r>
                    <w:rPr>
                      <w:rFonts w:hint="eastAsia" w:eastAsiaTheme="minorEastAsia"/>
                      <w:szCs w:val="21"/>
                      <w:lang w:val="en-US"/>
                    </w:rPr>
                    <w:t xml:space="preserve"> </w:t>
                  </w:r>
                </w:p>
              </w:tc>
              <w:tc>
                <w:tcPr>
                  <w:tcW w:w="381" w:type="pct"/>
                  <w:vAlign w:val="center"/>
                </w:tcPr>
                <w:p w14:paraId="0F182D13">
                  <w:pPr>
                    <w:pStyle w:val="79"/>
                    <w:rPr>
                      <w:rFonts w:eastAsia="Times New Roman"/>
                    </w:rPr>
                  </w:pPr>
                  <w:r>
                    <w:rPr>
                      <w:rFonts w:hint="eastAsia" w:eastAsiaTheme="minorEastAsia"/>
                      <w:szCs w:val="21"/>
                      <w:lang w:val="en-US"/>
                    </w:rPr>
                    <w:t xml:space="preserve"> </w:t>
                  </w:r>
                </w:p>
              </w:tc>
              <w:tc>
                <w:tcPr>
                  <w:tcW w:w="381" w:type="pct"/>
                  <w:vAlign w:val="center"/>
                </w:tcPr>
                <w:p w14:paraId="2D85F1F8">
                  <w:pPr>
                    <w:pStyle w:val="79"/>
                    <w:rPr>
                      <w:rFonts w:eastAsia="Times New Roman"/>
                    </w:rPr>
                  </w:pPr>
                  <w:r>
                    <w:rPr>
                      <w:rFonts w:hint="eastAsia" w:eastAsiaTheme="minorEastAsia"/>
                      <w:szCs w:val="21"/>
                      <w:lang w:val="en-US"/>
                    </w:rPr>
                    <w:t xml:space="preserve"> </w:t>
                  </w:r>
                </w:p>
              </w:tc>
              <w:tc>
                <w:tcPr>
                  <w:tcW w:w="384" w:type="pct"/>
                  <w:vAlign w:val="center"/>
                </w:tcPr>
                <w:p w14:paraId="06A07630">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54E2C0AA">
                  <w:pPr>
                    <w:pStyle w:val="79"/>
                    <w:rPr>
                      <w:rFonts w:eastAsia="Times New Roman"/>
                      <w:lang w:val="en-US"/>
                    </w:rPr>
                  </w:pPr>
                </w:p>
              </w:tc>
              <w:tc>
                <w:tcPr>
                  <w:tcW w:w="553" w:type="pct"/>
                  <w:vAlign w:val="center"/>
                </w:tcPr>
                <w:p w14:paraId="1A062090">
                  <w:pPr>
                    <w:pStyle w:val="79"/>
                    <w:rPr>
                      <w:rFonts w:eastAsia="Times New Roman"/>
                      <w:lang w:val="en-US"/>
                    </w:rPr>
                  </w:pPr>
                  <w:r>
                    <w:rPr>
                      <w:rFonts w:hint="eastAsia" w:eastAsiaTheme="minorEastAsia"/>
                      <w:szCs w:val="21"/>
                      <w:lang w:val="en-US"/>
                    </w:rPr>
                    <w:t xml:space="preserve"> </w:t>
                  </w:r>
                </w:p>
              </w:tc>
            </w:tr>
            <w:tr w14:paraId="407988A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62CE7416">
                  <w:pPr>
                    <w:pStyle w:val="79"/>
                    <w:rPr>
                      <w:rFonts w:eastAsia="Times New Roman"/>
                    </w:rPr>
                  </w:pPr>
                </w:p>
              </w:tc>
              <w:tc>
                <w:tcPr>
                  <w:tcW w:w="1042" w:type="pct"/>
                  <w:vAlign w:val="center"/>
                </w:tcPr>
                <w:p w14:paraId="254858D2">
                  <w:pPr>
                    <w:pStyle w:val="79"/>
                    <w:rPr>
                      <w:rFonts w:eastAsia="Times New Roman"/>
                    </w:rPr>
                  </w:pPr>
                  <w:r>
                    <w:rPr>
                      <w:rFonts w:hint="eastAsia" w:eastAsia="Times New Roman"/>
                      <w:lang w:val="en-US"/>
                    </w:rPr>
                    <w:t>1#</w:t>
                  </w:r>
                  <w:r>
                    <w:rPr>
                      <w:rFonts w:hint="eastAsia" w:ascii="宋体" w:hAnsi="宋体" w:eastAsia="Times New Roman" w:cs="宋体"/>
                      <w:lang w:val="en-US"/>
                    </w:rPr>
                    <w:t>项目厂界上风向</w:t>
                  </w:r>
                </w:p>
              </w:tc>
              <w:tc>
                <w:tcPr>
                  <w:tcW w:w="967" w:type="pct"/>
                  <w:vMerge w:val="restart"/>
                  <w:vAlign w:val="center"/>
                </w:tcPr>
                <w:p w14:paraId="6384282F">
                  <w:pPr>
                    <w:pStyle w:val="79"/>
                    <w:rPr>
                      <w:rFonts w:eastAsia="Times New Roman"/>
                      <w:szCs w:val="24"/>
                      <w:lang w:val="en-US"/>
                    </w:rPr>
                  </w:pPr>
                  <w:r>
                    <w:rPr>
                      <w:rFonts w:hint="eastAsia" w:eastAsia="Times New Roman"/>
                      <w:szCs w:val="24"/>
                      <w:lang w:val="en-US"/>
                    </w:rPr>
                    <w:t>总悬浮</w:t>
                  </w:r>
                </w:p>
                <w:p w14:paraId="6006803E">
                  <w:pPr>
                    <w:pStyle w:val="79"/>
                    <w:rPr>
                      <w:rFonts w:eastAsia="Times New Roman"/>
                      <w:szCs w:val="24"/>
                      <w:lang w:val="en-US"/>
                    </w:rPr>
                  </w:pPr>
                  <w:r>
                    <w:rPr>
                      <w:rFonts w:hint="eastAsia" w:eastAsia="Times New Roman"/>
                      <w:szCs w:val="24"/>
                      <w:lang w:val="en-US"/>
                    </w:rPr>
                    <w:t>颗粒物</w:t>
                  </w:r>
                </w:p>
                <w:p w14:paraId="7472BD50">
                  <w:pPr>
                    <w:pStyle w:val="79"/>
                    <w:rPr>
                      <w:rFonts w:eastAsia="Times New Roman"/>
                      <w:szCs w:val="24"/>
                    </w:rPr>
                  </w:pPr>
                  <w:r>
                    <w:rPr>
                      <w:rFonts w:hint="eastAsia" w:eastAsia="Times New Roman"/>
                      <w:szCs w:val="24"/>
                      <w:lang w:val="en-US"/>
                    </w:rPr>
                    <w:t>（</w:t>
                  </w:r>
                  <w:r>
                    <w:rPr>
                      <w:rFonts w:hint="eastAsia" w:eastAsia="Times New Roman"/>
                      <w:lang w:val="en-US"/>
                    </w:rPr>
                    <w:t>u</w:t>
                  </w:r>
                  <w:r>
                    <w:rPr>
                      <w:rFonts w:hint="eastAsia" w:eastAsia="Times New Roman"/>
                    </w:rPr>
                    <w:t>g/m</w:t>
                  </w:r>
                  <w:r>
                    <w:rPr>
                      <w:rFonts w:hint="eastAsia" w:eastAsia="Times New Roman"/>
                      <w:vertAlign w:val="superscript"/>
                      <w:lang w:val="en-US"/>
                    </w:rPr>
                    <w:t>3</w:t>
                  </w:r>
                  <w:r>
                    <w:rPr>
                      <w:rFonts w:hint="eastAsia" w:eastAsia="Times New Roman"/>
                      <w:szCs w:val="24"/>
                      <w:lang w:val="en-US"/>
                    </w:rPr>
                    <w:t>）</w:t>
                  </w:r>
                </w:p>
              </w:tc>
              <w:tc>
                <w:tcPr>
                  <w:tcW w:w="381" w:type="pct"/>
                  <w:vAlign w:val="center"/>
                </w:tcPr>
                <w:p w14:paraId="70D58A64">
                  <w:pPr>
                    <w:pStyle w:val="79"/>
                    <w:rPr>
                      <w:rFonts w:eastAsia="Times New Roman"/>
                    </w:rPr>
                  </w:pPr>
                  <w:r>
                    <w:rPr>
                      <w:rFonts w:hint="eastAsia" w:eastAsiaTheme="minorEastAsia"/>
                      <w:szCs w:val="21"/>
                      <w:lang w:val="en-US"/>
                    </w:rPr>
                    <w:t xml:space="preserve"> </w:t>
                  </w:r>
                </w:p>
              </w:tc>
              <w:tc>
                <w:tcPr>
                  <w:tcW w:w="381" w:type="pct"/>
                  <w:vAlign w:val="center"/>
                </w:tcPr>
                <w:p w14:paraId="4B2B008F">
                  <w:pPr>
                    <w:pStyle w:val="79"/>
                    <w:rPr>
                      <w:rFonts w:eastAsia="Times New Roman"/>
                    </w:rPr>
                  </w:pPr>
                  <w:r>
                    <w:rPr>
                      <w:rFonts w:hint="eastAsia" w:eastAsiaTheme="minorEastAsia"/>
                      <w:szCs w:val="21"/>
                      <w:lang w:val="en-US"/>
                    </w:rPr>
                    <w:t xml:space="preserve"> </w:t>
                  </w:r>
                </w:p>
              </w:tc>
              <w:tc>
                <w:tcPr>
                  <w:tcW w:w="381" w:type="pct"/>
                  <w:vAlign w:val="center"/>
                </w:tcPr>
                <w:p w14:paraId="4BC14CE2">
                  <w:pPr>
                    <w:pStyle w:val="79"/>
                    <w:rPr>
                      <w:rFonts w:eastAsia="Times New Roman"/>
                    </w:rPr>
                  </w:pPr>
                  <w:r>
                    <w:rPr>
                      <w:rFonts w:hint="eastAsia" w:eastAsiaTheme="minorEastAsia"/>
                      <w:szCs w:val="21"/>
                      <w:lang w:val="en-US"/>
                    </w:rPr>
                    <w:t xml:space="preserve"> </w:t>
                  </w:r>
                </w:p>
              </w:tc>
              <w:tc>
                <w:tcPr>
                  <w:tcW w:w="381" w:type="pct"/>
                  <w:vAlign w:val="center"/>
                </w:tcPr>
                <w:p w14:paraId="51AF5942">
                  <w:pPr>
                    <w:pStyle w:val="79"/>
                    <w:rPr>
                      <w:rFonts w:eastAsia="Times New Roman"/>
                    </w:rPr>
                  </w:pPr>
                  <w:r>
                    <w:rPr>
                      <w:rFonts w:hint="eastAsia" w:eastAsiaTheme="minorEastAsia"/>
                      <w:szCs w:val="21"/>
                      <w:lang w:val="en-US"/>
                    </w:rPr>
                    <w:t xml:space="preserve"> </w:t>
                  </w:r>
                </w:p>
              </w:tc>
              <w:tc>
                <w:tcPr>
                  <w:tcW w:w="384" w:type="pct"/>
                  <w:vAlign w:val="center"/>
                </w:tcPr>
                <w:p w14:paraId="4F002D0A">
                  <w:pPr>
                    <w:pStyle w:val="79"/>
                    <w:rPr>
                      <w:rFonts w:eastAsia="Times New Roman"/>
                    </w:rPr>
                  </w:pPr>
                  <w:r>
                    <w:rPr>
                      <w:rFonts w:hint="eastAsia" w:eastAsiaTheme="minorEastAsia"/>
                      <w:szCs w:val="21"/>
                      <w:lang w:val="en-US"/>
                    </w:rPr>
                    <w:t xml:space="preserve"> </w:t>
                  </w:r>
                </w:p>
              </w:tc>
              <w:tc>
                <w:tcPr>
                  <w:tcW w:w="246" w:type="pct"/>
                  <w:vMerge w:val="restart"/>
                  <w:vAlign w:val="center"/>
                </w:tcPr>
                <w:p w14:paraId="54CCC055">
                  <w:pPr>
                    <w:pStyle w:val="79"/>
                    <w:rPr>
                      <w:rFonts w:eastAsiaTheme="minorEastAsia"/>
                      <w:lang w:val="en-US"/>
                    </w:rPr>
                  </w:pPr>
                  <w:r>
                    <w:rPr>
                      <w:rFonts w:hint="eastAsia" w:eastAsiaTheme="minorEastAsia"/>
                      <w:lang w:val="en-US"/>
                    </w:rPr>
                    <w:t>1.0</w:t>
                  </w:r>
                </w:p>
              </w:tc>
              <w:tc>
                <w:tcPr>
                  <w:tcW w:w="553" w:type="pct"/>
                  <w:vAlign w:val="center"/>
                </w:tcPr>
                <w:p w14:paraId="4DFB65B4">
                  <w:pPr>
                    <w:pStyle w:val="79"/>
                    <w:rPr>
                      <w:rFonts w:eastAsia="Times New Roman"/>
                      <w:lang w:val="en-US"/>
                    </w:rPr>
                  </w:pPr>
                  <w:r>
                    <w:rPr>
                      <w:rFonts w:hint="eastAsia" w:eastAsiaTheme="minorEastAsia"/>
                      <w:szCs w:val="21"/>
                      <w:lang w:val="en-US"/>
                    </w:rPr>
                    <w:t xml:space="preserve"> </w:t>
                  </w:r>
                </w:p>
              </w:tc>
            </w:tr>
            <w:tr w14:paraId="1965EAD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117C357A">
                  <w:pPr>
                    <w:pStyle w:val="79"/>
                    <w:rPr>
                      <w:rFonts w:eastAsia="Times New Roman"/>
                    </w:rPr>
                  </w:pPr>
                </w:p>
              </w:tc>
              <w:tc>
                <w:tcPr>
                  <w:tcW w:w="1042" w:type="pct"/>
                  <w:vAlign w:val="center"/>
                </w:tcPr>
                <w:p w14:paraId="651C55BF">
                  <w:pPr>
                    <w:pStyle w:val="79"/>
                    <w:rPr>
                      <w:rFonts w:eastAsia="Times New Roman"/>
                    </w:rPr>
                  </w:pPr>
                  <w:r>
                    <w:rPr>
                      <w:rFonts w:hint="eastAsia" w:eastAsia="Times New Roman"/>
                      <w:lang w:val="en-US"/>
                    </w:rPr>
                    <w:t>2#</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0B1264B8">
                  <w:pPr>
                    <w:pStyle w:val="79"/>
                    <w:rPr>
                      <w:rFonts w:eastAsia="Times New Roman"/>
                      <w:szCs w:val="24"/>
                    </w:rPr>
                  </w:pPr>
                </w:p>
              </w:tc>
              <w:tc>
                <w:tcPr>
                  <w:tcW w:w="381" w:type="pct"/>
                  <w:vAlign w:val="center"/>
                </w:tcPr>
                <w:p w14:paraId="5BAEA2A3">
                  <w:pPr>
                    <w:pStyle w:val="79"/>
                    <w:rPr>
                      <w:rFonts w:eastAsia="Times New Roman"/>
                    </w:rPr>
                  </w:pPr>
                  <w:r>
                    <w:rPr>
                      <w:rFonts w:hint="eastAsia" w:eastAsiaTheme="minorEastAsia"/>
                      <w:szCs w:val="21"/>
                      <w:lang w:val="en-US"/>
                    </w:rPr>
                    <w:t xml:space="preserve"> </w:t>
                  </w:r>
                </w:p>
              </w:tc>
              <w:tc>
                <w:tcPr>
                  <w:tcW w:w="381" w:type="pct"/>
                  <w:vAlign w:val="center"/>
                </w:tcPr>
                <w:p w14:paraId="55A21F1B">
                  <w:pPr>
                    <w:pStyle w:val="79"/>
                    <w:rPr>
                      <w:rFonts w:eastAsia="Times New Roman"/>
                    </w:rPr>
                  </w:pPr>
                  <w:r>
                    <w:rPr>
                      <w:rFonts w:hint="eastAsia" w:eastAsiaTheme="minorEastAsia"/>
                      <w:szCs w:val="21"/>
                      <w:lang w:val="en-US"/>
                    </w:rPr>
                    <w:t xml:space="preserve"> </w:t>
                  </w:r>
                </w:p>
              </w:tc>
              <w:tc>
                <w:tcPr>
                  <w:tcW w:w="381" w:type="pct"/>
                  <w:vAlign w:val="center"/>
                </w:tcPr>
                <w:p w14:paraId="47902B1F">
                  <w:pPr>
                    <w:pStyle w:val="79"/>
                    <w:rPr>
                      <w:rFonts w:eastAsia="Times New Roman"/>
                    </w:rPr>
                  </w:pPr>
                  <w:r>
                    <w:rPr>
                      <w:rFonts w:hint="eastAsia" w:eastAsiaTheme="minorEastAsia"/>
                      <w:szCs w:val="21"/>
                      <w:lang w:val="en-US"/>
                    </w:rPr>
                    <w:t xml:space="preserve"> </w:t>
                  </w:r>
                </w:p>
              </w:tc>
              <w:tc>
                <w:tcPr>
                  <w:tcW w:w="381" w:type="pct"/>
                  <w:vAlign w:val="center"/>
                </w:tcPr>
                <w:p w14:paraId="00D315B7">
                  <w:pPr>
                    <w:pStyle w:val="79"/>
                    <w:rPr>
                      <w:rFonts w:eastAsia="Times New Roman"/>
                    </w:rPr>
                  </w:pPr>
                  <w:r>
                    <w:rPr>
                      <w:rFonts w:hint="eastAsia" w:eastAsiaTheme="minorEastAsia"/>
                      <w:szCs w:val="21"/>
                      <w:lang w:val="en-US"/>
                    </w:rPr>
                    <w:t xml:space="preserve"> </w:t>
                  </w:r>
                </w:p>
              </w:tc>
              <w:tc>
                <w:tcPr>
                  <w:tcW w:w="384" w:type="pct"/>
                  <w:vAlign w:val="center"/>
                </w:tcPr>
                <w:p w14:paraId="3CF4AB9A">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11680D8A">
                  <w:pPr>
                    <w:pStyle w:val="79"/>
                    <w:rPr>
                      <w:rFonts w:eastAsia="Times New Roman"/>
                      <w:lang w:val="en-US"/>
                    </w:rPr>
                  </w:pPr>
                </w:p>
              </w:tc>
              <w:tc>
                <w:tcPr>
                  <w:tcW w:w="553" w:type="pct"/>
                  <w:vAlign w:val="center"/>
                </w:tcPr>
                <w:p w14:paraId="5FDC16DC">
                  <w:pPr>
                    <w:pStyle w:val="79"/>
                    <w:rPr>
                      <w:rFonts w:eastAsia="Times New Roman"/>
                      <w:lang w:val="en-US"/>
                    </w:rPr>
                  </w:pPr>
                  <w:r>
                    <w:rPr>
                      <w:rFonts w:hint="eastAsia" w:eastAsiaTheme="minorEastAsia"/>
                      <w:szCs w:val="21"/>
                      <w:lang w:val="en-US"/>
                    </w:rPr>
                    <w:t xml:space="preserve"> </w:t>
                  </w:r>
                </w:p>
              </w:tc>
            </w:tr>
            <w:tr w14:paraId="2962DAA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75EDEED2">
                  <w:pPr>
                    <w:pStyle w:val="79"/>
                    <w:rPr>
                      <w:rFonts w:eastAsia="Times New Roman"/>
                    </w:rPr>
                  </w:pPr>
                </w:p>
              </w:tc>
              <w:tc>
                <w:tcPr>
                  <w:tcW w:w="1042" w:type="pct"/>
                  <w:vAlign w:val="center"/>
                </w:tcPr>
                <w:p w14:paraId="43EFF682">
                  <w:pPr>
                    <w:pStyle w:val="79"/>
                    <w:rPr>
                      <w:rFonts w:eastAsia="Times New Roman"/>
                    </w:rPr>
                  </w:pPr>
                  <w:r>
                    <w:rPr>
                      <w:rFonts w:hint="eastAsia" w:eastAsia="Times New Roman"/>
                      <w:lang w:val="en-US"/>
                    </w:rPr>
                    <w:t>3#</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67D0BBC1">
                  <w:pPr>
                    <w:pStyle w:val="79"/>
                    <w:rPr>
                      <w:rFonts w:eastAsia="Times New Roman"/>
                      <w:szCs w:val="24"/>
                    </w:rPr>
                  </w:pPr>
                </w:p>
              </w:tc>
              <w:tc>
                <w:tcPr>
                  <w:tcW w:w="381" w:type="pct"/>
                  <w:vAlign w:val="center"/>
                </w:tcPr>
                <w:p w14:paraId="4DBFD5D8">
                  <w:pPr>
                    <w:pStyle w:val="79"/>
                    <w:rPr>
                      <w:rFonts w:eastAsia="Times New Roman"/>
                    </w:rPr>
                  </w:pPr>
                  <w:r>
                    <w:rPr>
                      <w:rFonts w:hint="eastAsia" w:eastAsiaTheme="minorEastAsia"/>
                      <w:szCs w:val="21"/>
                      <w:lang w:val="en-US"/>
                    </w:rPr>
                    <w:t xml:space="preserve"> </w:t>
                  </w:r>
                </w:p>
              </w:tc>
              <w:tc>
                <w:tcPr>
                  <w:tcW w:w="381" w:type="pct"/>
                  <w:vAlign w:val="center"/>
                </w:tcPr>
                <w:p w14:paraId="537BAD8A">
                  <w:pPr>
                    <w:pStyle w:val="79"/>
                    <w:rPr>
                      <w:rFonts w:eastAsia="Times New Roman"/>
                    </w:rPr>
                  </w:pPr>
                  <w:r>
                    <w:rPr>
                      <w:rFonts w:hint="eastAsia" w:eastAsiaTheme="minorEastAsia"/>
                      <w:szCs w:val="21"/>
                      <w:lang w:val="en-US"/>
                    </w:rPr>
                    <w:t xml:space="preserve"> </w:t>
                  </w:r>
                </w:p>
              </w:tc>
              <w:tc>
                <w:tcPr>
                  <w:tcW w:w="381" w:type="pct"/>
                  <w:vAlign w:val="center"/>
                </w:tcPr>
                <w:p w14:paraId="4ABD5A74">
                  <w:pPr>
                    <w:pStyle w:val="79"/>
                    <w:rPr>
                      <w:rFonts w:eastAsia="Times New Roman"/>
                    </w:rPr>
                  </w:pPr>
                  <w:r>
                    <w:rPr>
                      <w:rFonts w:hint="eastAsia" w:eastAsiaTheme="minorEastAsia"/>
                      <w:szCs w:val="21"/>
                      <w:lang w:val="en-US"/>
                    </w:rPr>
                    <w:t xml:space="preserve"> </w:t>
                  </w:r>
                </w:p>
              </w:tc>
              <w:tc>
                <w:tcPr>
                  <w:tcW w:w="381" w:type="pct"/>
                  <w:vAlign w:val="center"/>
                </w:tcPr>
                <w:p w14:paraId="5D43ED61">
                  <w:pPr>
                    <w:pStyle w:val="79"/>
                    <w:rPr>
                      <w:rFonts w:eastAsia="Times New Roman"/>
                    </w:rPr>
                  </w:pPr>
                  <w:r>
                    <w:rPr>
                      <w:rFonts w:hint="eastAsia" w:eastAsiaTheme="minorEastAsia"/>
                      <w:szCs w:val="21"/>
                      <w:lang w:val="en-US"/>
                    </w:rPr>
                    <w:t xml:space="preserve"> </w:t>
                  </w:r>
                </w:p>
              </w:tc>
              <w:tc>
                <w:tcPr>
                  <w:tcW w:w="384" w:type="pct"/>
                  <w:vAlign w:val="center"/>
                </w:tcPr>
                <w:p w14:paraId="11F688E5">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39EE66D3">
                  <w:pPr>
                    <w:pStyle w:val="79"/>
                    <w:rPr>
                      <w:rFonts w:eastAsia="Times New Roman"/>
                      <w:lang w:val="en-US"/>
                    </w:rPr>
                  </w:pPr>
                </w:p>
              </w:tc>
              <w:tc>
                <w:tcPr>
                  <w:tcW w:w="553" w:type="pct"/>
                  <w:vAlign w:val="center"/>
                </w:tcPr>
                <w:p w14:paraId="09EB77E2">
                  <w:pPr>
                    <w:pStyle w:val="79"/>
                    <w:rPr>
                      <w:rFonts w:eastAsia="Times New Roman"/>
                      <w:lang w:val="en-US"/>
                    </w:rPr>
                  </w:pPr>
                  <w:r>
                    <w:rPr>
                      <w:rFonts w:hint="eastAsia" w:eastAsiaTheme="minorEastAsia"/>
                      <w:szCs w:val="21"/>
                      <w:lang w:val="en-US"/>
                    </w:rPr>
                    <w:t xml:space="preserve"> </w:t>
                  </w:r>
                </w:p>
              </w:tc>
            </w:tr>
            <w:tr w14:paraId="0CC6D86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506B8320">
                  <w:pPr>
                    <w:pStyle w:val="79"/>
                    <w:rPr>
                      <w:rFonts w:eastAsia="Times New Roman"/>
                    </w:rPr>
                  </w:pPr>
                </w:p>
              </w:tc>
              <w:tc>
                <w:tcPr>
                  <w:tcW w:w="1042" w:type="pct"/>
                  <w:vAlign w:val="center"/>
                </w:tcPr>
                <w:p w14:paraId="47923486">
                  <w:pPr>
                    <w:pStyle w:val="79"/>
                    <w:rPr>
                      <w:rFonts w:eastAsia="Times New Roman"/>
                    </w:rPr>
                  </w:pPr>
                  <w:r>
                    <w:rPr>
                      <w:rFonts w:hint="eastAsia" w:eastAsia="Times New Roman"/>
                      <w:lang w:val="en-US"/>
                    </w:rPr>
                    <w:t>4#</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4EF5C09C">
                  <w:pPr>
                    <w:pStyle w:val="79"/>
                    <w:rPr>
                      <w:rFonts w:eastAsia="Times New Roman"/>
                      <w:szCs w:val="24"/>
                    </w:rPr>
                  </w:pPr>
                </w:p>
              </w:tc>
              <w:tc>
                <w:tcPr>
                  <w:tcW w:w="381" w:type="pct"/>
                  <w:vAlign w:val="center"/>
                </w:tcPr>
                <w:p w14:paraId="44EB08E6">
                  <w:pPr>
                    <w:pStyle w:val="79"/>
                    <w:rPr>
                      <w:rFonts w:eastAsia="Times New Roman"/>
                    </w:rPr>
                  </w:pPr>
                  <w:r>
                    <w:rPr>
                      <w:rFonts w:hint="eastAsia" w:eastAsiaTheme="minorEastAsia"/>
                      <w:szCs w:val="21"/>
                      <w:lang w:val="en-US"/>
                    </w:rPr>
                    <w:t xml:space="preserve"> </w:t>
                  </w:r>
                </w:p>
              </w:tc>
              <w:tc>
                <w:tcPr>
                  <w:tcW w:w="381" w:type="pct"/>
                  <w:vAlign w:val="center"/>
                </w:tcPr>
                <w:p w14:paraId="07C12C6F">
                  <w:pPr>
                    <w:pStyle w:val="79"/>
                    <w:rPr>
                      <w:rFonts w:eastAsia="Times New Roman"/>
                    </w:rPr>
                  </w:pPr>
                  <w:r>
                    <w:rPr>
                      <w:rFonts w:hint="eastAsia" w:eastAsiaTheme="minorEastAsia"/>
                      <w:szCs w:val="21"/>
                      <w:lang w:val="en-US"/>
                    </w:rPr>
                    <w:t xml:space="preserve"> </w:t>
                  </w:r>
                </w:p>
              </w:tc>
              <w:tc>
                <w:tcPr>
                  <w:tcW w:w="381" w:type="pct"/>
                  <w:vAlign w:val="center"/>
                </w:tcPr>
                <w:p w14:paraId="18D25FBD">
                  <w:pPr>
                    <w:pStyle w:val="79"/>
                    <w:rPr>
                      <w:rFonts w:eastAsia="Times New Roman"/>
                    </w:rPr>
                  </w:pPr>
                  <w:r>
                    <w:rPr>
                      <w:rFonts w:hint="eastAsia" w:eastAsiaTheme="minorEastAsia"/>
                      <w:szCs w:val="21"/>
                      <w:lang w:val="en-US"/>
                    </w:rPr>
                    <w:t xml:space="preserve"> </w:t>
                  </w:r>
                </w:p>
              </w:tc>
              <w:tc>
                <w:tcPr>
                  <w:tcW w:w="381" w:type="pct"/>
                  <w:vAlign w:val="center"/>
                </w:tcPr>
                <w:p w14:paraId="59AF9F17">
                  <w:pPr>
                    <w:pStyle w:val="79"/>
                    <w:rPr>
                      <w:rFonts w:eastAsia="Times New Roman"/>
                    </w:rPr>
                  </w:pPr>
                  <w:r>
                    <w:rPr>
                      <w:rFonts w:hint="eastAsia" w:eastAsiaTheme="minorEastAsia"/>
                      <w:szCs w:val="21"/>
                      <w:lang w:val="en-US"/>
                    </w:rPr>
                    <w:t xml:space="preserve"> </w:t>
                  </w:r>
                </w:p>
              </w:tc>
              <w:tc>
                <w:tcPr>
                  <w:tcW w:w="384" w:type="pct"/>
                  <w:vAlign w:val="center"/>
                </w:tcPr>
                <w:p w14:paraId="41770F7F">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0F9A4252">
                  <w:pPr>
                    <w:pStyle w:val="79"/>
                    <w:rPr>
                      <w:rFonts w:eastAsia="Times New Roman"/>
                      <w:lang w:val="en-US"/>
                    </w:rPr>
                  </w:pPr>
                </w:p>
              </w:tc>
              <w:tc>
                <w:tcPr>
                  <w:tcW w:w="553" w:type="pct"/>
                  <w:vAlign w:val="center"/>
                </w:tcPr>
                <w:p w14:paraId="2BEF0CB2">
                  <w:pPr>
                    <w:pStyle w:val="79"/>
                    <w:rPr>
                      <w:rFonts w:eastAsia="Times New Roman"/>
                      <w:lang w:val="en-US"/>
                    </w:rPr>
                  </w:pPr>
                  <w:r>
                    <w:rPr>
                      <w:rFonts w:hint="eastAsia" w:eastAsiaTheme="minorEastAsia"/>
                      <w:szCs w:val="21"/>
                      <w:lang w:val="en-US"/>
                    </w:rPr>
                    <w:t xml:space="preserve"> </w:t>
                  </w:r>
                </w:p>
              </w:tc>
            </w:tr>
            <w:tr w14:paraId="386A6B1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restart"/>
                  <w:vAlign w:val="center"/>
                </w:tcPr>
                <w:p w14:paraId="436831FF">
                  <w:pPr>
                    <w:pStyle w:val="79"/>
                    <w:rPr>
                      <w:rFonts w:eastAsiaTheme="minorEastAsia"/>
                      <w:lang w:val="en-US"/>
                    </w:rPr>
                  </w:pPr>
                  <w:r>
                    <w:rPr>
                      <w:rFonts w:hint="eastAsia" w:eastAsia="Times New Roman"/>
                      <w:lang w:val="en-US"/>
                    </w:rPr>
                    <w:t>2025</w:t>
                  </w:r>
                  <w:r>
                    <w:rPr>
                      <w:rFonts w:hint="eastAsia" w:eastAsiaTheme="minorEastAsia"/>
                      <w:lang w:val="en-US"/>
                    </w:rPr>
                    <w:t>.</w:t>
                  </w:r>
                </w:p>
                <w:p w14:paraId="0F52C9EC">
                  <w:pPr>
                    <w:pStyle w:val="79"/>
                    <w:rPr>
                      <w:rFonts w:eastAsia="Times New Roman"/>
                    </w:rPr>
                  </w:pPr>
                  <w:r>
                    <w:rPr>
                      <w:rFonts w:hint="eastAsia" w:eastAsia="Times New Roman"/>
                      <w:lang w:val="en-US"/>
                    </w:rPr>
                    <w:t>07.14</w:t>
                  </w:r>
                </w:p>
              </w:tc>
              <w:tc>
                <w:tcPr>
                  <w:tcW w:w="1042" w:type="pct"/>
                  <w:vAlign w:val="center"/>
                </w:tcPr>
                <w:p w14:paraId="761924BE">
                  <w:pPr>
                    <w:pStyle w:val="79"/>
                    <w:rPr>
                      <w:rFonts w:eastAsia="Times New Roman"/>
                    </w:rPr>
                  </w:pPr>
                  <w:r>
                    <w:rPr>
                      <w:rFonts w:hint="eastAsia" w:eastAsia="Times New Roman"/>
                      <w:lang w:val="en-US"/>
                    </w:rPr>
                    <w:t>1#</w:t>
                  </w:r>
                  <w:r>
                    <w:rPr>
                      <w:rFonts w:hint="eastAsia" w:ascii="宋体" w:hAnsi="宋体" w:eastAsia="Times New Roman" w:cs="宋体"/>
                      <w:lang w:val="en-US"/>
                    </w:rPr>
                    <w:t>项目厂界上风向</w:t>
                  </w:r>
                </w:p>
              </w:tc>
              <w:tc>
                <w:tcPr>
                  <w:tcW w:w="967" w:type="pct"/>
                  <w:vMerge w:val="restart"/>
                  <w:vAlign w:val="center"/>
                </w:tcPr>
                <w:p w14:paraId="3DA38E33">
                  <w:pPr>
                    <w:pStyle w:val="79"/>
                    <w:rPr>
                      <w:rFonts w:eastAsia="Times New Roman"/>
                      <w:szCs w:val="24"/>
                      <w:lang w:val="en-US"/>
                    </w:rPr>
                  </w:pPr>
                  <w:r>
                    <w:rPr>
                      <w:rFonts w:hint="eastAsia" w:eastAsia="Times New Roman"/>
                      <w:szCs w:val="24"/>
                      <w:lang w:val="en-US"/>
                    </w:rPr>
                    <w:t>非甲烷</w:t>
                  </w:r>
                </w:p>
                <w:p w14:paraId="46931A10">
                  <w:pPr>
                    <w:pStyle w:val="79"/>
                    <w:rPr>
                      <w:rFonts w:eastAsia="Times New Roman"/>
                      <w:szCs w:val="24"/>
                      <w:lang w:val="en-US"/>
                    </w:rPr>
                  </w:pPr>
                  <w:r>
                    <w:rPr>
                      <w:rFonts w:hint="eastAsia" w:eastAsia="Times New Roman"/>
                      <w:szCs w:val="24"/>
                      <w:lang w:val="en-US"/>
                    </w:rPr>
                    <w:t>总烃</w:t>
                  </w:r>
                </w:p>
                <w:p w14:paraId="145BA1FF">
                  <w:pPr>
                    <w:pStyle w:val="79"/>
                    <w:rPr>
                      <w:rFonts w:eastAsia="Times New Roman"/>
                      <w:szCs w:val="24"/>
                    </w:rPr>
                  </w:pPr>
                  <w:r>
                    <w:rPr>
                      <w:rFonts w:hint="eastAsia" w:eastAsia="Times New Roman"/>
                      <w:szCs w:val="24"/>
                      <w:lang w:val="en-US"/>
                    </w:rPr>
                    <w:t>（mg/m³）</w:t>
                  </w:r>
                </w:p>
              </w:tc>
              <w:tc>
                <w:tcPr>
                  <w:tcW w:w="381" w:type="pct"/>
                  <w:vAlign w:val="center"/>
                </w:tcPr>
                <w:p w14:paraId="1A62605F">
                  <w:pPr>
                    <w:pStyle w:val="79"/>
                    <w:rPr>
                      <w:rFonts w:eastAsia="Times New Roman"/>
                    </w:rPr>
                  </w:pPr>
                  <w:r>
                    <w:rPr>
                      <w:rFonts w:hint="eastAsia" w:eastAsiaTheme="minorEastAsia"/>
                      <w:szCs w:val="21"/>
                      <w:lang w:val="en-US"/>
                    </w:rPr>
                    <w:t xml:space="preserve"> </w:t>
                  </w:r>
                </w:p>
              </w:tc>
              <w:tc>
                <w:tcPr>
                  <w:tcW w:w="381" w:type="pct"/>
                  <w:vAlign w:val="center"/>
                </w:tcPr>
                <w:p w14:paraId="4B17E0D9">
                  <w:pPr>
                    <w:pStyle w:val="79"/>
                    <w:rPr>
                      <w:rFonts w:eastAsia="Times New Roman"/>
                    </w:rPr>
                  </w:pPr>
                  <w:r>
                    <w:rPr>
                      <w:rFonts w:hint="eastAsia" w:eastAsiaTheme="minorEastAsia"/>
                      <w:szCs w:val="21"/>
                      <w:lang w:val="en-US"/>
                    </w:rPr>
                    <w:t xml:space="preserve"> </w:t>
                  </w:r>
                </w:p>
              </w:tc>
              <w:tc>
                <w:tcPr>
                  <w:tcW w:w="381" w:type="pct"/>
                  <w:vAlign w:val="center"/>
                </w:tcPr>
                <w:p w14:paraId="6E19B17B">
                  <w:pPr>
                    <w:pStyle w:val="79"/>
                    <w:rPr>
                      <w:rFonts w:eastAsia="Times New Roman"/>
                    </w:rPr>
                  </w:pPr>
                  <w:r>
                    <w:rPr>
                      <w:rFonts w:hint="eastAsia" w:eastAsiaTheme="minorEastAsia"/>
                      <w:szCs w:val="21"/>
                      <w:lang w:val="en-US"/>
                    </w:rPr>
                    <w:t xml:space="preserve"> </w:t>
                  </w:r>
                </w:p>
              </w:tc>
              <w:tc>
                <w:tcPr>
                  <w:tcW w:w="381" w:type="pct"/>
                  <w:vAlign w:val="center"/>
                </w:tcPr>
                <w:p w14:paraId="6ABAB4EA">
                  <w:pPr>
                    <w:pStyle w:val="79"/>
                    <w:rPr>
                      <w:rFonts w:eastAsia="Times New Roman"/>
                    </w:rPr>
                  </w:pPr>
                  <w:r>
                    <w:rPr>
                      <w:rFonts w:hint="eastAsia" w:eastAsiaTheme="minorEastAsia"/>
                      <w:szCs w:val="21"/>
                      <w:lang w:val="en-US"/>
                    </w:rPr>
                    <w:t xml:space="preserve"> </w:t>
                  </w:r>
                </w:p>
              </w:tc>
              <w:tc>
                <w:tcPr>
                  <w:tcW w:w="384" w:type="pct"/>
                  <w:vAlign w:val="center"/>
                </w:tcPr>
                <w:p w14:paraId="17BB7151">
                  <w:pPr>
                    <w:pStyle w:val="79"/>
                    <w:rPr>
                      <w:rFonts w:eastAsia="Times New Roman"/>
                    </w:rPr>
                  </w:pPr>
                  <w:r>
                    <w:rPr>
                      <w:rFonts w:hint="eastAsia" w:eastAsiaTheme="minorEastAsia"/>
                      <w:szCs w:val="21"/>
                      <w:lang w:val="en-US"/>
                    </w:rPr>
                    <w:t xml:space="preserve"> </w:t>
                  </w:r>
                </w:p>
              </w:tc>
              <w:tc>
                <w:tcPr>
                  <w:tcW w:w="246" w:type="pct"/>
                  <w:vMerge w:val="restart"/>
                  <w:vAlign w:val="center"/>
                </w:tcPr>
                <w:p w14:paraId="0CF6F104">
                  <w:pPr>
                    <w:pStyle w:val="79"/>
                    <w:rPr>
                      <w:rFonts w:eastAsia="Times New Roman"/>
                      <w:lang w:val="en-US"/>
                    </w:rPr>
                  </w:pPr>
                  <w:r>
                    <w:rPr>
                      <w:rFonts w:hint="eastAsia" w:eastAsiaTheme="minorEastAsia"/>
                      <w:lang w:val="en-US"/>
                    </w:rPr>
                    <w:t>4.0</w:t>
                  </w:r>
                </w:p>
              </w:tc>
              <w:tc>
                <w:tcPr>
                  <w:tcW w:w="553" w:type="pct"/>
                  <w:vAlign w:val="center"/>
                </w:tcPr>
                <w:p w14:paraId="7888EFF4">
                  <w:pPr>
                    <w:pStyle w:val="79"/>
                    <w:rPr>
                      <w:rFonts w:eastAsia="Times New Roman"/>
                      <w:lang w:val="en-US"/>
                    </w:rPr>
                  </w:pPr>
                  <w:r>
                    <w:rPr>
                      <w:rFonts w:hint="eastAsia" w:eastAsiaTheme="minorEastAsia"/>
                      <w:szCs w:val="21"/>
                      <w:lang w:val="en-US"/>
                    </w:rPr>
                    <w:t xml:space="preserve"> </w:t>
                  </w:r>
                </w:p>
              </w:tc>
            </w:tr>
            <w:tr w14:paraId="122AD95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659BFA98">
                  <w:pPr>
                    <w:pStyle w:val="79"/>
                    <w:rPr>
                      <w:rFonts w:eastAsia="Times New Roman"/>
                    </w:rPr>
                  </w:pPr>
                </w:p>
              </w:tc>
              <w:tc>
                <w:tcPr>
                  <w:tcW w:w="1042" w:type="pct"/>
                  <w:vAlign w:val="center"/>
                </w:tcPr>
                <w:p w14:paraId="2BE988DD">
                  <w:pPr>
                    <w:pStyle w:val="79"/>
                    <w:rPr>
                      <w:rFonts w:eastAsia="Times New Roman"/>
                    </w:rPr>
                  </w:pPr>
                  <w:r>
                    <w:rPr>
                      <w:rFonts w:hint="eastAsia" w:eastAsia="Times New Roman"/>
                      <w:lang w:val="en-US"/>
                    </w:rPr>
                    <w:t>2#</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3934527D">
                  <w:pPr>
                    <w:pStyle w:val="79"/>
                    <w:rPr>
                      <w:rFonts w:eastAsia="Times New Roman"/>
                      <w:szCs w:val="24"/>
                    </w:rPr>
                  </w:pPr>
                </w:p>
              </w:tc>
              <w:tc>
                <w:tcPr>
                  <w:tcW w:w="381" w:type="pct"/>
                  <w:vAlign w:val="center"/>
                </w:tcPr>
                <w:p w14:paraId="274D54D6">
                  <w:pPr>
                    <w:pStyle w:val="79"/>
                    <w:rPr>
                      <w:rFonts w:eastAsia="Times New Roman"/>
                    </w:rPr>
                  </w:pPr>
                  <w:r>
                    <w:rPr>
                      <w:rFonts w:hint="eastAsia" w:eastAsiaTheme="minorEastAsia"/>
                      <w:szCs w:val="21"/>
                      <w:lang w:val="en-US"/>
                    </w:rPr>
                    <w:t xml:space="preserve"> </w:t>
                  </w:r>
                </w:p>
              </w:tc>
              <w:tc>
                <w:tcPr>
                  <w:tcW w:w="381" w:type="pct"/>
                  <w:vAlign w:val="center"/>
                </w:tcPr>
                <w:p w14:paraId="5CBC5DE6">
                  <w:pPr>
                    <w:pStyle w:val="79"/>
                    <w:rPr>
                      <w:rFonts w:eastAsia="Times New Roman"/>
                    </w:rPr>
                  </w:pPr>
                  <w:r>
                    <w:rPr>
                      <w:rFonts w:hint="eastAsia" w:eastAsiaTheme="minorEastAsia"/>
                      <w:szCs w:val="21"/>
                      <w:lang w:val="en-US"/>
                    </w:rPr>
                    <w:t xml:space="preserve"> </w:t>
                  </w:r>
                </w:p>
              </w:tc>
              <w:tc>
                <w:tcPr>
                  <w:tcW w:w="381" w:type="pct"/>
                  <w:vAlign w:val="center"/>
                </w:tcPr>
                <w:p w14:paraId="416B1752">
                  <w:pPr>
                    <w:pStyle w:val="79"/>
                    <w:rPr>
                      <w:rFonts w:eastAsia="Times New Roman"/>
                    </w:rPr>
                  </w:pPr>
                  <w:r>
                    <w:rPr>
                      <w:rFonts w:hint="eastAsia" w:eastAsiaTheme="minorEastAsia"/>
                      <w:szCs w:val="21"/>
                      <w:lang w:val="en-US"/>
                    </w:rPr>
                    <w:t xml:space="preserve"> </w:t>
                  </w:r>
                </w:p>
              </w:tc>
              <w:tc>
                <w:tcPr>
                  <w:tcW w:w="381" w:type="pct"/>
                  <w:vAlign w:val="center"/>
                </w:tcPr>
                <w:p w14:paraId="446A8BAA">
                  <w:pPr>
                    <w:pStyle w:val="79"/>
                    <w:rPr>
                      <w:rFonts w:eastAsia="Times New Roman"/>
                    </w:rPr>
                  </w:pPr>
                  <w:r>
                    <w:rPr>
                      <w:rFonts w:hint="eastAsia" w:eastAsiaTheme="minorEastAsia"/>
                      <w:szCs w:val="21"/>
                      <w:lang w:val="en-US"/>
                    </w:rPr>
                    <w:t xml:space="preserve"> </w:t>
                  </w:r>
                </w:p>
              </w:tc>
              <w:tc>
                <w:tcPr>
                  <w:tcW w:w="384" w:type="pct"/>
                  <w:vAlign w:val="center"/>
                </w:tcPr>
                <w:p w14:paraId="467CE1A8">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3FE9CF42">
                  <w:pPr>
                    <w:pStyle w:val="79"/>
                    <w:rPr>
                      <w:rFonts w:eastAsia="Times New Roman"/>
                      <w:lang w:val="en-US"/>
                    </w:rPr>
                  </w:pPr>
                </w:p>
              </w:tc>
              <w:tc>
                <w:tcPr>
                  <w:tcW w:w="553" w:type="pct"/>
                  <w:vAlign w:val="center"/>
                </w:tcPr>
                <w:p w14:paraId="07C10008">
                  <w:pPr>
                    <w:pStyle w:val="79"/>
                    <w:rPr>
                      <w:rFonts w:eastAsia="Times New Roman"/>
                      <w:lang w:val="en-US"/>
                    </w:rPr>
                  </w:pPr>
                  <w:r>
                    <w:rPr>
                      <w:rFonts w:hint="eastAsia" w:eastAsiaTheme="minorEastAsia"/>
                      <w:szCs w:val="21"/>
                      <w:lang w:val="en-US"/>
                    </w:rPr>
                    <w:t xml:space="preserve"> </w:t>
                  </w:r>
                </w:p>
              </w:tc>
            </w:tr>
            <w:tr w14:paraId="3C53506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10E0E5C8">
                  <w:pPr>
                    <w:pStyle w:val="79"/>
                    <w:rPr>
                      <w:rFonts w:eastAsia="Times New Roman"/>
                    </w:rPr>
                  </w:pPr>
                </w:p>
              </w:tc>
              <w:tc>
                <w:tcPr>
                  <w:tcW w:w="1042" w:type="pct"/>
                  <w:vAlign w:val="center"/>
                </w:tcPr>
                <w:p w14:paraId="1EDBD0D9">
                  <w:pPr>
                    <w:pStyle w:val="79"/>
                    <w:rPr>
                      <w:rFonts w:eastAsia="Times New Roman"/>
                    </w:rPr>
                  </w:pPr>
                  <w:r>
                    <w:rPr>
                      <w:rFonts w:hint="eastAsia" w:eastAsia="Times New Roman"/>
                      <w:lang w:val="en-US"/>
                    </w:rPr>
                    <w:t>3#</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71E7C83B">
                  <w:pPr>
                    <w:pStyle w:val="79"/>
                    <w:rPr>
                      <w:rFonts w:eastAsia="Times New Roman"/>
                      <w:szCs w:val="24"/>
                    </w:rPr>
                  </w:pPr>
                </w:p>
              </w:tc>
              <w:tc>
                <w:tcPr>
                  <w:tcW w:w="381" w:type="pct"/>
                  <w:vAlign w:val="center"/>
                </w:tcPr>
                <w:p w14:paraId="63F97080">
                  <w:pPr>
                    <w:pStyle w:val="79"/>
                    <w:rPr>
                      <w:rFonts w:eastAsia="Times New Roman"/>
                    </w:rPr>
                  </w:pPr>
                  <w:r>
                    <w:rPr>
                      <w:rFonts w:hint="eastAsia" w:eastAsiaTheme="minorEastAsia"/>
                      <w:szCs w:val="21"/>
                      <w:lang w:val="en-US"/>
                    </w:rPr>
                    <w:t xml:space="preserve"> </w:t>
                  </w:r>
                </w:p>
              </w:tc>
              <w:tc>
                <w:tcPr>
                  <w:tcW w:w="381" w:type="pct"/>
                  <w:vAlign w:val="center"/>
                </w:tcPr>
                <w:p w14:paraId="735DBC15">
                  <w:pPr>
                    <w:pStyle w:val="79"/>
                    <w:rPr>
                      <w:rFonts w:eastAsia="Times New Roman"/>
                    </w:rPr>
                  </w:pPr>
                  <w:r>
                    <w:rPr>
                      <w:rFonts w:hint="eastAsia" w:eastAsiaTheme="minorEastAsia"/>
                      <w:szCs w:val="21"/>
                      <w:lang w:val="en-US"/>
                    </w:rPr>
                    <w:t xml:space="preserve"> </w:t>
                  </w:r>
                </w:p>
              </w:tc>
              <w:tc>
                <w:tcPr>
                  <w:tcW w:w="381" w:type="pct"/>
                  <w:vAlign w:val="center"/>
                </w:tcPr>
                <w:p w14:paraId="6E056CCF">
                  <w:pPr>
                    <w:pStyle w:val="79"/>
                    <w:rPr>
                      <w:rFonts w:eastAsia="Times New Roman"/>
                    </w:rPr>
                  </w:pPr>
                  <w:r>
                    <w:rPr>
                      <w:rFonts w:hint="eastAsia" w:eastAsiaTheme="minorEastAsia"/>
                      <w:szCs w:val="21"/>
                      <w:lang w:val="en-US"/>
                    </w:rPr>
                    <w:t xml:space="preserve"> </w:t>
                  </w:r>
                </w:p>
              </w:tc>
              <w:tc>
                <w:tcPr>
                  <w:tcW w:w="381" w:type="pct"/>
                  <w:vAlign w:val="center"/>
                </w:tcPr>
                <w:p w14:paraId="612C32B7">
                  <w:pPr>
                    <w:pStyle w:val="79"/>
                    <w:rPr>
                      <w:rFonts w:eastAsia="Times New Roman"/>
                    </w:rPr>
                  </w:pPr>
                  <w:r>
                    <w:rPr>
                      <w:rFonts w:hint="eastAsia" w:eastAsiaTheme="minorEastAsia"/>
                      <w:szCs w:val="21"/>
                      <w:lang w:val="en-US"/>
                    </w:rPr>
                    <w:t xml:space="preserve"> </w:t>
                  </w:r>
                </w:p>
              </w:tc>
              <w:tc>
                <w:tcPr>
                  <w:tcW w:w="384" w:type="pct"/>
                  <w:vAlign w:val="center"/>
                </w:tcPr>
                <w:p w14:paraId="77A27782">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2ECFBF0C">
                  <w:pPr>
                    <w:pStyle w:val="79"/>
                    <w:rPr>
                      <w:rFonts w:eastAsia="Times New Roman"/>
                      <w:lang w:val="en-US"/>
                    </w:rPr>
                  </w:pPr>
                </w:p>
              </w:tc>
              <w:tc>
                <w:tcPr>
                  <w:tcW w:w="553" w:type="pct"/>
                  <w:vAlign w:val="center"/>
                </w:tcPr>
                <w:p w14:paraId="72E0FCE8">
                  <w:pPr>
                    <w:pStyle w:val="79"/>
                    <w:rPr>
                      <w:rFonts w:eastAsia="Times New Roman"/>
                      <w:lang w:val="en-US"/>
                    </w:rPr>
                  </w:pPr>
                  <w:r>
                    <w:rPr>
                      <w:rFonts w:hint="eastAsia" w:eastAsiaTheme="minorEastAsia"/>
                      <w:szCs w:val="21"/>
                      <w:lang w:val="en-US"/>
                    </w:rPr>
                    <w:t xml:space="preserve"> </w:t>
                  </w:r>
                </w:p>
              </w:tc>
            </w:tr>
            <w:tr w14:paraId="04845A2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634096FF">
                  <w:pPr>
                    <w:pStyle w:val="79"/>
                    <w:rPr>
                      <w:rFonts w:eastAsia="Times New Roman"/>
                    </w:rPr>
                  </w:pPr>
                </w:p>
              </w:tc>
              <w:tc>
                <w:tcPr>
                  <w:tcW w:w="1042" w:type="pct"/>
                  <w:vAlign w:val="center"/>
                </w:tcPr>
                <w:p w14:paraId="3FEDA016">
                  <w:pPr>
                    <w:pStyle w:val="79"/>
                    <w:rPr>
                      <w:rFonts w:eastAsia="Times New Roman"/>
                    </w:rPr>
                  </w:pPr>
                  <w:r>
                    <w:rPr>
                      <w:rFonts w:hint="eastAsia" w:eastAsia="Times New Roman"/>
                      <w:lang w:val="en-US"/>
                    </w:rPr>
                    <w:t>4#</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1A23319A">
                  <w:pPr>
                    <w:pStyle w:val="79"/>
                    <w:rPr>
                      <w:rFonts w:eastAsia="Times New Roman"/>
                      <w:szCs w:val="24"/>
                    </w:rPr>
                  </w:pPr>
                </w:p>
              </w:tc>
              <w:tc>
                <w:tcPr>
                  <w:tcW w:w="381" w:type="pct"/>
                  <w:vAlign w:val="center"/>
                </w:tcPr>
                <w:p w14:paraId="5332B0F8">
                  <w:pPr>
                    <w:pStyle w:val="79"/>
                    <w:rPr>
                      <w:rFonts w:eastAsia="Times New Roman"/>
                    </w:rPr>
                  </w:pPr>
                  <w:r>
                    <w:rPr>
                      <w:rFonts w:hint="eastAsia" w:eastAsiaTheme="minorEastAsia"/>
                      <w:szCs w:val="21"/>
                      <w:lang w:val="en-US"/>
                    </w:rPr>
                    <w:t xml:space="preserve"> </w:t>
                  </w:r>
                </w:p>
              </w:tc>
              <w:tc>
                <w:tcPr>
                  <w:tcW w:w="381" w:type="pct"/>
                  <w:vAlign w:val="center"/>
                </w:tcPr>
                <w:p w14:paraId="5ABBF3A2">
                  <w:pPr>
                    <w:pStyle w:val="79"/>
                    <w:rPr>
                      <w:rFonts w:eastAsia="Times New Roman"/>
                    </w:rPr>
                  </w:pPr>
                  <w:r>
                    <w:rPr>
                      <w:rFonts w:hint="eastAsia" w:eastAsiaTheme="minorEastAsia"/>
                      <w:szCs w:val="21"/>
                      <w:lang w:val="en-US"/>
                    </w:rPr>
                    <w:t xml:space="preserve"> </w:t>
                  </w:r>
                </w:p>
              </w:tc>
              <w:tc>
                <w:tcPr>
                  <w:tcW w:w="381" w:type="pct"/>
                  <w:vAlign w:val="center"/>
                </w:tcPr>
                <w:p w14:paraId="777E6A03">
                  <w:pPr>
                    <w:pStyle w:val="79"/>
                    <w:rPr>
                      <w:rFonts w:eastAsia="Times New Roman"/>
                    </w:rPr>
                  </w:pPr>
                  <w:r>
                    <w:rPr>
                      <w:rFonts w:hint="eastAsia" w:eastAsiaTheme="minorEastAsia"/>
                      <w:szCs w:val="21"/>
                      <w:lang w:val="en-US"/>
                    </w:rPr>
                    <w:t xml:space="preserve"> </w:t>
                  </w:r>
                </w:p>
              </w:tc>
              <w:tc>
                <w:tcPr>
                  <w:tcW w:w="381" w:type="pct"/>
                  <w:vAlign w:val="center"/>
                </w:tcPr>
                <w:p w14:paraId="47B5DEF7">
                  <w:pPr>
                    <w:pStyle w:val="79"/>
                    <w:rPr>
                      <w:rFonts w:eastAsia="Times New Roman"/>
                    </w:rPr>
                  </w:pPr>
                  <w:r>
                    <w:rPr>
                      <w:rFonts w:hint="eastAsia" w:eastAsiaTheme="minorEastAsia"/>
                      <w:szCs w:val="21"/>
                      <w:lang w:val="en-US"/>
                    </w:rPr>
                    <w:t xml:space="preserve"> </w:t>
                  </w:r>
                </w:p>
              </w:tc>
              <w:tc>
                <w:tcPr>
                  <w:tcW w:w="384" w:type="pct"/>
                  <w:vAlign w:val="center"/>
                </w:tcPr>
                <w:p w14:paraId="27377689">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15CB2037">
                  <w:pPr>
                    <w:pStyle w:val="79"/>
                    <w:rPr>
                      <w:rFonts w:eastAsia="Times New Roman"/>
                      <w:lang w:val="en-US"/>
                    </w:rPr>
                  </w:pPr>
                </w:p>
              </w:tc>
              <w:tc>
                <w:tcPr>
                  <w:tcW w:w="553" w:type="pct"/>
                  <w:vAlign w:val="center"/>
                </w:tcPr>
                <w:p w14:paraId="2C9FAB88">
                  <w:pPr>
                    <w:pStyle w:val="79"/>
                    <w:rPr>
                      <w:rFonts w:eastAsia="Times New Roman"/>
                      <w:lang w:val="en-US"/>
                    </w:rPr>
                  </w:pPr>
                  <w:r>
                    <w:rPr>
                      <w:rFonts w:hint="eastAsia" w:eastAsiaTheme="minorEastAsia"/>
                      <w:szCs w:val="21"/>
                      <w:lang w:val="en-US"/>
                    </w:rPr>
                    <w:t xml:space="preserve"> </w:t>
                  </w:r>
                </w:p>
              </w:tc>
            </w:tr>
            <w:tr w14:paraId="4D7F2FE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648414B0">
                  <w:pPr>
                    <w:pStyle w:val="79"/>
                    <w:rPr>
                      <w:rFonts w:eastAsia="Times New Roman"/>
                    </w:rPr>
                  </w:pPr>
                </w:p>
              </w:tc>
              <w:tc>
                <w:tcPr>
                  <w:tcW w:w="1042" w:type="pct"/>
                  <w:vAlign w:val="center"/>
                </w:tcPr>
                <w:p w14:paraId="3A1A8173">
                  <w:pPr>
                    <w:pStyle w:val="79"/>
                    <w:rPr>
                      <w:rFonts w:eastAsia="Times New Roman"/>
                    </w:rPr>
                  </w:pPr>
                  <w:r>
                    <w:rPr>
                      <w:rFonts w:hint="eastAsia" w:eastAsia="Times New Roman"/>
                      <w:lang w:val="en-US"/>
                    </w:rPr>
                    <w:t>1#</w:t>
                  </w:r>
                  <w:r>
                    <w:rPr>
                      <w:rFonts w:hint="eastAsia" w:ascii="宋体" w:hAnsi="宋体" w:eastAsia="Times New Roman" w:cs="宋体"/>
                      <w:lang w:val="en-US"/>
                    </w:rPr>
                    <w:t>项目厂界上风向</w:t>
                  </w:r>
                </w:p>
              </w:tc>
              <w:tc>
                <w:tcPr>
                  <w:tcW w:w="967" w:type="pct"/>
                  <w:vMerge w:val="restart"/>
                  <w:vAlign w:val="center"/>
                </w:tcPr>
                <w:p w14:paraId="25E4E6A1">
                  <w:pPr>
                    <w:pStyle w:val="79"/>
                    <w:rPr>
                      <w:rFonts w:eastAsia="Times New Roman"/>
                      <w:szCs w:val="24"/>
                      <w:lang w:val="en-US"/>
                    </w:rPr>
                  </w:pPr>
                  <w:r>
                    <w:rPr>
                      <w:rFonts w:hint="eastAsia" w:eastAsia="Times New Roman"/>
                      <w:szCs w:val="24"/>
                      <w:lang w:val="en-US"/>
                    </w:rPr>
                    <w:t>总悬浮</w:t>
                  </w:r>
                </w:p>
                <w:p w14:paraId="59707DC3">
                  <w:pPr>
                    <w:pStyle w:val="79"/>
                    <w:rPr>
                      <w:rFonts w:eastAsia="Times New Roman"/>
                      <w:szCs w:val="24"/>
                    </w:rPr>
                  </w:pPr>
                  <w:r>
                    <w:rPr>
                      <w:rFonts w:hint="eastAsia" w:eastAsia="Times New Roman"/>
                      <w:szCs w:val="24"/>
                      <w:lang w:val="en-US"/>
                    </w:rPr>
                    <w:t>颗粒物（</w:t>
                  </w:r>
                  <w:r>
                    <w:rPr>
                      <w:rFonts w:hint="eastAsia" w:eastAsia="Times New Roman"/>
                      <w:lang w:val="en-US"/>
                    </w:rPr>
                    <w:t>u</w:t>
                  </w:r>
                  <w:r>
                    <w:rPr>
                      <w:rFonts w:hint="eastAsia" w:eastAsia="Times New Roman"/>
                    </w:rPr>
                    <w:t>g/m</w:t>
                  </w:r>
                  <w:r>
                    <w:rPr>
                      <w:rFonts w:hint="eastAsia" w:eastAsia="Times New Roman"/>
                      <w:vertAlign w:val="superscript"/>
                      <w:lang w:val="en-US"/>
                    </w:rPr>
                    <w:t>3</w:t>
                  </w:r>
                  <w:r>
                    <w:rPr>
                      <w:rFonts w:hint="eastAsia" w:eastAsia="Times New Roman"/>
                      <w:szCs w:val="24"/>
                      <w:lang w:val="en-US"/>
                    </w:rPr>
                    <w:t>）</w:t>
                  </w:r>
                </w:p>
              </w:tc>
              <w:tc>
                <w:tcPr>
                  <w:tcW w:w="381" w:type="pct"/>
                  <w:vAlign w:val="center"/>
                </w:tcPr>
                <w:p w14:paraId="4B95826C">
                  <w:pPr>
                    <w:pStyle w:val="79"/>
                    <w:rPr>
                      <w:rFonts w:eastAsia="Times New Roman"/>
                    </w:rPr>
                  </w:pPr>
                  <w:r>
                    <w:rPr>
                      <w:rFonts w:hint="eastAsia" w:eastAsiaTheme="minorEastAsia"/>
                      <w:szCs w:val="21"/>
                      <w:lang w:val="en-US"/>
                    </w:rPr>
                    <w:t xml:space="preserve"> </w:t>
                  </w:r>
                </w:p>
              </w:tc>
              <w:tc>
                <w:tcPr>
                  <w:tcW w:w="381" w:type="pct"/>
                  <w:vAlign w:val="center"/>
                </w:tcPr>
                <w:p w14:paraId="41B9483E">
                  <w:pPr>
                    <w:pStyle w:val="79"/>
                    <w:rPr>
                      <w:rFonts w:eastAsia="Times New Roman"/>
                    </w:rPr>
                  </w:pPr>
                  <w:r>
                    <w:rPr>
                      <w:rFonts w:hint="eastAsia" w:eastAsiaTheme="minorEastAsia"/>
                      <w:szCs w:val="21"/>
                      <w:lang w:val="en-US"/>
                    </w:rPr>
                    <w:t xml:space="preserve"> </w:t>
                  </w:r>
                </w:p>
              </w:tc>
              <w:tc>
                <w:tcPr>
                  <w:tcW w:w="381" w:type="pct"/>
                  <w:vAlign w:val="center"/>
                </w:tcPr>
                <w:p w14:paraId="7C1558A6">
                  <w:pPr>
                    <w:pStyle w:val="79"/>
                    <w:rPr>
                      <w:rFonts w:eastAsia="Times New Roman"/>
                    </w:rPr>
                  </w:pPr>
                  <w:r>
                    <w:rPr>
                      <w:rFonts w:hint="eastAsia" w:eastAsiaTheme="minorEastAsia"/>
                      <w:szCs w:val="21"/>
                      <w:lang w:val="en-US"/>
                    </w:rPr>
                    <w:t xml:space="preserve"> </w:t>
                  </w:r>
                </w:p>
              </w:tc>
              <w:tc>
                <w:tcPr>
                  <w:tcW w:w="381" w:type="pct"/>
                  <w:vAlign w:val="center"/>
                </w:tcPr>
                <w:p w14:paraId="59F6C83F">
                  <w:pPr>
                    <w:pStyle w:val="79"/>
                    <w:rPr>
                      <w:rFonts w:eastAsia="Times New Roman"/>
                    </w:rPr>
                  </w:pPr>
                  <w:r>
                    <w:rPr>
                      <w:rFonts w:hint="eastAsia" w:eastAsiaTheme="minorEastAsia"/>
                      <w:szCs w:val="21"/>
                      <w:lang w:val="en-US"/>
                    </w:rPr>
                    <w:t xml:space="preserve"> </w:t>
                  </w:r>
                </w:p>
              </w:tc>
              <w:tc>
                <w:tcPr>
                  <w:tcW w:w="384" w:type="pct"/>
                  <w:vAlign w:val="center"/>
                </w:tcPr>
                <w:p w14:paraId="6B6D011C">
                  <w:pPr>
                    <w:pStyle w:val="79"/>
                    <w:rPr>
                      <w:rFonts w:eastAsia="Times New Roman"/>
                    </w:rPr>
                  </w:pPr>
                  <w:r>
                    <w:rPr>
                      <w:rFonts w:hint="eastAsia" w:eastAsiaTheme="minorEastAsia"/>
                      <w:szCs w:val="21"/>
                      <w:lang w:val="en-US"/>
                    </w:rPr>
                    <w:t xml:space="preserve"> </w:t>
                  </w:r>
                </w:p>
              </w:tc>
              <w:tc>
                <w:tcPr>
                  <w:tcW w:w="246" w:type="pct"/>
                  <w:vMerge w:val="restart"/>
                  <w:vAlign w:val="center"/>
                </w:tcPr>
                <w:p w14:paraId="4FD08269">
                  <w:pPr>
                    <w:pStyle w:val="79"/>
                    <w:rPr>
                      <w:rFonts w:eastAsia="Times New Roman"/>
                      <w:lang w:val="en-US"/>
                    </w:rPr>
                  </w:pPr>
                  <w:r>
                    <w:rPr>
                      <w:rFonts w:hint="eastAsia" w:eastAsiaTheme="minorEastAsia"/>
                      <w:lang w:val="en-US"/>
                    </w:rPr>
                    <w:t>1.0</w:t>
                  </w:r>
                </w:p>
              </w:tc>
              <w:tc>
                <w:tcPr>
                  <w:tcW w:w="553" w:type="pct"/>
                  <w:vAlign w:val="center"/>
                </w:tcPr>
                <w:p w14:paraId="0D27DE13">
                  <w:pPr>
                    <w:pStyle w:val="79"/>
                    <w:rPr>
                      <w:rFonts w:eastAsia="Times New Roman"/>
                      <w:lang w:val="en-US"/>
                    </w:rPr>
                  </w:pPr>
                  <w:r>
                    <w:rPr>
                      <w:rFonts w:hint="eastAsia" w:eastAsiaTheme="minorEastAsia"/>
                      <w:szCs w:val="21"/>
                      <w:lang w:val="en-US"/>
                    </w:rPr>
                    <w:t xml:space="preserve"> </w:t>
                  </w:r>
                </w:p>
              </w:tc>
            </w:tr>
            <w:tr w14:paraId="68C8FB4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235DA92E">
                  <w:pPr>
                    <w:pStyle w:val="79"/>
                    <w:rPr>
                      <w:rFonts w:eastAsia="Times New Roman"/>
                    </w:rPr>
                  </w:pPr>
                </w:p>
              </w:tc>
              <w:tc>
                <w:tcPr>
                  <w:tcW w:w="1042" w:type="pct"/>
                  <w:vAlign w:val="center"/>
                </w:tcPr>
                <w:p w14:paraId="5B3011A4">
                  <w:pPr>
                    <w:pStyle w:val="79"/>
                    <w:rPr>
                      <w:rFonts w:eastAsia="Times New Roman"/>
                    </w:rPr>
                  </w:pPr>
                  <w:r>
                    <w:rPr>
                      <w:rFonts w:hint="eastAsia" w:eastAsia="Times New Roman"/>
                      <w:lang w:val="en-US"/>
                    </w:rPr>
                    <w:t>2#</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5E21A8CD">
                  <w:pPr>
                    <w:pStyle w:val="79"/>
                    <w:rPr>
                      <w:rFonts w:eastAsia="Times New Roman"/>
                      <w:szCs w:val="24"/>
                    </w:rPr>
                  </w:pPr>
                </w:p>
              </w:tc>
              <w:tc>
                <w:tcPr>
                  <w:tcW w:w="381" w:type="pct"/>
                  <w:vAlign w:val="center"/>
                </w:tcPr>
                <w:p w14:paraId="4C55B3B6">
                  <w:pPr>
                    <w:pStyle w:val="79"/>
                    <w:rPr>
                      <w:rFonts w:eastAsia="Times New Roman"/>
                    </w:rPr>
                  </w:pPr>
                  <w:r>
                    <w:rPr>
                      <w:rFonts w:hint="eastAsia" w:eastAsiaTheme="minorEastAsia"/>
                      <w:szCs w:val="21"/>
                      <w:lang w:val="en-US"/>
                    </w:rPr>
                    <w:t xml:space="preserve"> </w:t>
                  </w:r>
                </w:p>
              </w:tc>
              <w:tc>
                <w:tcPr>
                  <w:tcW w:w="381" w:type="pct"/>
                  <w:vAlign w:val="center"/>
                </w:tcPr>
                <w:p w14:paraId="0EDC34E5">
                  <w:pPr>
                    <w:pStyle w:val="79"/>
                    <w:rPr>
                      <w:rFonts w:eastAsia="Times New Roman"/>
                    </w:rPr>
                  </w:pPr>
                  <w:r>
                    <w:rPr>
                      <w:rFonts w:hint="eastAsia" w:eastAsiaTheme="minorEastAsia"/>
                      <w:szCs w:val="21"/>
                      <w:lang w:val="en-US"/>
                    </w:rPr>
                    <w:t xml:space="preserve"> </w:t>
                  </w:r>
                </w:p>
              </w:tc>
              <w:tc>
                <w:tcPr>
                  <w:tcW w:w="381" w:type="pct"/>
                  <w:vAlign w:val="center"/>
                </w:tcPr>
                <w:p w14:paraId="30E5FE9F">
                  <w:pPr>
                    <w:pStyle w:val="79"/>
                    <w:rPr>
                      <w:rFonts w:eastAsia="Times New Roman"/>
                    </w:rPr>
                  </w:pPr>
                  <w:r>
                    <w:rPr>
                      <w:rFonts w:hint="eastAsia" w:eastAsiaTheme="minorEastAsia"/>
                      <w:szCs w:val="21"/>
                      <w:lang w:val="en-US"/>
                    </w:rPr>
                    <w:t xml:space="preserve"> </w:t>
                  </w:r>
                </w:p>
              </w:tc>
              <w:tc>
                <w:tcPr>
                  <w:tcW w:w="381" w:type="pct"/>
                  <w:vAlign w:val="center"/>
                </w:tcPr>
                <w:p w14:paraId="0265F3E8">
                  <w:pPr>
                    <w:pStyle w:val="79"/>
                    <w:rPr>
                      <w:rFonts w:eastAsia="Times New Roman"/>
                    </w:rPr>
                  </w:pPr>
                  <w:r>
                    <w:rPr>
                      <w:rFonts w:hint="eastAsia" w:eastAsiaTheme="minorEastAsia"/>
                      <w:szCs w:val="21"/>
                      <w:lang w:val="en-US"/>
                    </w:rPr>
                    <w:t xml:space="preserve"> </w:t>
                  </w:r>
                </w:p>
              </w:tc>
              <w:tc>
                <w:tcPr>
                  <w:tcW w:w="384" w:type="pct"/>
                  <w:vAlign w:val="center"/>
                </w:tcPr>
                <w:p w14:paraId="1C4AAC1A">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77B92A5A">
                  <w:pPr>
                    <w:pStyle w:val="79"/>
                    <w:rPr>
                      <w:rFonts w:eastAsia="Times New Roman"/>
                      <w:lang w:val="en-US"/>
                    </w:rPr>
                  </w:pPr>
                </w:p>
              </w:tc>
              <w:tc>
                <w:tcPr>
                  <w:tcW w:w="553" w:type="pct"/>
                  <w:vAlign w:val="center"/>
                </w:tcPr>
                <w:p w14:paraId="159AA56D">
                  <w:pPr>
                    <w:pStyle w:val="79"/>
                    <w:rPr>
                      <w:rFonts w:eastAsia="Times New Roman"/>
                      <w:lang w:val="en-US"/>
                    </w:rPr>
                  </w:pPr>
                  <w:r>
                    <w:rPr>
                      <w:rFonts w:hint="eastAsia" w:eastAsiaTheme="minorEastAsia"/>
                      <w:szCs w:val="21"/>
                      <w:lang w:val="en-US"/>
                    </w:rPr>
                    <w:t xml:space="preserve"> </w:t>
                  </w:r>
                </w:p>
              </w:tc>
            </w:tr>
            <w:tr w14:paraId="1CE29F6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015C7A82">
                  <w:pPr>
                    <w:pStyle w:val="79"/>
                    <w:rPr>
                      <w:rFonts w:eastAsia="Times New Roman"/>
                    </w:rPr>
                  </w:pPr>
                </w:p>
              </w:tc>
              <w:tc>
                <w:tcPr>
                  <w:tcW w:w="1042" w:type="pct"/>
                  <w:vAlign w:val="center"/>
                </w:tcPr>
                <w:p w14:paraId="53D48B0B">
                  <w:pPr>
                    <w:pStyle w:val="79"/>
                    <w:rPr>
                      <w:rFonts w:eastAsia="Times New Roman"/>
                    </w:rPr>
                  </w:pPr>
                  <w:r>
                    <w:rPr>
                      <w:rFonts w:hint="eastAsia" w:eastAsia="Times New Roman"/>
                      <w:lang w:val="en-US"/>
                    </w:rPr>
                    <w:t>3#</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1BE6F938">
                  <w:pPr>
                    <w:pStyle w:val="79"/>
                    <w:rPr>
                      <w:rFonts w:eastAsia="Times New Roman"/>
                      <w:szCs w:val="24"/>
                    </w:rPr>
                  </w:pPr>
                </w:p>
              </w:tc>
              <w:tc>
                <w:tcPr>
                  <w:tcW w:w="381" w:type="pct"/>
                  <w:vAlign w:val="center"/>
                </w:tcPr>
                <w:p w14:paraId="06F39E95">
                  <w:pPr>
                    <w:pStyle w:val="79"/>
                    <w:rPr>
                      <w:rFonts w:eastAsia="Times New Roman"/>
                    </w:rPr>
                  </w:pPr>
                  <w:r>
                    <w:rPr>
                      <w:rFonts w:hint="eastAsia" w:eastAsiaTheme="minorEastAsia"/>
                      <w:szCs w:val="21"/>
                      <w:lang w:val="en-US"/>
                    </w:rPr>
                    <w:t xml:space="preserve"> </w:t>
                  </w:r>
                </w:p>
              </w:tc>
              <w:tc>
                <w:tcPr>
                  <w:tcW w:w="381" w:type="pct"/>
                  <w:vAlign w:val="center"/>
                </w:tcPr>
                <w:p w14:paraId="4B17674F">
                  <w:pPr>
                    <w:pStyle w:val="79"/>
                    <w:rPr>
                      <w:rFonts w:eastAsia="Times New Roman"/>
                    </w:rPr>
                  </w:pPr>
                  <w:r>
                    <w:rPr>
                      <w:rFonts w:hint="eastAsia" w:eastAsiaTheme="minorEastAsia"/>
                      <w:szCs w:val="21"/>
                      <w:lang w:val="en-US"/>
                    </w:rPr>
                    <w:t xml:space="preserve"> </w:t>
                  </w:r>
                </w:p>
              </w:tc>
              <w:tc>
                <w:tcPr>
                  <w:tcW w:w="381" w:type="pct"/>
                  <w:vAlign w:val="center"/>
                </w:tcPr>
                <w:p w14:paraId="5BE32FD8">
                  <w:pPr>
                    <w:pStyle w:val="79"/>
                    <w:rPr>
                      <w:rFonts w:eastAsia="Times New Roman"/>
                    </w:rPr>
                  </w:pPr>
                  <w:r>
                    <w:rPr>
                      <w:rFonts w:hint="eastAsia" w:eastAsiaTheme="minorEastAsia"/>
                      <w:szCs w:val="21"/>
                      <w:lang w:val="en-US"/>
                    </w:rPr>
                    <w:t xml:space="preserve"> </w:t>
                  </w:r>
                </w:p>
              </w:tc>
              <w:tc>
                <w:tcPr>
                  <w:tcW w:w="381" w:type="pct"/>
                  <w:vAlign w:val="center"/>
                </w:tcPr>
                <w:p w14:paraId="35AF4BC2">
                  <w:pPr>
                    <w:pStyle w:val="79"/>
                    <w:rPr>
                      <w:rFonts w:eastAsia="Times New Roman"/>
                    </w:rPr>
                  </w:pPr>
                  <w:r>
                    <w:rPr>
                      <w:rFonts w:hint="eastAsia" w:eastAsiaTheme="minorEastAsia"/>
                      <w:szCs w:val="21"/>
                      <w:lang w:val="en-US"/>
                    </w:rPr>
                    <w:t xml:space="preserve"> </w:t>
                  </w:r>
                </w:p>
              </w:tc>
              <w:tc>
                <w:tcPr>
                  <w:tcW w:w="384" w:type="pct"/>
                  <w:vAlign w:val="center"/>
                </w:tcPr>
                <w:p w14:paraId="20FA2699">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37A77C3F">
                  <w:pPr>
                    <w:pStyle w:val="79"/>
                    <w:rPr>
                      <w:rFonts w:eastAsia="Times New Roman"/>
                      <w:lang w:val="en-US"/>
                    </w:rPr>
                  </w:pPr>
                </w:p>
              </w:tc>
              <w:tc>
                <w:tcPr>
                  <w:tcW w:w="553" w:type="pct"/>
                  <w:vAlign w:val="center"/>
                </w:tcPr>
                <w:p w14:paraId="2F564D5C">
                  <w:pPr>
                    <w:pStyle w:val="79"/>
                    <w:rPr>
                      <w:rFonts w:eastAsia="Times New Roman"/>
                      <w:lang w:val="en-US"/>
                    </w:rPr>
                  </w:pPr>
                  <w:r>
                    <w:rPr>
                      <w:rFonts w:hint="eastAsia" w:eastAsiaTheme="minorEastAsia"/>
                      <w:szCs w:val="21"/>
                      <w:lang w:val="en-US"/>
                    </w:rPr>
                    <w:t xml:space="preserve"> </w:t>
                  </w:r>
                </w:p>
              </w:tc>
            </w:tr>
            <w:tr w14:paraId="6900095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84" w:type="pct"/>
                  <w:vMerge w:val="continue"/>
                  <w:vAlign w:val="center"/>
                </w:tcPr>
                <w:p w14:paraId="3D0A4295">
                  <w:pPr>
                    <w:pStyle w:val="79"/>
                    <w:rPr>
                      <w:rFonts w:eastAsia="Times New Roman"/>
                    </w:rPr>
                  </w:pPr>
                </w:p>
              </w:tc>
              <w:tc>
                <w:tcPr>
                  <w:tcW w:w="1042" w:type="pct"/>
                  <w:vAlign w:val="center"/>
                </w:tcPr>
                <w:p w14:paraId="4DA913E3">
                  <w:pPr>
                    <w:pStyle w:val="79"/>
                    <w:rPr>
                      <w:rFonts w:eastAsia="Times New Roman"/>
                    </w:rPr>
                  </w:pPr>
                  <w:r>
                    <w:rPr>
                      <w:rFonts w:hint="eastAsia" w:eastAsia="Times New Roman"/>
                      <w:lang w:val="en-US"/>
                    </w:rPr>
                    <w:t>4#</w:t>
                  </w:r>
                  <w:r>
                    <w:rPr>
                      <w:rFonts w:hint="eastAsia" w:ascii="宋体" w:hAnsi="宋体" w:eastAsia="Times New Roman" w:cs="宋体"/>
                      <w:lang w:val="en-US"/>
                    </w:rPr>
                    <w:t>项目</w:t>
                  </w:r>
                  <w:r>
                    <w:rPr>
                      <w:rFonts w:hint="eastAsia" w:ascii="宋体" w:hAnsi="宋体" w:eastAsia="Times New Roman" w:cs="宋体"/>
                      <w:szCs w:val="21"/>
                      <w:lang w:val="en-US"/>
                    </w:rPr>
                    <w:t>厂界下风向</w:t>
                  </w:r>
                </w:p>
              </w:tc>
              <w:tc>
                <w:tcPr>
                  <w:tcW w:w="967" w:type="pct"/>
                  <w:vMerge w:val="continue"/>
                  <w:vAlign w:val="center"/>
                </w:tcPr>
                <w:p w14:paraId="6A6CC96C">
                  <w:pPr>
                    <w:pStyle w:val="79"/>
                    <w:rPr>
                      <w:rFonts w:eastAsia="Times New Roman"/>
                      <w:szCs w:val="24"/>
                    </w:rPr>
                  </w:pPr>
                </w:p>
              </w:tc>
              <w:tc>
                <w:tcPr>
                  <w:tcW w:w="381" w:type="pct"/>
                  <w:vAlign w:val="center"/>
                </w:tcPr>
                <w:p w14:paraId="6A782BE5">
                  <w:pPr>
                    <w:pStyle w:val="79"/>
                    <w:rPr>
                      <w:rFonts w:eastAsia="Times New Roman"/>
                    </w:rPr>
                  </w:pPr>
                  <w:r>
                    <w:rPr>
                      <w:rFonts w:hint="eastAsia" w:eastAsiaTheme="minorEastAsia"/>
                      <w:szCs w:val="21"/>
                      <w:lang w:val="en-US"/>
                    </w:rPr>
                    <w:t xml:space="preserve"> </w:t>
                  </w:r>
                </w:p>
              </w:tc>
              <w:tc>
                <w:tcPr>
                  <w:tcW w:w="381" w:type="pct"/>
                  <w:vAlign w:val="center"/>
                </w:tcPr>
                <w:p w14:paraId="1F38CD1B">
                  <w:pPr>
                    <w:pStyle w:val="79"/>
                    <w:rPr>
                      <w:rFonts w:eastAsia="Times New Roman"/>
                    </w:rPr>
                  </w:pPr>
                  <w:r>
                    <w:rPr>
                      <w:rFonts w:hint="eastAsia" w:eastAsiaTheme="minorEastAsia"/>
                      <w:szCs w:val="21"/>
                      <w:lang w:val="en-US"/>
                    </w:rPr>
                    <w:t xml:space="preserve"> </w:t>
                  </w:r>
                </w:p>
              </w:tc>
              <w:tc>
                <w:tcPr>
                  <w:tcW w:w="381" w:type="pct"/>
                  <w:vAlign w:val="center"/>
                </w:tcPr>
                <w:p w14:paraId="61214146">
                  <w:pPr>
                    <w:pStyle w:val="79"/>
                    <w:rPr>
                      <w:rFonts w:eastAsia="Times New Roman"/>
                    </w:rPr>
                  </w:pPr>
                  <w:r>
                    <w:rPr>
                      <w:rFonts w:hint="eastAsia" w:eastAsiaTheme="minorEastAsia"/>
                      <w:szCs w:val="21"/>
                      <w:lang w:val="en-US"/>
                    </w:rPr>
                    <w:t xml:space="preserve"> </w:t>
                  </w:r>
                </w:p>
              </w:tc>
              <w:tc>
                <w:tcPr>
                  <w:tcW w:w="381" w:type="pct"/>
                  <w:vAlign w:val="center"/>
                </w:tcPr>
                <w:p w14:paraId="53D20AAC">
                  <w:pPr>
                    <w:pStyle w:val="79"/>
                    <w:rPr>
                      <w:rFonts w:eastAsia="Times New Roman"/>
                    </w:rPr>
                  </w:pPr>
                  <w:r>
                    <w:rPr>
                      <w:rFonts w:hint="eastAsia" w:eastAsiaTheme="minorEastAsia"/>
                      <w:szCs w:val="21"/>
                      <w:lang w:val="en-US"/>
                    </w:rPr>
                    <w:t xml:space="preserve"> </w:t>
                  </w:r>
                </w:p>
              </w:tc>
              <w:tc>
                <w:tcPr>
                  <w:tcW w:w="384" w:type="pct"/>
                  <w:vAlign w:val="center"/>
                </w:tcPr>
                <w:p w14:paraId="3BF04612">
                  <w:pPr>
                    <w:pStyle w:val="79"/>
                    <w:rPr>
                      <w:rFonts w:eastAsia="Times New Roman"/>
                    </w:rPr>
                  </w:pPr>
                  <w:r>
                    <w:rPr>
                      <w:rFonts w:hint="eastAsia" w:eastAsiaTheme="minorEastAsia"/>
                      <w:szCs w:val="21"/>
                      <w:lang w:val="en-US"/>
                    </w:rPr>
                    <w:t xml:space="preserve"> </w:t>
                  </w:r>
                </w:p>
              </w:tc>
              <w:tc>
                <w:tcPr>
                  <w:tcW w:w="246" w:type="pct"/>
                  <w:vMerge w:val="continue"/>
                  <w:vAlign w:val="center"/>
                </w:tcPr>
                <w:p w14:paraId="0BBCF55D">
                  <w:pPr>
                    <w:pStyle w:val="79"/>
                    <w:rPr>
                      <w:rFonts w:eastAsia="Times New Roman"/>
                      <w:lang w:val="en-US"/>
                    </w:rPr>
                  </w:pPr>
                </w:p>
              </w:tc>
              <w:tc>
                <w:tcPr>
                  <w:tcW w:w="553" w:type="pct"/>
                  <w:vAlign w:val="center"/>
                </w:tcPr>
                <w:p w14:paraId="6B1D9593">
                  <w:pPr>
                    <w:pStyle w:val="79"/>
                    <w:rPr>
                      <w:rFonts w:eastAsia="Times New Roman"/>
                      <w:lang w:val="en-US"/>
                    </w:rPr>
                  </w:pPr>
                  <w:r>
                    <w:rPr>
                      <w:rFonts w:hint="eastAsia" w:eastAsiaTheme="minorEastAsia"/>
                      <w:szCs w:val="21"/>
                      <w:lang w:val="en-US"/>
                    </w:rPr>
                    <w:t xml:space="preserve"> </w:t>
                  </w:r>
                </w:p>
              </w:tc>
            </w:tr>
          </w:tbl>
          <w:p w14:paraId="4173EA0F">
            <w:pPr>
              <w:pStyle w:val="117"/>
              <w:ind w:firstLine="480"/>
            </w:pPr>
            <w:r>
              <w:rPr>
                <w:rFonts w:hint="eastAsia" w:ascii="宋体" w:hAnsi="宋体"/>
              </w:rPr>
              <w:t>根据监测结果可知，项目厂界无组织废气浓度均达到</w:t>
            </w:r>
            <w:r>
              <w:t>《大气污染物综合排放标准》（GB16297-1996）中的表2的新污染源大气污染物</w:t>
            </w:r>
            <w:r>
              <w:rPr>
                <w:rFonts w:hint="eastAsia"/>
              </w:rPr>
              <w:t>无组织</w:t>
            </w:r>
            <w:r>
              <w:t>排放限值</w:t>
            </w:r>
            <w:r>
              <w:rPr>
                <w:rFonts w:hint="eastAsia"/>
              </w:rPr>
              <w:t>要求。</w:t>
            </w:r>
          </w:p>
          <w:p w14:paraId="16E720E9">
            <w:pPr>
              <w:pStyle w:val="117"/>
              <w:numPr>
                <w:ilvl w:val="0"/>
                <w:numId w:val="3"/>
              </w:numPr>
              <w:ind w:firstLineChars="0"/>
            </w:pPr>
            <w:r>
              <w:rPr>
                <w:rFonts w:hint="eastAsia"/>
              </w:rPr>
              <w:t>废水</w:t>
            </w:r>
          </w:p>
          <w:p w14:paraId="3BE64DDB">
            <w:pPr>
              <w:pStyle w:val="117"/>
              <w:ind w:left="480" w:firstLine="0" w:firstLineChars="0"/>
            </w:pPr>
            <w:r>
              <w:rPr>
                <w:rFonts w:hint="eastAsia"/>
              </w:rPr>
              <w:t>项目运营期废水主要为冷却循环水及员工生活污水。</w:t>
            </w:r>
          </w:p>
          <w:p w14:paraId="0D45A1C7">
            <w:pPr>
              <w:pStyle w:val="117"/>
              <w:ind w:firstLine="480"/>
            </w:pPr>
            <w:r>
              <w:rPr>
                <w:rFonts w:hint="eastAsia"/>
              </w:rPr>
              <w:t>项目冷却循环水循环利用，定期补充，不外排；员工生活污水经化粪池处理后经市政管网排入鹿寨县第二污水处理站，最终排入洛清江。根据广西德益环保科技有限公司出具的《柳州市远诚科技有限公司环评监测报告》（报告编号：德益（环监）[2025]017号，详见附件7），项目生活污水监测结果见表2-8。</w:t>
            </w:r>
          </w:p>
          <w:p w14:paraId="435C1341">
            <w:pPr>
              <w:pStyle w:val="87"/>
            </w:pPr>
          </w:p>
          <w:p w14:paraId="3E5B74C9">
            <w:pPr>
              <w:pStyle w:val="87"/>
            </w:pPr>
          </w:p>
          <w:p w14:paraId="559C2A7F">
            <w:pPr>
              <w:pStyle w:val="87"/>
            </w:pPr>
          </w:p>
          <w:p w14:paraId="63171E0E">
            <w:pPr>
              <w:pStyle w:val="79"/>
            </w:pPr>
          </w:p>
          <w:p w14:paraId="08E8E9B6">
            <w:pPr>
              <w:pStyle w:val="79"/>
            </w:pPr>
          </w:p>
          <w:p w14:paraId="6A5AB0CC">
            <w:pPr>
              <w:pStyle w:val="79"/>
            </w:pPr>
          </w:p>
          <w:p w14:paraId="343D7F77">
            <w:pPr>
              <w:pStyle w:val="87"/>
            </w:pPr>
            <w:r>
              <w:rPr>
                <w:rFonts w:hint="eastAsia"/>
              </w:rPr>
              <w:t>表2-8  项目生活污水监测结果表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509"/>
              <w:gridCol w:w="557"/>
              <w:gridCol w:w="1522"/>
              <w:gridCol w:w="690"/>
              <w:gridCol w:w="623"/>
              <w:gridCol w:w="737"/>
              <w:gridCol w:w="737"/>
              <w:gridCol w:w="737"/>
              <w:gridCol w:w="748"/>
              <w:gridCol w:w="748"/>
              <w:gridCol w:w="727"/>
            </w:tblGrid>
            <w:tr w14:paraId="47002B1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restart"/>
                  <w:vAlign w:val="center"/>
                </w:tcPr>
                <w:p w14:paraId="364FCDA6">
                  <w:pPr>
                    <w:pStyle w:val="79"/>
                    <w:rPr>
                      <w:rFonts w:ascii="宋体" w:hAnsi="宋体" w:eastAsia="Times New Roman" w:cs="宋体"/>
                      <w:b/>
                    </w:rPr>
                  </w:pPr>
                  <w:r>
                    <w:rPr>
                      <w:rFonts w:hint="eastAsia" w:ascii="宋体" w:hAnsi="宋体" w:eastAsia="Times New Roman" w:cs="宋体"/>
                      <w:b/>
                    </w:rPr>
                    <w:t>监测</w:t>
                  </w:r>
                </w:p>
                <w:p w14:paraId="2E9135D8">
                  <w:pPr>
                    <w:pStyle w:val="79"/>
                    <w:rPr>
                      <w:rFonts w:eastAsia="Times New Roman"/>
                      <w:b w:val="0"/>
                    </w:rPr>
                  </w:pPr>
                  <w:r>
                    <w:rPr>
                      <w:rFonts w:hint="eastAsia" w:ascii="宋体" w:hAnsi="宋体" w:eastAsia="Times New Roman" w:cs="宋体"/>
                      <w:b/>
                    </w:rPr>
                    <w:t>日期</w:t>
                  </w:r>
                </w:p>
              </w:tc>
              <w:tc>
                <w:tcPr>
                  <w:tcW w:w="334" w:type="pct"/>
                  <w:vMerge w:val="restart"/>
                  <w:vAlign w:val="center"/>
                </w:tcPr>
                <w:p w14:paraId="13CB5F76">
                  <w:pPr>
                    <w:pStyle w:val="79"/>
                    <w:rPr>
                      <w:rFonts w:ascii="宋体" w:hAnsi="宋体" w:eastAsia="Times New Roman" w:cs="宋体"/>
                      <w:b/>
                    </w:rPr>
                  </w:pPr>
                  <w:r>
                    <w:rPr>
                      <w:rFonts w:hint="eastAsia" w:ascii="宋体" w:hAnsi="宋体" w:eastAsia="Times New Roman" w:cs="宋体"/>
                      <w:b/>
                    </w:rPr>
                    <w:t>监测</w:t>
                  </w:r>
                </w:p>
                <w:p w14:paraId="7C19E9FC">
                  <w:pPr>
                    <w:pStyle w:val="79"/>
                    <w:rPr>
                      <w:rFonts w:eastAsia="Times New Roman"/>
                      <w:b w:val="0"/>
                    </w:rPr>
                  </w:pPr>
                  <w:r>
                    <w:rPr>
                      <w:rFonts w:hint="eastAsia" w:ascii="宋体" w:hAnsi="宋体" w:eastAsia="Times New Roman" w:cs="宋体"/>
                      <w:b/>
                    </w:rPr>
                    <w:t>位置</w:t>
                  </w:r>
                </w:p>
              </w:tc>
              <w:tc>
                <w:tcPr>
                  <w:tcW w:w="913" w:type="pct"/>
                  <w:vMerge w:val="restart"/>
                  <w:vAlign w:val="center"/>
                </w:tcPr>
                <w:p w14:paraId="09326AA0">
                  <w:pPr>
                    <w:pStyle w:val="79"/>
                    <w:rPr>
                      <w:rFonts w:eastAsia="Times New Roman"/>
                      <w:b w:val="0"/>
                    </w:rPr>
                  </w:pPr>
                  <w:r>
                    <w:rPr>
                      <w:rFonts w:hint="eastAsia" w:ascii="宋体" w:hAnsi="宋体" w:eastAsia="Times New Roman" w:cs="宋体"/>
                      <w:b/>
                    </w:rPr>
                    <w:t>监测项目</w:t>
                  </w:r>
                </w:p>
              </w:tc>
              <w:tc>
                <w:tcPr>
                  <w:tcW w:w="414" w:type="pct"/>
                  <w:vMerge w:val="restart"/>
                  <w:vAlign w:val="center"/>
                </w:tcPr>
                <w:p w14:paraId="6E313C30">
                  <w:pPr>
                    <w:pStyle w:val="79"/>
                    <w:rPr>
                      <w:rFonts w:eastAsia="Times New Roman"/>
                      <w:b w:val="0"/>
                    </w:rPr>
                  </w:pPr>
                  <w:r>
                    <w:rPr>
                      <w:rFonts w:hint="eastAsia" w:ascii="宋体" w:hAnsi="宋体" w:eastAsia="Times New Roman" w:cs="宋体"/>
                      <w:b/>
                    </w:rPr>
                    <w:t>单位</w:t>
                  </w:r>
                </w:p>
              </w:tc>
              <w:tc>
                <w:tcPr>
                  <w:tcW w:w="2149" w:type="pct"/>
                  <w:gridSpan w:val="5"/>
                  <w:vAlign w:val="center"/>
                </w:tcPr>
                <w:p w14:paraId="71DEE2E3">
                  <w:pPr>
                    <w:pStyle w:val="79"/>
                    <w:rPr>
                      <w:rFonts w:eastAsia="Times New Roman"/>
                      <w:b w:val="0"/>
                    </w:rPr>
                  </w:pPr>
                  <w:r>
                    <w:rPr>
                      <w:rFonts w:hint="eastAsia" w:ascii="宋体" w:hAnsi="宋体" w:eastAsia="Times New Roman" w:cs="宋体"/>
                      <w:b/>
                    </w:rPr>
                    <w:t>监测结果</w:t>
                  </w:r>
                </w:p>
              </w:tc>
              <w:tc>
                <w:tcPr>
                  <w:tcW w:w="449" w:type="pct"/>
                  <w:vMerge w:val="restart"/>
                  <w:vAlign w:val="center"/>
                </w:tcPr>
                <w:p w14:paraId="0EB31C93">
                  <w:pPr>
                    <w:pStyle w:val="79"/>
                    <w:rPr>
                      <w:rFonts w:ascii="宋体" w:hAnsi="宋体" w:eastAsia="Times New Roman" w:cs="宋体"/>
                      <w:b w:val="0"/>
                    </w:rPr>
                  </w:pPr>
                  <w:r>
                    <w:rPr>
                      <w:rFonts w:hint="eastAsia" w:ascii="宋体" w:hAnsi="宋体" w:eastAsia="Times New Roman" w:cs="宋体"/>
                      <w:b/>
                    </w:rPr>
                    <w:t>执行标准</w:t>
                  </w:r>
                </w:p>
              </w:tc>
              <w:tc>
                <w:tcPr>
                  <w:tcW w:w="437" w:type="pct"/>
                  <w:vMerge w:val="restart"/>
                  <w:vAlign w:val="center"/>
                </w:tcPr>
                <w:p w14:paraId="085BDB7E">
                  <w:pPr>
                    <w:pStyle w:val="79"/>
                    <w:rPr>
                      <w:rFonts w:ascii="宋体" w:hAnsi="宋体" w:eastAsia="Times New Roman" w:cs="宋体"/>
                      <w:b w:val="0"/>
                    </w:rPr>
                  </w:pPr>
                  <w:r>
                    <w:rPr>
                      <w:rFonts w:hint="eastAsia" w:ascii="宋体" w:hAnsi="宋体" w:eastAsia="Times New Roman" w:cs="宋体"/>
                      <w:b/>
                    </w:rPr>
                    <w:t>达标情况</w:t>
                  </w:r>
                </w:p>
              </w:tc>
            </w:tr>
            <w:tr w14:paraId="0A2D8E5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6C811127">
                  <w:pPr>
                    <w:pStyle w:val="79"/>
                    <w:rPr>
                      <w:rFonts w:eastAsia="Times New Roman"/>
                    </w:rPr>
                  </w:pPr>
                </w:p>
              </w:tc>
              <w:tc>
                <w:tcPr>
                  <w:tcW w:w="334" w:type="pct"/>
                  <w:vMerge w:val="continue"/>
                  <w:vAlign w:val="center"/>
                </w:tcPr>
                <w:p w14:paraId="2E7BE72D">
                  <w:pPr>
                    <w:pStyle w:val="79"/>
                    <w:rPr>
                      <w:rFonts w:eastAsia="Times New Roman"/>
                    </w:rPr>
                  </w:pPr>
                </w:p>
              </w:tc>
              <w:tc>
                <w:tcPr>
                  <w:tcW w:w="913" w:type="pct"/>
                  <w:vMerge w:val="continue"/>
                  <w:vAlign w:val="center"/>
                </w:tcPr>
                <w:p w14:paraId="6260734D">
                  <w:pPr>
                    <w:pStyle w:val="79"/>
                    <w:rPr>
                      <w:rFonts w:eastAsia="Times New Roman"/>
                    </w:rPr>
                  </w:pPr>
                </w:p>
              </w:tc>
              <w:tc>
                <w:tcPr>
                  <w:tcW w:w="414" w:type="pct"/>
                  <w:vMerge w:val="continue"/>
                  <w:vAlign w:val="center"/>
                </w:tcPr>
                <w:p w14:paraId="29343587">
                  <w:pPr>
                    <w:pStyle w:val="79"/>
                    <w:rPr>
                      <w:rFonts w:eastAsia="Times New Roman"/>
                    </w:rPr>
                  </w:pPr>
                </w:p>
              </w:tc>
              <w:tc>
                <w:tcPr>
                  <w:tcW w:w="374" w:type="pct"/>
                  <w:vAlign w:val="center"/>
                </w:tcPr>
                <w:p w14:paraId="52F64CBD">
                  <w:pPr>
                    <w:pStyle w:val="79"/>
                    <w:rPr>
                      <w:rFonts w:eastAsia="Times New Roman"/>
                      <w:b/>
                    </w:rPr>
                  </w:pPr>
                  <w:r>
                    <w:rPr>
                      <w:rFonts w:hint="eastAsia" w:eastAsia="Times New Roman"/>
                      <w:b/>
                    </w:rPr>
                    <w:t>1</w:t>
                  </w:r>
                </w:p>
              </w:tc>
              <w:tc>
                <w:tcPr>
                  <w:tcW w:w="442" w:type="pct"/>
                  <w:vAlign w:val="center"/>
                </w:tcPr>
                <w:p w14:paraId="4DEAE08D">
                  <w:pPr>
                    <w:pStyle w:val="79"/>
                    <w:rPr>
                      <w:rFonts w:eastAsia="Times New Roman"/>
                      <w:b/>
                    </w:rPr>
                  </w:pPr>
                  <w:r>
                    <w:rPr>
                      <w:rFonts w:hint="eastAsia" w:eastAsia="Times New Roman"/>
                      <w:b/>
                    </w:rPr>
                    <w:t>2</w:t>
                  </w:r>
                </w:p>
              </w:tc>
              <w:tc>
                <w:tcPr>
                  <w:tcW w:w="442" w:type="pct"/>
                  <w:vAlign w:val="center"/>
                </w:tcPr>
                <w:p w14:paraId="46B55EA8">
                  <w:pPr>
                    <w:pStyle w:val="79"/>
                    <w:rPr>
                      <w:rFonts w:eastAsia="Times New Roman"/>
                      <w:b/>
                    </w:rPr>
                  </w:pPr>
                  <w:r>
                    <w:rPr>
                      <w:rFonts w:hint="eastAsia" w:eastAsia="Times New Roman"/>
                      <w:b/>
                    </w:rPr>
                    <w:t>3</w:t>
                  </w:r>
                </w:p>
              </w:tc>
              <w:tc>
                <w:tcPr>
                  <w:tcW w:w="442" w:type="pct"/>
                  <w:vAlign w:val="center"/>
                </w:tcPr>
                <w:p w14:paraId="36FD4047">
                  <w:pPr>
                    <w:pStyle w:val="79"/>
                    <w:rPr>
                      <w:rFonts w:eastAsia="Times New Roman"/>
                      <w:b/>
                    </w:rPr>
                  </w:pPr>
                  <w:r>
                    <w:rPr>
                      <w:rFonts w:hint="eastAsia" w:eastAsia="Times New Roman"/>
                      <w:b/>
                    </w:rPr>
                    <w:t>4</w:t>
                  </w:r>
                </w:p>
              </w:tc>
              <w:tc>
                <w:tcPr>
                  <w:tcW w:w="449" w:type="pct"/>
                  <w:vAlign w:val="center"/>
                </w:tcPr>
                <w:p w14:paraId="2C97B731">
                  <w:pPr>
                    <w:pStyle w:val="79"/>
                    <w:rPr>
                      <w:rFonts w:eastAsia="Times New Roman"/>
                      <w:b/>
                    </w:rPr>
                  </w:pPr>
                  <w:r>
                    <w:rPr>
                      <w:rFonts w:hint="eastAsia" w:ascii="宋体" w:hAnsi="宋体" w:eastAsia="Times New Roman" w:cs="宋体"/>
                      <w:b/>
                    </w:rPr>
                    <w:t>平均值</w:t>
                  </w:r>
                  <w:r>
                    <w:rPr>
                      <w:rFonts w:hint="eastAsia" w:eastAsia="Times New Roman"/>
                      <w:b/>
                    </w:rPr>
                    <w:t>/</w:t>
                  </w:r>
                  <w:r>
                    <w:rPr>
                      <w:rFonts w:hint="eastAsia" w:ascii="宋体" w:hAnsi="宋体" w:eastAsia="Times New Roman" w:cs="宋体"/>
                      <w:b/>
                    </w:rPr>
                    <w:t>范围</w:t>
                  </w:r>
                </w:p>
              </w:tc>
              <w:tc>
                <w:tcPr>
                  <w:tcW w:w="449" w:type="pct"/>
                  <w:vMerge w:val="continue"/>
                  <w:vAlign w:val="center"/>
                </w:tcPr>
                <w:p w14:paraId="535B8CA5">
                  <w:pPr>
                    <w:pStyle w:val="79"/>
                    <w:rPr>
                      <w:rFonts w:ascii="宋体" w:hAnsi="宋体" w:eastAsia="Times New Roman" w:cs="宋体"/>
                      <w:b/>
                    </w:rPr>
                  </w:pPr>
                </w:p>
              </w:tc>
              <w:tc>
                <w:tcPr>
                  <w:tcW w:w="437" w:type="pct"/>
                  <w:vMerge w:val="continue"/>
                  <w:vAlign w:val="center"/>
                </w:tcPr>
                <w:p w14:paraId="7A2F7878">
                  <w:pPr>
                    <w:pStyle w:val="79"/>
                    <w:rPr>
                      <w:rFonts w:ascii="宋体" w:hAnsi="宋体" w:eastAsia="Times New Roman" w:cs="宋体"/>
                      <w:b/>
                    </w:rPr>
                  </w:pPr>
                </w:p>
              </w:tc>
            </w:tr>
            <w:tr w14:paraId="29E4C5C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restart"/>
                  <w:vAlign w:val="center"/>
                </w:tcPr>
                <w:p w14:paraId="10B9F460">
                  <w:pPr>
                    <w:pStyle w:val="79"/>
                    <w:rPr>
                      <w:rFonts w:eastAsiaTheme="minorEastAsia"/>
                    </w:rPr>
                  </w:pPr>
                  <w:r>
                    <w:rPr>
                      <w:rFonts w:hint="eastAsia" w:eastAsia="Times New Roman"/>
                    </w:rPr>
                    <w:t>2025.</w:t>
                  </w:r>
                </w:p>
                <w:p w14:paraId="48E0C1C5">
                  <w:pPr>
                    <w:pStyle w:val="79"/>
                    <w:rPr>
                      <w:rFonts w:eastAsia="Times New Roman"/>
                    </w:rPr>
                  </w:pPr>
                  <w:r>
                    <w:rPr>
                      <w:rFonts w:hint="eastAsia" w:eastAsia="Times New Roman"/>
                    </w:rPr>
                    <w:t>07.31</w:t>
                  </w:r>
                </w:p>
              </w:tc>
              <w:tc>
                <w:tcPr>
                  <w:tcW w:w="334" w:type="pct"/>
                  <w:vMerge w:val="restart"/>
                  <w:vAlign w:val="center"/>
                </w:tcPr>
                <w:p w14:paraId="71767390">
                  <w:pPr>
                    <w:pStyle w:val="79"/>
                    <w:rPr>
                      <w:rFonts w:eastAsia="Times New Roman"/>
                    </w:rPr>
                  </w:pPr>
                  <w:r>
                    <w:rPr>
                      <w:rFonts w:hint="eastAsia" w:eastAsia="Times New Roman"/>
                    </w:rPr>
                    <w:t>1#</w:t>
                  </w:r>
                  <w:r>
                    <w:rPr>
                      <w:rFonts w:hint="eastAsia" w:ascii="宋体" w:hAnsi="宋体" w:eastAsia="Times New Roman" w:cs="宋体"/>
                    </w:rPr>
                    <w:t>生活污水外排口</w:t>
                  </w:r>
                </w:p>
              </w:tc>
              <w:tc>
                <w:tcPr>
                  <w:tcW w:w="913" w:type="pct"/>
                  <w:vAlign w:val="center"/>
                </w:tcPr>
                <w:p w14:paraId="683C42B6">
                  <w:pPr>
                    <w:pStyle w:val="79"/>
                    <w:rPr>
                      <w:rFonts w:eastAsia="Times New Roman"/>
                    </w:rPr>
                  </w:pPr>
                  <w:r>
                    <w:rPr>
                      <w:rFonts w:eastAsia="Times New Roman"/>
                    </w:rPr>
                    <w:t>pH</w:t>
                  </w:r>
                  <w:r>
                    <w:rPr>
                      <w:rFonts w:hint="eastAsia" w:ascii="宋体" w:hAnsi="宋体" w:eastAsia="Times New Roman" w:cs="宋体"/>
                    </w:rPr>
                    <w:t>值</w:t>
                  </w:r>
                </w:p>
              </w:tc>
              <w:tc>
                <w:tcPr>
                  <w:tcW w:w="414" w:type="pct"/>
                  <w:vAlign w:val="center"/>
                </w:tcPr>
                <w:p w14:paraId="6AD8336E">
                  <w:pPr>
                    <w:pStyle w:val="79"/>
                    <w:rPr>
                      <w:rFonts w:eastAsia="Times New Roman"/>
                    </w:rPr>
                  </w:pPr>
                  <w:r>
                    <w:rPr>
                      <w:rFonts w:hint="eastAsia" w:ascii="宋体" w:hAnsi="宋体" w:eastAsia="Times New Roman" w:cs="宋体"/>
                    </w:rPr>
                    <w:t>无量纲</w:t>
                  </w:r>
                </w:p>
              </w:tc>
              <w:tc>
                <w:tcPr>
                  <w:tcW w:w="374" w:type="pct"/>
                  <w:vAlign w:val="center"/>
                </w:tcPr>
                <w:p w14:paraId="0339F1B6">
                  <w:pPr>
                    <w:pStyle w:val="79"/>
                    <w:rPr>
                      <w:rFonts w:eastAsia="Times New Roman"/>
                    </w:rPr>
                  </w:pPr>
                  <w:r>
                    <w:rPr>
                      <w:rFonts w:hint="eastAsia" w:eastAsiaTheme="minorEastAsia"/>
                      <w:szCs w:val="21"/>
                      <w:lang w:val="en-US"/>
                    </w:rPr>
                    <w:t xml:space="preserve"> </w:t>
                  </w:r>
                </w:p>
              </w:tc>
              <w:tc>
                <w:tcPr>
                  <w:tcW w:w="442" w:type="pct"/>
                  <w:vAlign w:val="center"/>
                </w:tcPr>
                <w:p w14:paraId="60FA7236">
                  <w:pPr>
                    <w:pStyle w:val="79"/>
                    <w:rPr>
                      <w:rFonts w:eastAsia="Times New Roman"/>
                    </w:rPr>
                  </w:pPr>
                  <w:r>
                    <w:rPr>
                      <w:rFonts w:hint="eastAsia" w:eastAsiaTheme="minorEastAsia"/>
                      <w:szCs w:val="21"/>
                      <w:lang w:val="en-US"/>
                    </w:rPr>
                    <w:t xml:space="preserve"> </w:t>
                  </w:r>
                </w:p>
              </w:tc>
              <w:tc>
                <w:tcPr>
                  <w:tcW w:w="442" w:type="pct"/>
                  <w:vAlign w:val="center"/>
                </w:tcPr>
                <w:p w14:paraId="02FC6A13">
                  <w:pPr>
                    <w:pStyle w:val="79"/>
                    <w:rPr>
                      <w:rFonts w:eastAsia="Times New Roman"/>
                    </w:rPr>
                  </w:pPr>
                  <w:r>
                    <w:rPr>
                      <w:rFonts w:hint="eastAsia" w:eastAsiaTheme="minorEastAsia"/>
                      <w:szCs w:val="21"/>
                      <w:lang w:val="en-US"/>
                    </w:rPr>
                    <w:t xml:space="preserve"> </w:t>
                  </w:r>
                </w:p>
              </w:tc>
              <w:tc>
                <w:tcPr>
                  <w:tcW w:w="442" w:type="pct"/>
                  <w:vAlign w:val="center"/>
                </w:tcPr>
                <w:p w14:paraId="287E06F6">
                  <w:pPr>
                    <w:pStyle w:val="79"/>
                    <w:rPr>
                      <w:rFonts w:eastAsia="Times New Roman"/>
                    </w:rPr>
                  </w:pPr>
                  <w:r>
                    <w:rPr>
                      <w:rFonts w:hint="eastAsia" w:eastAsiaTheme="minorEastAsia"/>
                      <w:szCs w:val="21"/>
                      <w:lang w:val="en-US"/>
                    </w:rPr>
                    <w:t xml:space="preserve"> </w:t>
                  </w:r>
                </w:p>
              </w:tc>
              <w:tc>
                <w:tcPr>
                  <w:tcW w:w="449" w:type="pct"/>
                  <w:vAlign w:val="center"/>
                </w:tcPr>
                <w:p w14:paraId="05DDDDB8">
                  <w:pPr>
                    <w:pStyle w:val="79"/>
                    <w:rPr>
                      <w:rFonts w:eastAsia="Times New Roman"/>
                    </w:rPr>
                  </w:pPr>
                  <w:r>
                    <w:rPr>
                      <w:rFonts w:hint="eastAsia" w:eastAsiaTheme="minorEastAsia"/>
                      <w:szCs w:val="21"/>
                      <w:lang w:val="en-US"/>
                    </w:rPr>
                    <w:t xml:space="preserve"> </w:t>
                  </w:r>
                </w:p>
              </w:tc>
              <w:tc>
                <w:tcPr>
                  <w:tcW w:w="449" w:type="pct"/>
                  <w:vAlign w:val="center"/>
                </w:tcPr>
                <w:p w14:paraId="2B8F97DD">
                  <w:pPr>
                    <w:pStyle w:val="79"/>
                    <w:rPr>
                      <w:rFonts w:eastAsiaTheme="minorEastAsia"/>
                    </w:rPr>
                  </w:pPr>
                  <w:r>
                    <w:rPr>
                      <w:rFonts w:hint="eastAsia" w:eastAsiaTheme="minorEastAsia"/>
                    </w:rPr>
                    <w:t>6~9</w:t>
                  </w:r>
                </w:p>
              </w:tc>
              <w:tc>
                <w:tcPr>
                  <w:tcW w:w="437" w:type="pct"/>
                  <w:vAlign w:val="center"/>
                </w:tcPr>
                <w:p w14:paraId="3EC1BFB8">
                  <w:pPr>
                    <w:pStyle w:val="79"/>
                    <w:rPr>
                      <w:rFonts w:eastAsia="Times New Roman"/>
                    </w:rPr>
                  </w:pPr>
                  <w:r>
                    <w:rPr>
                      <w:rFonts w:hint="eastAsia" w:ascii="宋体" w:hAnsi="宋体" w:eastAsia="Times New Roman" w:cs="宋体"/>
                    </w:rPr>
                    <w:t>达标</w:t>
                  </w:r>
                </w:p>
              </w:tc>
            </w:tr>
            <w:tr w14:paraId="19EFCC3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4884CF51">
                  <w:pPr>
                    <w:pStyle w:val="79"/>
                    <w:rPr>
                      <w:rFonts w:eastAsia="Times New Roman"/>
                    </w:rPr>
                  </w:pPr>
                </w:p>
              </w:tc>
              <w:tc>
                <w:tcPr>
                  <w:tcW w:w="334" w:type="pct"/>
                  <w:vMerge w:val="continue"/>
                  <w:vAlign w:val="center"/>
                </w:tcPr>
                <w:p w14:paraId="2A1236B6">
                  <w:pPr>
                    <w:pStyle w:val="79"/>
                    <w:rPr>
                      <w:rFonts w:eastAsia="Times New Roman"/>
                    </w:rPr>
                  </w:pPr>
                </w:p>
              </w:tc>
              <w:tc>
                <w:tcPr>
                  <w:tcW w:w="913" w:type="pct"/>
                  <w:vAlign w:val="center"/>
                </w:tcPr>
                <w:p w14:paraId="17C9A741">
                  <w:pPr>
                    <w:pStyle w:val="79"/>
                    <w:rPr>
                      <w:rFonts w:eastAsia="Times New Roman"/>
                    </w:rPr>
                  </w:pPr>
                  <w:r>
                    <w:rPr>
                      <w:rFonts w:hint="eastAsia" w:ascii="宋体" w:hAnsi="宋体" w:eastAsia="Times New Roman" w:cs="宋体"/>
                    </w:rPr>
                    <w:t>悬浮物</w:t>
                  </w:r>
                </w:p>
              </w:tc>
              <w:tc>
                <w:tcPr>
                  <w:tcW w:w="414" w:type="pct"/>
                  <w:vAlign w:val="center"/>
                </w:tcPr>
                <w:p w14:paraId="2E2238DD">
                  <w:pPr>
                    <w:pStyle w:val="79"/>
                    <w:rPr>
                      <w:rFonts w:eastAsia="Times New Roman"/>
                    </w:rPr>
                  </w:pPr>
                  <w:r>
                    <w:rPr>
                      <w:rFonts w:hint="eastAsia" w:eastAsia="Times New Roman"/>
                    </w:rPr>
                    <w:t>mg/L</w:t>
                  </w:r>
                </w:p>
              </w:tc>
              <w:tc>
                <w:tcPr>
                  <w:tcW w:w="374" w:type="pct"/>
                  <w:vAlign w:val="center"/>
                </w:tcPr>
                <w:p w14:paraId="71EC3E5D">
                  <w:pPr>
                    <w:pStyle w:val="79"/>
                    <w:rPr>
                      <w:rFonts w:eastAsia="Times New Roman"/>
                    </w:rPr>
                  </w:pPr>
                  <w:r>
                    <w:rPr>
                      <w:rFonts w:hint="eastAsia" w:eastAsiaTheme="minorEastAsia"/>
                      <w:szCs w:val="21"/>
                      <w:lang w:val="en-US"/>
                    </w:rPr>
                    <w:t xml:space="preserve"> </w:t>
                  </w:r>
                </w:p>
              </w:tc>
              <w:tc>
                <w:tcPr>
                  <w:tcW w:w="442" w:type="pct"/>
                  <w:vAlign w:val="center"/>
                </w:tcPr>
                <w:p w14:paraId="0F216BF3">
                  <w:pPr>
                    <w:pStyle w:val="79"/>
                    <w:rPr>
                      <w:rFonts w:eastAsia="Times New Roman"/>
                    </w:rPr>
                  </w:pPr>
                  <w:r>
                    <w:rPr>
                      <w:rFonts w:hint="eastAsia" w:eastAsiaTheme="minorEastAsia"/>
                      <w:szCs w:val="21"/>
                      <w:lang w:val="en-US"/>
                    </w:rPr>
                    <w:t xml:space="preserve"> </w:t>
                  </w:r>
                </w:p>
              </w:tc>
              <w:tc>
                <w:tcPr>
                  <w:tcW w:w="442" w:type="pct"/>
                  <w:vAlign w:val="center"/>
                </w:tcPr>
                <w:p w14:paraId="10370DFD">
                  <w:pPr>
                    <w:pStyle w:val="79"/>
                    <w:rPr>
                      <w:rFonts w:eastAsia="Times New Roman"/>
                    </w:rPr>
                  </w:pPr>
                  <w:r>
                    <w:rPr>
                      <w:rFonts w:hint="eastAsia" w:eastAsiaTheme="minorEastAsia"/>
                      <w:szCs w:val="21"/>
                      <w:lang w:val="en-US"/>
                    </w:rPr>
                    <w:t xml:space="preserve"> </w:t>
                  </w:r>
                </w:p>
              </w:tc>
              <w:tc>
                <w:tcPr>
                  <w:tcW w:w="442" w:type="pct"/>
                  <w:vAlign w:val="center"/>
                </w:tcPr>
                <w:p w14:paraId="2B206C0B">
                  <w:pPr>
                    <w:pStyle w:val="79"/>
                    <w:rPr>
                      <w:rFonts w:eastAsia="Times New Roman"/>
                    </w:rPr>
                  </w:pPr>
                  <w:r>
                    <w:rPr>
                      <w:rFonts w:hint="eastAsia" w:eastAsiaTheme="minorEastAsia"/>
                      <w:szCs w:val="21"/>
                      <w:lang w:val="en-US"/>
                    </w:rPr>
                    <w:t xml:space="preserve"> </w:t>
                  </w:r>
                </w:p>
              </w:tc>
              <w:tc>
                <w:tcPr>
                  <w:tcW w:w="449" w:type="pct"/>
                  <w:vAlign w:val="center"/>
                </w:tcPr>
                <w:p w14:paraId="15DDA044">
                  <w:pPr>
                    <w:pStyle w:val="79"/>
                    <w:rPr>
                      <w:rFonts w:eastAsia="Times New Roman"/>
                    </w:rPr>
                  </w:pPr>
                  <w:r>
                    <w:rPr>
                      <w:rFonts w:hint="eastAsia" w:eastAsiaTheme="minorEastAsia"/>
                      <w:szCs w:val="21"/>
                      <w:lang w:val="en-US"/>
                    </w:rPr>
                    <w:t xml:space="preserve"> </w:t>
                  </w:r>
                </w:p>
              </w:tc>
              <w:tc>
                <w:tcPr>
                  <w:tcW w:w="449" w:type="pct"/>
                  <w:vAlign w:val="center"/>
                </w:tcPr>
                <w:p w14:paraId="725A0201">
                  <w:pPr>
                    <w:pStyle w:val="79"/>
                    <w:rPr>
                      <w:rFonts w:eastAsiaTheme="minorEastAsia"/>
                    </w:rPr>
                  </w:pPr>
                  <w:r>
                    <w:rPr>
                      <w:rFonts w:hint="eastAsia" w:eastAsiaTheme="minorEastAsia"/>
                    </w:rPr>
                    <w:t>400</w:t>
                  </w:r>
                </w:p>
              </w:tc>
              <w:tc>
                <w:tcPr>
                  <w:tcW w:w="437" w:type="pct"/>
                  <w:vAlign w:val="center"/>
                </w:tcPr>
                <w:p w14:paraId="020BCE23">
                  <w:pPr>
                    <w:pStyle w:val="79"/>
                    <w:rPr>
                      <w:rFonts w:eastAsia="Times New Roman"/>
                    </w:rPr>
                  </w:pPr>
                  <w:r>
                    <w:rPr>
                      <w:rFonts w:hint="eastAsia" w:ascii="宋体" w:hAnsi="宋体" w:eastAsia="Times New Roman" w:cs="宋体"/>
                    </w:rPr>
                    <w:t>达标</w:t>
                  </w:r>
                </w:p>
              </w:tc>
            </w:tr>
            <w:tr w14:paraId="03A288C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1F7B0A7E">
                  <w:pPr>
                    <w:pStyle w:val="79"/>
                    <w:rPr>
                      <w:rFonts w:eastAsia="Times New Roman"/>
                    </w:rPr>
                  </w:pPr>
                </w:p>
              </w:tc>
              <w:tc>
                <w:tcPr>
                  <w:tcW w:w="334" w:type="pct"/>
                  <w:vMerge w:val="continue"/>
                  <w:vAlign w:val="center"/>
                </w:tcPr>
                <w:p w14:paraId="4E4E5572">
                  <w:pPr>
                    <w:pStyle w:val="79"/>
                    <w:rPr>
                      <w:rFonts w:eastAsia="Times New Roman"/>
                    </w:rPr>
                  </w:pPr>
                </w:p>
              </w:tc>
              <w:tc>
                <w:tcPr>
                  <w:tcW w:w="913" w:type="pct"/>
                  <w:vAlign w:val="center"/>
                </w:tcPr>
                <w:p w14:paraId="2E30CFCE">
                  <w:pPr>
                    <w:pStyle w:val="79"/>
                    <w:rPr>
                      <w:rFonts w:eastAsia="Times New Roman"/>
                    </w:rPr>
                  </w:pPr>
                  <w:r>
                    <w:rPr>
                      <w:rFonts w:hint="eastAsia" w:ascii="宋体" w:hAnsi="宋体" w:eastAsia="Times New Roman" w:cs="宋体"/>
                    </w:rPr>
                    <w:t>化学需氧量</w:t>
                  </w:r>
                </w:p>
              </w:tc>
              <w:tc>
                <w:tcPr>
                  <w:tcW w:w="414" w:type="pct"/>
                  <w:vAlign w:val="center"/>
                </w:tcPr>
                <w:p w14:paraId="21A0E010">
                  <w:pPr>
                    <w:pStyle w:val="79"/>
                    <w:rPr>
                      <w:rFonts w:eastAsia="Times New Roman"/>
                    </w:rPr>
                  </w:pPr>
                  <w:r>
                    <w:rPr>
                      <w:rFonts w:hint="eastAsia" w:eastAsia="Times New Roman"/>
                    </w:rPr>
                    <w:t>mg/L</w:t>
                  </w:r>
                </w:p>
              </w:tc>
              <w:tc>
                <w:tcPr>
                  <w:tcW w:w="374" w:type="pct"/>
                  <w:vAlign w:val="center"/>
                </w:tcPr>
                <w:p w14:paraId="33C09191">
                  <w:pPr>
                    <w:pStyle w:val="79"/>
                    <w:rPr>
                      <w:rFonts w:eastAsia="Times New Roman"/>
                    </w:rPr>
                  </w:pPr>
                  <w:r>
                    <w:rPr>
                      <w:rFonts w:hint="eastAsia" w:eastAsiaTheme="minorEastAsia"/>
                      <w:szCs w:val="21"/>
                      <w:lang w:val="en-US"/>
                    </w:rPr>
                    <w:t xml:space="preserve"> </w:t>
                  </w:r>
                </w:p>
              </w:tc>
              <w:tc>
                <w:tcPr>
                  <w:tcW w:w="442" w:type="pct"/>
                  <w:vAlign w:val="center"/>
                </w:tcPr>
                <w:p w14:paraId="7D9D33A6">
                  <w:pPr>
                    <w:pStyle w:val="79"/>
                    <w:rPr>
                      <w:rFonts w:eastAsia="Times New Roman"/>
                    </w:rPr>
                  </w:pPr>
                  <w:r>
                    <w:rPr>
                      <w:rFonts w:hint="eastAsia" w:eastAsiaTheme="minorEastAsia"/>
                      <w:szCs w:val="21"/>
                      <w:lang w:val="en-US"/>
                    </w:rPr>
                    <w:t xml:space="preserve"> </w:t>
                  </w:r>
                </w:p>
              </w:tc>
              <w:tc>
                <w:tcPr>
                  <w:tcW w:w="442" w:type="pct"/>
                  <w:vAlign w:val="center"/>
                </w:tcPr>
                <w:p w14:paraId="12D36E8E">
                  <w:pPr>
                    <w:pStyle w:val="79"/>
                    <w:rPr>
                      <w:rFonts w:eastAsia="Times New Roman"/>
                    </w:rPr>
                  </w:pPr>
                  <w:r>
                    <w:rPr>
                      <w:rFonts w:hint="eastAsia" w:eastAsiaTheme="minorEastAsia"/>
                      <w:szCs w:val="21"/>
                      <w:lang w:val="en-US"/>
                    </w:rPr>
                    <w:t xml:space="preserve"> </w:t>
                  </w:r>
                </w:p>
              </w:tc>
              <w:tc>
                <w:tcPr>
                  <w:tcW w:w="442" w:type="pct"/>
                  <w:vAlign w:val="center"/>
                </w:tcPr>
                <w:p w14:paraId="5444EBD1">
                  <w:pPr>
                    <w:pStyle w:val="79"/>
                    <w:rPr>
                      <w:rFonts w:eastAsia="Times New Roman"/>
                    </w:rPr>
                  </w:pPr>
                  <w:r>
                    <w:rPr>
                      <w:rFonts w:hint="eastAsia" w:eastAsiaTheme="minorEastAsia"/>
                      <w:szCs w:val="21"/>
                      <w:lang w:val="en-US"/>
                    </w:rPr>
                    <w:t xml:space="preserve"> </w:t>
                  </w:r>
                </w:p>
              </w:tc>
              <w:tc>
                <w:tcPr>
                  <w:tcW w:w="449" w:type="pct"/>
                  <w:vAlign w:val="center"/>
                </w:tcPr>
                <w:p w14:paraId="73178D89">
                  <w:pPr>
                    <w:pStyle w:val="79"/>
                    <w:rPr>
                      <w:rFonts w:eastAsia="Times New Roman"/>
                    </w:rPr>
                  </w:pPr>
                  <w:r>
                    <w:rPr>
                      <w:rFonts w:hint="eastAsia" w:eastAsiaTheme="minorEastAsia"/>
                      <w:szCs w:val="21"/>
                      <w:lang w:val="en-US"/>
                    </w:rPr>
                    <w:t xml:space="preserve"> </w:t>
                  </w:r>
                </w:p>
              </w:tc>
              <w:tc>
                <w:tcPr>
                  <w:tcW w:w="449" w:type="pct"/>
                  <w:vAlign w:val="center"/>
                </w:tcPr>
                <w:p w14:paraId="699DAE16">
                  <w:pPr>
                    <w:pStyle w:val="79"/>
                    <w:rPr>
                      <w:rFonts w:eastAsiaTheme="minorEastAsia"/>
                    </w:rPr>
                  </w:pPr>
                  <w:r>
                    <w:rPr>
                      <w:rFonts w:hint="eastAsia" w:eastAsiaTheme="minorEastAsia"/>
                    </w:rPr>
                    <w:t>500</w:t>
                  </w:r>
                </w:p>
              </w:tc>
              <w:tc>
                <w:tcPr>
                  <w:tcW w:w="437" w:type="pct"/>
                  <w:vAlign w:val="center"/>
                </w:tcPr>
                <w:p w14:paraId="612C82CB">
                  <w:pPr>
                    <w:pStyle w:val="79"/>
                    <w:rPr>
                      <w:rFonts w:eastAsia="Times New Roman"/>
                    </w:rPr>
                  </w:pPr>
                  <w:r>
                    <w:rPr>
                      <w:rFonts w:hint="eastAsia" w:ascii="宋体" w:hAnsi="宋体" w:eastAsia="Times New Roman" w:cs="宋体"/>
                    </w:rPr>
                    <w:t>达标</w:t>
                  </w:r>
                </w:p>
              </w:tc>
            </w:tr>
            <w:tr w14:paraId="5EEAC02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0D66FF43">
                  <w:pPr>
                    <w:pStyle w:val="79"/>
                    <w:rPr>
                      <w:rFonts w:eastAsia="Times New Roman"/>
                    </w:rPr>
                  </w:pPr>
                </w:p>
              </w:tc>
              <w:tc>
                <w:tcPr>
                  <w:tcW w:w="334" w:type="pct"/>
                  <w:vMerge w:val="continue"/>
                  <w:vAlign w:val="center"/>
                </w:tcPr>
                <w:p w14:paraId="435B5833">
                  <w:pPr>
                    <w:pStyle w:val="79"/>
                    <w:rPr>
                      <w:rFonts w:eastAsia="Times New Roman"/>
                    </w:rPr>
                  </w:pPr>
                </w:p>
              </w:tc>
              <w:tc>
                <w:tcPr>
                  <w:tcW w:w="913" w:type="pct"/>
                  <w:vAlign w:val="center"/>
                </w:tcPr>
                <w:p w14:paraId="22537279">
                  <w:pPr>
                    <w:pStyle w:val="79"/>
                    <w:rPr>
                      <w:rFonts w:eastAsia="Times New Roman"/>
                    </w:rPr>
                  </w:pPr>
                  <w:r>
                    <w:rPr>
                      <w:rFonts w:hint="eastAsia" w:ascii="宋体" w:hAnsi="宋体" w:eastAsia="Times New Roman" w:cs="宋体"/>
                    </w:rPr>
                    <w:t>五日生化需氧量</w:t>
                  </w:r>
                </w:p>
              </w:tc>
              <w:tc>
                <w:tcPr>
                  <w:tcW w:w="414" w:type="pct"/>
                  <w:vAlign w:val="center"/>
                </w:tcPr>
                <w:p w14:paraId="765B4C8B">
                  <w:pPr>
                    <w:pStyle w:val="79"/>
                    <w:rPr>
                      <w:rFonts w:eastAsia="Times New Roman"/>
                    </w:rPr>
                  </w:pPr>
                  <w:r>
                    <w:rPr>
                      <w:rFonts w:hint="eastAsia" w:eastAsia="Times New Roman"/>
                    </w:rPr>
                    <w:t>mg/L</w:t>
                  </w:r>
                </w:p>
              </w:tc>
              <w:tc>
                <w:tcPr>
                  <w:tcW w:w="374" w:type="pct"/>
                  <w:vAlign w:val="center"/>
                </w:tcPr>
                <w:p w14:paraId="2794605E">
                  <w:pPr>
                    <w:pStyle w:val="79"/>
                    <w:rPr>
                      <w:rFonts w:eastAsia="Times New Roman"/>
                    </w:rPr>
                  </w:pPr>
                  <w:r>
                    <w:rPr>
                      <w:rFonts w:hint="eastAsia" w:eastAsiaTheme="minorEastAsia"/>
                      <w:szCs w:val="21"/>
                      <w:lang w:val="en-US"/>
                    </w:rPr>
                    <w:t xml:space="preserve"> </w:t>
                  </w:r>
                </w:p>
              </w:tc>
              <w:tc>
                <w:tcPr>
                  <w:tcW w:w="442" w:type="pct"/>
                  <w:vAlign w:val="center"/>
                </w:tcPr>
                <w:p w14:paraId="0241B0F9">
                  <w:pPr>
                    <w:pStyle w:val="79"/>
                    <w:rPr>
                      <w:rFonts w:eastAsia="Times New Roman"/>
                    </w:rPr>
                  </w:pPr>
                  <w:r>
                    <w:rPr>
                      <w:rFonts w:hint="eastAsia" w:eastAsiaTheme="minorEastAsia"/>
                      <w:szCs w:val="21"/>
                      <w:lang w:val="en-US"/>
                    </w:rPr>
                    <w:t xml:space="preserve"> </w:t>
                  </w:r>
                </w:p>
              </w:tc>
              <w:tc>
                <w:tcPr>
                  <w:tcW w:w="442" w:type="pct"/>
                  <w:vAlign w:val="center"/>
                </w:tcPr>
                <w:p w14:paraId="2D2EE420">
                  <w:pPr>
                    <w:pStyle w:val="79"/>
                    <w:rPr>
                      <w:rFonts w:eastAsia="Times New Roman"/>
                    </w:rPr>
                  </w:pPr>
                  <w:r>
                    <w:rPr>
                      <w:rFonts w:hint="eastAsia" w:eastAsiaTheme="minorEastAsia"/>
                      <w:szCs w:val="21"/>
                      <w:lang w:val="en-US"/>
                    </w:rPr>
                    <w:t xml:space="preserve"> </w:t>
                  </w:r>
                </w:p>
              </w:tc>
              <w:tc>
                <w:tcPr>
                  <w:tcW w:w="442" w:type="pct"/>
                  <w:vAlign w:val="center"/>
                </w:tcPr>
                <w:p w14:paraId="7AF264C8">
                  <w:pPr>
                    <w:pStyle w:val="79"/>
                    <w:rPr>
                      <w:rFonts w:eastAsia="Times New Roman"/>
                    </w:rPr>
                  </w:pPr>
                  <w:r>
                    <w:rPr>
                      <w:rFonts w:hint="eastAsia" w:eastAsiaTheme="minorEastAsia"/>
                      <w:szCs w:val="21"/>
                      <w:lang w:val="en-US"/>
                    </w:rPr>
                    <w:t xml:space="preserve"> </w:t>
                  </w:r>
                </w:p>
              </w:tc>
              <w:tc>
                <w:tcPr>
                  <w:tcW w:w="449" w:type="pct"/>
                  <w:vAlign w:val="center"/>
                </w:tcPr>
                <w:p w14:paraId="40115699">
                  <w:pPr>
                    <w:pStyle w:val="79"/>
                    <w:rPr>
                      <w:rFonts w:eastAsia="Times New Roman"/>
                    </w:rPr>
                  </w:pPr>
                  <w:r>
                    <w:rPr>
                      <w:rFonts w:hint="eastAsia" w:eastAsiaTheme="minorEastAsia"/>
                      <w:szCs w:val="21"/>
                      <w:lang w:val="en-US"/>
                    </w:rPr>
                    <w:t xml:space="preserve"> </w:t>
                  </w:r>
                </w:p>
              </w:tc>
              <w:tc>
                <w:tcPr>
                  <w:tcW w:w="449" w:type="pct"/>
                  <w:vAlign w:val="center"/>
                </w:tcPr>
                <w:p w14:paraId="743414DA">
                  <w:pPr>
                    <w:pStyle w:val="79"/>
                    <w:rPr>
                      <w:rFonts w:eastAsiaTheme="minorEastAsia"/>
                    </w:rPr>
                  </w:pPr>
                  <w:r>
                    <w:rPr>
                      <w:rFonts w:hint="eastAsia" w:eastAsiaTheme="minorEastAsia"/>
                    </w:rPr>
                    <w:t>300</w:t>
                  </w:r>
                </w:p>
              </w:tc>
              <w:tc>
                <w:tcPr>
                  <w:tcW w:w="437" w:type="pct"/>
                  <w:vAlign w:val="center"/>
                </w:tcPr>
                <w:p w14:paraId="0D10F745">
                  <w:pPr>
                    <w:pStyle w:val="79"/>
                    <w:rPr>
                      <w:rFonts w:eastAsia="Times New Roman"/>
                    </w:rPr>
                  </w:pPr>
                  <w:r>
                    <w:rPr>
                      <w:rFonts w:hint="eastAsia" w:ascii="宋体" w:hAnsi="宋体" w:eastAsia="Times New Roman" w:cs="宋体"/>
                    </w:rPr>
                    <w:t>达标</w:t>
                  </w:r>
                </w:p>
              </w:tc>
            </w:tr>
            <w:tr w14:paraId="1B6D58D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6EDA407A">
                  <w:pPr>
                    <w:pStyle w:val="79"/>
                    <w:rPr>
                      <w:rFonts w:eastAsia="Times New Roman"/>
                    </w:rPr>
                  </w:pPr>
                </w:p>
              </w:tc>
              <w:tc>
                <w:tcPr>
                  <w:tcW w:w="334" w:type="pct"/>
                  <w:vMerge w:val="continue"/>
                  <w:vAlign w:val="center"/>
                </w:tcPr>
                <w:p w14:paraId="45E87DE2">
                  <w:pPr>
                    <w:pStyle w:val="79"/>
                    <w:rPr>
                      <w:rFonts w:eastAsia="Times New Roman"/>
                    </w:rPr>
                  </w:pPr>
                </w:p>
              </w:tc>
              <w:tc>
                <w:tcPr>
                  <w:tcW w:w="913" w:type="pct"/>
                  <w:vAlign w:val="center"/>
                </w:tcPr>
                <w:p w14:paraId="033220CB">
                  <w:pPr>
                    <w:pStyle w:val="79"/>
                    <w:rPr>
                      <w:rFonts w:eastAsia="Times New Roman"/>
                    </w:rPr>
                  </w:pPr>
                  <w:r>
                    <w:rPr>
                      <w:rFonts w:hint="eastAsia" w:ascii="宋体" w:hAnsi="宋体" w:eastAsia="Times New Roman" w:cs="宋体"/>
                    </w:rPr>
                    <w:t>动植物油类</w:t>
                  </w:r>
                </w:p>
              </w:tc>
              <w:tc>
                <w:tcPr>
                  <w:tcW w:w="414" w:type="pct"/>
                  <w:vAlign w:val="center"/>
                </w:tcPr>
                <w:p w14:paraId="3520CF7B">
                  <w:pPr>
                    <w:pStyle w:val="79"/>
                    <w:rPr>
                      <w:rFonts w:eastAsia="Times New Roman"/>
                    </w:rPr>
                  </w:pPr>
                  <w:r>
                    <w:rPr>
                      <w:rFonts w:hint="eastAsia" w:eastAsia="Times New Roman"/>
                    </w:rPr>
                    <w:t>mg/L</w:t>
                  </w:r>
                </w:p>
              </w:tc>
              <w:tc>
                <w:tcPr>
                  <w:tcW w:w="374" w:type="pct"/>
                  <w:vAlign w:val="center"/>
                </w:tcPr>
                <w:p w14:paraId="46C48351">
                  <w:pPr>
                    <w:pStyle w:val="79"/>
                    <w:rPr>
                      <w:rFonts w:eastAsia="Times New Roman"/>
                    </w:rPr>
                  </w:pPr>
                  <w:r>
                    <w:rPr>
                      <w:rFonts w:hint="eastAsia" w:eastAsiaTheme="minorEastAsia"/>
                      <w:szCs w:val="21"/>
                      <w:lang w:val="en-US"/>
                    </w:rPr>
                    <w:t xml:space="preserve"> </w:t>
                  </w:r>
                </w:p>
              </w:tc>
              <w:tc>
                <w:tcPr>
                  <w:tcW w:w="442" w:type="pct"/>
                  <w:vAlign w:val="center"/>
                </w:tcPr>
                <w:p w14:paraId="7BEE9EE7">
                  <w:pPr>
                    <w:pStyle w:val="79"/>
                    <w:rPr>
                      <w:rFonts w:eastAsia="Times New Roman"/>
                    </w:rPr>
                  </w:pPr>
                  <w:r>
                    <w:rPr>
                      <w:rFonts w:hint="eastAsia" w:eastAsiaTheme="minorEastAsia"/>
                      <w:szCs w:val="21"/>
                      <w:lang w:val="en-US"/>
                    </w:rPr>
                    <w:t xml:space="preserve"> </w:t>
                  </w:r>
                </w:p>
              </w:tc>
              <w:tc>
                <w:tcPr>
                  <w:tcW w:w="442" w:type="pct"/>
                  <w:vAlign w:val="center"/>
                </w:tcPr>
                <w:p w14:paraId="0C52F404">
                  <w:pPr>
                    <w:pStyle w:val="79"/>
                    <w:rPr>
                      <w:rFonts w:eastAsia="Times New Roman"/>
                    </w:rPr>
                  </w:pPr>
                  <w:r>
                    <w:rPr>
                      <w:rFonts w:hint="eastAsia" w:eastAsiaTheme="minorEastAsia"/>
                      <w:szCs w:val="21"/>
                      <w:lang w:val="en-US"/>
                    </w:rPr>
                    <w:t xml:space="preserve"> </w:t>
                  </w:r>
                </w:p>
              </w:tc>
              <w:tc>
                <w:tcPr>
                  <w:tcW w:w="442" w:type="pct"/>
                  <w:vAlign w:val="center"/>
                </w:tcPr>
                <w:p w14:paraId="6567E6BD">
                  <w:pPr>
                    <w:pStyle w:val="79"/>
                    <w:rPr>
                      <w:rFonts w:eastAsia="Times New Roman"/>
                    </w:rPr>
                  </w:pPr>
                  <w:r>
                    <w:rPr>
                      <w:rFonts w:hint="eastAsia" w:eastAsiaTheme="minorEastAsia"/>
                      <w:szCs w:val="21"/>
                      <w:lang w:val="en-US"/>
                    </w:rPr>
                    <w:t xml:space="preserve"> </w:t>
                  </w:r>
                </w:p>
              </w:tc>
              <w:tc>
                <w:tcPr>
                  <w:tcW w:w="449" w:type="pct"/>
                  <w:vAlign w:val="center"/>
                </w:tcPr>
                <w:p w14:paraId="5E0BBDB8">
                  <w:pPr>
                    <w:pStyle w:val="79"/>
                    <w:rPr>
                      <w:rFonts w:eastAsia="Times New Roman"/>
                    </w:rPr>
                  </w:pPr>
                  <w:r>
                    <w:rPr>
                      <w:rFonts w:hint="eastAsia" w:eastAsiaTheme="minorEastAsia"/>
                      <w:szCs w:val="21"/>
                      <w:lang w:val="en-US"/>
                    </w:rPr>
                    <w:t xml:space="preserve"> </w:t>
                  </w:r>
                </w:p>
              </w:tc>
              <w:tc>
                <w:tcPr>
                  <w:tcW w:w="449" w:type="pct"/>
                  <w:vAlign w:val="center"/>
                </w:tcPr>
                <w:p w14:paraId="037A2C9D">
                  <w:pPr>
                    <w:pStyle w:val="79"/>
                    <w:rPr>
                      <w:rFonts w:eastAsiaTheme="minorEastAsia"/>
                    </w:rPr>
                  </w:pPr>
                  <w:r>
                    <w:rPr>
                      <w:rFonts w:hint="eastAsia" w:eastAsiaTheme="minorEastAsia"/>
                    </w:rPr>
                    <w:t>100</w:t>
                  </w:r>
                </w:p>
              </w:tc>
              <w:tc>
                <w:tcPr>
                  <w:tcW w:w="437" w:type="pct"/>
                  <w:vAlign w:val="center"/>
                </w:tcPr>
                <w:p w14:paraId="010E44AD">
                  <w:pPr>
                    <w:pStyle w:val="79"/>
                    <w:rPr>
                      <w:rFonts w:eastAsia="Times New Roman"/>
                    </w:rPr>
                  </w:pPr>
                  <w:r>
                    <w:rPr>
                      <w:rFonts w:hint="eastAsia" w:ascii="宋体" w:hAnsi="宋体" w:eastAsia="Times New Roman" w:cs="宋体"/>
                    </w:rPr>
                    <w:t>达标</w:t>
                  </w:r>
                </w:p>
              </w:tc>
            </w:tr>
            <w:tr w14:paraId="54F4648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4CF53E11">
                  <w:pPr>
                    <w:pStyle w:val="79"/>
                    <w:rPr>
                      <w:rFonts w:eastAsia="Times New Roman"/>
                    </w:rPr>
                  </w:pPr>
                </w:p>
              </w:tc>
              <w:tc>
                <w:tcPr>
                  <w:tcW w:w="334" w:type="pct"/>
                  <w:vMerge w:val="continue"/>
                  <w:vAlign w:val="center"/>
                </w:tcPr>
                <w:p w14:paraId="775AE5FB">
                  <w:pPr>
                    <w:pStyle w:val="79"/>
                    <w:rPr>
                      <w:rFonts w:eastAsia="Times New Roman"/>
                    </w:rPr>
                  </w:pPr>
                </w:p>
              </w:tc>
              <w:tc>
                <w:tcPr>
                  <w:tcW w:w="913" w:type="pct"/>
                  <w:vAlign w:val="center"/>
                </w:tcPr>
                <w:p w14:paraId="7535C192">
                  <w:pPr>
                    <w:pStyle w:val="79"/>
                    <w:rPr>
                      <w:rFonts w:eastAsia="Times New Roman"/>
                    </w:rPr>
                  </w:pPr>
                  <w:r>
                    <w:rPr>
                      <w:rFonts w:hint="eastAsia" w:ascii="宋体" w:hAnsi="宋体" w:eastAsia="Times New Roman" w:cs="宋体"/>
                    </w:rPr>
                    <w:t>氨氮</w:t>
                  </w:r>
                </w:p>
              </w:tc>
              <w:tc>
                <w:tcPr>
                  <w:tcW w:w="414" w:type="pct"/>
                  <w:vAlign w:val="center"/>
                </w:tcPr>
                <w:p w14:paraId="2A4FF3C1">
                  <w:pPr>
                    <w:pStyle w:val="79"/>
                    <w:rPr>
                      <w:rFonts w:eastAsia="Times New Roman"/>
                    </w:rPr>
                  </w:pPr>
                  <w:r>
                    <w:rPr>
                      <w:rFonts w:hint="eastAsia" w:eastAsia="Times New Roman"/>
                    </w:rPr>
                    <w:t>mg/L</w:t>
                  </w:r>
                </w:p>
              </w:tc>
              <w:tc>
                <w:tcPr>
                  <w:tcW w:w="374" w:type="pct"/>
                  <w:vAlign w:val="center"/>
                </w:tcPr>
                <w:p w14:paraId="5846F460">
                  <w:pPr>
                    <w:pStyle w:val="79"/>
                    <w:rPr>
                      <w:rFonts w:eastAsia="Times New Roman"/>
                    </w:rPr>
                  </w:pPr>
                  <w:r>
                    <w:rPr>
                      <w:rFonts w:hint="eastAsia" w:eastAsiaTheme="minorEastAsia"/>
                      <w:szCs w:val="21"/>
                      <w:lang w:val="en-US"/>
                    </w:rPr>
                    <w:t xml:space="preserve"> </w:t>
                  </w:r>
                </w:p>
              </w:tc>
              <w:tc>
                <w:tcPr>
                  <w:tcW w:w="442" w:type="pct"/>
                  <w:vAlign w:val="center"/>
                </w:tcPr>
                <w:p w14:paraId="3519E8BB">
                  <w:pPr>
                    <w:pStyle w:val="79"/>
                    <w:rPr>
                      <w:rFonts w:eastAsia="Times New Roman"/>
                    </w:rPr>
                  </w:pPr>
                  <w:r>
                    <w:rPr>
                      <w:rFonts w:hint="eastAsia" w:eastAsiaTheme="minorEastAsia"/>
                      <w:szCs w:val="21"/>
                      <w:lang w:val="en-US"/>
                    </w:rPr>
                    <w:t xml:space="preserve"> </w:t>
                  </w:r>
                </w:p>
              </w:tc>
              <w:tc>
                <w:tcPr>
                  <w:tcW w:w="442" w:type="pct"/>
                  <w:vAlign w:val="center"/>
                </w:tcPr>
                <w:p w14:paraId="3E023051">
                  <w:pPr>
                    <w:pStyle w:val="79"/>
                    <w:rPr>
                      <w:rFonts w:eastAsia="Times New Roman"/>
                    </w:rPr>
                  </w:pPr>
                  <w:r>
                    <w:rPr>
                      <w:rFonts w:hint="eastAsia" w:eastAsiaTheme="minorEastAsia"/>
                      <w:szCs w:val="21"/>
                      <w:lang w:val="en-US"/>
                    </w:rPr>
                    <w:t xml:space="preserve"> </w:t>
                  </w:r>
                </w:p>
              </w:tc>
              <w:tc>
                <w:tcPr>
                  <w:tcW w:w="442" w:type="pct"/>
                  <w:vAlign w:val="center"/>
                </w:tcPr>
                <w:p w14:paraId="750459DB">
                  <w:pPr>
                    <w:pStyle w:val="79"/>
                    <w:rPr>
                      <w:rFonts w:eastAsia="Times New Roman"/>
                    </w:rPr>
                  </w:pPr>
                  <w:r>
                    <w:rPr>
                      <w:rFonts w:hint="eastAsia" w:eastAsiaTheme="minorEastAsia"/>
                      <w:szCs w:val="21"/>
                      <w:lang w:val="en-US"/>
                    </w:rPr>
                    <w:t xml:space="preserve"> </w:t>
                  </w:r>
                </w:p>
              </w:tc>
              <w:tc>
                <w:tcPr>
                  <w:tcW w:w="449" w:type="pct"/>
                  <w:vAlign w:val="center"/>
                </w:tcPr>
                <w:p w14:paraId="42F81CDF">
                  <w:pPr>
                    <w:pStyle w:val="79"/>
                    <w:rPr>
                      <w:rFonts w:eastAsia="Times New Roman"/>
                    </w:rPr>
                  </w:pPr>
                  <w:r>
                    <w:rPr>
                      <w:rFonts w:hint="eastAsia" w:eastAsiaTheme="minorEastAsia"/>
                      <w:szCs w:val="21"/>
                      <w:lang w:val="en-US"/>
                    </w:rPr>
                    <w:t xml:space="preserve"> </w:t>
                  </w:r>
                </w:p>
              </w:tc>
              <w:tc>
                <w:tcPr>
                  <w:tcW w:w="449" w:type="pct"/>
                  <w:vAlign w:val="center"/>
                </w:tcPr>
                <w:p w14:paraId="437869A8">
                  <w:pPr>
                    <w:pStyle w:val="79"/>
                    <w:rPr>
                      <w:rFonts w:eastAsiaTheme="minorEastAsia"/>
                    </w:rPr>
                  </w:pPr>
                  <w:r>
                    <w:rPr>
                      <w:rFonts w:hint="eastAsia" w:eastAsiaTheme="minorEastAsia"/>
                    </w:rPr>
                    <w:t>/</w:t>
                  </w:r>
                </w:p>
              </w:tc>
              <w:tc>
                <w:tcPr>
                  <w:tcW w:w="437" w:type="pct"/>
                  <w:vAlign w:val="center"/>
                </w:tcPr>
                <w:p w14:paraId="7D7A3947">
                  <w:pPr>
                    <w:pStyle w:val="79"/>
                    <w:rPr>
                      <w:rFonts w:eastAsiaTheme="minorEastAsia"/>
                    </w:rPr>
                  </w:pPr>
                  <w:r>
                    <w:rPr>
                      <w:rFonts w:hint="eastAsia" w:eastAsiaTheme="minorEastAsia"/>
                    </w:rPr>
                    <w:t>/</w:t>
                  </w:r>
                </w:p>
              </w:tc>
            </w:tr>
            <w:tr w14:paraId="39A659A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restart"/>
                  <w:vAlign w:val="center"/>
                </w:tcPr>
                <w:p w14:paraId="3EC1AC78">
                  <w:pPr>
                    <w:pStyle w:val="79"/>
                    <w:rPr>
                      <w:rFonts w:eastAsiaTheme="minorEastAsia"/>
                    </w:rPr>
                  </w:pPr>
                  <w:r>
                    <w:rPr>
                      <w:rFonts w:hint="eastAsia" w:eastAsia="Times New Roman"/>
                    </w:rPr>
                    <w:t>2025.</w:t>
                  </w:r>
                </w:p>
                <w:p w14:paraId="27024320">
                  <w:pPr>
                    <w:pStyle w:val="79"/>
                    <w:rPr>
                      <w:rFonts w:eastAsia="Times New Roman"/>
                    </w:rPr>
                  </w:pPr>
                  <w:r>
                    <w:rPr>
                      <w:rFonts w:hint="eastAsia" w:eastAsia="Times New Roman"/>
                    </w:rPr>
                    <w:t>08.01</w:t>
                  </w:r>
                </w:p>
              </w:tc>
              <w:tc>
                <w:tcPr>
                  <w:tcW w:w="334" w:type="pct"/>
                  <w:vMerge w:val="continue"/>
                  <w:vAlign w:val="center"/>
                </w:tcPr>
                <w:p w14:paraId="1CD5D9B3">
                  <w:pPr>
                    <w:pStyle w:val="79"/>
                    <w:rPr>
                      <w:rFonts w:eastAsia="Times New Roman"/>
                    </w:rPr>
                  </w:pPr>
                </w:p>
              </w:tc>
              <w:tc>
                <w:tcPr>
                  <w:tcW w:w="913" w:type="pct"/>
                  <w:vAlign w:val="center"/>
                </w:tcPr>
                <w:p w14:paraId="530D6EE9">
                  <w:pPr>
                    <w:pStyle w:val="79"/>
                    <w:rPr>
                      <w:rFonts w:eastAsia="Times New Roman"/>
                    </w:rPr>
                  </w:pPr>
                  <w:r>
                    <w:rPr>
                      <w:rFonts w:eastAsia="Times New Roman"/>
                    </w:rPr>
                    <w:t>pH</w:t>
                  </w:r>
                  <w:r>
                    <w:rPr>
                      <w:rFonts w:hint="eastAsia" w:ascii="宋体" w:hAnsi="宋体" w:eastAsia="Times New Roman" w:cs="宋体"/>
                    </w:rPr>
                    <w:t>值</w:t>
                  </w:r>
                </w:p>
              </w:tc>
              <w:tc>
                <w:tcPr>
                  <w:tcW w:w="414" w:type="pct"/>
                  <w:vAlign w:val="center"/>
                </w:tcPr>
                <w:p w14:paraId="4564B40A">
                  <w:pPr>
                    <w:pStyle w:val="79"/>
                    <w:rPr>
                      <w:rFonts w:eastAsia="Times New Roman"/>
                    </w:rPr>
                  </w:pPr>
                  <w:r>
                    <w:rPr>
                      <w:rFonts w:hint="eastAsia" w:ascii="宋体" w:hAnsi="宋体" w:eastAsia="Times New Roman" w:cs="宋体"/>
                    </w:rPr>
                    <w:t>无量纲</w:t>
                  </w:r>
                </w:p>
              </w:tc>
              <w:tc>
                <w:tcPr>
                  <w:tcW w:w="374" w:type="pct"/>
                  <w:vAlign w:val="center"/>
                </w:tcPr>
                <w:p w14:paraId="435BC3D7">
                  <w:pPr>
                    <w:pStyle w:val="79"/>
                    <w:rPr>
                      <w:rFonts w:eastAsia="Times New Roman"/>
                    </w:rPr>
                  </w:pPr>
                  <w:r>
                    <w:rPr>
                      <w:rFonts w:hint="eastAsia" w:eastAsiaTheme="minorEastAsia"/>
                      <w:szCs w:val="21"/>
                      <w:lang w:val="en-US"/>
                    </w:rPr>
                    <w:t xml:space="preserve"> </w:t>
                  </w:r>
                </w:p>
              </w:tc>
              <w:tc>
                <w:tcPr>
                  <w:tcW w:w="442" w:type="pct"/>
                  <w:vAlign w:val="center"/>
                </w:tcPr>
                <w:p w14:paraId="3274F1A3">
                  <w:pPr>
                    <w:pStyle w:val="79"/>
                    <w:rPr>
                      <w:rFonts w:eastAsia="Times New Roman"/>
                    </w:rPr>
                  </w:pPr>
                  <w:r>
                    <w:rPr>
                      <w:rFonts w:hint="eastAsia" w:eastAsiaTheme="minorEastAsia"/>
                      <w:szCs w:val="21"/>
                      <w:lang w:val="en-US"/>
                    </w:rPr>
                    <w:t xml:space="preserve"> </w:t>
                  </w:r>
                </w:p>
              </w:tc>
              <w:tc>
                <w:tcPr>
                  <w:tcW w:w="442" w:type="pct"/>
                  <w:vAlign w:val="center"/>
                </w:tcPr>
                <w:p w14:paraId="4B66CE95">
                  <w:pPr>
                    <w:pStyle w:val="79"/>
                    <w:rPr>
                      <w:rFonts w:eastAsia="Times New Roman"/>
                    </w:rPr>
                  </w:pPr>
                  <w:r>
                    <w:rPr>
                      <w:rFonts w:hint="eastAsia" w:eastAsiaTheme="minorEastAsia"/>
                      <w:szCs w:val="21"/>
                      <w:lang w:val="en-US"/>
                    </w:rPr>
                    <w:t xml:space="preserve"> </w:t>
                  </w:r>
                </w:p>
              </w:tc>
              <w:tc>
                <w:tcPr>
                  <w:tcW w:w="442" w:type="pct"/>
                  <w:vAlign w:val="center"/>
                </w:tcPr>
                <w:p w14:paraId="42101833">
                  <w:pPr>
                    <w:pStyle w:val="79"/>
                    <w:rPr>
                      <w:rFonts w:eastAsia="Times New Roman"/>
                    </w:rPr>
                  </w:pPr>
                  <w:r>
                    <w:rPr>
                      <w:rFonts w:hint="eastAsia" w:eastAsiaTheme="minorEastAsia"/>
                      <w:szCs w:val="21"/>
                      <w:lang w:val="en-US"/>
                    </w:rPr>
                    <w:t xml:space="preserve"> </w:t>
                  </w:r>
                </w:p>
              </w:tc>
              <w:tc>
                <w:tcPr>
                  <w:tcW w:w="449" w:type="pct"/>
                  <w:vAlign w:val="center"/>
                </w:tcPr>
                <w:p w14:paraId="7E7D2FD8">
                  <w:pPr>
                    <w:pStyle w:val="79"/>
                    <w:rPr>
                      <w:rFonts w:eastAsia="Times New Roman"/>
                    </w:rPr>
                  </w:pPr>
                  <w:r>
                    <w:rPr>
                      <w:rFonts w:hint="eastAsia" w:eastAsiaTheme="minorEastAsia"/>
                      <w:szCs w:val="21"/>
                      <w:lang w:val="en-US"/>
                    </w:rPr>
                    <w:t xml:space="preserve"> </w:t>
                  </w:r>
                </w:p>
              </w:tc>
              <w:tc>
                <w:tcPr>
                  <w:tcW w:w="449" w:type="pct"/>
                  <w:vAlign w:val="center"/>
                </w:tcPr>
                <w:p w14:paraId="23A17113">
                  <w:pPr>
                    <w:pStyle w:val="79"/>
                    <w:rPr>
                      <w:rFonts w:eastAsia="Times New Roman"/>
                    </w:rPr>
                  </w:pPr>
                  <w:r>
                    <w:rPr>
                      <w:rFonts w:hint="eastAsia" w:eastAsiaTheme="minorEastAsia"/>
                    </w:rPr>
                    <w:t>6~9</w:t>
                  </w:r>
                </w:p>
              </w:tc>
              <w:tc>
                <w:tcPr>
                  <w:tcW w:w="437" w:type="pct"/>
                  <w:vAlign w:val="center"/>
                </w:tcPr>
                <w:p w14:paraId="037BA645">
                  <w:pPr>
                    <w:pStyle w:val="79"/>
                    <w:rPr>
                      <w:rFonts w:eastAsia="Times New Roman"/>
                    </w:rPr>
                  </w:pPr>
                  <w:r>
                    <w:rPr>
                      <w:rFonts w:hint="eastAsia" w:ascii="宋体" w:hAnsi="宋体" w:eastAsia="Times New Roman" w:cs="宋体"/>
                    </w:rPr>
                    <w:t>达标</w:t>
                  </w:r>
                </w:p>
              </w:tc>
            </w:tr>
            <w:tr w14:paraId="0F848CF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3DCABC3A">
                  <w:pPr>
                    <w:pStyle w:val="79"/>
                    <w:rPr>
                      <w:rFonts w:eastAsia="Times New Roman"/>
                    </w:rPr>
                  </w:pPr>
                </w:p>
              </w:tc>
              <w:tc>
                <w:tcPr>
                  <w:tcW w:w="334" w:type="pct"/>
                  <w:vMerge w:val="continue"/>
                  <w:vAlign w:val="center"/>
                </w:tcPr>
                <w:p w14:paraId="25A3E55F">
                  <w:pPr>
                    <w:pStyle w:val="79"/>
                    <w:rPr>
                      <w:rFonts w:eastAsia="Times New Roman"/>
                    </w:rPr>
                  </w:pPr>
                </w:p>
              </w:tc>
              <w:tc>
                <w:tcPr>
                  <w:tcW w:w="913" w:type="pct"/>
                  <w:vAlign w:val="center"/>
                </w:tcPr>
                <w:p w14:paraId="1BA3415C">
                  <w:pPr>
                    <w:pStyle w:val="79"/>
                    <w:rPr>
                      <w:rFonts w:eastAsia="Times New Roman"/>
                    </w:rPr>
                  </w:pPr>
                  <w:r>
                    <w:rPr>
                      <w:rFonts w:hint="eastAsia" w:ascii="宋体" w:hAnsi="宋体" w:eastAsia="Times New Roman" w:cs="宋体"/>
                    </w:rPr>
                    <w:t>悬浮物</w:t>
                  </w:r>
                </w:p>
              </w:tc>
              <w:tc>
                <w:tcPr>
                  <w:tcW w:w="414" w:type="pct"/>
                  <w:vAlign w:val="center"/>
                </w:tcPr>
                <w:p w14:paraId="610F23B6">
                  <w:pPr>
                    <w:pStyle w:val="79"/>
                    <w:rPr>
                      <w:rFonts w:eastAsia="Times New Roman"/>
                    </w:rPr>
                  </w:pPr>
                  <w:r>
                    <w:rPr>
                      <w:rFonts w:hint="eastAsia" w:eastAsia="Times New Roman"/>
                    </w:rPr>
                    <w:t>mg/L</w:t>
                  </w:r>
                </w:p>
              </w:tc>
              <w:tc>
                <w:tcPr>
                  <w:tcW w:w="374" w:type="pct"/>
                  <w:vAlign w:val="center"/>
                </w:tcPr>
                <w:p w14:paraId="1CD9ED4A">
                  <w:pPr>
                    <w:pStyle w:val="79"/>
                    <w:rPr>
                      <w:rFonts w:eastAsia="Times New Roman"/>
                    </w:rPr>
                  </w:pPr>
                  <w:r>
                    <w:rPr>
                      <w:rFonts w:hint="eastAsia" w:eastAsiaTheme="minorEastAsia"/>
                      <w:szCs w:val="21"/>
                      <w:lang w:val="en-US"/>
                    </w:rPr>
                    <w:t xml:space="preserve"> </w:t>
                  </w:r>
                </w:p>
              </w:tc>
              <w:tc>
                <w:tcPr>
                  <w:tcW w:w="442" w:type="pct"/>
                  <w:vAlign w:val="center"/>
                </w:tcPr>
                <w:p w14:paraId="6F70E022">
                  <w:pPr>
                    <w:pStyle w:val="79"/>
                    <w:rPr>
                      <w:rFonts w:eastAsia="Times New Roman"/>
                    </w:rPr>
                  </w:pPr>
                  <w:r>
                    <w:rPr>
                      <w:rFonts w:hint="eastAsia" w:eastAsiaTheme="minorEastAsia"/>
                      <w:szCs w:val="21"/>
                      <w:lang w:val="en-US"/>
                    </w:rPr>
                    <w:t xml:space="preserve"> </w:t>
                  </w:r>
                </w:p>
              </w:tc>
              <w:tc>
                <w:tcPr>
                  <w:tcW w:w="442" w:type="pct"/>
                  <w:vAlign w:val="center"/>
                </w:tcPr>
                <w:p w14:paraId="585377A7">
                  <w:pPr>
                    <w:pStyle w:val="79"/>
                    <w:rPr>
                      <w:rFonts w:eastAsia="Times New Roman"/>
                    </w:rPr>
                  </w:pPr>
                  <w:r>
                    <w:rPr>
                      <w:rFonts w:hint="eastAsia" w:eastAsiaTheme="minorEastAsia"/>
                      <w:szCs w:val="21"/>
                      <w:lang w:val="en-US"/>
                    </w:rPr>
                    <w:t xml:space="preserve"> </w:t>
                  </w:r>
                </w:p>
              </w:tc>
              <w:tc>
                <w:tcPr>
                  <w:tcW w:w="442" w:type="pct"/>
                  <w:vAlign w:val="center"/>
                </w:tcPr>
                <w:p w14:paraId="152232E3">
                  <w:pPr>
                    <w:pStyle w:val="79"/>
                    <w:rPr>
                      <w:rFonts w:eastAsia="Times New Roman"/>
                    </w:rPr>
                  </w:pPr>
                  <w:r>
                    <w:rPr>
                      <w:rFonts w:hint="eastAsia" w:eastAsiaTheme="minorEastAsia"/>
                      <w:szCs w:val="21"/>
                      <w:lang w:val="en-US"/>
                    </w:rPr>
                    <w:t xml:space="preserve"> </w:t>
                  </w:r>
                </w:p>
              </w:tc>
              <w:tc>
                <w:tcPr>
                  <w:tcW w:w="449" w:type="pct"/>
                  <w:vAlign w:val="center"/>
                </w:tcPr>
                <w:p w14:paraId="5C06F38C">
                  <w:pPr>
                    <w:pStyle w:val="79"/>
                    <w:rPr>
                      <w:rFonts w:eastAsia="Times New Roman"/>
                    </w:rPr>
                  </w:pPr>
                  <w:r>
                    <w:rPr>
                      <w:rFonts w:hint="eastAsia" w:eastAsiaTheme="minorEastAsia"/>
                      <w:szCs w:val="21"/>
                      <w:lang w:val="en-US"/>
                    </w:rPr>
                    <w:t xml:space="preserve"> </w:t>
                  </w:r>
                </w:p>
              </w:tc>
              <w:tc>
                <w:tcPr>
                  <w:tcW w:w="449" w:type="pct"/>
                  <w:vAlign w:val="center"/>
                </w:tcPr>
                <w:p w14:paraId="11BA2DD6">
                  <w:pPr>
                    <w:pStyle w:val="79"/>
                    <w:rPr>
                      <w:rFonts w:eastAsia="Times New Roman"/>
                    </w:rPr>
                  </w:pPr>
                  <w:r>
                    <w:rPr>
                      <w:rFonts w:hint="eastAsia" w:eastAsiaTheme="minorEastAsia"/>
                    </w:rPr>
                    <w:t>400</w:t>
                  </w:r>
                </w:p>
              </w:tc>
              <w:tc>
                <w:tcPr>
                  <w:tcW w:w="437" w:type="pct"/>
                  <w:vAlign w:val="center"/>
                </w:tcPr>
                <w:p w14:paraId="2E7D1467">
                  <w:pPr>
                    <w:pStyle w:val="79"/>
                    <w:rPr>
                      <w:rFonts w:eastAsia="Times New Roman"/>
                    </w:rPr>
                  </w:pPr>
                  <w:r>
                    <w:rPr>
                      <w:rFonts w:hint="eastAsia" w:ascii="宋体" w:hAnsi="宋体" w:eastAsia="Times New Roman" w:cs="宋体"/>
                    </w:rPr>
                    <w:t>达标</w:t>
                  </w:r>
                </w:p>
              </w:tc>
            </w:tr>
            <w:tr w14:paraId="6234BE8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6B206F2A">
                  <w:pPr>
                    <w:pStyle w:val="79"/>
                    <w:rPr>
                      <w:rFonts w:eastAsia="Times New Roman"/>
                    </w:rPr>
                  </w:pPr>
                </w:p>
              </w:tc>
              <w:tc>
                <w:tcPr>
                  <w:tcW w:w="334" w:type="pct"/>
                  <w:vMerge w:val="continue"/>
                  <w:vAlign w:val="center"/>
                </w:tcPr>
                <w:p w14:paraId="56558821">
                  <w:pPr>
                    <w:pStyle w:val="79"/>
                    <w:rPr>
                      <w:rFonts w:eastAsia="Times New Roman"/>
                    </w:rPr>
                  </w:pPr>
                </w:p>
              </w:tc>
              <w:tc>
                <w:tcPr>
                  <w:tcW w:w="913" w:type="pct"/>
                  <w:vAlign w:val="center"/>
                </w:tcPr>
                <w:p w14:paraId="2A544D28">
                  <w:pPr>
                    <w:pStyle w:val="79"/>
                    <w:rPr>
                      <w:rFonts w:eastAsia="Times New Roman"/>
                    </w:rPr>
                  </w:pPr>
                  <w:r>
                    <w:rPr>
                      <w:rFonts w:hint="eastAsia" w:ascii="宋体" w:hAnsi="宋体" w:eastAsia="Times New Roman" w:cs="宋体"/>
                    </w:rPr>
                    <w:t>化学需氧量</w:t>
                  </w:r>
                </w:p>
              </w:tc>
              <w:tc>
                <w:tcPr>
                  <w:tcW w:w="414" w:type="pct"/>
                  <w:vAlign w:val="center"/>
                </w:tcPr>
                <w:p w14:paraId="7F20B1F9">
                  <w:pPr>
                    <w:pStyle w:val="79"/>
                    <w:rPr>
                      <w:rFonts w:eastAsia="Times New Roman"/>
                    </w:rPr>
                  </w:pPr>
                  <w:r>
                    <w:rPr>
                      <w:rFonts w:hint="eastAsia" w:eastAsia="Times New Roman"/>
                    </w:rPr>
                    <w:t>mg/L</w:t>
                  </w:r>
                </w:p>
              </w:tc>
              <w:tc>
                <w:tcPr>
                  <w:tcW w:w="374" w:type="pct"/>
                  <w:vAlign w:val="center"/>
                </w:tcPr>
                <w:p w14:paraId="24589160">
                  <w:pPr>
                    <w:pStyle w:val="79"/>
                    <w:rPr>
                      <w:rFonts w:eastAsia="Times New Roman"/>
                    </w:rPr>
                  </w:pPr>
                  <w:r>
                    <w:rPr>
                      <w:rFonts w:hint="eastAsia" w:eastAsiaTheme="minorEastAsia"/>
                      <w:szCs w:val="21"/>
                      <w:lang w:val="en-US"/>
                    </w:rPr>
                    <w:t xml:space="preserve"> </w:t>
                  </w:r>
                </w:p>
              </w:tc>
              <w:tc>
                <w:tcPr>
                  <w:tcW w:w="442" w:type="pct"/>
                  <w:vAlign w:val="center"/>
                </w:tcPr>
                <w:p w14:paraId="74CDC359">
                  <w:pPr>
                    <w:pStyle w:val="79"/>
                    <w:rPr>
                      <w:rFonts w:eastAsia="Times New Roman"/>
                    </w:rPr>
                  </w:pPr>
                  <w:r>
                    <w:rPr>
                      <w:rFonts w:hint="eastAsia" w:eastAsiaTheme="minorEastAsia"/>
                      <w:szCs w:val="21"/>
                      <w:lang w:val="en-US"/>
                    </w:rPr>
                    <w:t xml:space="preserve"> </w:t>
                  </w:r>
                </w:p>
              </w:tc>
              <w:tc>
                <w:tcPr>
                  <w:tcW w:w="442" w:type="pct"/>
                  <w:vAlign w:val="center"/>
                </w:tcPr>
                <w:p w14:paraId="14CC255F">
                  <w:pPr>
                    <w:pStyle w:val="79"/>
                    <w:rPr>
                      <w:rFonts w:eastAsia="Times New Roman"/>
                    </w:rPr>
                  </w:pPr>
                  <w:r>
                    <w:rPr>
                      <w:rFonts w:hint="eastAsia" w:eastAsiaTheme="minorEastAsia"/>
                      <w:szCs w:val="21"/>
                      <w:lang w:val="en-US"/>
                    </w:rPr>
                    <w:t xml:space="preserve"> </w:t>
                  </w:r>
                </w:p>
              </w:tc>
              <w:tc>
                <w:tcPr>
                  <w:tcW w:w="442" w:type="pct"/>
                  <w:vAlign w:val="center"/>
                </w:tcPr>
                <w:p w14:paraId="76C260AF">
                  <w:pPr>
                    <w:pStyle w:val="79"/>
                    <w:rPr>
                      <w:rFonts w:eastAsia="Times New Roman"/>
                    </w:rPr>
                  </w:pPr>
                  <w:r>
                    <w:rPr>
                      <w:rFonts w:hint="eastAsia" w:eastAsiaTheme="minorEastAsia"/>
                      <w:szCs w:val="21"/>
                      <w:lang w:val="en-US"/>
                    </w:rPr>
                    <w:t xml:space="preserve"> </w:t>
                  </w:r>
                </w:p>
              </w:tc>
              <w:tc>
                <w:tcPr>
                  <w:tcW w:w="449" w:type="pct"/>
                  <w:vAlign w:val="center"/>
                </w:tcPr>
                <w:p w14:paraId="1A041C1A">
                  <w:pPr>
                    <w:pStyle w:val="79"/>
                    <w:rPr>
                      <w:rFonts w:eastAsia="Times New Roman"/>
                    </w:rPr>
                  </w:pPr>
                  <w:r>
                    <w:rPr>
                      <w:rFonts w:hint="eastAsia" w:eastAsiaTheme="minorEastAsia"/>
                      <w:szCs w:val="21"/>
                      <w:lang w:val="en-US"/>
                    </w:rPr>
                    <w:t xml:space="preserve"> </w:t>
                  </w:r>
                </w:p>
              </w:tc>
              <w:tc>
                <w:tcPr>
                  <w:tcW w:w="449" w:type="pct"/>
                  <w:vAlign w:val="center"/>
                </w:tcPr>
                <w:p w14:paraId="2AB6D51B">
                  <w:pPr>
                    <w:pStyle w:val="79"/>
                    <w:rPr>
                      <w:rFonts w:eastAsia="Times New Roman"/>
                    </w:rPr>
                  </w:pPr>
                  <w:r>
                    <w:rPr>
                      <w:rFonts w:hint="eastAsia" w:eastAsiaTheme="minorEastAsia"/>
                    </w:rPr>
                    <w:t>500</w:t>
                  </w:r>
                </w:p>
              </w:tc>
              <w:tc>
                <w:tcPr>
                  <w:tcW w:w="437" w:type="pct"/>
                  <w:vAlign w:val="center"/>
                </w:tcPr>
                <w:p w14:paraId="431A4779">
                  <w:pPr>
                    <w:pStyle w:val="79"/>
                    <w:rPr>
                      <w:rFonts w:eastAsia="Times New Roman"/>
                    </w:rPr>
                  </w:pPr>
                  <w:r>
                    <w:rPr>
                      <w:rFonts w:hint="eastAsia" w:ascii="宋体" w:hAnsi="宋体" w:eastAsia="Times New Roman" w:cs="宋体"/>
                    </w:rPr>
                    <w:t>达标</w:t>
                  </w:r>
                </w:p>
              </w:tc>
            </w:tr>
            <w:tr w14:paraId="5B14E80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1C7F2002">
                  <w:pPr>
                    <w:pStyle w:val="79"/>
                    <w:rPr>
                      <w:rFonts w:eastAsia="Times New Roman"/>
                    </w:rPr>
                  </w:pPr>
                </w:p>
              </w:tc>
              <w:tc>
                <w:tcPr>
                  <w:tcW w:w="334" w:type="pct"/>
                  <w:vMerge w:val="continue"/>
                  <w:vAlign w:val="center"/>
                </w:tcPr>
                <w:p w14:paraId="53FBBF12">
                  <w:pPr>
                    <w:pStyle w:val="79"/>
                    <w:rPr>
                      <w:rFonts w:eastAsia="Times New Roman"/>
                    </w:rPr>
                  </w:pPr>
                </w:p>
              </w:tc>
              <w:tc>
                <w:tcPr>
                  <w:tcW w:w="913" w:type="pct"/>
                  <w:vAlign w:val="center"/>
                </w:tcPr>
                <w:p w14:paraId="7BDE0747">
                  <w:pPr>
                    <w:pStyle w:val="79"/>
                    <w:rPr>
                      <w:rFonts w:eastAsia="Times New Roman"/>
                    </w:rPr>
                  </w:pPr>
                  <w:r>
                    <w:rPr>
                      <w:rFonts w:hint="eastAsia" w:ascii="宋体" w:hAnsi="宋体" w:eastAsia="Times New Roman" w:cs="宋体"/>
                    </w:rPr>
                    <w:t>五日生化需氧量</w:t>
                  </w:r>
                </w:p>
              </w:tc>
              <w:tc>
                <w:tcPr>
                  <w:tcW w:w="414" w:type="pct"/>
                  <w:vAlign w:val="center"/>
                </w:tcPr>
                <w:p w14:paraId="0FCA24A9">
                  <w:pPr>
                    <w:pStyle w:val="79"/>
                    <w:rPr>
                      <w:rFonts w:eastAsia="Times New Roman"/>
                    </w:rPr>
                  </w:pPr>
                  <w:r>
                    <w:rPr>
                      <w:rFonts w:hint="eastAsia" w:eastAsia="Times New Roman"/>
                    </w:rPr>
                    <w:t>mg/L</w:t>
                  </w:r>
                </w:p>
              </w:tc>
              <w:tc>
                <w:tcPr>
                  <w:tcW w:w="374" w:type="pct"/>
                  <w:vAlign w:val="center"/>
                </w:tcPr>
                <w:p w14:paraId="58ED103B">
                  <w:pPr>
                    <w:pStyle w:val="79"/>
                    <w:rPr>
                      <w:rFonts w:eastAsia="Times New Roman"/>
                    </w:rPr>
                  </w:pPr>
                  <w:r>
                    <w:rPr>
                      <w:rFonts w:hint="eastAsia" w:eastAsiaTheme="minorEastAsia"/>
                      <w:szCs w:val="21"/>
                      <w:lang w:val="en-US"/>
                    </w:rPr>
                    <w:t xml:space="preserve"> </w:t>
                  </w:r>
                </w:p>
              </w:tc>
              <w:tc>
                <w:tcPr>
                  <w:tcW w:w="442" w:type="pct"/>
                  <w:vAlign w:val="center"/>
                </w:tcPr>
                <w:p w14:paraId="1994810D">
                  <w:pPr>
                    <w:pStyle w:val="79"/>
                    <w:rPr>
                      <w:rFonts w:eastAsia="Times New Roman"/>
                    </w:rPr>
                  </w:pPr>
                  <w:r>
                    <w:rPr>
                      <w:rFonts w:hint="eastAsia" w:eastAsiaTheme="minorEastAsia"/>
                      <w:szCs w:val="21"/>
                      <w:lang w:val="en-US"/>
                    </w:rPr>
                    <w:t xml:space="preserve"> </w:t>
                  </w:r>
                </w:p>
              </w:tc>
              <w:tc>
                <w:tcPr>
                  <w:tcW w:w="442" w:type="pct"/>
                  <w:vAlign w:val="center"/>
                </w:tcPr>
                <w:p w14:paraId="71278C7D">
                  <w:pPr>
                    <w:pStyle w:val="79"/>
                    <w:rPr>
                      <w:rFonts w:eastAsia="Times New Roman"/>
                    </w:rPr>
                  </w:pPr>
                  <w:r>
                    <w:rPr>
                      <w:rFonts w:hint="eastAsia" w:eastAsiaTheme="minorEastAsia"/>
                      <w:szCs w:val="21"/>
                      <w:lang w:val="en-US"/>
                    </w:rPr>
                    <w:t xml:space="preserve"> </w:t>
                  </w:r>
                </w:p>
              </w:tc>
              <w:tc>
                <w:tcPr>
                  <w:tcW w:w="442" w:type="pct"/>
                  <w:vAlign w:val="center"/>
                </w:tcPr>
                <w:p w14:paraId="15457D2A">
                  <w:pPr>
                    <w:pStyle w:val="79"/>
                    <w:rPr>
                      <w:rFonts w:eastAsia="Times New Roman"/>
                    </w:rPr>
                  </w:pPr>
                  <w:r>
                    <w:rPr>
                      <w:rFonts w:hint="eastAsia" w:eastAsiaTheme="minorEastAsia"/>
                      <w:szCs w:val="21"/>
                      <w:lang w:val="en-US"/>
                    </w:rPr>
                    <w:t xml:space="preserve"> </w:t>
                  </w:r>
                </w:p>
              </w:tc>
              <w:tc>
                <w:tcPr>
                  <w:tcW w:w="449" w:type="pct"/>
                  <w:vAlign w:val="center"/>
                </w:tcPr>
                <w:p w14:paraId="25DF8183">
                  <w:pPr>
                    <w:pStyle w:val="79"/>
                    <w:rPr>
                      <w:rFonts w:eastAsia="Times New Roman"/>
                    </w:rPr>
                  </w:pPr>
                  <w:r>
                    <w:rPr>
                      <w:rFonts w:hint="eastAsia" w:eastAsiaTheme="minorEastAsia"/>
                      <w:szCs w:val="21"/>
                      <w:lang w:val="en-US"/>
                    </w:rPr>
                    <w:t xml:space="preserve"> </w:t>
                  </w:r>
                </w:p>
              </w:tc>
              <w:tc>
                <w:tcPr>
                  <w:tcW w:w="449" w:type="pct"/>
                  <w:vAlign w:val="center"/>
                </w:tcPr>
                <w:p w14:paraId="0A783C7C">
                  <w:pPr>
                    <w:pStyle w:val="79"/>
                    <w:rPr>
                      <w:rFonts w:eastAsia="Times New Roman"/>
                    </w:rPr>
                  </w:pPr>
                  <w:r>
                    <w:rPr>
                      <w:rFonts w:hint="eastAsia" w:eastAsiaTheme="minorEastAsia"/>
                    </w:rPr>
                    <w:t>300</w:t>
                  </w:r>
                </w:p>
              </w:tc>
              <w:tc>
                <w:tcPr>
                  <w:tcW w:w="437" w:type="pct"/>
                  <w:vAlign w:val="center"/>
                </w:tcPr>
                <w:p w14:paraId="41B515DF">
                  <w:pPr>
                    <w:pStyle w:val="79"/>
                    <w:rPr>
                      <w:rFonts w:eastAsia="Times New Roman"/>
                    </w:rPr>
                  </w:pPr>
                  <w:r>
                    <w:rPr>
                      <w:rFonts w:hint="eastAsia" w:ascii="宋体" w:hAnsi="宋体" w:eastAsia="Times New Roman" w:cs="宋体"/>
                    </w:rPr>
                    <w:t>达标</w:t>
                  </w:r>
                </w:p>
              </w:tc>
            </w:tr>
            <w:tr w14:paraId="7A7DAFB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4C160A1E">
                  <w:pPr>
                    <w:pStyle w:val="79"/>
                    <w:rPr>
                      <w:rFonts w:eastAsia="Times New Roman"/>
                    </w:rPr>
                  </w:pPr>
                </w:p>
              </w:tc>
              <w:tc>
                <w:tcPr>
                  <w:tcW w:w="334" w:type="pct"/>
                  <w:vMerge w:val="continue"/>
                  <w:vAlign w:val="center"/>
                </w:tcPr>
                <w:p w14:paraId="048EF5DF">
                  <w:pPr>
                    <w:pStyle w:val="79"/>
                    <w:rPr>
                      <w:rFonts w:eastAsia="Times New Roman"/>
                    </w:rPr>
                  </w:pPr>
                </w:p>
              </w:tc>
              <w:tc>
                <w:tcPr>
                  <w:tcW w:w="913" w:type="pct"/>
                  <w:vAlign w:val="center"/>
                </w:tcPr>
                <w:p w14:paraId="7B7B1EBC">
                  <w:pPr>
                    <w:pStyle w:val="79"/>
                    <w:rPr>
                      <w:rFonts w:eastAsia="Times New Roman"/>
                    </w:rPr>
                  </w:pPr>
                  <w:r>
                    <w:rPr>
                      <w:rFonts w:hint="eastAsia" w:ascii="宋体" w:hAnsi="宋体" w:eastAsia="Times New Roman" w:cs="宋体"/>
                    </w:rPr>
                    <w:t>动植物油类</w:t>
                  </w:r>
                </w:p>
              </w:tc>
              <w:tc>
                <w:tcPr>
                  <w:tcW w:w="414" w:type="pct"/>
                  <w:vAlign w:val="center"/>
                </w:tcPr>
                <w:p w14:paraId="3D571160">
                  <w:pPr>
                    <w:pStyle w:val="79"/>
                    <w:rPr>
                      <w:rFonts w:eastAsia="Times New Roman"/>
                    </w:rPr>
                  </w:pPr>
                  <w:r>
                    <w:rPr>
                      <w:rFonts w:hint="eastAsia" w:eastAsia="Times New Roman"/>
                    </w:rPr>
                    <w:t>mg/L</w:t>
                  </w:r>
                </w:p>
              </w:tc>
              <w:tc>
                <w:tcPr>
                  <w:tcW w:w="374" w:type="pct"/>
                  <w:vAlign w:val="center"/>
                </w:tcPr>
                <w:p w14:paraId="50426C1C">
                  <w:pPr>
                    <w:pStyle w:val="79"/>
                    <w:rPr>
                      <w:rFonts w:eastAsia="Times New Roman"/>
                    </w:rPr>
                  </w:pPr>
                  <w:r>
                    <w:rPr>
                      <w:rFonts w:hint="eastAsia" w:eastAsiaTheme="minorEastAsia"/>
                      <w:szCs w:val="21"/>
                      <w:lang w:val="en-US"/>
                    </w:rPr>
                    <w:t xml:space="preserve"> </w:t>
                  </w:r>
                </w:p>
              </w:tc>
              <w:tc>
                <w:tcPr>
                  <w:tcW w:w="442" w:type="pct"/>
                  <w:vAlign w:val="center"/>
                </w:tcPr>
                <w:p w14:paraId="1F3A5F04">
                  <w:pPr>
                    <w:pStyle w:val="79"/>
                    <w:rPr>
                      <w:rFonts w:eastAsia="Times New Roman"/>
                    </w:rPr>
                  </w:pPr>
                  <w:r>
                    <w:rPr>
                      <w:rFonts w:hint="eastAsia" w:eastAsiaTheme="minorEastAsia"/>
                      <w:szCs w:val="21"/>
                      <w:lang w:val="en-US"/>
                    </w:rPr>
                    <w:t xml:space="preserve"> </w:t>
                  </w:r>
                </w:p>
              </w:tc>
              <w:tc>
                <w:tcPr>
                  <w:tcW w:w="442" w:type="pct"/>
                  <w:vAlign w:val="center"/>
                </w:tcPr>
                <w:p w14:paraId="1D5BE510">
                  <w:pPr>
                    <w:pStyle w:val="79"/>
                    <w:rPr>
                      <w:rFonts w:eastAsia="Times New Roman"/>
                    </w:rPr>
                  </w:pPr>
                  <w:r>
                    <w:rPr>
                      <w:rFonts w:hint="eastAsia" w:eastAsiaTheme="minorEastAsia"/>
                      <w:szCs w:val="21"/>
                      <w:lang w:val="en-US"/>
                    </w:rPr>
                    <w:t xml:space="preserve"> </w:t>
                  </w:r>
                </w:p>
              </w:tc>
              <w:tc>
                <w:tcPr>
                  <w:tcW w:w="442" w:type="pct"/>
                  <w:vAlign w:val="center"/>
                </w:tcPr>
                <w:p w14:paraId="696F4AA9">
                  <w:pPr>
                    <w:pStyle w:val="79"/>
                    <w:rPr>
                      <w:rFonts w:eastAsia="Times New Roman"/>
                    </w:rPr>
                  </w:pPr>
                  <w:r>
                    <w:rPr>
                      <w:rFonts w:hint="eastAsia" w:eastAsiaTheme="minorEastAsia"/>
                      <w:szCs w:val="21"/>
                      <w:lang w:val="en-US"/>
                    </w:rPr>
                    <w:t xml:space="preserve"> </w:t>
                  </w:r>
                </w:p>
              </w:tc>
              <w:tc>
                <w:tcPr>
                  <w:tcW w:w="449" w:type="pct"/>
                  <w:vAlign w:val="center"/>
                </w:tcPr>
                <w:p w14:paraId="6D9029E8">
                  <w:pPr>
                    <w:pStyle w:val="79"/>
                    <w:rPr>
                      <w:rFonts w:eastAsia="Times New Roman"/>
                    </w:rPr>
                  </w:pPr>
                  <w:r>
                    <w:rPr>
                      <w:rFonts w:hint="eastAsia" w:eastAsiaTheme="minorEastAsia"/>
                      <w:szCs w:val="21"/>
                      <w:lang w:val="en-US"/>
                    </w:rPr>
                    <w:t xml:space="preserve"> </w:t>
                  </w:r>
                </w:p>
              </w:tc>
              <w:tc>
                <w:tcPr>
                  <w:tcW w:w="449" w:type="pct"/>
                  <w:vAlign w:val="center"/>
                </w:tcPr>
                <w:p w14:paraId="4EA4946E">
                  <w:pPr>
                    <w:pStyle w:val="79"/>
                    <w:rPr>
                      <w:rFonts w:eastAsia="Times New Roman"/>
                    </w:rPr>
                  </w:pPr>
                  <w:r>
                    <w:rPr>
                      <w:rFonts w:hint="eastAsia" w:eastAsiaTheme="minorEastAsia"/>
                    </w:rPr>
                    <w:t>100</w:t>
                  </w:r>
                </w:p>
              </w:tc>
              <w:tc>
                <w:tcPr>
                  <w:tcW w:w="437" w:type="pct"/>
                  <w:vAlign w:val="center"/>
                </w:tcPr>
                <w:p w14:paraId="1ADF1036">
                  <w:pPr>
                    <w:pStyle w:val="79"/>
                    <w:rPr>
                      <w:rFonts w:eastAsia="Times New Roman"/>
                    </w:rPr>
                  </w:pPr>
                  <w:r>
                    <w:rPr>
                      <w:rFonts w:hint="eastAsia" w:ascii="宋体" w:hAnsi="宋体" w:eastAsia="Times New Roman" w:cs="宋体"/>
                    </w:rPr>
                    <w:t>达标</w:t>
                  </w:r>
                </w:p>
              </w:tc>
            </w:tr>
            <w:tr w14:paraId="5E9DAB0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305" w:type="pct"/>
                  <w:vMerge w:val="continue"/>
                  <w:vAlign w:val="center"/>
                </w:tcPr>
                <w:p w14:paraId="42CA35D3">
                  <w:pPr>
                    <w:pStyle w:val="79"/>
                    <w:rPr>
                      <w:rFonts w:eastAsia="Times New Roman"/>
                    </w:rPr>
                  </w:pPr>
                </w:p>
              </w:tc>
              <w:tc>
                <w:tcPr>
                  <w:tcW w:w="334" w:type="pct"/>
                  <w:vMerge w:val="continue"/>
                  <w:vAlign w:val="center"/>
                </w:tcPr>
                <w:p w14:paraId="627FCAB9">
                  <w:pPr>
                    <w:pStyle w:val="79"/>
                    <w:rPr>
                      <w:rFonts w:eastAsia="Times New Roman"/>
                    </w:rPr>
                  </w:pPr>
                </w:p>
              </w:tc>
              <w:tc>
                <w:tcPr>
                  <w:tcW w:w="913" w:type="pct"/>
                  <w:vAlign w:val="center"/>
                </w:tcPr>
                <w:p w14:paraId="5B910AB3">
                  <w:pPr>
                    <w:pStyle w:val="79"/>
                    <w:rPr>
                      <w:rFonts w:eastAsia="Times New Roman"/>
                    </w:rPr>
                  </w:pPr>
                  <w:r>
                    <w:rPr>
                      <w:rFonts w:hint="eastAsia" w:ascii="宋体" w:hAnsi="宋体" w:eastAsia="Times New Roman" w:cs="宋体"/>
                    </w:rPr>
                    <w:t>氨氮</w:t>
                  </w:r>
                </w:p>
              </w:tc>
              <w:tc>
                <w:tcPr>
                  <w:tcW w:w="414" w:type="pct"/>
                  <w:vAlign w:val="center"/>
                </w:tcPr>
                <w:p w14:paraId="665459A7">
                  <w:pPr>
                    <w:pStyle w:val="79"/>
                    <w:rPr>
                      <w:rFonts w:eastAsia="Times New Roman"/>
                    </w:rPr>
                  </w:pPr>
                  <w:r>
                    <w:rPr>
                      <w:rFonts w:hint="eastAsia" w:eastAsia="Times New Roman"/>
                    </w:rPr>
                    <w:t>mg/L</w:t>
                  </w:r>
                </w:p>
              </w:tc>
              <w:tc>
                <w:tcPr>
                  <w:tcW w:w="374" w:type="pct"/>
                  <w:vAlign w:val="center"/>
                </w:tcPr>
                <w:p w14:paraId="4D0059B2">
                  <w:pPr>
                    <w:pStyle w:val="79"/>
                    <w:rPr>
                      <w:rFonts w:eastAsia="Times New Roman"/>
                    </w:rPr>
                  </w:pPr>
                  <w:r>
                    <w:rPr>
                      <w:rFonts w:hint="eastAsia" w:eastAsiaTheme="minorEastAsia"/>
                      <w:szCs w:val="21"/>
                      <w:lang w:val="en-US"/>
                    </w:rPr>
                    <w:t xml:space="preserve"> </w:t>
                  </w:r>
                </w:p>
              </w:tc>
              <w:tc>
                <w:tcPr>
                  <w:tcW w:w="442" w:type="pct"/>
                  <w:vAlign w:val="center"/>
                </w:tcPr>
                <w:p w14:paraId="217DEF70">
                  <w:pPr>
                    <w:pStyle w:val="79"/>
                    <w:rPr>
                      <w:rFonts w:eastAsia="Times New Roman"/>
                    </w:rPr>
                  </w:pPr>
                  <w:r>
                    <w:rPr>
                      <w:rFonts w:hint="eastAsia" w:eastAsiaTheme="minorEastAsia"/>
                      <w:szCs w:val="21"/>
                      <w:lang w:val="en-US"/>
                    </w:rPr>
                    <w:t xml:space="preserve"> </w:t>
                  </w:r>
                </w:p>
              </w:tc>
              <w:tc>
                <w:tcPr>
                  <w:tcW w:w="442" w:type="pct"/>
                  <w:vAlign w:val="center"/>
                </w:tcPr>
                <w:p w14:paraId="77575322">
                  <w:pPr>
                    <w:pStyle w:val="79"/>
                    <w:rPr>
                      <w:rFonts w:eastAsia="Times New Roman"/>
                    </w:rPr>
                  </w:pPr>
                  <w:r>
                    <w:rPr>
                      <w:rFonts w:hint="eastAsia" w:eastAsiaTheme="minorEastAsia"/>
                      <w:szCs w:val="21"/>
                      <w:lang w:val="en-US"/>
                    </w:rPr>
                    <w:t xml:space="preserve"> </w:t>
                  </w:r>
                </w:p>
              </w:tc>
              <w:tc>
                <w:tcPr>
                  <w:tcW w:w="442" w:type="pct"/>
                  <w:vAlign w:val="center"/>
                </w:tcPr>
                <w:p w14:paraId="6C1D2913">
                  <w:pPr>
                    <w:pStyle w:val="79"/>
                    <w:rPr>
                      <w:rFonts w:eastAsia="Times New Roman"/>
                    </w:rPr>
                  </w:pPr>
                  <w:r>
                    <w:rPr>
                      <w:rFonts w:hint="eastAsia" w:eastAsiaTheme="minorEastAsia"/>
                      <w:szCs w:val="21"/>
                      <w:lang w:val="en-US"/>
                    </w:rPr>
                    <w:t xml:space="preserve"> </w:t>
                  </w:r>
                </w:p>
              </w:tc>
              <w:tc>
                <w:tcPr>
                  <w:tcW w:w="449" w:type="pct"/>
                  <w:vAlign w:val="center"/>
                </w:tcPr>
                <w:p w14:paraId="35BDA322">
                  <w:pPr>
                    <w:pStyle w:val="79"/>
                    <w:rPr>
                      <w:rFonts w:eastAsia="Times New Roman"/>
                    </w:rPr>
                  </w:pPr>
                  <w:r>
                    <w:rPr>
                      <w:rFonts w:hint="eastAsia" w:eastAsiaTheme="minorEastAsia"/>
                      <w:szCs w:val="21"/>
                      <w:lang w:val="en-US"/>
                    </w:rPr>
                    <w:t xml:space="preserve"> </w:t>
                  </w:r>
                </w:p>
              </w:tc>
              <w:tc>
                <w:tcPr>
                  <w:tcW w:w="449" w:type="pct"/>
                  <w:vAlign w:val="center"/>
                </w:tcPr>
                <w:p w14:paraId="4728121D">
                  <w:pPr>
                    <w:pStyle w:val="79"/>
                    <w:rPr>
                      <w:rFonts w:eastAsia="Times New Roman"/>
                    </w:rPr>
                  </w:pPr>
                  <w:r>
                    <w:rPr>
                      <w:rFonts w:hint="eastAsia" w:eastAsiaTheme="minorEastAsia"/>
                    </w:rPr>
                    <w:t>/</w:t>
                  </w:r>
                </w:p>
              </w:tc>
              <w:tc>
                <w:tcPr>
                  <w:tcW w:w="437" w:type="pct"/>
                  <w:vAlign w:val="center"/>
                </w:tcPr>
                <w:p w14:paraId="674BB64E">
                  <w:pPr>
                    <w:pStyle w:val="79"/>
                    <w:rPr>
                      <w:rFonts w:eastAsia="Times New Roman"/>
                    </w:rPr>
                  </w:pPr>
                  <w:r>
                    <w:rPr>
                      <w:rFonts w:hint="eastAsia" w:eastAsiaTheme="minorEastAsia"/>
                    </w:rPr>
                    <w:t>/</w:t>
                  </w:r>
                </w:p>
              </w:tc>
            </w:tr>
          </w:tbl>
          <w:p w14:paraId="61B6D31A">
            <w:pPr>
              <w:pStyle w:val="117"/>
              <w:ind w:firstLine="480"/>
            </w:pPr>
            <w:r>
              <w:rPr>
                <w:rFonts w:hint="eastAsia" w:ascii="宋体" w:hAnsi="宋体"/>
              </w:rPr>
              <w:t>根据监测结果可知，项目生活污水经处理后达到</w:t>
            </w:r>
            <w:r>
              <w:rPr>
                <w:rFonts w:hint="eastAsia"/>
              </w:rPr>
              <w:t>《污水综合排放标准》（GB8978-1996）三级标准</w:t>
            </w:r>
            <w:r>
              <w:t>排放限值</w:t>
            </w:r>
            <w:r>
              <w:rPr>
                <w:rFonts w:hint="eastAsia"/>
              </w:rPr>
              <w:t>要求后排入市政污水管网，输送至鹿寨县第二污水处理厂，处理达标后排入洛清江。</w:t>
            </w:r>
          </w:p>
          <w:p w14:paraId="3DCD890D">
            <w:pPr>
              <w:pStyle w:val="117"/>
              <w:ind w:firstLine="480" w:firstLineChars="0"/>
            </w:pPr>
            <w:r>
              <w:rPr>
                <w:rFonts w:hint="eastAsia"/>
                <w:bCs w:val="0"/>
              </w:rPr>
              <w:t>（3</w:t>
            </w:r>
            <w:r>
              <w:rPr>
                <w:rFonts w:hint="eastAsia"/>
              </w:rPr>
              <w:t>）噪声</w:t>
            </w:r>
          </w:p>
          <w:p w14:paraId="110F9430">
            <w:pPr>
              <w:pStyle w:val="117"/>
              <w:ind w:firstLine="480" w:firstLineChars="0"/>
            </w:pPr>
            <w:r>
              <w:rPr>
                <w:rFonts w:hint="eastAsia"/>
              </w:rPr>
              <w:t>项目运营期噪声主要为设备运行时产生的噪声。根据广西德益环保科技有限公司出具的《柳州市远诚科技有限公司环评监测报告》（报告编号：德益（环监）[2025]019号，详见附件7），项目厂界噪声监测结果见下表。</w:t>
            </w:r>
          </w:p>
          <w:p w14:paraId="1DB4AE76">
            <w:pPr>
              <w:pStyle w:val="87"/>
            </w:pPr>
            <w:r>
              <w:rPr>
                <w:rFonts w:hint="eastAsia"/>
              </w:rPr>
              <w:t>表2-9  项目厂界噪声监测结果表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336"/>
              <w:gridCol w:w="3026"/>
              <w:gridCol w:w="1135"/>
              <w:gridCol w:w="1135"/>
              <w:gridCol w:w="1135"/>
              <w:gridCol w:w="568"/>
            </w:tblGrid>
            <w:tr w14:paraId="471D7EE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Align w:val="center"/>
                </w:tcPr>
                <w:p w14:paraId="3795A11C">
                  <w:pPr>
                    <w:pStyle w:val="79"/>
                    <w:rPr>
                      <w:rFonts w:eastAsia="Times New Roman"/>
                      <w:b/>
                    </w:rPr>
                  </w:pPr>
                  <w:r>
                    <w:rPr>
                      <w:rFonts w:hint="eastAsia" w:ascii="宋体" w:hAnsi="宋体" w:eastAsia="Times New Roman" w:cs="宋体"/>
                      <w:b/>
                    </w:rPr>
                    <w:t>监测日期</w:t>
                  </w:r>
                </w:p>
              </w:tc>
              <w:tc>
                <w:tcPr>
                  <w:tcW w:w="1815" w:type="pct"/>
                  <w:vAlign w:val="center"/>
                </w:tcPr>
                <w:p w14:paraId="02528A83">
                  <w:pPr>
                    <w:pStyle w:val="79"/>
                    <w:rPr>
                      <w:rFonts w:eastAsia="Times New Roman"/>
                      <w:b/>
                    </w:rPr>
                  </w:pPr>
                  <w:r>
                    <w:rPr>
                      <w:rFonts w:hint="eastAsia" w:ascii="宋体" w:hAnsi="宋体" w:eastAsia="Times New Roman" w:cs="宋体"/>
                      <w:b/>
                    </w:rPr>
                    <w:t>监测点位置</w:t>
                  </w:r>
                </w:p>
              </w:tc>
              <w:tc>
                <w:tcPr>
                  <w:tcW w:w="681" w:type="pct"/>
                  <w:vAlign w:val="center"/>
                </w:tcPr>
                <w:p w14:paraId="3398872D">
                  <w:pPr>
                    <w:pStyle w:val="79"/>
                    <w:rPr>
                      <w:rFonts w:eastAsia="Times New Roman"/>
                      <w:b/>
                    </w:rPr>
                  </w:pPr>
                  <w:r>
                    <w:rPr>
                      <w:rFonts w:hint="eastAsia" w:ascii="宋体" w:hAnsi="宋体" w:eastAsia="Times New Roman" w:cs="宋体"/>
                      <w:b/>
                    </w:rPr>
                    <w:t>监测时段</w:t>
                  </w:r>
                </w:p>
              </w:tc>
              <w:tc>
                <w:tcPr>
                  <w:tcW w:w="681" w:type="pct"/>
                  <w:vAlign w:val="center"/>
                </w:tcPr>
                <w:p w14:paraId="7D869D0B">
                  <w:pPr>
                    <w:pStyle w:val="79"/>
                    <w:rPr>
                      <w:rFonts w:ascii="宋体" w:hAnsi="宋体" w:eastAsia="Times New Roman" w:cs="宋体"/>
                      <w:b/>
                    </w:rPr>
                  </w:pPr>
                  <w:r>
                    <w:rPr>
                      <w:rFonts w:hint="eastAsia" w:ascii="宋体" w:hAnsi="宋体" w:eastAsia="Times New Roman" w:cs="宋体"/>
                      <w:b/>
                    </w:rPr>
                    <w:t>监测结果</w:t>
                  </w:r>
                </w:p>
                <w:p w14:paraId="30439BB8">
                  <w:pPr>
                    <w:pStyle w:val="79"/>
                    <w:rPr>
                      <w:rFonts w:eastAsia="Times New Roman"/>
                      <w:b/>
                    </w:rPr>
                  </w:pPr>
                  <w:r>
                    <w:rPr>
                      <w:rFonts w:hint="eastAsia" w:eastAsia="Times New Roman"/>
                      <w:b/>
                    </w:rPr>
                    <w:t>dB(A)</w:t>
                  </w:r>
                </w:p>
              </w:tc>
              <w:tc>
                <w:tcPr>
                  <w:tcW w:w="681" w:type="pct"/>
                  <w:vAlign w:val="center"/>
                </w:tcPr>
                <w:p w14:paraId="2CB9AAE6">
                  <w:pPr>
                    <w:pStyle w:val="79"/>
                    <w:rPr>
                      <w:rFonts w:ascii="宋体" w:hAnsi="宋体" w:eastAsia="Times New Roman" w:cs="宋体"/>
                      <w:b/>
                    </w:rPr>
                  </w:pPr>
                  <w:r>
                    <w:rPr>
                      <w:rFonts w:hint="eastAsia" w:ascii="宋体" w:hAnsi="宋体" w:eastAsia="Times New Roman" w:cs="宋体"/>
                      <w:b/>
                    </w:rPr>
                    <w:t>执行标准</w:t>
                  </w:r>
                </w:p>
                <w:p w14:paraId="69DE1736">
                  <w:pPr>
                    <w:pStyle w:val="79"/>
                    <w:rPr>
                      <w:rFonts w:ascii="宋体" w:hAnsi="宋体" w:eastAsia="Times New Roman" w:cs="宋体"/>
                      <w:b/>
                    </w:rPr>
                  </w:pPr>
                  <w:r>
                    <w:rPr>
                      <w:rFonts w:hint="eastAsia" w:eastAsia="Times New Roman"/>
                      <w:b/>
                    </w:rPr>
                    <w:t>dB(A)</w:t>
                  </w:r>
                </w:p>
              </w:tc>
              <w:tc>
                <w:tcPr>
                  <w:tcW w:w="341" w:type="pct"/>
                  <w:vAlign w:val="center"/>
                </w:tcPr>
                <w:p w14:paraId="082D74C5">
                  <w:pPr>
                    <w:pStyle w:val="79"/>
                    <w:rPr>
                      <w:rFonts w:eastAsia="Times New Roman"/>
                      <w:b w:val="0"/>
                    </w:rPr>
                  </w:pPr>
                  <w:r>
                    <w:rPr>
                      <w:rFonts w:hint="eastAsia" w:eastAsia="Times New Roman"/>
                      <w:b/>
                    </w:rPr>
                    <w:t>达标</w:t>
                  </w:r>
                </w:p>
                <w:p w14:paraId="52E57099">
                  <w:pPr>
                    <w:pStyle w:val="79"/>
                    <w:rPr>
                      <w:rFonts w:ascii="宋体" w:hAnsi="宋体" w:eastAsia="Times New Roman" w:cs="宋体"/>
                      <w:b/>
                    </w:rPr>
                  </w:pPr>
                  <w:r>
                    <w:rPr>
                      <w:rFonts w:hint="eastAsia" w:eastAsia="Times New Roman"/>
                      <w:b/>
                    </w:rPr>
                    <w:t>情况</w:t>
                  </w:r>
                </w:p>
              </w:tc>
            </w:tr>
            <w:tr w14:paraId="212BC32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restart"/>
                  <w:vAlign w:val="center"/>
                </w:tcPr>
                <w:p w14:paraId="519AAEF9">
                  <w:pPr>
                    <w:pStyle w:val="79"/>
                    <w:rPr>
                      <w:rFonts w:eastAsia="Times New Roman"/>
                    </w:rPr>
                  </w:pPr>
                  <w:r>
                    <w:rPr>
                      <w:rFonts w:hint="eastAsia" w:eastAsia="Times New Roman"/>
                    </w:rPr>
                    <w:t>2025.07.13</w:t>
                  </w:r>
                </w:p>
              </w:tc>
              <w:tc>
                <w:tcPr>
                  <w:tcW w:w="1815" w:type="pct"/>
                  <w:vAlign w:val="center"/>
                </w:tcPr>
                <w:p w14:paraId="363769BD">
                  <w:pPr>
                    <w:pStyle w:val="79"/>
                    <w:rPr>
                      <w:rFonts w:eastAsia="Times New Roman"/>
                    </w:rPr>
                  </w:pPr>
                  <w:r>
                    <w:rPr>
                      <w:rFonts w:eastAsia="Times New Roman"/>
                    </w:rPr>
                    <w:t>1#项目</w:t>
                  </w:r>
                  <w:r>
                    <w:rPr>
                      <w:rFonts w:hint="eastAsia" w:ascii="宋体" w:hAnsi="宋体" w:eastAsia="Times New Roman" w:cs="宋体"/>
                    </w:rPr>
                    <w:t>东</w:t>
                  </w:r>
                  <w:r>
                    <w:rPr>
                      <w:rFonts w:eastAsia="Times New Roman"/>
                    </w:rPr>
                    <w:t>面厂界外1m处</w:t>
                  </w:r>
                </w:p>
              </w:tc>
              <w:tc>
                <w:tcPr>
                  <w:tcW w:w="681" w:type="pct"/>
                  <w:vAlign w:val="center"/>
                </w:tcPr>
                <w:p w14:paraId="06E044FD">
                  <w:pPr>
                    <w:pStyle w:val="79"/>
                    <w:rPr>
                      <w:rFonts w:eastAsia="Times New Roman"/>
                    </w:rPr>
                  </w:pPr>
                  <w:r>
                    <w:rPr>
                      <w:rFonts w:hint="eastAsia" w:ascii="宋体" w:hAnsi="宋体" w:eastAsia="Times New Roman" w:cs="宋体"/>
                      <w:szCs w:val="21"/>
                    </w:rPr>
                    <w:t>昼间</w:t>
                  </w:r>
                </w:p>
              </w:tc>
              <w:tc>
                <w:tcPr>
                  <w:tcW w:w="681" w:type="pct"/>
                  <w:vAlign w:val="center"/>
                </w:tcPr>
                <w:p w14:paraId="64C362C4">
                  <w:pPr>
                    <w:pStyle w:val="79"/>
                    <w:rPr>
                      <w:rFonts w:eastAsia="Times New Roman"/>
                    </w:rPr>
                  </w:pPr>
                  <w:r>
                    <w:rPr>
                      <w:rFonts w:hint="eastAsia" w:eastAsiaTheme="minorEastAsia"/>
                      <w:szCs w:val="21"/>
                      <w:lang w:val="en-US"/>
                    </w:rPr>
                    <w:t xml:space="preserve"> </w:t>
                  </w:r>
                </w:p>
              </w:tc>
              <w:tc>
                <w:tcPr>
                  <w:tcW w:w="681" w:type="pct"/>
                  <w:vMerge w:val="restart"/>
                  <w:vAlign w:val="center"/>
                </w:tcPr>
                <w:p w14:paraId="36B0F6A2">
                  <w:pPr>
                    <w:pStyle w:val="79"/>
                    <w:rPr>
                      <w:rFonts w:eastAsia="Times New Roman"/>
                    </w:rPr>
                  </w:pPr>
                  <w:r>
                    <w:rPr>
                      <w:rFonts w:eastAsia="Times New Roman"/>
                    </w:rPr>
                    <w:t>昼间：60</w:t>
                  </w:r>
                </w:p>
                <w:p w14:paraId="3DF2813D">
                  <w:pPr>
                    <w:pStyle w:val="79"/>
                    <w:rPr>
                      <w:rFonts w:eastAsia="Times New Roman"/>
                    </w:rPr>
                  </w:pPr>
                  <w:r>
                    <w:rPr>
                      <w:rFonts w:eastAsia="Times New Roman"/>
                    </w:rPr>
                    <w:t>夜间：50</w:t>
                  </w:r>
                </w:p>
              </w:tc>
              <w:tc>
                <w:tcPr>
                  <w:tcW w:w="341" w:type="pct"/>
                  <w:vAlign w:val="center"/>
                </w:tcPr>
                <w:p w14:paraId="1B54D994">
                  <w:pPr>
                    <w:pStyle w:val="79"/>
                    <w:rPr>
                      <w:rFonts w:eastAsia="Times New Roman"/>
                    </w:rPr>
                  </w:pPr>
                  <w:r>
                    <w:rPr>
                      <w:rFonts w:hint="eastAsia" w:ascii="宋体" w:hAnsi="宋体" w:eastAsia="Times New Roman" w:cs="宋体"/>
                      <w:lang w:val="en-US"/>
                    </w:rPr>
                    <w:t>达标</w:t>
                  </w:r>
                </w:p>
              </w:tc>
            </w:tr>
            <w:tr w14:paraId="7994BB1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26E9A3F4">
                  <w:pPr>
                    <w:pStyle w:val="79"/>
                    <w:rPr>
                      <w:rFonts w:eastAsia="Times New Roman"/>
                    </w:rPr>
                  </w:pPr>
                </w:p>
              </w:tc>
              <w:tc>
                <w:tcPr>
                  <w:tcW w:w="1815" w:type="pct"/>
                  <w:vAlign w:val="center"/>
                </w:tcPr>
                <w:p w14:paraId="6C438EBF">
                  <w:pPr>
                    <w:pStyle w:val="79"/>
                    <w:rPr>
                      <w:rFonts w:eastAsia="Times New Roman"/>
                    </w:rPr>
                  </w:pPr>
                  <w:r>
                    <w:rPr>
                      <w:rFonts w:eastAsia="Times New Roman"/>
                    </w:rPr>
                    <w:t>2#项目</w:t>
                  </w:r>
                  <w:r>
                    <w:rPr>
                      <w:rFonts w:hint="eastAsia" w:ascii="宋体" w:hAnsi="宋体" w:eastAsia="Times New Roman" w:cs="宋体"/>
                    </w:rPr>
                    <w:t>南</w:t>
                  </w:r>
                  <w:r>
                    <w:rPr>
                      <w:rFonts w:eastAsia="Times New Roman"/>
                    </w:rPr>
                    <w:t>面厂界外1m处</w:t>
                  </w:r>
                </w:p>
              </w:tc>
              <w:tc>
                <w:tcPr>
                  <w:tcW w:w="681" w:type="pct"/>
                  <w:vAlign w:val="center"/>
                </w:tcPr>
                <w:p w14:paraId="76C81DAF">
                  <w:pPr>
                    <w:pStyle w:val="79"/>
                    <w:rPr>
                      <w:rFonts w:eastAsia="Times New Roman"/>
                    </w:rPr>
                  </w:pPr>
                  <w:r>
                    <w:rPr>
                      <w:rFonts w:hint="eastAsia" w:ascii="宋体" w:hAnsi="宋体" w:eastAsia="Times New Roman" w:cs="宋体"/>
                      <w:szCs w:val="21"/>
                    </w:rPr>
                    <w:t>昼间</w:t>
                  </w:r>
                </w:p>
              </w:tc>
              <w:tc>
                <w:tcPr>
                  <w:tcW w:w="681" w:type="pct"/>
                  <w:vAlign w:val="center"/>
                </w:tcPr>
                <w:p w14:paraId="7627BCC7">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6D822862">
                  <w:pPr>
                    <w:pStyle w:val="79"/>
                    <w:rPr>
                      <w:rFonts w:eastAsia="Times New Roman"/>
                    </w:rPr>
                  </w:pPr>
                </w:p>
              </w:tc>
              <w:tc>
                <w:tcPr>
                  <w:tcW w:w="341" w:type="pct"/>
                  <w:vAlign w:val="center"/>
                </w:tcPr>
                <w:p w14:paraId="35542ED0">
                  <w:pPr>
                    <w:pStyle w:val="79"/>
                    <w:rPr>
                      <w:rFonts w:eastAsia="Times New Roman"/>
                    </w:rPr>
                  </w:pPr>
                  <w:r>
                    <w:rPr>
                      <w:rFonts w:hint="eastAsia" w:ascii="宋体" w:hAnsi="宋体" w:eastAsia="Times New Roman" w:cs="宋体"/>
                      <w:lang w:val="en-US"/>
                    </w:rPr>
                    <w:t>达标</w:t>
                  </w:r>
                </w:p>
              </w:tc>
            </w:tr>
            <w:tr w14:paraId="500627F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59DAB09B">
                  <w:pPr>
                    <w:pStyle w:val="79"/>
                    <w:rPr>
                      <w:rFonts w:eastAsia="Times New Roman"/>
                    </w:rPr>
                  </w:pPr>
                </w:p>
              </w:tc>
              <w:tc>
                <w:tcPr>
                  <w:tcW w:w="1815" w:type="pct"/>
                  <w:vAlign w:val="center"/>
                </w:tcPr>
                <w:p w14:paraId="35B61455">
                  <w:pPr>
                    <w:pStyle w:val="79"/>
                    <w:rPr>
                      <w:rFonts w:eastAsia="Times New Roman"/>
                    </w:rPr>
                  </w:pPr>
                  <w:r>
                    <w:rPr>
                      <w:rFonts w:eastAsia="Times New Roman"/>
                    </w:rPr>
                    <w:t>3#项目</w:t>
                  </w:r>
                  <w:r>
                    <w:rPr>
                      <w:rFonts w:hint="eastAsia" w:ascii="宋体" w:hAnsi="宋体" w:eastAsia="Times New Roman" w:cs="宋体"/>
                    </w:rPr>
                    <w:t>西</w:t>
                  </w:r>
                  <w:r>
                    <w:rPr>
                      <w:rFonts w:eastAsia="Times New Roman"/>
                    </w:rPr>
                    <w:t>面厂界外1m处</w:t>
                  </w:r>
                </w:p>
              </w:tc>
              <w:tc>
                <w:tcPr>
                  <w:tcW w:w="681" w:type="pct"/>
                  <w:vAlign w:val="center"/>
                </w:tcPr>
                <w:p w14:paraId="2536DB8B">
                  <w:pPr>
                    <w:pStyle w:val="79"/>
                    <w:rPr>
                      <w:rFonts w:eastAsia="Times New Roman"/>
                    </w:rPr>
                  </w:pPr>
                  <w:r>
                    <w:rPr>
                      <w:rFonts w:hint="eastAsia" w:ascii="宋体" w:hAnsi="宋体" w:eastAsia="Times New Roman" w:cs="宋体"/>
                      <w:szCs w:val="21"/>
                    </w:rPr>
                    <w:t>昼间</w:t>
                  </w:r>
                </w:p>
              </w:tc>
              <w:tc>
                <w:tcPr>
                  <w:tcW w:w="681" w:type="pct"/>
                  <w:vAlign w:val="center"/>
                </w:tcPr>
                <w:p w14:paraId="44913518">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11AEAC25">
                  <w:pPr>
                    <w:pStyle w:val="79"/>
                    <w:rPr>
                      <w:rFonts w:eastAsia="Times New Roman"/>
                    </w:rPr>
                  </w:pPr>
                </w:p>
              </w:tc>
              <w:tc>
                <w:tcPr>
                  <w:tcW w:w="341" w:type="pct"/>
                  <w:vAlign w:val="center"/>
                </w:tcPr>
                <w:p w14:paraId="750EB36C">
                  <w:pPr>
                    <w:pStyle w:val="79"/>
                    <w:rPr>
                      <w:rFonts w:eastAsia="Times New Roman"/>
                    </w:rPr>
                  </w:pPr>
                  <w:r>
                    <w:rPr>
                      <w:rFonts w:hint="eastAsia" w:ascii="宋体" w:hAnsi="宋体" w:eastAsia="Times New Roman" w:cs="宋体"/>
                      <w:lang w:val="en-US"/>
                    </w:rPr>
                    <w:t>达标</w:t>
                  </w:r>
                </w:p>
              </w:tc>
            </w:tr>
            <w:tr w14:paraId="5FE3BDF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17387179">
                  <w:pPr>
                    <w:pStyle w:val="79"/>
                    <w:rPr>
                      <w:rFonts w:eastAsia="Times New Roman"/>
                    </w:rPr>
                  </w:pPr>
                </w:p>
              </w:tc>
              <w:tc>
                <w:tcPr>
                  <w:tcW w:w="1815" w:type="pct"/>
                  <w:vAlign w:val="center"/>
                </w:tcPr>
                <w:p w14:paraId="6B65E5A7">
                  <w:pPr>
                    <w:pStyle w:val="79"/>
                    <w:rPr>
                      <w:rFonts w:eastAsia="Times New Roman"/>
                    </w:rPr>
                  </w:pPr>
                  <w:r>
                    <w:rPr>
                      <w:rFonts w:eastAsia="Times New Roman"/>
                    </w:rPr>
                    <w:t>4#项目</w:t>
                  </w:r>
                  <w:r>
                    <w:rPr>
                      <w:rFonts w:hint="eastAsia" w:ascii="宋体" w:hAnsi="宋体" w:eastAsia="Times New Roman" w:cs="宋体"/>
                    </w:rPr>
                    <w:t>北</w:t>
                  </w:r>
                  <w:r>
                    <w:rPr>
                      <w:rFonts w:eastAsia="Times New Roman"/>
                    </w:rPr>
                    <w:t>面厂界外1m处</w:t>
                  </w:r>
                </w:p>
              </w:tc>
              <w:tc>
                <w:tcPr>
                  <w:tcW w:w="681" w:type="pct"/>
                  <w:vAlign w:val="center"/>
                </w:tcPr>
                <w:p w14:paraId="3F28286F">
                  <w:pPr>
                    <w:pStyle w:val="79"/>
                    <w:rPr>
                      <w:rFonts w:eastAsia="Times New Roman"/>
                    </w:rPr>
                  </w:pPr>
                  <w:r>
                    <w:rPr>
                      <w:rFonts w:hint="eastAsia" w:ascii="宋体" w:hAnsi="宋体" w:eastAsia="Times New Roman" w:cs="宋体"/>
                      <w:szCs w:val="21"/>
                    </w:rPr>
                    <w:t>昼间</w:t>
                  </w:r>
                </w:p>
              </w:tc>
              <w:tc>
                <w:tcPr>
                  <w:tcW w:w="681" w:type="pct"/>
                  <w:vAlign w:val="center"/>
                </w:tcPr>
                <w:p w14:paraId="02A41267">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6B62B85B">
                  <w:pPr>
                    <w:pStyle w:val="79"/>
                    <w:rPr>
                      <w:rFonts w:eastAsia="Times New Roman"/>
                    </w:rPr>
                  </w:pPr>
                </w:p>
              </w:tc>
              <w:tc>
                <w:tcPr>
                  <w:tcW w:w="341" w:type="pct"/>
                  <w:vAlign w:val="center"/>
                </w:tcPr>
                <w:p w14:paraId="45476B14">
                  <w:pPr>
                    <w:pStyle w:val="79"/>
                    <w:rPr>
                      <w:rFonts w:eastAsia="Times New Roman"/>
                    </w:rPr>
                  </w:pPr>
                  <w:r>
                    <w:rPr>
                      <w:rFonts w:hint="eastAsia" w:ascii="宋体" w:hAnsi="宋体" w:eastAsia="Times New Roman" w:cs="宋体"/>
                      <w:lang w:val="en-US"/>
                    </w:rPr>
                    <w:t>达标</w:t>
                  </w:r>
                </w:p>
              </w:tc>
            </w:tr>
            <w:tr w14:paraId="3CB54CB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3EFAEB65">
                  <w:pPr>
                    <w:pStyle w:val="79"/>
                    <w:rPr>
                      <w:rFonts w:eastAsia="Times New Roman"/>
                    </w:rPr>
                  </w:pPr>
                </w:p>
              </w:tc>
              <w:tc>
                <w:tcPr>
                  <w:tcW w:w="1815" w:type="pct"/>
                  <w:vAlign w:val="center"/>
                </w:tcPr>
                <w:p w14:paraId="3B254C8C">
                  <w:pPr>
                    <w:pStyle w:val="79"/>
                    <w:rPr>
                      <w:rFonts w:eastAsia="Times New Roman"/>
                    </w:rPr>
                  </w:pPr>
                  <w:r>
                    <w:rPr>
                      <w:rFonts w:eastAsia="Times New Roman"/>
                    </w:rPr>
                    <w:t>1#项目</w:t>
                  </w:r>
                  <w:r>
                    <w:rPr>
                      <w:rFonts w:hint="eastAsia" w:ascii="宋体" w:hAnsi="宋体" w:eastAsia="Times New Roman" w:cs="宋体"/>
                    </w:rPr>
                    <w:t>东</w:t>
                  </w:r>
                  <w:r>
                    <w:rPr>
                      <w:rFonts w:eastAsia="Times New Roman"/>
                    </w:rPr>
                    <w:t>面厂界外1m处</w:t>
                  </w:r>
                </w:p>
              </w:tc>
              <w:tc>
                <w:tcPr>
                  <w:tcW w:w="681" w:type="pct"/>
                  <w:vAlign w:val="center"/>
                </w:tcPr>
                <w:p w14:paraId="20F65BF2">
                  <w:pPr>
                    <w:pStyle w:val="79"/>
                    <w:rPr>
                      <w:rFonts w:eastAsia="Times New Roman"/>
                    </w:rPr>
                  </w:pPr>
                  <w:r>
                    <w:rPr>
                      <w:rFonts w:hint="eastAsia" w:ascii="宋体" w:hAnsi="宋体" w:eastAsia="Times New Roman" w:cs="宋体"/>
                      <w:szCs w:val="21"/>
                    </w:rPr>
                    <w:t>夜间</w:t>
                  </w:r>
                </w:p>
              </w:tc>
              <w:tc>
                <w:tcPr>
                  <w:tcW w:w="681" w:type="pct"/>
                  <w:vAlign w:val="center"/>
                </w:tcPr>
                <w:p w14:paraId="26321886">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6AE39CB3">
                  <w:pPr>
                    <w:pStyle w:val="79"/>
                    <w:rPr>
                      <w:rFonts w:eastAsia="Times New Roman"/>
                    </w:rPr>
                  </w:pPr>
                </w:p>
              </w:tc>
              <w:tc>
                <w:tcPr>
                  <w:tcW w:w="341" w:type="pct"/>
                  <w:vAlign w:val="center"/>
                </w:tcPr>
                <w:p w14:paraId="38FF7EEE">
                  <w:pPr>
                    <w:pStyle w:val="79"/>
                    <w:rPr>
                      <w:rFonts w:eastAsia="Times New Roman"/>
                    </w:rPr>
                  </w:pPr>
                  <w:r>
                    <w:rPr>
                      <w:rFonts w:hint="eastAsia" w:ascii="宋体" w:hAnsi="宋体" w:eastAsia="Times New Roman" w:cs="宋体"/>
                      <w:lang w:val="en-US"/>
                    </w:rPr>
                    <w:t>达标</w:t>
                  </w:r>
                </w:p>
              </w:tc>
            </w:tr>
            <w:tr w14:paraId="1279102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124C3982">
                  <w:pPr>
                    <w:pStyle w:val="79"/>
                    <w:rPr>
                      <w:rFonts w:eastAsia="Times New Roman"/>
                    </w:rPr>
                  </w:pPr>
                </w:p>
              </w:tc>
              <w:tc>
                <w:tcPr>
                  <w:tcW w:w="1815" w:type="pct"/>
                  <w:vAlign w:val="center"/>
                </w:tcPr>
                <w:p w14:paraId="1146F8D6">
                  <w:pPr>
                    <w:pStyle w:val="79"/>
                    <w:rPr>
                      <w:rFonts w:eastAsia="Times New Roman"/>
                    </w:rPr>
                  </w:pPr>
                  <w:r>
                    <w:rPr>
                      <w:rFonts w:eastAsia="Times New Roman"/>
                    </w:rPr>
                    <w:t>2#项目</w:t>
                  </w:r>
                  <w:r>
                    <w:rPr>
                      <w:rFonts w:hint="eastAsia" w:ascii="宋体" w:hAnsi="宋体" w:eastAsia="Times New Roman" w:cs="宋体"/>
                    </w:rPr>
                    <w:t>南</w:t>
                  </w:r>
                  <w:r>
                    <w:rPr>
                      <w:rFonts w:eastAsia="Times New Roman"/>
                    </w:rPr>
                    <w:t>面厂界外1m处</w:t>
                  </w:r>
                </w:p>
              </w:tc>
              <w:tc>
                <w:tcPr>
                  <w:tcW w:w="681" w:type="pct"/>
                  <w:vAlign w:val="center"/>
                </w:tcPr>
                <w:p w14:paraId="6AC4DD97">
                  <w:pPr>
                    <w:pStyle w:val="79"/>
                    <w:rPr>
                      <w:rFonts w:eastAsia="Times New Roman"/>
                    </w:rPr>
                  </w:pPr>
                  <w:r>
                    <w:rPr>
                      <w:rFonts w:hint="eastAsia" w:ascii="宋体" w:hAnsi="宋体" w:eastAsia="Times New Roman" w:cs="宋体"/>
                      <w:szCs w:val="21"/>
                    </w:rPr>
                    <w:t>夜间</w:t>
                  </w:r>
                </w:p>
              </w:tc>
              <w:tc>
                <w:tcPr>
                  <w:tcW w:w="681" w:type="pct"/>
                  <w:vAlign w:val="center"/>
                </w:tcPr>
                <w:p w14:paraId="1D75DE5F">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4DE0A75F">
                  <w:pPr>
                    <w:pStyle w:val="79"/>
                    <w:rPr>
                      <w:rFonts w:eastAsia="Times New Roman"/>
                    </w:rPr>
                  </w:pPr>
                </w:p>
              </w:tc>
              <w:tc>
                <w:tcPr>
                  <w:tcW w:w="341" w:type="pct"/>
                  <w:vAlign w:val="center"/>
                </w:tcPr>
                <w:p w14:paraId="3E81BE94">
                  <w:pPr>
                    <w:pStyle w:val="79"/>
                    <w:rPr>
                      <w:rFonts w:eastAsia="Times New Roman"/>
                    </w:rPr>
                  </w:pPr>
                  <w:r>
                    <w:rPr>
                      <w:rFonts w:hint="eastAsia" w:ascii="宋体" w:hAnsi="宋体" w:eastAsia="Times New Roman" w:cs="宋体"/>
                      <w:lang w:val="en-US"/>
                    </w:rPr>
                    <w:t>达标</w:t>
                  </w:r>
                </w:p>
              </w:tc>
            </w:tr>
            <w:tr w14:paraId="51A6178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496D8095">
                  <w:pPr>
                    <w:pStyle w:val="79"/>
                    <w:rPr>
                      <w:rFonts w:eastAsia="Times New Roman"/>
                    </w:rPr>
                  </w:pPr>
                </w:p>
              </w:tc>
              <w:tc>
                <w:tcPr>
                  <w:tcW w:w="1815" w:type="pct"/>
                  <w:vAlign w:val="center"/>
                </w:tcPr>
                <w:p w14:paraId="08EABADC">
                  <w:pPr>
                    <w:pStyle w:val="79"/>
                    <w:rPr>
                      <w:rFonts w:eastAsia="Times New Roman"/>
                    </w:rPr>
                  </w:pPr>
                  <w:r>
                    <w:rPr>
                      <w:rFonts w:eastAsia="Times New Roman"/>
                    </w:rPr>
                    <w:t>3#项目</w:t>
                  </w:r>
                  <w:r>
                    <w:rPr>
                      <w:rFonts w:hint="eastAsia" w:ascii="宋体" w:hAnsi="宋体" w:eastAsia="Times New Roman" w:cs="宋体"/>
                    </w:rPr>
                    <w:t>西</w:t>
                  </w:r>
                  <w:r>
                    <w:rPr>
                      <w:rFonts w:eastAsia="Times New Roman"/>
                    </w:rPr>
                    <w:t>面厂界外1m处</w:t>
                  </w:r>
                </w:p>
              </w:tc>
              <w:tc>
                <w:tcPr>
                  <w:tcW w:w="681" w:type="pct"/>
                  <w:vAlign w:val="center"/>
                </w:tcPr>
                <w:p w14:paraId="300F3E86">
                  <w:pPr>
                    <w:pStyle w:val="79"/>
                    <w:rPr>
                      <w:rFonts w:eastAsia="Times New Roman"/>
                    </w:rPr>
                  </w:pPr>
                  <w:r>
                    <w:rPr>
                      <w:rFonts w:hint="eastAsia" w:ascii="宋体" w:hAnsi="宋体" w:eastAsia="Times New Roman" w:cs="宋体"/>
                      <w:szCs w:val="21"/>
                    </w:rPr>
                    <w:t>夜间</w:t>
                  </w:r>
                </w:p>
              </w:tc>
              <w:tc>
                <w:tcPr>
                  <w:tcW w:w="681" w:type="pct"/>
                  <w:vAlign w:val="center"/>
                </w:tcPr>
                <w:p w14:paraId="53DE61C9">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155A4453">
                  <w:pPr>
                    <w:pStyle w:val="79"/>
                    <w:rPr>
                      <w:rFonts w:eastAsia="Times New Roman"/>
                    </w:rPr>
                  </w:pPr>
                </w:p>
              </w:tc>
              <w:tc>
                <w:tcPr>
                  <w:tcW w:w="341" w:type="pct"/>
                  <w:vAlign w:val="center"/>
                </w:tcPr>
                <w:p w14:paraId="42FBD1A2">
                  <w:pPr>
                    <w:pStyle w:val="79"/>
                    <w:rPr>
                      <w:rFonts w:eastAsia="Times New Roman"/>
                    </w:rPr>
                  </w:pPr>
                  <w:r>
                    <w:rPr>
                      <w:rFonts w:hint="eastAsia" w:ascii="宋体" w:hAnsi="宋体" w:eastAsia="Times New Roman" w:cs="宋体"/>
                      <w:lang w:val="en-US"/>
                    </w:rPr>
                    <w:t>达标</w:t>
                  </w:r>
                </w:p>
              </w:tc>
            </w:tr>
            <w:tr w14:paraId="41DB3CA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6BE0A007">
                  <w:pPr>
                    <w:pStyle w:val="79"/>
                    <w:rPr>
                      <w:rFonts w:eastAsia="Times New Roman"/>
                    </w:rPr>
                  </w:pPr>
                </w:p>
              </w:tc>
              <w:tc>
                <w:tcPr>
                  <w:tcW w:w="1815" w:type="pct"/>
                  <w:vAlign w:val="center"/>
                </w:tcPr>
                <w:p w14:paraId="23682987">
                  <w:pPr>
                    <w:pStyle w:val="79"/>
                    <w:rPr>
                      <w:rFonts w:eastAsia="Times New Roman"/>
                    </w:rPr>
                  </w:pPr>
                  <w:r>
                    <w:rPr>
                      <w:rFonts w:eastAsia="Times New Roman"/>
                    </w:rPr>
                    <w:t>4#项目</w:t>
                  </w:r>
                  <w:r>
                    <w:rPr>
                      <w:rFonts w:hint="eastAsia" w:ascii="宋体" w:hAnsi="宋体" w:eastAsia="Times New Roman" w:cs="宋体"/>
                    </w:rPr>
                    <w:t>北</w:t>
                  </w:r>
                  <w:r>
                    <w:rPr>
                      <w:rFonts w:eastAsia="Times New Roman"/>
                    </w:rPr>
                    <w:t>面厂界外1m处</w:t>
                  </w:r>
                </w:p>
              </w:tc>
              <w:tc>
                <w:tcPr>
                  <w:tcW w:w="681" w:type="pct"/>
                  <w:vAlign w:val="center"/>
                </w:tcPr>
                <w:p w14:paraId="6E0DD29E">
                  <w:pPr>
                    <w:pStyle w:val="79"/>
                    <w:rPr>
                      <w:rFonts w:eastAsia="Times New Roman"/>
                    </w:rPr>
                  </w:pPr>
                  <w:r>
                    <w:rPr>
                      <w:rFonts w:hint="eastAsia" w:ascii="宋体" w:hAnsi="宋体" w:eastAsia="Times New Roman" w:cs="宋体"/>
                      <w:szCs w:val="21"/>
                    </w:rPr>
                    <w:t>夜间</w:t>
                  </w:r>
                </w:p>
              </w:tc>
              <w:tc>
                <w:tcPr>
                  <w:tcW w:w="681" w:type="pct"/>
                  <w:vAlign w:val="center"/>
                </w:tcPr>
                <w:p w14:paraId="2355E88B">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31C6DAC3">
                  <w:pPr>
                    <w:pStyle w:val="79"/>
                    <w:rPr>
                      <w:rFonts w:eastAsia="Times New Roman"/>
                    </w:rPr>
                  </w:pPr>
                </w:p>
              </w:tc>
              <w:tc>
                <w:tcPr>
                  <w:tcW w:w="341" w:type="pct"/>
                  <w:vAlign w:val="center"/>
                </w:tcPr>
                <w:p w14:paraId="34C34282">
                  <w:pPr>
                    <w:pStyle w:val="79"/>
                    <w:rPr>
                      <w:rFonts w:eastAsia="Times New Roman"/>
                    </w:rPr>
                  </w:pPr>
                  <w:r>
                    <w:rPr>
                      <w:rFonts w:hint="eastAsia" w:ascii="宋体" w:hAnsi="宋体" w:eastAsia="Times New Roman" w:cs="宋体"/>
                      <w:lang w:val="en-US"/>
                    </w:rPr>
                    <w:t>达标</w:t>
                  </w:r>
                </w:p>
              </w:tc>
            </w:tr>
            <w:tr w14:paraId="0EC3BDB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restart"/>
                  <w:vAlign w:val="center"/>
                </w:tcPr>
                <w:p w14:paraId="12B1F0AA">
                  <w:pPr>
                    <w:pStyle w:val="79"/>
                    <w:rPr>
                      <w:rFonts w:eastAsiaTheme="minorEastAsia"/>
                    </w:rPr>
                  </w:pPr>
                  <w:r>
                    <w:rPr>
                      <w:rFonts w:hint="eastAsia" w:eastAsia="Times New Roman"/>
                    </w:rPr>
                    <w:t>2025.07.14</w:t>
                  </w:r>
                </w:p>
              </w:tc>
              <w:tc>
                <w:tcPr>
                  <w:tcW w:w="1815" w:type="pct"/>
                  <w:vAlign w:val="center"/>
                </w:tcPr>
                <w:p w14:paraId="4F6A6D1E">
                  <w:pPr>
                    <w:pStyle w:val="79"/>
                    <w:rPr>
                      <w:rFonts w:eastAsia="Times New Roman"/>
                    </w:rPr>
                  </w:pPr>
                  <w:r>
                    <w:rPr>
                      <w:rFonts w:eastAsia="Times New Roman"/>
                    </w:rPr>
                    <w:t>1#项目</w:t>
                  </w:r>
                  <w:r>
                    <w:rPr>
                      <w:rFonts w:hint="eastAsia" w:ascii="宋体" w:hAnsi="宋体" w:eastAsia="Times New Roman" w:cs="宋体"/>
                    </w:rPr>
                    <w:t>东</w:t>
                  </w:r>
                  <w:r>
                    <w:rPr>
                      <w:rFonts w:eastAsia="Times New Roman"/>
                    </w:rPr>
                    <w:t>面厂界外1m处</w:t>
                  </w:r>
                </w:p>
              </w:tc>
              <w:tc>
                <w:tcPr>
                  <w:tcW w:w="681" w:type="pct"/>
                  <w:vAlign w:val="center"/>
                </w:tcPr>
                <w:p w14:paraId="40E8FD0D">
                  <w:pPr>
                    <w:pStyle w:val="79"/>
                    <w:rPr>
                      <w:rFonts w:eastAsia="Times New Roman"/>
                    </w:rPr>
                  </w:pPr>
                  <w:r>
                    <w:rPr>
                      <w:rFonts w:hint="eastAsia" w:ascii="宋体" w:hAnsi="宋体" w:eastAsia="Times New Roman" w:cs="宋体"/>
                      <w:szCs w:val="21"/>
                    </w:rPr>
                    <w:t>昼间</w:t>
                  </w:r>
                </w:p>
              </w:tc>
              <w:tc>
                <w:tcPr>
                  <w:tcW w:w="681" w:type="pct"/>
                  <w:vAlign w:val="center"/>
                </w:tcPr>
                <w:p w14:paraId="4540BDCE">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5FBE58C2">
                  <w:pPr>
                    <w:pStyle w:val="79"/>
                    <w:rPr>
                      <w:rFonts w:eastAsia="Times New Roman"/>
                    </w:rPr>
                  </w:pPr>
                </w:p>
              </w:tc>
              <w:tc>
                <w:tcPr>
                  <w:tcW w:w="341" w:type="pct"/>
                  <w:vAlign w:val="center"/>
                </w:tcPr>
                <w:p w14:paraId="245FEAE9">
                  <w:pPr>
                    <w:pStyle w:val="79"/>
                    <w:rPr>
                      <w:rFonts w:eastAsia="Times New Roman"/>
                    </w:rPr>
                  </w:pPr>
                  <w:r>
                    <w:rPr>
                      <w:rFonts w:hint="eastAsia" w:ascii="宋体" w:hAnsi="宋体" w:eastAsia="Times New Roman" w:cs="宋体"/>
                      <w:lang w:val="en-US"/>
                    </w:rPr>
                    <w:t>达标</w:t>
                  </w:r>
                </w:p>
              </w:tc>
            </w:tr>
            <w:tr w14:paraId="22A2855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065203DB">
                  <w:pPr>
                    <w:pStyle w:val="79"/>
                    <w:rPr>
                      <w:rFonts w:eastAsia="Times New Roman"/>
                    </w:rPr>
                  </w:pPr>
                </w:p>
              </w:tc>
              <w:tc>
                <w:tcPr>
                  <w:tcW w:w="1815" w:type="pct"/>
                  <w:vAlign w:val="center"/>
                </w:tcPr>
                <w:p w14:paraId="136A8B07">
                  <w:pPr>
                    <w:pStyle w:val="79"/>
                    <w:rPr>
                      <w:rFonts w:eastAsia="Times New Roman"/>
                    </w:rPr>
                  </w:pPr>
                  <w:r>
                    <w:rPr>
                      <w:rFonts w:eastAsia="Times New Roman"/>
                    </w:rPr>
                    <w:t>2#项目</w:t>
                  </w:r>
                  <w:r>
                    <w:rPr>
                      <w:rFonts w:hint="eastAsia" w:ascii="宋体" w:hAnsi="宋体" w:eastAsia="Times New Roman" w:cs="宋体"/>
                    </w:rPr>
                    <w:t>南</w:t>
                  </w:r>
                  <w:r>
                    <w:rPr>
                      <w:rFonts w:eastAsia="Times New Roman"/>
                    </w:rPr>
                    <w:t>面厂界外1m处</w:t>
                  </w:r>
                </w:p>
              </w:tc>
              <w:tc>
                <w:tcPr>
                  <w:tcW w:w="681" w:type="pct"/>
                  <w:vAlign w:val="center"/>
                </w:tcPr>
                <w:p w14:paraId="7964544C">
                  <w:pPr>
                    <w:pStyle w:val="79"/>
                    <w:rPr>
                      <w:rFonts w:eastAsia="Times New Roman"/>
                    </w:rPr>
                  </w:pPr>
                  <w:r>
                    <w:rPr>
                      <w:rFonts w:hint="eastAsia" w:ascii="宋体" w:hAnsi="宋体" w:eastAsia="Times New Roman" w:cs="宋体"/>
                      <w:szCs w:val="21"/>
                    </w:rPr>
                    <w:t>昼间</w:t>
                  </w:r>
                </w:p>
              </w:tc>
              <w:tc>
                <w:tcPr>
                  <w:tcW w:w="681" w:type="pct"/>
                  <w:vAlign w:val="center"/>
                </w:tcPr>
                <w:p w14:paraId="1902CFC3">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1BE931E6">
                  <w:pPr>
                    <w:pStyle w:val="79"/>
                    <w:rPr>
                      <w:rFonts w:eastAsia="Times New Roman"/>
                    </w:rPr>
                  </w:pPr>
                </w:p>
              </w:tc>
              <w:tc>
                <w:tcPr>
                  <w:tcW w:w="341" w:type="pct"/>
                  <w:vAlign w:val="center"/>
                </w:tcPr>
                <w:p w14:paraId="5C2C1806">
                  <w:pPr>
                    <w:pStyle w:val="79"/>
                    <w:rPr>
                      <w:rFonts w:eastAsia="Times New Roman"/>
                    </w:rPr>
                  </w:pPr>
                  <w:r>
                    <w:rPr>
                      <w:rFonts w:hint="eastAsia" w:ascii="宋体" w:hAnsi="宋体" w:eastAsia="Times New Roman" w:cs="宋体"/>
                      <w:lang w:val="en-US"/>
                    </w:rPr>
                    <w:t>达标</w:t>
                  </w:r>
                </w:p>
              </w:tc>
            </w:tr>
            <w:tr w14:paraId="54B3CD3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4FE2D278">
                  <w:pPr>
                    <w:pStyle w:val="79"/>
                    <w:rPr>
                      <w:rFonts w:eastAsia="Times New Roman"/>
                    </w:rPr>
                  </w:pPr>
                </w:p>
              </w:tc>
              <w:tc>
                <w:tcPr>
                  <w:tcW w:w="1815" w:type="pct"/>
                  <w:vAlign w:val="center"/>
                </w:tcPr>
                <w:p w14:paraId="4BB11A56">
                  <w:pPr>
                    <w:pStyle w:val="79"/>
                    <w:rPr>
                      <w:rFonts w:eastAsia="Times New Roman"/>
                    </w:rPr>
                  </w:pPr>
                  <w:r>
                    <w:rPr>
                      <w:rFonts w:eastAsia="Times New Roman"/>
                    </w:rPr>
                    <w:t>3#项目</w:t>
                  </w:r>
                  <w:r>
                    <w:rPr>
                      <w:rFonts w:hint="eastAsia" w:ascii="宋体" w:hAnsi="宋体" w:eastAsia="Times New Roman" w:cs="宋体"/>
                    </w:rPr>
                    <w:t>西</w:t>
                  </w:r>
                  <w:r>
                    <w:rPr>
                      <w:rFonts w:eastAsia="Times New Roman"/>
                    </w:rPr>
                    <w:t>面厂界外1m处</w:t>
                  </w:r>
                </w:p>
              </w:tc>
              <w:tc>
                <w:tcPr>
                  <w:tcW w:w="681" w:type="pct"/>
                  <w:vAlign w:val="center"/>
                </w:tcPr>
                <w:p w14:paraId="644C3FCA">
                  <w:pPr>
                    <w:pStyle w:val="79"/>
                    <w:rPr>
                      <w:rFonts w:eastAsia="Times New Roman"/>
                    </w:rPr>
                  </w:pPr>
                  <w:r>
                    <w:rPr>
                      <w:rFonts w:hint="eastAsia" w:ascii="宋体" w:hAnsi="宋体" w:eastAsia="Times New Roman" w:cs="宋体"/>
                      <w:szCs w:val="21"/>
                    </w:rPr>
                    <w:t>昼间</w:t>
                  </w:r>
                </w:p>
              </w:tc>
              <w:tc>
                <w:tcPr>
                  <w:tcW w:w="681" w:type="pct"/>
                  <w:vAlign w:val="center"/>
                </w:tcPr>
                <w:p w14:paraId="5C380D76">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6D6942FA">
                  <w:pPr>
                    <w:pStyle w:val="79"/>
                    <w:rPr>
                      <w:rFonts w:eastAsia="Times New Roman"/>
                    </w:rPr>
                  </w:pPr>
                </w:p>
              </w:tc>
              <w:tc>
                <w:tcPr>
                  <w:tcW w:w="341" w:type="pct"/>
                  <w:vAlign w:val="center"/>
                </w:tcPr>
                <w:p w14:paraId="7A3B6C39">
                  <w:pPr>
                    <w:pStyle w:val="79"/>
                    <w:rPr>
                      <w:rFonts w:eastAsia="Times New Roman"/>
                    </w:rPr>
                  </w:pPr>
                  <w:r>
                    <w:rPr>
                      <w:rFonts w:hint="eastAsia" w:ascii="宋体" w:hAnsi="宋体" w:eastAsia="Times New Roman" w:cs="宋体"/>
                      <w:lang w:val="en-US"/>
                    </w:rPr>
                    <w:t>达标</w:t>
                  </w:r>
                </w:p>
              </w:tc>
            </w:tr>
            <w:tr w14:paraId="28CDC32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10D41F88">
                  <w:pPr>
                    <w:pStyle w:val="79"/>
                    <w:rPr>
                      <w:rFonts w:eastAsia="Times New Roman"/>
                    </w:rPr>
                  </w:pPr>
                </w:p>
              </w:tc>
              <w:tc>
                <w:tcPr>
                  <w:tcW w:w="1815" w:type="pct"/>
                  <w:vAlign w:val="center"/>
                </w:tcPr>
                <w:p w14:paraId="34CA5D81">
                  <w:pPr>
                    <w:pStyle w:val="79"/>
                    <w:rPr>
                      <w:rFonts w:eastAsia="Times New Roman"/>
                    </w:rPr>
                  </w:pPr>
                  <w:r>
                    <w:rPr>
                      <w:rFonts w:eastAsia="Times New Roman"/>
                    </w:rPr>
                    <w:t>4#项目</w:t>
                  </w:r>
                  <w:r>
                    <w:rPr>
                      <w:rFonts w:hint="eastAsia" w:ascii="宋体" w:hAnsi="宋体" w:eastAsia="Times New Roman" w:cs="宋体"/>
                    </w:rPr>
                    <w:t>北</w:t>
                  </w:r>
                  <w:r>
                    <w:rPr>
                      <w:rFonts w:eastAsia="Times New Roman"/>
                    </w:rPr>
                    <w:t>面厂界外1m处</w:t>
                  </w:r>
                </w:p>
              </w:tc>
              <w:tc>
                <w:tcPr>
                  <w:tcW w:w="681" w:type="pct"/>
                  <w:vAlign w:val="center"/>
                </w:tcPr>
                <w:p w14:paraId="5271E113">
                  <w:pPr>
                    <w:pStyle w:val="79"/>
                    <w:rPr>
                      <w:rFonts w:eastAsia="Times New Roman"/>
                    </w:rPr>
                  </w:pPr>
                  <w:r>
                    <w:rPr>
                      <w:rFonts w:hint="eastAsia" w:ascii="宋体" w:hAnsi="宋体" w:eastAsia="Times New Roman" w:cs="宋体"/>
                      <w:szCs w:val="21"/>
                    </w:rPr>
                    <w:t>昼间</w:t>
                  </w:r>
                </w:p>
              </w:tc>
              <w:tc>
                <w:tcPr>
                  <w:tcW w:w="681" w:type="pct"/>
                  <w:vAlign w:val="center"/>
                </w:tcPr>
                <w:p w14:paraId="75D46D1E">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716B0238">
                  <w:pPr>
                    <w:pStyle w:val="79"/>
                    <w:rPr>
                      <w:rFonts w:eastAsia="Times New Roman"/>
                    </w:rPr>
                  </w:pPr>
                </w:p>
              </w:tc>
              <w:tc>
                <w:tcPr>
                  <w:tcW w:w="341" w:type="pct"/>
                  <w:vAlign w:val="center"/>
                </w:tcPr>
                <w:p w14:paraId="314114F5">
                  <w:pPr>
                    <w:pStyle w:val="79"/>
                    <w:rPr>
                      <w:rFonts w:eastAsia="Times New Roman"/>
                    </w:rPr>
                  </w:pPr>
                  <w:r>
                    <w:rPr>
                      <w:rFonts w:hint="eastAsia" w:ascii="宋体" w:hAnsi="宋体" w:eastAsia="Times New Roman" w:cs="宋体"/>
                      <w:lang w:val="en-US"/>
                    </w:rPr>
                    <w:t>达标</w:t>
                  </w:r>
                </w:p>
              </w:tc>
            </w:tr>
            <w:tr w14:paraId="0FB1989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78C4D2A9">
                  <w:pPr>
                    <w:pStyle w:val="79"/>
                    <w:rPr>
                      <w:rFonts w:eastAsia="Times New Roman"/>
                    </w:rPr>
                  </w:pPr>
                </w:p>
              </w:tc>
              <w:tc>
                <w:tcPr>
                  <w:tcW w:w="1815" w:type="pct"/>
                  <w:vAlign w:val="center"/>
                </w:tcPr>
                <w:p w14:paraId="31D28446">
                  <w:pPr>
                    <w:pStyle w:val="79"/>
                    <w:rPr>
                      <w:rFonts w:eastAsia="Times New Roman"/>
                    </w:rPr>
                  </w:pPr>
                  <w:r>
                    <w:rPr>
                      <w:rFonts w:eastAsia="Times New Roman"/>
                    </w:rPr>
                    <w:t>1#项目</w:t>
                  </w:r>
                  <w:r>
                    <w:rPr>
                      <w:rFonts w:hint="eastAsia" w:ascii="宋体" w:hAnsi="宋体" w:eastAsia="Times New Roman" w:cs="宋体"/>
                    </w:rPr>
                    <w:t>东</w:t>
                  </w:r>
                  <w:r>
                    <w:rPr>
                      <w:rFonts w:eastAsia="Times New Roman"/>
                    </w:rPr>
                    <w:t>面厂界外1m处</w:t>
                  </w:r>
                </w:p>
              </w:tc>
              <w:tc>
                <w:tcPr>
                  <w:tcW w:w="681" w:type="pct"/>
                  <w:vAlign w:val="center"/>
                </w:tcPr>
                <w:p w14:paraId="7429340A">
                  <w:pPr>
                    <w:pStyle w:val="79"/>
                    <w:rPr>
                      <w:rFonts w:eastAsia="Times New Roman"/>
                    </w:rPr>
                  </w:pPr>
                  <w:r>
                    <w:rPr>
                      <w:rFonts w:hint="eastAsia" w:ascii="宋体" w:hAnsi="宋体" w:eastAsia="Times New Roman" w:cs="宋体"/>
                      <w:szCs w:val="21"/>
                    </w:rPr>
                    <w:t>夜间</w:t>
                  </w:r>
                </w:p>
              </w:tc>
              <w:tc>
                <w:tcPr>
                  <w:tcW w:w="681" w:type="pct"/>
                  <w:vAlign w:val="center"/>
                </w:tcPr>
                <w:p w14:paraId="6BBE4FD4">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7F095CF1">
                  <w:pPr>
                    <w:pStyle w:val="79"/>
                    <w:rPr>
                      <w:rFonts w:eastAsia="Times New Roman"/>
                      <w:szCs w:val="21"/>
                    </w:rPr>
                  </w:pPr>
                </w:p>
              </w:tc>
              <w:tc>
                <w:tcPr>
                  <w:tcW w:w="341" w:type="pct"/>
                  <w:vAlign w:val="center"/>
                </w:tcPr>
                <w:p w14:paraId="253F7D2B">
                  <w:pPr>
                    <w:pStyle w:val="79"/>
                    <w:rPr>
                      <w:rFonts w:eastAsia="Times New Roman"/>
                      <w:szCs w:val="21"/>
                    </w:rPr>
                  </w:pPr>
                  <w:r>
                    <w:rPr>
                      <w:rFonts w:hint="eastAsia" w:ascii="宋体" w:hAnsi="宋体" w:eastAsia="Times New Roman" w:cs="宋体"/>
                      <w:lang w:val="en-US"/>
                    </w:rPr>
                    <w:t>达标</w:t>
                  </w:r>
                </w:p>
              </w:tc>
            </w:tr>
            <w:tr w14:paraId="76B3879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2B3794A6">
                  <w:pPr>
                    <w:pStyle w:val="79"/>
                    <w:rPr>
                      <w:rFonts w:eastAsia="Times New Roman"/>
                    </w:rPr>
                  </w:pPr>
                </w:p>
              </w:tc>
              <w:tc>
                <w:tcPr>
                  <w:tcW w:w="1815" w:type="pct"/>
                  <w:vAlign w:val="center"/>
                </w:tcPr>
                <w:p w14:paraId="0E4E7C33">
                  <w:pPr>
                    <w:pStyle w:val="79"/>
                    <w:rPr>
                      <w:rFonts w:eastAsia="Times New Roman"/>
                      <w:b/>
                    </w:rPr>
                  </w:pPr>
                  <w:r>
                    <w:rPr>
                      <w:rFonts w:eastAsia="Times New Roman"/>
                    </w:rPr>
                    <w:t>2#项目</w:t>
                  </w:r>
                  <w:r>
                    <w:rPr>
                      <w:rFonts w:hint="eastAsia" w:ascii="宋体" w:hAnsi="宋体" w:eastAsia="Times New Roman" w:cs="宋体"/>
                    </w:rPr>
                    <w:t>南</w:t>
                  </w:r>
                  <w:r>
                    <w:rPr>
                      <w:rFonts w:eastAsia="Times New Roman"/>
                    </w:rPr>
                    <w:t>面厂界外1m处</w:t>
                  </w:r>
                </w:p>
              </w:tc>
              <w:tc>
                <w:tcPr>
                  <w:tcW w:w="681" w:type="pct"/>
                  <w:vAlign w:val="center"/>
                </w:tcPr>
                <w:p w14:paraId="73FF6679">
                  <w:pPr>
                    <w:pStyle w:val="79"/>
                    <w:rPr>
                      <w:rFonts w:eastAsia="Times New Roman"/>
                    </w:rPr>
                  </w:pPr>
                  <w:r>
                    <w:rPr>
                      <w:rFonts w:hint="eastAsia" w:ascii="宋体" w:hAnsi="宋体" w:eastAsia="Times New Roman" w:cs="宋体"/>
                      <w:szCs w:val="21"/>
                    </w:rPr>
                    <w:t>夜间</w:t>
                  </w:r>
                </w:p>
              </w:tc>
              <w:tc>
                <w:tcPr>
                  <w:tcW w:w="681" w:type="pct"/>
                  <w:vAlign w:val="center"/>
                </w:tcPr>
                <w:p w14:paraId="280B27C5">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4F017520">
                  <w:pPr>
                    <w:pStyle w:val="79"/>
                    <w:rPr>
                      <w:rFonts w:eastAsia="Times New Roman"/>
                      <w:szCs w:val="21"/>
                    </w:rPr>
                  </w:pPr>
                </w:p>
              </w:tc>
              <w:tc>
                <w:tcPr>
                  <w:tcW w:w="341" w:type="pct"/>
                  <w:vAlign w:val="center"/>
                </w:tcPr>
                <w:p w14:paraId="05F72E2F">
                  <w:pPr>
                    <w:pStyle w:val="79"/>
                    <w:rPr>
                      <w:rFonts w:eastAsia="Times New Roman"/>
                      <w:szCs w:val="21"/>
                    </w:rPr>
                  </w:pPr>
                  <w:r>
                    <w:rPr>
                      <w:rFonts w:hint="eastAsia" w:ascii="宋体" w:hAnsi="宋体" w:eastAsia="Times New Roman" w:cs="宋体"/>
                      <w:lang w:val="en-US"/>
                    </w:rPr>
                    <w:t>达标</w:t>
                  </w:r>
                </w:p>
              </w:tc>
            </w:tr>
            <w:tr w14:paraId="4CADD27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6065360B">
                  <w:pPr>
                    <w:pStyle w:val="79"/>
                    <w:rPr>
                      <w:rFonts w:eastAsia="Times New Roman"/>
                    </w:rPr>
                  </w:pPr>
                </w:p>
              </w:tc>
              <w:tc>
                <w:tcPr>
                  <w:tcW w:w="1815" w:type="pct"/>
                  <w:vAlign w:val="center"/>
                </w:tcPr>
                <w:p w14:paraId="25D738D0">
                  <w:pPr>
                    <w:pStyle w:val="79"/>
                    <w:rPr>
                      <w:rFonts w:eastAsia="Times New Roman"/>
                      <w:b/>
                    </w:rPr>
                  </w:pPr>
                  <w:r>
                    <w:rPr>
                      <w:rFonts w:eastAsia="Times New Roman"/>
                    </w:rPr>
                    <w:t>3#项目</w:t>
                  </w:r>
                  <w:r>
                    <w:rPr>
                      <w:rFonts w:hint="eastAsia" w:ascii="宋体" w:hAnsi="宋体" w:eastAsia="Times New Roman" w:cs="宋体"/>
                    </w:rPr>
                    <w:t>西</w:t>
                  </w:r>
                  <w:r>
                    <w:rPr>
                      <w:rFonts w:eastAsia="Times New Roman"/>
                    </w:rPr>
                    <w:t>面厂界外1m处</w:t>
                  </w:r>
                </w:p>
              </w:tc>
              <w:tc>
                <w:tcPr>
                  <w:tcW w:w="681" w:type="pct"/>
                  <w:vAlign w:val="center"/>
                </w:tcPr>
                <w:p w14:paraId="4CAB3DDB">
                  <w:pPr>
                    <w:pStyle w:val="79"/>
                    <w:rPr>
                      <w:rFonts w:eastAsia="Times New Roman"/>
                    </w:rPr>
                  </w:pPr>
                  <w:r>
                    <w:rPr>
                      <w:rFonts w:hint="eastAsia" w:ascii="宋体" w:hAnsi="宋体" w:eastAsia="Times New Roman" w:cs="宋体"/>
                      <w:szCs w:val="21"/>
                    </w:rPr>
                    <w:t>夜间</w:t>
                  </w:r>
                </w:p>
              </w:tc>
              <w:tc>
                <w:tcPr>
                  <w:tcW w:w="681" w:type="pct"/>
                  <w:vAlign w:val="center"/>
                </w:tcPr>
                <w:p w14:paraId="6070E089">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6562C9C6">
                  <w:pPr>
                    <w:pStyle w:val="79"/>
                    <w:rPr>
                      <w:rFonts w:eastAsia="Times New Roman"/>
                      <w:szCs w:val="21"/>
                    </w:rPr>
                  </w:pPr>
                </w:p>
              </w:tc>
              <w:tc>
                <w:tcPr>
                  <w:tcW w:w="341" w:type="pct"/>
                  <w:vAlign w:val="center"/>
                </w:tcPr>
                <w:p w14:paraId="19E3A140">
                  <w:pPr>
                    <w:pStyle w:val="79"/>
                    <w:rPr>
                      <w:rFonts w:eastAsia="Times New Roman"/>
                      <w:szCs w:val="21"/>
                    </w:rPr>
                  </w:pPr>
                  <w:r>
                    <w:rPr>
                      <w:rFonts w:hint="eastAsia" w:ascii="宋体" w:hAnsi="宋体" w:eastAsia="Times New Roman" w:cs="宋体"/>
                      <w:lang w:val="en-US"/>
                    </w:rPr>
                    <w:t>达标</w:t>
                  </w:r>
                </w:p>
              </w:tc>
            </w:tr>
            <w:tr w14:paraId="59958DA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01" w:type="pct"/>
                  <w:vMerge w:val="continue"/>
                  <w:vAlign w:val="center"/>
                </w:tcPr>
                <w:p w14:paraId="436F09C0">
                  <w:pPr>
                    <w:pStyle w:val="79"/>
                    <w:rPr>
                      <w:rFonts w:eastAsia="Times New Roman"/>
                    </w:rPr>
                  </w:pPr>
                </w:p>
              </w:tc>
              <w:tc>
                <w:tcPr>
                  <w:tcW w:w="1815" w:type="pct"/>
                  <w:vAlign w:val="center"/>
                </w:tcPr>
                <w:p w14:paraId="15D5D648">
                  <w:pPr>
                    <w:pStyle w:val="79"/>
                    <w:rPr>
                      <w:rFonts w:eastAsia="Times New Roman"/>
                    </w:rPr>
                  </w:pPr>
                  <w:r>
                    <w:rPr>
                      <w:rFonts w:eastAsia="Times New Roman"/>
                    </w:rPr>
                    <w:t>4#项目</w:t>
                  </w:r>
                  <w:r>
                    <w:rPr>
                      <w:rFonts w:hint="eastAsia" w:ascii="宋体" w:hAnsi="宋体" w:eastAsia="Times New Roman" w:cs="宋体"/>
                    </w:rPr>
                    <w:t>北</w:t>
                  </w:r>
                  <w:r>
                    <w:rPr>
                      <w:rFonts w:eastAsia="Times New Roman"/>
                    </w:rPr>
                    <w:t>面厂界外1m处</w:t>
                  </w:r>
                </w:p>
              </w:tc>
              <w:tc>
                <w:tcPr>
                  <w:tcW w:w="681" w:type="pct"/>
                  <w:vAlign w:val="center"/>
                </w:tcPr>
                <w:p w14:paraId="478A3F3A">
                  <w:pPr>
                    <w:pStyle w:val="79"/>
                    <w:rPr>
                      <w:rFonts w:eastAsia="Times New Roman"/>
                    </w:rPr>
                  </w:pPr>
                  <w:r>
                    <w:rPr>
                      <w:rFonts w:hint="eastAsia" w:ascii="宋体" w:hAnsi="宋体" w:eastAsia="Times New Roman" w:cs="宋体"/>
                      <w:szCs w:val="21"/>
                    </w:rPr>
                    <w:t>夜间</w:t>
                  </w:r>
                </w:p>
              </w:tc>
              <w:tc>
                <w:tcPr>
                  <w:tcW w:w="681" w:type="pct"/>
                  <w:vAlign w:val="center"/>
                </w:tcPr>
                <w:p w14:paraId="1DA88151">
                  <w:pPr>
                    <w:pStyle w:val="79"/>
                    <w:rPr>
                      <w:rFonts w:eastAsia="Times New Roman"/>
                    </w:rPr>
                  </w:pPr>
                  <w:r>
                    <w:rPr>
                      <w:rFonts w:hint="eastAsia" w:eastAsiaTheme="minorEastAsia"/>
                      <w:szCs w:val="21"/>
                      <w:lang w:val="en-US"/>
                    </w:rPr>
                    <w:t xml:space="preserve"> </w:t>
                  </w:r>
                </w:p>
              </w:tc>
              <w:tc>
                <w:tcPr>
                  <w:tcW w:w="681" w:type="pct"/>
                  <w:vMerge w:val="continue"/>
                  <w:vAlign w:val="center"/>
                </w:tcPr>
                <w:p w14:paraId="6475D3D2">
                  <w:pPr>
                    <w:pStyle w:val="79"/>
                    <w:rPr>
                      <w:rFonts w:eastAsia="Times New Roman"/>
                      <w:szCs w:val="21"/>
                    </w:rPr>
                  </w:pPr>
                </w:p>
              </w:tc>
              <w:tc>
                <w:tcPr>
                  <w:tcW w:w="341" w:type="pct"/>
                  <w:vAlign w:val="center"/>
                </w:tcPr>
                <w:p w14:paraId="174BFF80">
                  <w:pPr>
                    <w:pStyle w:val="79"/>
                    <w:rPr>
                      <w:rFonts w:eastAsia="Times New Roman"/>
                      <w:szCs w:val="21"/>
                    </w:rPr>
                  </w:pPr>
                  <w:r>
                    <w:rPr>
                      <w:rFonts w:hint="eastAsia" w:ascii="宋体" w:hAnsi="宋体" w:eastAsia="Times New Roman" w:cs="宋体"/>
                      <w:lang w:val="en-US"/>
                    </w:rPr>
                    <w:t>达标</w:t>
                  </w:r>
                </w:p>
              </w:tc>
            </w:tr>
          </w:tbl>
          <w:p w14:paraId="5968AD7D">
            <w:pPr>
              <w:pStyle w:val="117"/>
              <w:ind w:firstLine="480"/>
            </w:pPr>
            <w:r>
              <w:rPr>
                <w:rFonts w:hint="eastAsia"/>
              </w:rPr>
              <w:t>根据监测结果可知，项目运营过程中4面厂界噪声均达到《工业企业厂界环境噪声排放标准》（GB12348-2008）中的2类标准要求。</w:t>
            </w:r>
          </w:p>
          <w:p w14:paraId="1FD4827B">
            <w:pPr>
              <w:pStyle w:val="117"/>
              <w:ind w:firstLine="480"/>
            </w:pPr>
            <w:r>
              <w:rPr>
                <w:rFonts w:hint="eastAsia"/>
              </w:rPr>
              <w:t>（4）固体废物</w:t>
            </w:r>
          </w:p>
          <w:p w14:paraId="369E7C01">
            <w:pPr>
              <w:spacing w:line="348" w:lineRule="auto"/>
              <w:ind w:firstLine="480"/>
            </w:pPr>
            <w:r>
              <w:rPr>
                <w:rFonts w:hint="eastAsia"/>
              </w:rPr>
              <w:t>①边角料、不合格品：项目检查过程产生少量不合格品，部分塑料件需修剪多余边角。项目边角料、不合格品破碎后回用作生产原料</w:t>
            </w:r>
            <w:r>
              <w:t>。</w:t>
            </w:r>
          </w:p>
          <w:p w14:paraId="79080B9A">
            <w:pPr>
              <w:spacing w:line="348" w:lineRule="auto"/>
              <w:ind w:firstLine="480"/>
            </w:pPr>
            <w:r>
              <w:rPr>
                <w:rFonts w:hint="eastAsia"/>
              </w:rPr>
              <w:t>②生活垃圾：本项产生的生活垃圾集中收集后，委托环卫部门统一清运处理。</w:t>
            </w:r>
          </w:p>
          <w:p w14:paraId="44B1F999">
            <w:pPr>
              <w:pStyle w:val="175"/>
              <w:spacing w:before="120"/>
              <w:ind w:firstLine="480"/>
              <w:rPr>
                <w:rFonts w:hint="eastAsia"/>
              </w:rPr>
            </w:pPr>
            <w:r>
              <w:rPr>
                <w:rFonts w:hint="eastAsia"/>
              </w:rPr>
              <w:t>二、现状工程主要环境问题及以整改措施</w:t>
            </w:r>
          </w:p>
          <w:p w14:paraId="7AC136B9">
            <w:pPr>
              <w:ind w:firstLine="480"/>
            </w:pPr>
            <w:r>
              <w:rPr>
                <w:rFonts w:hint="eastAsia"/>
              </w:rPr>
              <w:t>现有工程主要环境问题及以整改措施见下表。</w:t>
            </w:r>
          </w:p>
          <w:p w14:paraId="615D56BC">
            <w:pPr>
              <w:pStyle w:val="87"/>
              <w:ind w:firstLine="520"/>
            </w:pPr>
            <w:r>
              <w:rPr>
                <w:rFonts w:hint="eastAsia"/>
              </w:rPr>
              <w:t>表2-10</w:t>
            </w:r>
            <w:r>
              <w:t xml:space="preserve">  </w:t>
            </w:r>
            <w:r>
              <w:rPr>
                <w:rFonts w:hint="eastAsia"/>
              </w:rPr>
              <w:t>现有工程主要环境问题及以整改措施一览表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1123"/>
              <w:gridCol w:w="2956"/>
              <w:gridCol w:w="4256"/>
            </w:tblGrid>
            <w:tr w14:paraId="7044F88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74" w:type="pct"/>
                  <w:vAlign w:val="center"/>
                </w:tcPr>
                <w:p w14:paraId="54D54A21">
                  <w:pPr>
                    <w:pStyle w:val="79"/>
                    <w:rPr>
                      <w:rFonts w:eastAsia="Times New Roman"/>
                      <w:b w:val="0"/>
                    </w:rPr>
                  </w:pPr>
                  <w:r>
                    <w:rPr>
                      <w:rFonts w:hint="eastAsia" w:ascii="宋体" w:hAnsi="宋体" w:eastAsia="Times New Roman" w:cs="宋体"/>
                      <w:b/>
                    </w:rPr>
                    <w:t>项目</w:t>
                  </w:r>
                </w:p>
              </w:tc>
              <w:tc>
                <w:tcPr>
                  <w:tcW w:w="1773" w:type="pct"/>
                  <w:vAlign w:val="center"/>
                </w:tcPr>
                <w:p w14:paraId="1589BA0B">
                  <w:pPr>
                    <w:pStyle w:val="79"/>
                    <w:rPr>
                      <w:rFonts w:eastAsia="Times New Roman"/>
                      <w:b w:val="0"/>
                    </w:rPr>
                  </w:pPr>
                  <w:r>
                    <w:rPr>
                      <w:rFonts w:hint="eastAsia" w:ascii="宋体" w:hAnsi="宋体" w:eastAsia="Times New Roman" w:cs="宋体"/>
                      <w:b/>
                    </w:rPr>
                    <w:t>现有工程存在的环境问题</w:t>
                  </w:r>
                </w:p>
              </w:tc>
              <w:tc>
                <w:tcPr>
                  <w:tcW w:w="2554" w:type="pct"/>
                  <w:vAlign w:val="center"/>
                </w:tcPr>
                <w:p w14:paraId="5FB2FA9B">
                  <w:pPr>
                    <w:pStyle w:val="79"/>
                    <w:rPr>
                      <w:rFonts w:eastAsia="Times New Roman"/>
                      <w:b w:val="0"/>
                    </w:rPr>
                  </w:pPr>
                  <w:r>
                    <w:rPr>
                      <w:rFonts w:hint="eastAsia" w:ascii="宋体" w:hAnsi="宋体" w:eastAsia="Times New Roman" w:cs="宋体"/>
                      <w:b/>
                    </w:rPr>
                    <w:t>拟采取整改措施</w:t>
                  </w:r>
                </w:p>
              </w:tc>
            </w:tr>
            <w:tr w14:paraId="2F22050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74" w:type="pct"/>
                  <w:vAlign w:val="center"/>
                </w:tcPr>
                <w:p w14:paraId="20FE51CB">
                  <w:pPr>
                    <w:pStyle w:val="79"/>
                    <w:rPr>
                      <w:rFonts w:eastAsia="Times New Roman"/>
                    </w:rPr>
                  </w:pPr>
                  <w:r>
                    <w:rPr>
                      <w:rFonts w:hint="eastAsia" w:ascii="宋体" w:hAnsi="宋体" w:eastAsia="Times New Roman" w:cs="宋体"/>
                    </w:rPr>
                    <w:t>废气</w:t>
                  </w:r>
                </w:p>
              </w:tc>
              <w:tc>
                <w:tcPr>
                  <w:tcW w:w="1773" w:type="pct"/>
                  <w:vAlign w:val="center"/>
                </w:tcPr>
                <w:p w14:paraId="5794A5FF">
                  <w:pPr>
                    <w:pStyle w:val="79"/>
                    <w:jc w:val="both"/>
                    <w:rPr>
                      <w:rFonts w:eastAsia="Times New Roman"/>
                    </w:rPr>
                  </w:pPr>
                  <w:r>
                    <w:rPr>
                      <w:rFonts w:hint="eastAsia" w:ascii="宋体" w:hAnsi="宋体" w:eastAsia="Times New Roman" w:cs="宋体"/>
                    </w:rPr>
                    <w:t>项目注塑废气未经收集处理无组织排放</w:t>
                  </w:r>
                </w:p>
              </w:tc>
              <w:tc>
                <w:tcPr>
                  <w:tcW w:w="2554" w:type="pct"/>
                  <w:vAlign w:val="center"/>
                </w:tcPr>
                <w:p w14:paraId="7CB10BE3">
                  <w:pPr>
                    <w:pStyle w:val="79"/>
                    <w:jc w:val="both"/>
                    <w:rPr>
                      <w:rFonts w:eastAsia="Times New Roman"/>
                    </w:rPr>
                  </w:pPr>
                  <w:r>
                    <w:rPr>
                      <w:rFonts w:hint="eastAsia" w:ascii="宋体" w:hAnsi="宋体" w:eastAsia="Times New Roman" w:cs="宋体"/>
                    </w:rPr>
                    <w:t>在注塑机上方设置集气罩收集废气，并通过二级活性炭处置后经</w:t>
                  </w:r>
                  <w:r>
                    <w:rPr>
                      <w:rFonts w:hint="eastAsia" w:eastAsia="Times New Roman"/>
                    </w:rPr>
                    <w:t>DA001</w:t>
                  </w:r>
                  <w:r>
                    <w:rPr>
                      <w:rFonts w:hint="eastAsia" w:ascii="宋体" w:hAnsi="宋体" w:eastAsia="Times New Roman" w:cs="宋体"/>
                    </w:rPr>
                    <w:t>排气筒排放</w:t>
                  </w:r>
                </w:p>
              </w:tc>
            </w:tr>
            <w:tr w14:paraId="180E8F2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674" w:type="pct"/>
                  <w:vAlign w:val="center"/>
                </w:tcPr>
                <w:p w14:paraId="4727468A">
                  <w:pPr>
                    <w:pStyle w:val="79"/>
                    <w:rPr>
                      <w:rFonts w:eastAsia="Times New Roman"/>
                    </w:rPr>
                  </w:pPr>
                  <w:r>
                    <w:rPr>
                      <w:rFonts w:hint="eastAsia" w:ascii="宋体" w:hAnsi="宋体" w:eastAsia="Times New Roman" w:cs="宋体"/>
                    </w:rPr>
                    <w:t>固废</w:t>
                  </w:r>
                </w:p>
              </w:tc>
              <w:tc>
                <w:tcPr>
                  <w:tcW w:w="1773" w:type="pct"/>
                  <w:vAlign w:val="center"/>
                </w:tcPr>
                <w:p w14:paraId="48C9FF0A">
                  <w:pPr>
                    <w:pStyle w:val="79"/>
                    <w:rPr>
                      <w:rFonts w:eastAsia="Times New Roman"/>
                    </w:rPr>
                  </w:pPr>
                  <w:r>
                    <w:rPr>
                      <w:rFonts w:hint="eastAsia" w:ascii="宋体" w:hAnsi="宋体" w:eastAsia="Times New Roman" w:cs="宋体"/>
                    </w:rPr>
                    <w:t>项目未建危废暂存间，未签危险废物处置协议</w:t>
                  </w:r>
                </w:p>
              </w:tc>
              <w:tc>
                <w:tcPr>
                  <w:tcW w:w="2554" w:type="pct"/>
                  <w:vAlign w:val="center"/>
                </w:tcPr>
                <w:p w14:paraId="0849F37C">
                  <w:pPr>
                    <w:pStyle w:val="79"/>
                    <w:jc w:val="both"/>
                    <w:rPr>
                      <w:rFonts w:eastAsia="Times New Roman"/>
                    </w:rPr>
                  </w:pPr>
                  <w:r>
                    <w:rPr>
                      <w:rFonts w:hint="eastAsia" w:ascii="宋体" w:hAnsi="宋体" w:eastAsia="Times New Roman" w:cs="宋体"/>
                    </w:rPr>
                    <w:t>在厂区西门建设一座</w:t>
                  </w:r>
                  <w:r>
                    <w:rPr>
                      <w:rFonts w:hint="eastAsia" w:eastAsia="Times New Roman"/>
                    </w:rPr>
                    <w:t>10m</w:t>
                  </w:r>
                  <w:r>
                    <w:rPr>
                      <w:rFonts w:hint="eastAsia" w:eastAsia="Times New Roman"/>
                      <w:vertAlign w:val="superscript"/>
                    </w:rPr>
                    <w:t>2</w:t>
                  </w:r>
                  <w:r>
                    <w:rPr>
                      <w:rFonts w:hint="eastAsia" w:ascii="宋体" w:hAnsi="宋体" w:eastAsia="Times New Roman" w:cs="宋体"/>
                    </w:rPr>
                    <w:t>的危废暂存间，需根据《危险废物贮存污染控制标准》（</w:t>
                  </w:r>
                  <w:r>
                    <w:rPr>
                      <w:rFonts w:hint="eastAsia" w:eastAsia="Times New Roman"/>
                    </w:rPr>
                    <w:t>GB18597-20</w:t>
                  </w:r>
                  <w:r>
                    <w:rPr>
                      <w:rFonts w:eastAsia="Times New Roman"/>
                    </w:rPr>
                    <w:t>23</w:t>
                  </w:r>
                  <w:r>
                    <w:rPr>
                      <w:rFonts w:hint="eastAsia" w:ascii="宋体" w:hAnsi="宋体" w:eastAsia="Times New Roman" w:cs="宋体"/>
                    </w:rPr>
                    <w:t>）中相关规定进行建设，与有资质的公司签订危险废物处置协议。</w:t>
                  </w:r>
                </w:p>
              </w:tc>
            </w:tr>
          </w:tbl>
          <w:p w14:paraId="01967A01">
            <w:pPr>
              <w:pStyle w:val="117"/>
              <w:ind w:firstLine="480"/>
            </w:pPr>
          </w:p>
          <w:p w14:paraId="04D319A3">
            <w:pPr>
              <w:pStyle w:val="117"/>
              <w:ind w:firstLine="480"/>
            </w:pPr>
          </w:p>
          <w:p w14:paraId="318B2835">
            <w:pPr>
              <w:pStyle w:val="117"/>
              <w:ind w:firstLine="480"/>
            </w:pPr>
          </w:p>
          <w:p w14:paraId="42923BC0">
            <w:pPr>
              <w:pStyle w:val="117"/>
              <w:ind w:firstLine="480"/>
            </w:pPr>
          </w:p>
        </w:tc>
      </w:tr>
    </w:tbl>
    <w:p w14:paraId="6365B938">
      <w:pPr>
        <w:pStyle w:val="35"/>
        <w:ind w:firstLine="720"/>
        <w:jc w:val="center"/>
        <w:rPr>
          <w:rFonts w:hint="eastAsia" w:ascii="黑体" w:hAnsi="黑体" w:eastAsia="黑体"/>
          <w:snapToGrid w:val="0"/>
          <w:sz w:val="36"/>
          <w:szCs w:val="36"/>
        </w:rPr>
        <w:sectPr>
          <w:pgSz w:w="11906" w:h="16838"/>
          <w:pgMar w:top="1474" w:right="1247" w:bottom="1474" w:left="1531" w:header="851" w:footer="851" w:gutter="0"/>
          <w:cols w:space="720" w:num="1"/>
          <w:docGrid w:linePitch="312" w:charSpace="0"/>
        </w:sectPr>
      </w:pPr>
    </w:p>
    <w:p w14:paraId="507F7AFA">
      <w:pPr>
        <w:pStyle w:val="2"/>
        <w:rPr>
          <w:snapToGrid w:val="0"/>
          <w:color w:val="auto"/>
        </w:rPr>
      </w:pPr>
      <w:bookmarkStart w:id="28" w:name="_Toc106786250"/>
      <w:bookmarkStart w:id="29" w:name="_Toc68650490"/>
      <w:bookmarkStart w:id="30" w:name="_Toc109895244"/>
      <w:bookmarkStart w:id="31" w:name="_Toc106357935"/>
      <w:bookmarkStart w:id="32" w:name="_Toc106357849"/>
      <w:bookmarkStart w:id="33" w:name="_Toc106358052"/>
      <w:r>
        <w:rPr>
          <w:rFonts w:hint="eastAsia"/>
          <w:snapToGrid w:val="0"/>
          <w:color w:val="auto"/>
        </w:rPr>
        <w:t>三、区域环境质量现状、环境保护目标及评价标准</w:t>
      </w:r>
      <w:bookmarkEnd w:id="28"/>
      <w:bookmarkEnd w:id="29"/>
      <w:bookmarkEnd w:id="30"/>
      <w:bookmarkEnd w:id="31"/>
      <w:bookmarkEnd w:id="32"/>
      <w:bookmarkEnd w:id="33"/>
    </w:p>
    <w:tbl>
      <w:tblPr>
        <w:tblStyle w:val="3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18"/>
        <w:gridCol w:w="8627"/>
      </w:tblGrid>
      <w:tr w14:paraId="4F5429B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384" w:type="pct"/>
            <w:vAlign w:val="center"/>
          </w:tcPr>
          <w:p w14:paraId="459D964C">
            <w:pPr>
              <w:pStyle w:val="87"/>
            </w:pPr>
            <w:r>
              <w:rPr>
                <w:rFonts w:hint="eastAsia"/>
              </w:rPr>
              <w:t>区域环境质量现状</w:t>
            </w:r>
          </w:p>
        </w:tc>
        <w:tc>
          <w:tcPr>
            <w:tcW w:w="4616" w:type="pct"/>
            <w:vAlign w:val="center"/>
          </w:tcPr>
          <w:p w14:paraId="499BB468">
            <w:pPr>
              <w:spacing w:line="336" w:lineRule="auto"/>
              <w:ind w:firstLine="482"/>
              <w:rPr>
                <w:b/>
                <w:bCs/>
              </w:rPr>
            </w:pPr>
            <w:r>
              <w:rPr>
                <w:b/>
                <w:bCs/>
              </w:rPr>
              <w:t>1</w:t>
            </w:r>
            <w:r>
              <w:rPr>
                <w:rFonts w:hint="eastAsia"/>
                <w:b/>
                <w:bCs/>
              </w:rPr>
              <w:t>、环境空气质量现状评价</w:t>
            </w:r>
          </w:p>
          <w:p w14:paraId="7564C89A">
            <w:pPr>
              <w:pStyle w:val="117"/>
              <w:ind w:firstLine="480"/>
            </w:pPr>
            <w:bookmarkStart w:id="34" w:name="_Hlk106270518"/>
            <w:r>
              <w:rPr>
                <w:rFonts w:hint="eastAsia"/>
              </w:rPr>
              <w:t>（</w:t>
            </w:r>
            <w:r>
              <w:t>1</w:t>
            </w:r>
            <w:r>
              <w:rPr>
                <w:rFonts w:hint="eastAsia"/>
              </w:rPr>
              <w:t>）达标区判定</w:t>
            </w:r>
          </w:p>
          <w:p w14:paraId="3670BF72">
            <w:pPr>
              <w:pStyle w:val="117"/>
              <w:ind w:firstLine="480"/>
            </w:pPr>
            <w:r>
              <w:t>根据《环境影响评价技术导则</w:t>
            </w:r>
            <w:r>
              <w:rPr>
                <w:rFonts w:hint="eastAsia"/>
              </w:rPr>
              <w:t xml:space="preserve"> </w:t>
            </w:r>
            <w:r>
              <w:t>大气环境》</w:t>
            </w:r>
            <w:r>
              <w:rPr>
                <w:rFonts w:hint="eastAsia"/>
              </w:rPr>
              <w:t>（</w:t>
            </w:r>
            <w:r>
              <w:t>HJ2.2-2018</w:t>
            </w:r>
            <w:r>
              <w:rPr>
                <w:rFonts w:hint="eastAsia"/>
              </w:rPr>
              <w:t>）</w:t>
            </w:r>
            <w:r>
              <w:t>，城市环境空气质量达标情况评价指标为SO</w:t>
            </w:r>
            <w:r>
              <w:rPr>
                <w:vertAlign w:val="subscript"/>
              </w:rPr>
              <w:t>2</w:t>
            </w:r>
            <w:r>
              <w:t>、NO</w:t>
            </w:r>
            <w:r>
              <w:rPr>
                <w:vertAlign w:val="subscript"/>
              </w:rPr>
              <w:t>2</w:t>
            </w:r>
            <w:r>
              <w:t>、PM</w:t>
            </w:r>
            <w:r>
              <w:rPr>
                <w:vertAlign w:val="subscript"/>
              </w:rPr>
              <w:t>10</w:t>
            </w:r>
            <w:r>
              <w:t>、PM</w:t>
            </w:r>
            <w:r>
              <w:rPr>
                <w:vertAlign w:val="subscript"/>
              </w:rPr>
              <w:t>2.5</w:t>
            </w:r>
            <w:r>
              <w:t>、CO和O</w:t>
            </w:r>
            <w:r>
              <w:rPr>
                <w:vertAlign w:val="subscript"/>
              </w:rPr>
              <w:t>3</w:t>
            </w:r>
            <w:r>
              <w:t>，六项污染物全部达标即为城市环境空气质量达标。</w:t>
            </w:r>
          </w:p>
          <w:p w14:paraId="1E6D49DD">
            <w:pPr>
              <w:pStyle w:val="117"/>
              <w:ind w:firstLine="480"/>
            </w:pPr>
            <w:r>
              <w:rPr>
                <w:rFonts w:hint="eastAsia"/>
              </w:rPr>
              <w:t>根据柳州市生态环境局公布的《2024柳州市生态环境状况公报》，2024年柳州市鹿寨县境空气质量现状评价见表3-1。</w:t>
            </w:r>
          </w:p>
          <w:p w14:paraId="61B767C5">
            <w:pPr>
              <w:pStyle w:val="87"/>
            </w:pPr>
            <w:r>
              <w:rPr>
                <w:rFonts w:hint="eastAsia"/>
              </w:rPr>
              <w:t>表</w:t>
            </w:r>
            <w:r>
              <w:t xml:space="preserve">3-1  </w:t>
            </w:r>
            <w:r>
              <w:rPr>
                <w:rFonts w:hint="eastAsia"/>
              </w:rPr>
              <w:t>鹿寨县基本污染物环境质量现状</w:t>
            </w:r>
          </w:p>
          <w:tbl>
            <w:tblPr>
              <w:tblStyle w:val="39"/>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723"/>
              <w:gridCol w:w="2032"/>
              <w:gridCol w:w="1294"/>
              <w:gridCol w:w="1296"/>
              <w:gridCol w:w="1164"/>
              <w:gridCol w:w="951"/>
              <w:gridCol w:w="951"/>
            </w:tblGrid>
            <w:tr w14:paraId="230F616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30" w:type="pct"/>
                  <w:vMerge w:val="restart"/>
                  <w:vAlign w:val="center"/>
                </w:tcPr>
                <w:p w14:paraId="5414CB27">
                  <w:pPr>
                    <w:pStyle w:val="79"/>
                    <w:rPr>
                      <w:b/>
                    </w:rPr>
                  </w:pPr>
                  <w:r>
                    <w:rPr>
                      <w:rFonts w:hint="eastAsia"/>
                      <w:b/>
                    </w:rPr>
                    <w:t>污染物</w:t>
                  </w:r>
                </w:p>
              </w:tc>
              <w:tc>
                <w:tcPr>
                  <w:tcW w:w="1208" w:type="pct"/>
                  <w:vMerge w:val="restart"/>
                  <w:vAlign w:val="center"/>
                </w:tcPr>
                <w:p w14:paraId="3CC28829">
                  <w:pPr>
                    <w:pStyle w:val="79"/>
                    <w:rPr>
                      <w:b/>
                    </w:rPr>
                  </w:pPr>
                  <w:r>
                    <w:rPr>
                      <w:rFonts w:hint="eastAsia"/>
                      <w:b/>
                    </w:rPr>
                    <w:t>年评价指标</w:t>
                  </w:r>
                </w:p>
              </w:tc>
              <w:tc>
                <w:tcPr>
                  <w:tcW w:w="769" w:type="pct"/>
                  <w:vMerge w:val="restart"/>
                  <w:vAlign w:val="center"/>
                </w:tcPr>
                <w:p w14:paraId="0DEE6371">
                  <w:pPr>
                    <w:pStyle w:val="79"/>
                    <w:rPr>
                      <w:b/>
                    </w:rPr>
                  </w:pPr>
                  <w:r>
                    <w:rPr>
                      <w:rFonts w:hint="eastAsia"/>
                      <w:b/>
                    </w:rPr>
                    <w:t>评价标准</w:t>
                  </w:r>
                </w:p>
                <w:p w14:paraId="0D6991AA">
                  <w:pPr>
                    <w:pStyle w:val="79"/>
                    <w:rPr>
                      <w:b/>
                    </w:rPr>
                  </w:pPr>
                  <w:r>
                    <w:rPr>
                      <w:rFonts w:hint="eastAsia"/>
                      <w:b/>
                    </w:rPr>
                    <w:t>（</w:t>
                  </w:r>
                  <w:r>
                    <w:rPr>
                      <w:b/>
                    </w:rPr>
                    <w:t>μg/m</w:t>
                  </w:r>
                  <w:r>
                    <w:rPr>
                      <w:b/>
                      <w:vertAlign w:val="superscript"/>
                    </w:rPr>
                    <w:t>3</w:t>
                  </w:r>
                  <w:r>
                    <w:rPr>
                      <w:rFonts w:hint="eastAsia"/>
                      <w:b/>
                    </w:rPr>
                    <w:t>）</w:t>
                  </w:r>
                </w:p>
              </w:tc>
              <w:tc>
                <w:tcPr>
                  <w:tcW w:w="770" w:type="pct"/>
                  <w:vMerge w:val="restart"/>
                  <w:vAlign w:val="center"/>
                </w:tcPr>
                <w:p w14:paraId="2605CF4C">
                  <w:pPr>
                    <w:pStyle w:val="79"/>
                    <w:rPr>
                      <w:b/>
                    </w:rPr>
                  </w:pPr>
                  <w:r>
                    <w:rPr>
                      <w:rFonts w:hint="eastAsia"/>
                      <w:b/>
                    </w:rPr>
                    <w:t>现状浓度</w:t>
                  </w:r>
                </w:p>
                <w:p w14:paraId="47EE545A">
                  <w:pPr>
                    <w:pStyle w:val="79"/>
                    <w:rPr>
                      <w:b/>
                    </w:rPr>
                  </w:pPr>
                  <w:r>
                    <w:rPr>
                      <w:rFonts w:hint="eastAsia"/>
                      <w:b/>
                    </w:rPr>
                    <w:t>（</w:t>
                  </w:r>
                  <w:r>
                    <w:rPr>
                      <w:b/>
                    </w:rPr>
                    <w:t>μg/m</w:t>
                  </w:r>
                  <w:r>
                    <w:rPr>
                      <w:b/>
                      <w:vertAlign w:val="superscript"/>
                    </w:rPr>
                    <w:t>3</w:t>
                  </w:r>
                  <w:r>
                    <w:rPr>
                      <w:rFonts w:hint="eastAsia"/>
                      <w:b/>
                    </w:rPr>
                    <w:t>）</w:t>
                  </w:r>
                </w:p>
              </w:tc>
              <w:tc>
                <w:tcPr>
                  <w:tcW w:w="692" w:type="pct"/>
                  <w:vMerge w:val="restart"/>
                  <w:vAlign w:val="center"/>
                </w:tcPr>
                <w:p w14:paraId="1D26CDF3">
                  <w:pPr>
                    <w:pStyle w:val="79"/>
                    <w:rPr>
                      <w:b/>
                    </w:rPr>
                  </w:pPr>
                  <w:r>
                    <w:rPr>
                      <w:rFonts w:hint="eastAsia"/>
                      <w:b/>
                    </w:rPr>
                    <w:t>最大浓度占标率</w:t>
                  </w:r>
                  <w:r>
                    <w:rPr>
                      <w:b/>
                    </w:rPr>
                    <w:t>/%</w:t>
                  </w:r>
                </w:p>
              </w:tc>
              <w:tc>
                <w:tcPr>
                  <w:tcW w:w="565" w:type="pct"/>
                  <w:vMerge w:val="restart"/>
                  <w:vAlign w:val="center"/>
                </w:tcPr>
                <w:p w14:paraId="74B7A12A">
                  <w:pPr>
                    <w:pStyle w:val="79"/>
                    <w:rPr>
                      <w:b/>
                    </w:rPr>
                  </w:pPr>
                  <w:r>
                    <w:rPr>
                      <w:rFonts w:hint="eastAsia"/>
                      <w:b/>
                    </w:rPr>
                    <w:t>超标频率</w:t>
                  </w:r>
                </w:p>
                <w:p w14:paraId="43AEC9CF">
                  <w:pPr>
                    <w:pStyle w:val="79"/>
                    <w:rPr>
                      <w:b/>
                    </w:rPr>
                  </w:pPr>
                  <w:r>
                    <w:rPr>
                      <w:b/>
                    </w:rPr>
                    <w:t>/%</w:t>
                  </w:r>
                </w:p>
              </w:tc>
              <w:tc>
                <w:tcPr>
                  <w:tcW w:w="565" w:type="pct"/>
                  <w:vMerge w:val="restart"/>
                  <w:vAlign w:val="center"/>
                </w:tcPr>
                <w:p w14:paraId="2380E64A">
                  <w:pPr>
                    <w:pStyle w:val="79"/>
                    <w:rPr>
                      <w:b/>
                    </w:rPr>
                  </w:pPr>
                  <w:r>
                    <w:rPr>
                      <w:rFonts w:hint="eastAsia"/>
                      <w:b/>
                    </w:rPr>
                    <w:t>达标情况</w:t>
                  </w:r>
                </w:p>
              </w:tc>
            </w:tr>
            <w:tr w14:paraId="4D2393E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30" w:type="pct"/>
                  <w:vMerge w:val="continue"/>
                  <w:vAlign w:val="center"/>
                </w:tcPr>
                <w:p w14:paraId="20196373">
                  <w:pPr>
                    <w:pStyle w:val="79"/>
                  </w:pPr>
                </w:p>
              </w:tc>
              <w:tc>
                <w:tcPr>
                  <w:tcW w:w="1208" w:type="pct"/>
                  <w:vMerge w:val="continue"/>
                  <w:vAlign w:val="center"/>
                </w:tcPr>
                <w:p w14:paraId="0908E5E2">
                  <w:pPr>
                    <w:pStyle w:val="79"/>
                  </w:pPr>
                </w:p>
              </w:tc>
              <w:tc>
                <w:tcPr>
                  <w:tcW w:w="769" w:type="pct"/>
                  <w:vMerge w:val="continue"/>
                  <w:vAlign w:val="center"/>
                </w:tcPr>
                <w:p w14:paraId="3567BDEF">
                  <w:pPr>
                    <w:pStyle w:val="79"/>
                  </w:pPr>
                </w:p>
              </w:tc>
              <w:tc>
                <w:tcPr>
                  <w:tcW w:w="770" w:type="pct"/>
                  <w:vMerge w:val="continue"/>
                  <w:vAlign w:val="center"/>
                </w:tcPr>
                <w:p w14:paraId="67EE4174">
                  <w:pPr>
                    <w:pStyle w:val="79"/>
                  </w:pPr>
                </w:p>
              </w:tc>
              <w:tc>
                <w:tcPr>
                  <w:tcW w:w="692" w:type="pct"/>
                  <w:vMerge w:val="continue"/>
                  <w:vAlign w:val="center"/>
                </w:tcPr>
                <w:p w14:paraId="3A51F1DB">
                  <w:pPr>
                    <w:pStyle w:val="79"/>
                  </w:pPr>
                </w:p>
              </w:tc>
              <w:tc>
                <w:tcPr>
                  <w:tcW w:w="565" w:type="pct"/>
                  <w:vMerge w:val="continue"/>
                  <w:vAlign w:val="center"/>
                </w:tcPr>
                <w:p w14:paraId="74B83BEB">
                  <w:pPr>
                    <w:pStyle w:val="79"/>
                  </w:pPr>
                </w:p>
              </w:tc>
              <w:tc>
                <w:tcPr>
                  <w:tcW w:w="565" w:type="pct"/>
                  <w:vMerge w:val="continue"/>
                  <w:vAlign w:val="center"/>
                </w:tcPr>
                <w:p w14:paraId="5ADF8CA6">
                  <w:pPr>
                    <w:pStyle w:val="79"/>
                  </w:pPr>
                </w:p>
              </w:tc>
            </w:tr>
            <w:tr w14:paraId="34E3FE4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30" w:type="pct"/>
                  <w:vAlign w:val="center"/>
                </w:tcPr>
                <w:p w14:paraId="68ED9EFE">
                  <w:pPr>
                    <w:pStyle w:val="79"/>
                  </w:pPr>
                  <w:r>
                    <w:t>SO</w:t>
                  </w:r>
                  <w:r>
                    <w:rPr>
                      <w:vertAlign w:val="subscript"/>
                    </w:rPr>
                    <w:t>2</w:t>
                  </w:r>
                </w:p>
              </w:tc>
              <w:tc>
                <w:tcPr>
                  <w:tcW w:w="1208" w:type="pct"/>
                  <w:vAlign w:val="center"/>
                </w:tcPr>
                <w:p w14:paraId="7EF95834">
                  <w:pPr>
                    <w:pStyle w:val="79"/>
                  </w:pPr>
                  <w:r>
                    <w:rPr>
                      <w:rFonts w:hint="eastAsia"/>
                    </w:rPr>
                    <w:t>年平均浓度</w:t>
                  </w:r>
                </w:p>
              </w:tc>
              <w:tc>
                <w:tcPr>
                  <w:tcW w:w="769" w:type="pct"/>
                  <w:vAlign w:val="center"/>
                </w:tcPr>
                <w:p w14:paraId="3EB9AC3D">
                  <w:pPr>
                    <w:pStyle w:val="79"/>
                  </w:pPr>
                  <w:r>
                    <w:t>60</w:t>
                  </w:r>
                </w:p>
              </w:tc>
              <w:tc>
                <w:tcPr>
                  <w:tcW w:w="770" w:type="pct"/>
                  <w:vAlign w:val="center"/>
                </w:tcPr>
                <w:p w14:paraId="741188FB">
                  <w:pPr>
                    <w:pStyle w:val="79"/>
                  </w:pPr>
                  <w:r>
                    <w:rPr>
                      <w:rFonts w:hint="eastAsia"/>
                    </w:rPr>
                    <w:t>6</w:t>
                  </w:r>
                </w:p>
              </w:tc>
              <w:tc>
                <w:tcPr>
                  <w:tcW w:w="692" w:type="pct"/>
                  <w:vAlign w:val="center"/>
                </w:tcPr>
                <w:p w14:paraId="5FC109CE">
                  <w:pPr>
                    <w:pStyle w:val="79"/>
                  </w:pPr>
                  <w:r>
                    <w:rPr>
                      <w:rFonts w:hint="eastAsia"/>
                    </w:rPr>
                    <w:t>10.0</w:t>
                  </w:r>
                </w:p>
              </w:tc>
              <w:tc>
                <w:tcPr>
                  <w:tcW w:w="565" w:type="pct"/>
                  <w:vAlign w:val="center"/>
                </w:tcPr>
                <w:p w14:paraId="0BA21129">
                  <w:pPr>
                    <w:pStyle w:val="79"/>
                  </w:pPr>
                  <w:r>
                    <w:t>0</w:t>
                  </w:r>
                </w:p>
              </w:tc>
              <w:tc>
                <w:tcPr>
                  <w:tcW w:w="565" w:type="pct"/>
                  <w:vAlign w:val="center"/>
                </w:tcPr>
                <w:p w14:paraId="637905E5">
                  <w:pPr>
                    <w:pStyle w:val="79"/>
                  </w:pPr>
                  <w:r>
                    <w:rPr>
                      <w:rFonts w:hint="eastAsia"/>
                    </w:rPr>
                    <w:t>达标</w:t>
                  </w:r>
                </w:p>
              </w:tc>
            </w:tr>
            <w:tr w14:paraId="030A439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30" w:type="pct"/>
                  <w:vAlign w:val="center"/>
                </w:tcPr>
                <w:p w14:paraId="299ECCB3">
                  <w:pPr>
                    <w:pStyle w:val="79"/>
                  </w:pPr>
                  <w:r>
                    <w:t>NO</w:t>
                  </w:r>
                  <w:r>
                    <w:rPr>
                      <w:vertAlign w:val="subscript"/>
                    </w:rPr>
                    <w:t>2</w:t>
                  </w:r>
                </w:p>
              </w:tc>
              <w:tc>
                <w:tcPr>
                  <w:tcW w:w="1208" w:type="pct"/>
                  <w:vAlign w:val="center"/>
                </w:tcPr>
                <w:p w14:paraId="4C1FBFE0">
                  <w:pPr>
                    <w:pStyle w:val="79"/>
                  </w:pPr>
                  <w:r>
                    <w:rPr>
                      <w:rFonts w:hint="eastAsia"/>
                    </w:rPr>
                    <w:t>年平均浓度</w:t>
                  </w:r>
                </w:p>
              </w:tc>
              <w:tc>
                <w:tcPr>
                  <w:tcW w:w="769" w:type="pct"/>
                  <w:vAlign w:val="center"/>
                </w:tcPr>
                <w:p w14:paraId="7910CDD6">
                  <w:pPr>
                    <w:pStyle w:val="79"/>
                  </w:pPr>
                  <w:r>
                    <w:t>40</w:t>
                  </w:r>
                </w:p>
              </w:tc>
              <w:tc>
                <w:tcPr>
                  <w:tcW w:w="770" w:type="pct"/>
                  <w:vAlign w:val="center"/>
                </w:tcPr>
                <w:p w14:paraId="14B5864D">
                  <w:pPr>
                    <w:pStyle w:val="79"/>
                  </w:pPr>
                  <w:r>
                    <w:rPr>
                      <w:rFonts w:hint="eastAsia"/>
                    </w:rPr>
                    <w:t>12</w:t>
                  </w:r>
                </w:p>
              </w:tc>
              <w:tc>
                <w:tcPr>
                  <w:tcW w:w="692" w:type="pct"/>
                  <w:vAlign w:val="center"/>
                </w:tcPr>
                <w:p w14:paraId="12EDFFAF">
                  <w:pPr>
                    <w:pStyle w:val="79"/>
                  </w:pPr>
                  <w:r>
                    <w:rPr>
                      <w:rFonts w:hint="eastAsia"/>
                    </w:rPr>
                    <w:t>30.0</w:t>
                  </w:r>
                </w:p>
              </w:tc>
              <w:tc>
                <w:tcPr>
                  <w:tcW w:w="565" w:type="pct"/>
                  <w:vAlign w:val="center"/>
                </w:tcPr>
                <w:p w14:paraId="4F768988">
                  <w:pPr>
                    <w:pStyle w:val="79"/>
                  </w:pPr>
                  <w:r>
                    <w:t>0</w:t>
                  </w:r>
                </w:p>
              </w:tc>
              <w:tc>
                <w:tcPr>
                  <w:tcW w:w="565" w:type="pct"/>
                  <w:vAlign w:val="center"/>
                </w:tcPr>
                <w:p w14:paraId="1186FFA6">
                  <w:pPr>
                    <w:pStyle w:val="79"/>
                  </w:pPr>
                  <w:r>
                    <w:rPr>
                      <w:rFonts w:hint="eastAsia"/>
                    </w:rPr>
                    <w:t>达标</w:t>
                  </w:r>
                </w:p>
              </w:tc>
            </w:tr>
            <w:tr w14:paraId="51E7B3E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30" w:type="pct"/>
                  <w:vAlign w:val="center"/>
                </w:tcPr>
                <w:p w14:paraId="3BCFF237">
                  <w:pPr>
                    <w:pStyle w:val="79"/>
                  </w:pPr>
                  <w:r>
                    <w:t>PM</w:t>
                  </w:r>
                  <w:r>
                    <w:rPr>
                      <w:vertAlign w:val="subscript"/>
                    </w:rPr>
                    <w:t>10</w:t>
                  </w:r>
                </w:p>
              </w:tc>
              <w:tc>
                <w:tcPr>
                  <w:tcW w:w="1208" w:type="pct"/>
                  <w:vAlign w:val="center"/>
                </w:tcPr>
                <w:p w14:paraId="338BF336">
                  <w:pPr>
                    <w:pStyle w:val="79"/>
                  </w:pPr>
                  <w:r>
                    <w:rPr>
                      <w:rFonts w:hint="eastAsia"/>
                    </w:rPr>
                    <w:t>年平均浓度</w:t>
                  </w:r>
                </w:p>
              </w:tc>
              <w:tc>
                <w:tcPr>
                  <w:tcW w:w="769" w:type="pct"/>
                  <w:vAlign w:val="center"/>
                </w:tcPr>
                <w:p w14:paraId="1AFE372F">
                  <w:pPr>
                    <w:pStyle w:val="79"/>
                  </w:pPr>
                  <w:r>
                    <w:rPr>
                      <w:rFonts w:hint="eastAsia"/>
                    </w:rPr>
                    <w:t>60</w:t>
                  </w:r>
                </w:p>
              </w:tc>
              <w:tc>
                <w:tcPr>
                  <w:tcW w:w="770" w:type="pct"/>
                  <w:vAlign w:val="center"/>
                </w:tcPr>
                <w:p w14:paraId="2597D460">
                  <w:pPr>
                    <w:pStyle w:val="79"/>
                  </w:pPr>
                  <w:r>
                    <w:rPr>
                      <w:rFonts w:hint="eastAsia"/>
                    </w:rPr>
                    <w:t>37</w:t>
                  </w:r>
                </w:p>
              </w:tc>
              <w:tc>
                <w:tcPr>
                  <w:tcW w:w="692" w:type="pct"/>
                  <w:vAlign w:val="center"/>
                </w:tcPr>
                <w:p w14:paraId="4CBB3998">
                  <w:pPr>
                    <w:pStyle w:val="79"/>
                  </w:pPr>
                  <w:r>
                    <w:rPr>
                      <w:rFonts w:hint="eastAsia"/>
                    </w:rPr>
                    <w:t>61.7</w:t>
                  </w:r>
                </w:p>
              </w:tc>
              <w:tc>
                <w:tcPr>
                  <w:tcW w:w="565" w:type="pct"/>
                  <w:vAlign w:val="center"/>
                </w:tcPr>
                <w:p w14:paraId="459D6A70">
                  <w:pPr>
                    <w:pStyle w:val="79"/>
                  </w:pPr>
                  <w:r>
                    <w:t>0</w:t>
                  </w:r>
                </w:p>
              </w:tc>
              <w:tc>
                <w:tcPr>
                  <w:tcW w:w="565" w:type="pct"/>
                  <w:vAlign w:val="center"/>
                </w:tcPr>
                <w:p w14:paraId="43092BF2">
                  <w:pPr>
                    <w:pStyle w:val="79"/>
                  </w:pPr>
                  <w:r>
                    <w:rPr>
                      <w:rFonts w:hint="eastAsia"/>
                    </w:rPr>
                    <w:t>达标</w:t>
                  </w:r>
                </w:p>
              </w:tc>
            </w:tr>
            <w:tr w14:paraId="4894146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30" w:type="pct"/>
                  <w:vAlign w:val="center"/>
                </w:tcPr>
                <w:p w14:paraId="40EDD90C">
                  <w:pPr>
                    <w:pStyle w:val="79"/>
                  </w:pPr>
                  <w:r>
                    <w:t>PM</w:t>
                  </w:r>
                  <w:r>
                    <w:rPr>
                      <w:vertAlign w:val="subscript"/>
                    </w:rPr>
                    <w:t>2.5</w:t>
                  </w:r>
                </w:p>
              </w:tc>
              <w:tc>
                <w:tcPr>
                  <w:tcW w:w="1208" w:type="pct"/>
                  <w:vAlign w:val="center"/>
                </w:tcPr>
                <w:p w14:paraId="7FAC6E4F">
                  <w:pPr>
                    <w:pStyle w:val="79"/>
                  </w:pPr>
                  <w:r>
                    <w:rPr>
                      <w:rFonts w:hint="eastAsia"/>
                    </w:rPr>
                    <w:t>年平均浓度</w:t>
                  </w:r>
                </w:p>
              </w:tc>
              <w:tc>
                <w:tcPr>
                  <w:tcW w:w="769" w:type="pct"/>
                  <w:vAlign w:val="center"/>
                </w:tcPr>
                <w:p w14:paraId="1510BB72">
                  <w:pPr>
                    <w:pStyle w:val="79"/>
                  </w:pPr>
                  <w:r>
                    <w:rPr>
                      <w:rFonts w:hint="eastAsia"/>
                    </w:rPr>
                    <w:t>30</w:t>
                  </w:r>
                </w:p>
              </w:tc>
              <w:tc>
                <w:tcPr>
                  <w:tcW w:w="770" w:type="pct"/>
                  <w:vAlign w:val="center"/>
                </w:tcPr>
                <w:p w14:paraId="3DF3C9DF">
                  <w:pPr>
                    <w:pStyle w:val="79"/>
                  </w:pPr>
                  <w:r>
                    <w:rPr>
                      <w:rFonts w:hint="eastAsia"/>
                    </w:rPr>
                    <w:t>25</w:t>
                  </w:r>
                </w:p>
              </w:tc>
              <w:tc>
                <w:tcPr>
                  <w:tcW w:w="692" w:type="pct"/>
                  <w:vAlign w:val="center"/>
                </w:tcPr>
                <w:p w14:paraId="4C945876">
                  <w:pPr>
                    <w:pStyle w:val="79"/>
                  </w:pPr>
                  <w:r>
                    <w:rPr>
                      <w:rFonts w:hint="eastAsia"/>
                    </w:rPr>
                    <w:t>83.3</w:t>
                  </w:r>
                </w:p>
              </w:tc>
              <w:tc>
                <w:tcPr>
                  <w:tcW w:w="565" w:type="pct"/>
                  <w:vAlign w:val="center"/>
                </w:tcPr>
                <w:p w14:paraId="721288A5">
                  <w:pPr>
                    <w:pStyle w:val="79"/>
                  </w:pPr>
                  <w:r>
                    <w:t>0</w:t>
                  </w:r>
                </w:p>
              </w:tc>
              <w:tc>
                <w:tcPr>
                  <w:tcW w:w="565" w:type="pct"/>
                  <w:vAlign w:val="center"/>
                </w:tcPr>
                <w:p w14:paraId="4C1123B7">
                  <w:pPr>
                    <w:pStyle w:val="79"/>
                  </w:pPr>
                  <w:r>
                    <w:rPr>
                      <w:rFonts w:hint="eastAsia"/>
                    </w:rPr>
                    <w:t>达标</w:t>
                  </w:r>
                </w:p>
              </w:tc>
            </w:tr>
            <w:tr w14:paraId="3E56784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30" w:type="pct"/>
                  <w:vAlign w:val="center"/>
                </w:tcPr>
                <w:p w14:paraId="73DF5CA0">
                  <w:pPr>
                    <w:pStyle w:val="79"/>
                  </w:pPr>
                  <w:r>
                    <w:t>CO</w:t>
                  </w:r>
                </w:p>
              </w:tc>
              <w:tc>
                <w:tcPr>
                  <w:tcW w:w="1208" w:type="pct"/>
                  <w:vAlign w:val="center"/>
                </w:tcPr>
                <w:p w14:paraId="5AF16294">
                  <w:pPr>
                    <w:pStyle w:val="79"/>
                  </w:pPr>
                  <w:r>
                    <w:t>24</w:t>
                  </w:r>
                  <w:r>
                    <w:rPr>
                      <w:rFonts w:hint="eastAsia"/>
                    </w:rPr>
                    <w:t>小时平均第</w:t>
                  </w:r>
                </w:p>
                <w:p w14:paraId="795FBCBA">
                  <w:pPr>
                    <w:pStyle w:val="79"/>
                  </w:pPr>
                  <w:r>
                    <w:t>95</w:t>
                  </w:r>
                  <w:r>
                    <w:rPr>
                      <w:rFonts w:hint="eastAsia"/>
                    </w:rPr>
                    <w:t>百分位数浓度</w:t>
                  </w:r>
                </w:p>
              </w:tc>
              <w:tc>
                <w:tcPr>
                  <w:tcW w:w="769" w:type="pct"/>
                  <w:vAlign w:val="center"/>
                </w:tcPr>
                <w:p w14:paraId="68D81A2A">
                  <w:pPr>
                    <w:pStyle w:val="79"/>
                  </w:pPr>
                  <w:r>
                    <w:t>4000</w:t>
                  </w:r>
                </w:p>
              </w:tc>
              <w:tc>
                <w:tcPr>
                  <w:tcW w:w="770" w:type="pct"/>
                  <w:vAlign w:val="center"/>
                </w:tcPr>
                <w:p w14:paraId="45709AFE">
                  <w:pPr>
                    <w:pStyle w:val="79"/>
                  </w:pPr>
                  <w:r>
                    <w:rPr>
                      <w:rFonts w:hint="eastAsia"/>
                    </w:rPr>
                    <w:t>1200</w:t>
                  </w:r>
                </w:p>
              </w:tc>
              <w:tc>
                <w:tcPr>
                  <w:tcW w:w="692" w:type="pct"/>
                  <w:vAlign w:val="center"/>
                </w:tcPr>
                <w:p w14:paraId="0BF6E508">
                  <w:pPr>
                    <w:pStyle w:val="79"/>
                  </w:pPr>
                  <w:r>
                    <w:rPr>
                      <w:rFonts w:hint="eastAsia"/>
                    </w:rPr>
                    <w:t>30.0</w:t>
                  </w:r>
                </w:p>
              </w:tc>
              <w:tc>
                <w:tcPr>
                  <w:tcW w:w="565" w:type="pct"/>
                  <w:vAlign w:val="center"/>
                </w:tcPr>
                <w:p w14:paraId="19BD26D2">
                  <w:pPr>
                    <w:pStyle w:val="79"/>
                  </w:pPr>
                  <w:r>
                    <w:t>0</w:t>
                  </w:r>
                </w:p>
              </w:tc>
              <w:tc>
                <w:tcPr>
                  <w:tcW w:w="565" w:type="pct"/>
                  <w:vAlign w:val="center"/>
                </w:tcPr>
                <w:p w14:paraId="088701A3">
                  <w:pPr>
                    <w:pStyle w:val="79"/>
                  </w:pPr>
                  <w:r>
                    <w:rPr>
                      <w:rFonts w:hint="eastAsia"/>
                    </w:rPr>
                    <w:t>达标</w:t>
                  </w:r>
                </w:p>
              </w:tc>
            </w:tr>
            <w:tr w14:paraId="63E5874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30" w:type="pct"/>
                  <w:vAlign w:val="center"/>
                </w:tcPr>
                <w:p w14:paraId="1651CA49">
                  <w:pPr>
                    <w:pStyle w:val="79"/>
                  </w:pPr>
                  <w:r>
                    <w:t>O</w:t>
                  </w:r>
                  <w:r>
                    <w:rPr>
                      <w:vertAlign w:val="subscript"/>
                    </w:rPr>
                    <w:t>3</w:t>
                  </w:r>
                </w:p>
              </w:tc>
              <w:tc>
                <w:tcPr>
                  <w:tcW w:w="1208" w:type="pct"/>
                  <w:vAlign w:val="center"/>
                </w:tcPr>
                <w:p w14:paraId="5ACA21B8">
                  <w:pPr>
                    <w:pStyle w:val="79"/>
                  </w:pPr>
                  <w:r>
                    <w:rPr>
                      <w:rFonts w:hint="eastAsia"/>
                    </w:rPr>
                    <w:t>日最大8小时平均第9</w:t>
                  </w:r>
                  <w:r>
                    <w:t>0</w:t>
                  </w:r>
                  <w:r>
                    <w:rPr>
                      <w:rFonts w:hint="eastAsia"/>
                    </w:rPr>
                    <w:t>百分位数浓度</w:t>
                  </w:r>
                </w:p>
              </w:tc>
              <w:tc>
                <w:tcPr>
                  <w:tcW w:w="769" w:type="pct"/>
                  <w:vAlign w:val="center"/>
                </w:tcPr>
                <w:p w14:paraId="177C6976">
                  <w:pPr>
                    <w:pStyle w:val="79"/>
                  </w:pPr>
                  <w:r>
                    <w:t>160</w:t>
                  </w:r>
                </w:p>
              </w:tc>
              <w:tc>
                <w:tcPr>
                  <w:tcW w:w="770" w:type="pct"/>
                  <w:vAlign w:val="center"/>
                </w:tcPr>
                <w:p w14:paraId="1AE690A3">
                  <w:pPr>
                    <w:pStyle w:val="79"/>
                  </w:pPr>
                  <w:r>
                    <w:rPr>
                      <w:rFonts w:hint="eastAsia"/>
                    </w:rPr>
                    <w:t>107</w:t>
                  </w:r>
                </w:p>
              </w:tc>
              <w:tc>
                <w:tcPr>
                  <w:tcW w:w="692" w:type="pct"/>
                  <w:vAlign w:val="center"/>
                </w:tcPr>
                <w:p w14:paraId="1A477C9B">
                  <w:pPr>
                    <w:pStyle w:val="79"/>
                  </w:pPr>
                  <w:r>
                    <w:rPr>
                      <w:rFonts w:hint="eastAsia"/>
                    </w:rPr>
                    <w:t>66.9</w:t>
                  </w:r>
                </w:p>
              </w:tc>
              <w:tc>
                <w:tcPr>
                  <w:tcW w:w="565" w:type="pct"/>
                  <w:vAlign w:val="center"/>
                </w:tcPr>
                <w:p w14:paraId="43841369">
                  <w:pPr>
                    <w:pStyle w:val="79"/>
                  </w:pPr>
                  <w:r>
                    <w:t>0</w:t>
                  </w:r>
                </w:p>
              </w:tc>
              <w:tc>
                <w:tcPr>
                  <w:tcW w:w="565" w:type="pct"/>
                  <w:vAlign w:val="center"/>
                </w:tcPr>
                <w:p w14:paraId="3CE97976">
                  <w:pPr>
                    <w:pStyle w:val="79"/>
                  </w:pPr>
                  <w:r>
                    <w:rPr>
                      <w:rFonts w:hint="eastAsia"/>
                    </w:rPr>
                    <w:t>达标</w:t>
                  </w:r>
                </w:p>
              </w:tc>
            </w:tr>
          </w:tbl>
          <w:p w14:paraId="778449DE">
            <w:pPr>
              <w:pStyle w:val="117"/>
              <w:ind w:firstLine="480"/>
            </w:pPr>
            <w:r>
              <w:rPr>
                <w:rFonts w:hint="eastAsia"/>
              </w:rPr>
              <w:t>根据上表可知，鹿寨县环境空气中各项指标均达到《环境空气质量标准》（</w:t>
            </w:r>
            <w:r>
              <w:t>GB3095-20</w:t>
            </w:r>
            <w:r>
              <w:rPr>
                <w:rFonts w:hint="eastAsia"/>
              </w:rPr>
              <w:t>26）过渡阶段浓度限值要求，由此可知项目所述区域环境空气质量为达标区。</w:t>
            </w:r>
          </w:p>
          <w:p w14:paraId="2912D2FE">
            <w:pPr>
              <w:pStyle w:val="117"/>
              <w:ind w:firstLine="480"/>
            </w:pPr>
            <w:r>
              <w:rPr>
                <w:rFonts w:hint="eastAsia"/>
              </w:rPr>
              <w:t>（</w:t>
            </w:r>
            <w:r>
              <w:t>2</w:t>
            </w:r>
            <w:r>
              <w:rPr>
                <w:rFonts w:hint="eastAsia"/>
              </w:rPr>
              <w:t>）特征污染因子环境质量现状</w:t>
            </w:r>
          </w:p>
          <w:p w14:paraId="5235322A">
            <w:pPr>
              <w:pStyle w:val="117"/>
              <w:ind w:firstLine="480"/>
            </w:pPr>
            <w:r>
              <w:t>为了解项目区域环境</w:t>
            </w:r>
            <w:r>
              <w:rPr>
                <w:rFonts w:hint="eastAsia"/>
              </w:rPr>
              <w:t>空气</w:t>
            </w:r>
            <w:r>
              <w:t>质量现状，本次评价</w:t>
            </w:r>
            <w:r>
              <w:rPr>
                <w:rFonts w:hint="eastAsia"/>
              </w:rPr>
              <w:t>委托广西德益环保科技有限公司对项目所在区域T</w:t>
            </w:r>
            <w:r>
              <w:t>SP</w:t>
            </w:r>
            <w:r>
              <w:rPr>
                <w:rFonts w:hint="eastAsia"/>
              </w:rPr>
              <w:t>、非甲烷总烃现状进行监测，根据广西德益环保科技有限公司出具的《柳州市远诚科技有限公司环评监测报告》（报告编号：德益（环监）[2025]018号，详见附件7），项目补充监测点位见表3</w:t>
            </w:r>
            <w:r>
              <w:t>-2</w:t>
            </w:r>
            <w:r>
              <w:rPr>
                <w:rFonts w:hint="eastAsia"/>
              </w:rPr>
              <w:t>、监测结果见</w:t>
            </w:r>
            <w:r>
              <w:t>3-3。</w:t>
            </w:r>
          </w:p>
          <w:p w14:paraId="5DD25191">
            <w:pPr>
              <w:pStyle w:val="87"/>
            </w:pPr>
            <w:r>
              <w:t xml:space="preserve">表3-2  </w:t>
            </w:r>
            <w:r>
              <w:rPr>
                <w:rFonts w:hint="eastAsia"/>
              </w:rPr>
              <w:t>其他污染物补充监测点位基本信息表</w:t>
            </w:r>
          </w:p>
          <w:tbl>
            <w:tblPr>
              <w:tblStyle w:val="39"/>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508"/>
              <w:gridCol w:w="1622"/>
              <w:gridCol w:w="1622"/>
              <w:gridCol w:w="1386"/>
              <w:gridCol w:w="2273"/>
            </w:tblGrid>
            <w:tr w14:paraId="1C550AE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2" w:hRule="atLeast"/>
              </w:trPr>
              <w:tc>
                <w:tcPr>
                  <w:tcW w:w="896" w:type="pct"/>
                  <w:vMerge w:val="restart"/>
                  <w:vAlign w:val="center"/>
                </w:tcPr>
                <w:p w14:paraId="68901F7C">
                  <w:pPr>
                    <w:pStyle w:val="79"/>
                    <w:rPr>
                      <w:b/>
                    </w:rPr>
                  </w:pPr>
                  <w:r>
                    <w:rPr>
                      <w:rFonts w:hint="eastAsia"/>
                      <w:b/>
                    </w:rPr>
                    <w:t>监测点名称</w:t>
                  </w:r>
                </w:p>
              </w:tc>
              <w:tc>
                <w:tcPr>
                  <w:tcW w:w="1928" w:type="pct"/>
                  <w:gridSpan w:val="2"/>
                  <w:vAlign w:val="center"/>
                </w:tcPr>
                <w:p w14:paraId="7C14C2E4">
                  <w:pPr>
                    <w:pStyle w:val="79"/>
                    <w:rPr>
                      <w:b/>
                    </w:rPr>
                  </w:pPr>
                  <w:r>
                    <w:rPr>
                      <w:rFonts w:hint="eastAsia"/>
                      <w:b/>
                    </w:rPr>
                    <w:t>监测点坐标/m</w:t>
                  </w:r>
                </w:p>
              </w:tc>
              <w:tc>
                <w:tcPr>
                  <w:tcW w:w="824" w:type="pct"/>
                  <w:vMerge w:val="restart"/>
                  <w:vAlign w:val="center"/>
                </w:tcPr>
                <w:p w14:paraId="4385A5C8">
                  <w:pPr>
                    <w:pStyle w:val="79"/>
                    <w:rPr>
                      <w:b/>
                    </w:rPr>
                  </w:pPr>
                  <w:r>
                    <w:rPr>
                      <w:rFonts w:hint="eastAsia"/>
                      <w:b/>
                    </w:rPr>
                    <w:t>监测因子</w:t>
                  </w:r>
                </w:p>
              </w:tc>
              <w:tc>
                <w:tcPr>
                  <w:tcW w:w="1351" w:type="pct"/>
                  <w:vMerge w:val="restart"/>
                  <w:vAlign w:val="center"/>
                </w:tcPr>
                <w:p w14:paraId="7935B45B">
                  <w:pPr>
                    <w:pStyle w:val="79"/>
                    <w:rPr>
                      <w:b/>
                    </w:rPr>
                  </w:pPr>
                  <w:r>
                    <w:rPr>
                      <w:rFonts w:hint="eastAsia"/>
                      <w:b/>
                    </w:rPr>
                    <w:t>监测时段</w:t>
                  </w:r>
                </w:p>
              </w:tc>
            </w:tr>
            <w:tr w14:paraId="3ECEF55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01" w:hRule="atLeast"/>
              </w:trPr>
              <w:tc>
                <w:tcPr>
                  <w:tcW w:w="896" w:type="pct"/>
                  <w:vMerge w:val="continue"/>
                  <w:vAlign w:val="center"/>
                </w:tcPr>
                <w:p w14:paraId="059140AE">
                  <w:pPr>
                    <w:pStyle w:val="79"/>
                  </w:pPr>
                </w:p>
              </w:tc>
              <w:tc>
                <w:tcPr>
                  <w:tcW w:w="964" w:type="pct"/>
                  <w:vAlign w:val="center"/>
                </w:tcPr>
                <w:p w14:paraId="306AFC20">
                  <w:pPr>
                    <w:pStyle w:val="79"/>
                    <w:rPr>
                      <w:b/>
                    </w:rPr>
                  </w:pPr>
                  <w:r>
                    <w:rPr>
                      <w:rFonts w:hint="eastAsia"/>
                      <w:b/>
                    </w:rPr>
                    <w:t>X</w:t>
                  </w:r>
                </w:p>
              </w:tc>
              <w:tc>
                <w:tcPr>
                  <w:tcW w:w="964" w:type="pct"/>
                  <w:vAlign w:val="center"/>
                </w:tcPr>
                <w:p w14:paraId="135711D9">
                  <w:pPr>
                    <w:pStyle w:val="79"/>
                  </w:pPr>
                  <w:r>
                    <w:rPr>
                      <w:rFonts w:hint="eastAsia"/>
                    </w:rPr>
                    <w:t>Y</w:t>
                  </w:r>
                </w:p>
              </w:tc>
              <w:tc>
                <w:tcPr>
                  <w:tcW w:w="824" w:type="pct"/>
                  <w:vMerge w:val="continue"/>
                  <w:vAlign w:val="center"/>
                </w:tcPr>
                <w:p w14:paraId="0E546A7B">
                  <w:pPr>
                    <w:pStyle w:val="79"/>
                  </w:pPr>
                </w:p>
              </w:tc>
              <w:tc>
                <w:tcPr>
                  <w:tcW w:w="1351" w:type="pct"/>
                  <w:vMerge w:val="continue"/>
                  <w:vAlign w:val="center"/>
                </w:tcPr>
                <w:p w14:paraId="5785B072">
                  <w:pPr>
                    <w:pStyle w:val="79"/>
                  </w:pPr>
                </w:p>
              </w:tc>
            </w:tr>
            <w:tr w14:paraId="011A132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896" w:type="pct"/>
                  <w:vAlign w:val="center"/>
                </w:tcPr>
                <w:p w14:paraId="24A78C23">
                  <w:pPr>
                    <w:pStyle w:val="79"/>
                  </w:pPr>
                  <w:r>
                    <w:rPr>
                      <w:rFonts w:hint="eastAsia"/>
                    </w:rPr>
                    <w:t>5#项目西南面厂界</w:t>
                  </w:r>
                </w:p>
              </w:tc>
              <w:tc>
                <w:tcPr>
                  <w:tcW w:w="964" w:type="pct"/>
                  <w:vAlign w:val="center"/>
                </w:tcPr>
                <w:p w14:paraId="4AB7D9A7">
                  <w:pPr>
                    <w:pStyle w:val="79"/>
                  </w:pPr>
                  <w:r>
                    <w:t>109°21'45.608"</w:t>
                  </w:r>
                </w:p>
              </w:tc>
              <w:tc>
                <w:tcPr>
                  <w:tcW w:w="964" w:type="pct"/>
                  <w:vAlign w:val="center"/>
                </w:tcPr>
                <w:p w14:paraId="0A25CBB0">
                  <w:pPr>
                    <w:pStyle w:val="79"/>
                  </w:pPr>
                  <w:r>
                    <w:t>24°24'16.296"</w:t>
                  </w:r>
                </w:p>
              </w:tc>
              <w:tc>
                <w:tcPr>
                  <w:tcW w:w="824" w:type="pct"/>
                  <w:vAlign w:val="center"/>
                </w:tcPr>
                <w:p w14:paraId="6703E79E">
                  <w:pPr>
                    <w:pStyle w:val="79"/>
                  </w:pPr>
                  <w:r>
                    <w:rPr>
                      <w:rFonts w:hint="eastAsia"/>
                    </w:rPr>
                    <w:t>T</w:t>
                  </w:r>
                  <w:r>
                    <w:t>SP</w:t>
                  </w:r>
                  <w:r>
                    <w:rPr>
                      <w:rFonts w:hint="eastAsia"/>
                    </w:rPr>
                    <w:t>、非甲烷总烃</w:t>
                  </w:r>
                </w:p>
              </w:tc>
              <w:tc>
                <w:tcPr>
                  <w:tcW w:w="1351" w:type="pct"/>
                  <w:vAlign w:val="center"/>
                </w:tcPr>
                <w:p w14:paraId="1BD97995">
                  <w:pPr>
                    <w:pStyle w:val="79"/>
                  </w:pPr>
                  <w:r>
                    <w:t>202</w:t>
                  </w:r>
                  <w:r>
                    <w:rPr>
                      <w:rFonts w:hint="eastAsia"/>
                    </w:rPr>
                    <w:t>5.7.13</w:t>
                  </w:r>
                  <w:r>
                    <w:t>~202</w:t>
                  </w:r>
                  <w:r>
                    <w:rPr>
                      <w:rFonts w:hint="eastAsia"/>
                    </w:rPr>
                    <w:t>5.7.15</w:t>
                  </w:r>
                </w:p>
              </w:tc>
            </w:tr>
          </w:tbl>
          <w:p w14:paraId="605DD10D">
            <w:pPr>
              <w:pStyle w:val="87"/>
            </w:pPr>
            <w:r>
              <w:rPr>
                <w:rFonts w:hint="eastAsia"/>
              </w:rPr>
              <w:t>表3</w:t>
            </w:r>
            <w:r>
              <w:t xml:space="preserve">-3  </w:t>
            </w:r>
            <w:r>
              <w:rPr>
                <w:rFonts w:hint="eastAsia"/>
              </w:rPr>
              <w:t>项目所在区域补充</w:t>
            </w:r>
            <w:r>
              <w:t>监测结果表</w:t>
            </w:r>
          </w:p>
          <w:tbl>
            <w:tblPr>
              <w:tblStyle w:val="154"/>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85"/>
              <w:gridCol w:w="854"/>
              <w:gridCol w:w="1354"/>
              <w:gridCol w:w="1242"/>
              <w:gridCol w:w="1486"/>
              <w:gridCol w:w="723"/>
              <w:gridCol w:w="849"/>
            </w:tblGrid>
            <w:tr w14:paraId="6C269E8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625" w:hRule="exact"/>
              </w:trPr>
              <w:tc>
                <w:tcPr>
                  <w:tcW w:w="1685" w:type="dxa"/>
                  <w:vAlign w:val="center"/>
                </w:tcPr>
                <w:p w14:paraId="0A29D2AB">
                  <w:pPr>
                    <w:pStyle w:val="79"/>
                    <w:rPr>
                      <w:rFonts w:eastAsia="Times New Roman"/>
                      <w:b/>
                    </w:rPr>
                  </w:pPr>
                  <w:r>
                    <w:rPr>
                      <w:rFonts w:eastAsia="Times New Roman"/>
                      <w:b/>
                    </w:rPr>
                    <w:t>监测点位</w:t>
                  </w:r>
                </w:p>
              </w:tc>
              <w:tc>
                <w:tcPr>
                  <w:tcW w:w="854" w:type="dxa"/>
                  <w:vAlign w:val="center"/>
                </w:tcPr>
                <w:p w14:paraId="01839B21">
                  <w:pPr>
                    <w:pStyle w:val="79"/>
                    <w:rPr>
                      <w:rFonts w:eastAsia="Times New Roman"/>
                      <w:b/>
                    </w:rPr>
                  </w:pPr>
                  <w:r>
                    <w:rPr>
                      <w:rFonts w:eastAsia="Times New Roman"/>
                      <w:b/>
                    </w:rPr>
                    <w:t>监测因子</w:t>
                  </w:r>
                </w:p>
              </w:tc>
              <w:tc>
                <w:tcPr>
                  <w:tcW w:w="1354" w:type="dxa"/>
                  <w:vAlign w:val="center"/>
                </w:tcPr>
                <w:p w14:paraId="30E2EC86">
                  <w:pPr>
                    <w:pStyle w:val="79"/>
                    <w:rPr>
                      <w:rFonts w:eastAsiaTheme="minorEastAsia"/>
                      <w:b/>
                    </w:rPr>
                  </w:pPr>
                  <w:r>
                    <w:rPr>
                      <w:rFonts w:eastAsia="Times New Roman"/>
                      <w:b/>
                    </w:rPr>
                    <w:t>评价标准</w:t>
                  </w:r>
                </w:p>
                <w:p w14:paraId="0C98989E">
                  <w:pPr>
                    <w:pStyle w:val="79"/>
                    <w:rPr>
                      <w:rFonts w:eastAsia="Times New Roman"/>
                      <w:b/>
                    </w:rPr>
                  </w:pPr>
                  <w:r>
                    <w:rPr>
                      <w:rFonts w:eastAsia="Times New Roman"/>
                      <w:b/>
                    </w:rPr>
                    <w:t>（mg/m</w:t>
                  </w:r>
                  <w:r>
                    <w:rPr>
                      <w:rFonts w:eastAsia="Times New Roman"/>
                      <w:b/>
                      <w:vertAlign w:val="superscript"/>
                    </w:rPr>
                    <w:t>3</w:t>
                  </w:r>
                  <w:r>
                    <w:rPr>
                      <w:rFonts w:eastAsia="Times New Roman"/>
                      <w:b/>
                    </w:rPr>
                    <w:t>）</w:t>
                  </w:r>
                </w:p>
              </w:tc>
              <w:tc>
                <w:tcPr>
                  <w:tcW w:w="1242" w:type="dxa"/>
                  <w:vAlign w:val="center"/>
                </w:tcPr>
                <w:p w14:paraId="55238C66">
                  <w:pPr>
                    <w:pStyle w:val="79"/>
                    <w:rPr>
                      <w:rFonts w:eastAsia="Times New Roman"/>
                      <w:b/>
                    </w:rPr>
                  </w:pPr>
                  <w:r>
                    <w:rPr>
                      <w:rFonts w:eastAsia="Times New Roman"/>
                      <w:b/>
                    </w:rPr>
                    <w:t>浓度范围</w:t>
                  </w:r>
                </w:p>
                <w:p w14:paraId="4FCE0094">
                  <w:pPr>
                    <w:pStyle w:val="79"/>
                    <w:rPr>
                      <w:rFonts w:eastAsia="Times New Roman"/>
                      <w:b/>
                    </w:rPr>
                  </w:pPr>
                  <w:r>
                    <w:rPr>
                      <w:rFonts w:eastAsia="Times New Roman"/>
                      <w:b/>
                    </w:rPr>
                    <w:t>（mg/m</w:t>
                  </w:r>
                  <w:r>
                    <w:rPr>
                      <w:rFonts w:eastAsia="Times New Roman"/>
                      <w:b/>
                      <w:vertAlign w:val="superscript"/>
                    </w:rPr>
                    <w:t>3</w:t>
                  </w:r>
                  <w:r>
                    <w:rPr>
                      <w:rFonts w:eastAsia="Times New Roman"/>
                      <w:b/>
                    </w:rPr>
                    <w:t>）</w:t>
                  </w:r>
                </w:p>
              </w:tc>
              <w:tc>
                <w:tcPr>
                  <w:tcW w:w="1486" w:type="dxa"/>
                  <w:vAlign w:val="center"/>
                </w:tcPr>
                <w:p w14:paraId="2CF915EB">
                  <w:pPr>
                    <w:pStyle w:val="79"/>
                    <w:rPr>
                      <w:rFonts w:eastAsiaTheme="minorEastAsia"/>
                      <w:b/>
                    </w:rPr>
                  </w:pPr>
                  <w:r>
                    <w:rPr>
                      <w:rFonts w:eastAsia="Times New Roman"/>
                      <w:b/>
                    </w:rPr>
                    <w:t>最大浓度占标率</w:t>
                  </w:r>
                </w:p>
                <w:p w14:paraId="6ACA9E47">
                  <w:pPr>
                    <w:pStyle w:val="79"/>
                    <w:rPr>
                      <w:rFonts w:eastAsia="Times New Roman"/>
                      <w:b/>
                    </w:rPr>
                  </w:pPr>
                  <w:r>
                    <w:rPr>
                      <w:rFonts w:eastAsia="Times New Roman"/>
                      <w:b/>
                    </w:rPr>
                    <w:t>%</w:t>
                  </w:r>
                </w:p>
              </w:tc>
              <w:tc>
                <w:tcPr>
                  <w:tcW w:w="723" w:type="dxa"/>
                  <w:vAlign w:val="center"/>
                </w:tcPr>
                <w:p w14:paraId="7A26F5B0">
                  <w:pPr>
                    <w:pStyle w:val="79"/>
                    <w:rPr>
                      <w:rFonts w:eastAsia="Times New Roman"/>
                      <w:b/>
                    </w:rPr>
                  </w:pPr>
                  <w:r>
                    <w:rPr>
                      <w:rFonts w:eastAsia="Times New Roman"/>
                      <w:b/>
                    </w:rPr>
                    <w:t>超标率</w:t>
                  </w:r>
                </w:p>
              </w:tc>
              <w:tc>
                <w:tcPr>
                  <w:tcW w:w="849" w:type="dxa"/>
                  <w:vAlign w:val="center"/>
                </w:tcPr>
                <w:p w14:paraId="43AC505B">
                  <w:pPr>
                    <w:pStyle w:val="79"/>
                    <w:rPr>
                      <w:rFonts w:eastAsiaTheme="minorEastAsia"/>
                      <w:b/>
                    </w:rPr>
                  </w:pPr>
                  <w:r>
                    <w:rPr>
                      <w:rFonts w:eastAsia="Times New Roman"/>
                      <w:b/>
                    </w:rPr>
                    <w:t>达标</w:t>
                  </w:r>
                </w:p>
                <w:p w14:paraId="449390CB">
                  <w:pPr>
                    <w:pStyle w:val="79"/>
                    <w:rPr>
                      <w:rFonts w:eastAsia="Times New Roman"/>
                      <w:b/>
                    </w:rPr>
                  </w:pPr>
                  <w:r>
                    <w:rPr>
                      <w:rFonts w:eastAsia="Times New Roman"/>
                      <w:b/>
                    </w:rPr>
                    <w:t>情况</w:t>
                  </w:r>
                </w:p>
              </w:tc>
            </w:tr>
            <w:tr w14:paraId="00ADC25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2" w:hRule="exact"/>
              </w:trPr>
              <w:tc>
                <w:tcPr>
                  <w:tcW w:w="1685" w:type="dxa"/>
                  <w:vMerge w:val="restart"/>
                  <w:vAlign w:val="center"/>
                </w:tcPr>
                <w:p w14:paraId="209B7DC7">
                  <w:pPr>
                    <w:pStyle w:val="79"/>
                    <w:rPr>
                      <w:rFonts w:eastAsia="Times New Roman"/>
                    </w:rPr>
                  </w:pPr>
                  <w:r>
                    <w:rPr>
                      <w:rFonts w:hint="eastAsia" w:eastAsia="Times New Roman"/>
                    </w:rPr>
                    <w:t>5#</w:t>
                  </w:r>
                  <w:r>
                    <w:rPr>
                      <w:rFonts w:hint="eastAsia" w:ascii="宋体" w:hAnsi="宋体" w:eastAsia="Times New Roman" w:cs="宋体"/>
                    </w:rPr>
                    <w:t>项目西南面厂</w:t>
                  </w:r>
                  <w:r>
                    <w:rPr>
                      <w:rFonts w:hint="eastAsia" w:eastAsia="Times New Roman"/>
                    </w:rPr>
                    <w:t>界</w:t>
                  </w:r>
                </w:p>
              </w:tc>
              <w:tc>
                <w:tcPr>
                  <w:tcW w:w="854" w:type="dxa"/>
                  <w:vAlign w:val="center"/>
                </w:tcPr>
                <w:p w14:paraId="0834F6B7">
                  <w:pPr>
                    <w:pStyle w:val="79"/>
                    <w:rPr>
                      <w:rFonts w:eastAsia="Times New Roman"/>
                    </w:rPr>
                  </w:pPr>
                  <w:r>
                    <w:rPr>
                      <w:rFonts w:eastAsia="Times New Roman"/>
                    </w:rPr>
                    <w:t>TSP</w:t>
                  </w:r>
                </w:p>
              </w:tc>
              <w:tc>
                <w:tcPr>
                  <w:tcW w:w="1354" w:type="dxa"/>
                  <w:vAlign w:val="center"/>
                </w:tcPr>
                <w:p w14:paraId="72E97F87">
                  <w:pPr>
                    <w:pStyle w:val="79"/>
                    <w:rPr>
                      <w:rFonts w:eastAsia="Times New Roman"/>
                    </w:rPr>
                  </w:pPr>
                </w:p>
              </w:tc>
              <w:tc>
                <w:tcPr>
                  <w:tcW w:w="1242" w:type="dxa"/>
                  <w:vAlign w:val="center"/>
                </w:tcPr>
                <w:p w14:paraId="02CE4EF7">
                  <w:pPr>
                    <w:pStyle w:val="79"/>
                    <w:rPr>
                      <w:rFonts w:eastAsiaTheme="minorEastAsia"/>
                    </w:rPr>
                  </w:pPr>
                </w:p>
              </w:tc>
              <w:tc>
                <w:tcPr>
                  <w:tcW w:w="1486" w:type="dxa"/>
                  <w:vAlign w:val="center"/>
                </w:tcPr>
                <w:p w14:paraId="3FB80304">
                  <w:pPr>
                    <w:pStyle w:val="79"/>
                    <w:rPr>
                      <w:rFonts w:eastAsiaTheme="minorEastAsia"/>
                    </w:rPr>
                  </w:pPr>
                </w:p>
              </w:tc>
              <w:tc>
                <w:tcPr>
                  <w:tcW w:w="723" w:type="dxa"/>
                  <w:vAlign w:val="center"/>
                </w:tcPr>
                <w:p w14:paraId="11588D85">
                  <w:pPr>
                    <w:pStyle w:val="79"/>
                    <w:rPr>
                      <w:rFonts w:eastAsia="Times New Roman"/>
                    </w:rPr>
                  </w:pPr>
                </w:p>
              </w:tc>
              <w:tc>
                <w:tcPr>
                  <w:tcW w:w="849" w:type="dxa"/>
                  <w:vAlign w:val="center"/>
                </w:tcPr>
                <w:p w14:paraId="0D39E25D">
                  <w:pPr>
                    <w:pStyle w:val="79"/>
                    <w:rPr>
                      <w:rFonts w:eastAsia="Times New Roman"/>
                    </w:rPr>
                  </w:pPr>
                </w:p>
              </w:tc>
            </w:tr>
            <w:tr w14:paraId="2893D04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554" w:hRule="exact"/>
              </w:trPr>
              <w:tc>
                <w:tcPr>
                  <w:tcW w:w="1685" w:type="dxa"/>
                  <w:vMerge w:val="continue"/>
                  <w:vAlign w:val="center"/>
                </w:tcPr>
                <w:p w14:paraId="2505FC38">
                  <w:pPr>
                    <w:pStyle w:val="79"/>
                    <w:rPr>
                      <w:rFonts w:eastAsia="Times New Roman"/>
                    </w:rPr>
                  </w:pPr>
                </w:p>
              </w:tc>
              <w:tc>
                <w:tcPr>
                  <w:tcW w:w="854" w:type="dxa"/>
                  <w:vAlign w:val="center"/>
                </w:tcPr>
                <w:p w14:paraId="71A9BE0B">
                  <w:pPr>
                    <w:pStyle w:val="79"/>
                    <w:rPr>
                      <w:rFonts w:eastAsia="Times New Roman"/>
                    </w:rPr>
                  </w:pPr>
                  <w:r>
                    <w:rPr>
                      <w:rFonts w:eastAsia="Times New Roman"/>
                    </w:rPr>
                    <w:t>非甲烷</w:t>
                  </w:r>
                </w:p>
                <w:p w14:paraId="17EC9F33">
                  <w:pPr>
                    <w:pStyle w:val="79"/>
                    <w:rPr>
                      <w:rFonts w:eastAsia="Times New Roman"/>
                    </w:rPr>
                  </w:pPr>
                  <w:r>
                    <w:rPr>
                      <w:rFonts w:eastAsia="Times New Roman"/>
                    </w:rPr>
                    <w:t>总烃</w:t>
                  </w:r>
                </w:p>
              </w:tc>
              <w:tc>
                <w:tcPr>
                  <w:tcW w:w="1354" w:type="dxa"/>
                  <w:vAlign w:val="center"/>
                </w:tcPr>
                <w:p w14:paraId="6BA438AC">
                  <w:pPr>
                    <w:pStyle w:val="79"/>
                    <w:rPr>
                      <w:rFonts w:eastAsia="Times New Roman"/>
                    </w:rPr>
                  </w:pPr>
                </w:p>
              </w:tc>
              <w:tc>
                <w:tcPr>
                  <w:tcW w:w="1242" w:type="dxa"/>
                  <w:vAlign w:val="center"/>
                </w:tcPr>
                <w:p w14:paraId="161F13D3">
                  <w:pPr>
                    <w:pStyle w:val="79"/>
                    <w:rPr>
                      <w:rFonts w:eastAsiaTheme="minorEastAsia"/>
                    </w:rPr>
                  </w:pPr>
                </w:p>
              </w:tc>
              <w:tc>
                <w:tcPr>
                  <w:tcW w:w="1486" w:type="dxa"/>
                  <w:vAlign w:val="center"/>
                </w:tcPr>
                <w:p w14:paraId="41484A83">
                  <w:pPr>
                    <w:pStyle w:val="79"/>
                    <w:rPr>
                      <w:rFonts w:eastAsiaTheme="minorEastAsia"/>
                    </w:rPr>
                  </w:pPr>
                </w:p>
              </w:tc>
              <w:tc>
                <w:tcPr>
                  <w:tcW w:w="723" w:type="dxa"/>
                  <w:vAlign w:val="center"/>
                </w:tcPr>
                <w:p w14:paraId="0D5F5AA9">
                  <w:pPr>
                    <w:pStyle w:val="79"/>
                    <w:rPr>
                      <w:rFonts w:eastAsia="Times New Roman"/>
                    </w:rPr>
                  </w:pPr>
                </w:p>
              </w:tc>
              <w:tc>
                <w:tcPr>
                  <w:tcW w:w="849" w:type="dxa"/>
                  <w:vAlign w:val="center"/>
                </w:tcPr>
                <w:p w14:paraId="1E25BB6C">
                  <w:pPr>
                    <w:pStyle w:val="79"/>
                    <w:rPr>
                      <w:rFonts w:eastAsia="Times New Roman"/>
                    </w:rPr>
                  </w:pPr>
                </w:p>
              </w:tc>
            </w:tr>
          </w:tbl>
          <w:p w14:paraId="49AA673F">
            <w:pPr>
              <w:pStyle w:val="117"/>
              <w:ind w:firstLine="480"/>
              <w:rPr>
                <w:u w:val="single"/>
              </w:rPr>
            </w:pPr>
            <w:r>
              <w:rPr>
                <w:rFonts w:hint="eastAsia"/>
              </w:rPr>
              <w:t>由上表可知，项目评价区域非甲烷总烃监测结果达到《大气污染物综合排放标准详解》中的参照标准限值</w:t>
            </w:r>
            <w:r>
              <w:t>，</w:t>
            </w:r>
            <w:r>
              <w:rPr>
                <w:rFonts w:hint="eastAsia"/>
              </w:rPr>
              <w:t>T</w:t>
            </w:r>
            <w:r>
              <w:t>SP</w:t>
            </w:r>
            <w:r>
              <w:rPr>
                <w:rFonts w:hint="eastAsia"/>
              </w:rPr>
              <w:t>监测结果达到《环境空气质量标准》（</w:t>
            </w:r>
            <w:r>
              <w:t>GB3095-20</w:t>
            </w:r>
            <w:r>
              <w:rPr>
                <w:rFonts w:hint="eastAsia"/>
              </w:rPr>
              <w:t>26）浓度限值要求，</w:t>
            </w:r>
            <w:r>
              <w:t>项目所在区域</w:t>
            </w:r>
            <w:r>
              <w:rPr>
                <w:rFonts w:hint="eastAsia"/>
              </w:rPr>
              <w:t>大气</w:t>
            </w:r>
            <w:r>
              <w:t>环境质量现状较好。</w:t>
            </w:r>
            <w:bookmarkEnd w:id="34"/>
          </w:p>
          <w:p w14:paraId="2947B6DA">
            <w:pPr>
              <w:pStyle w:val="9"/>
              <w:ind w:firstLine="482"/>
            </w:pPr>
            <w:r>
              <w:t>2、地表水环境质量现状评价</w:t>
            </w:r>
          </w:p>
          <w:p w14:paraId="3F3E904D">
            <w:pPr>
              <w:pStyle w:val="117"/>
              <w:ind w:firstLine="480"/>
            </w:pPr>
            <w:r>
              <w:rPr>
                <w:rFonts w:hint="eastAsia"/>
              </w:rPr>
              <w:t>项目周边地表水体为北面约970m处的洛清江，执行《地表水环境质量标准》（GB3838-2002）Ⅲ类标准。根据柳州市生态环境局公布的《2024年柳州市生态环境状况公报》，2024年，柳州市19个国控、非国控断面水质1-12月均达到或优于《地表水环境质量标准》（GB3838-2002）II类水质标准。10个国控断面中，年均评价为I类水质的断面5个、II类水质的断面5个。本项目评价河段水环境功能区水质达标。</w:t>
            </w:r>
          </w:p>
          <w:p w14:paraId="5E32C245">
            <w:pPr>
              <w:pStyle w:val="9"/>
              <w:ind w:firstLine="482"/>
            </w:pPr>
            <w:r>
              <w:t>3</w:t>
            </w:r>
            <w:r>
              <w:rPr>
                <w:rFonts w:hint="eastAsia"/>
              </w:rPr>
              <w:t>、声环境质量现状评价</w:t>
            </w:r>
          </w:p>
          <w:p w14:paraId="5C53CB46">
            <w:pPr>
              <w:pStyle w:val="117"/>
              <w:ind w:firstLine="480"/>
            </w:pPr>
            <w:r>
              <w:rPr>
                <w:rFonts w:hint="eastAsia"/>
              </w:rPr>
              <w:t>根据现场踏勘，声环境评价范围50m内无环境保护目标，因此，项目不对保护目标声环境质量现状进行监测及评价。</w:t>
            </w:r>
          </w:p>
          <w:p w14:paraId="15AA2016">
            <w:pPr>
              <w:pStyle w:val="9"/>
              <w:ind w:firstLine="482"/>
            </w:pPr>
            <w:r>
              <w:t>4</w:t>
            </w:r>
            <w:r>
              <w:rPr>
                <w:rFonts w:hint="eastAsia"/>
              </w:rPr>
              <w:t>、生态环境质量现状</w:t>
            </w:r>
          </w:p>
          <w:p w14:paraId="3A9DB5CC">
            <w:pPr>
              <w:pStyle w:val="117"/>
              <w:ind w:firstLine="480"/>
            </w:pPr>
            <w:r>
              <w:rPr>
                <w:rFonts w:hint="eastAsia"/>
              </w:rPr>
              <w:t>本项目位于工业园区，项目周边没有国家和地方重点保护的植物种类和珍稀物种，也未发现国家和地方重点保护的野生动物及珍稀野生动物。</w:t>
            </w:r>
          </w:p>
        </w:tc>
      </w:tr>
      <w:tr w14:paraId="450934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37" w:hRule="atLeast"/>
          <w:jc w:val="center"/>
        </w:trPr>
        <w:tc>
          <w:tcPr>
            <w:tcW w:w="384" w:type="pct"/>
            <w:vAlign w:val="center"/>
          </w:tcPr>
          <w:p w14:paraId="6AD19D82">
            <w:pPr>
              <w:pStyle w:val="87"/>
            </w:pPr>
            <w:r>
              <w:rPr>
                <w:rFonts w:hint="eastAsia"/>
              </w:rPr>
              <w:t>环境保护目标</w:t>
            </w:r>
          </w:p>
        </w:tc>
        <w:tc>
          <w:tcPr>
            <w:tcW w:w="4616" w:type="pct"/>
          </w:tcPr>
          <w:p w14:paraId="0694755F">
            <w:pPr>
              <w:pStyle w:val="117"/>
              <w:ind w:firstLine="480"/>
            </w:pPr>
            <w:r>
              <w:rPr>
                <w:rFonts w:hint="eastAsia"/>
              </w:rPr>
              <w:t>一、大气环境保护目标</w:t>
            </w:r>
          </w:p>
          <w:p w14:paraId="08677BC8">
            <w:pPr>
              <w:pStyle w:val="117"/>
              <w:ind w:firstLine="480"/>
            </w:pPr>
            <w:r>
              <w:rPr>
                <w:rFonts w:hint="eastAsia"/>
              </w:rPr>
              <w:t>项目周边500m范围内的大气环境敏感目标为项目东北面140m处的大塘屯。</w:t>
            </w:r>
          </w:p>
          <w:p w14:paraId="050458F7">
            <w:pPr>
              <w:pStyle w:val="117"/>
              <w:ind w:firstLine="480"/>
            </w:pPr>
            <w:r>
              <w:rPr>
                <w:rFonts w:hint="eastAsia"/>
              </w:rPr>
              <w:t>二、地表水环境保护目标</w:t>
            </w:r>
          </w:p>
          <w:p w14:paraId="12D59CC7">
            <w:pPr>
              <w:pStyle w:val="117"/>
              <w:ind w:firstLine="480"/>
            </w:pPr>
            <w:r>
              <w:rPr>
                <w:rFonts w:hint="eastAsia"/>
              </w:rPr>
              <w:t>根据现场调查，距项目最近的主要地表水体为项目北面970m处的洛清江。</w:t>
            </w:r>
          </w:p>
          <w:p w14:paraId="27EC35BE">
            <w:pPr>
              <w:pStyle w:val="117"/>
              <w:ind w:firstLine="480"/>
            </w:pPr>
            <w:r>
              <w:rPr>
                <w:rFonts w:hint="eastAsia"/>
              </w:rPr>
              <w:t>三、声环境保护目标</w:t>
            </w:r>
          </w:p>
          <w:p w14:paraId="2BD67D63">
            <w:pPr>
              <w:pStyle w:val="117"/>
              <w:ind w:firstLine="480"/>
            </w:pPr>
            <w:r>
              <w:rPr>
                <w:rFonts w:hint="eastAsia"/>
              </w:rPr>
              <w:t>本项目厂界外50米范围内无声环境保护目标。</w:t>
            </w:r>
          </w:p>
          <w:p w14:paraId="5E94FDC1">
            <w:pPr>
              <w:pStyle w:val="117"/>
              <w:ind w:firstLine="480"/>
            </w:pPr>
            <w:r>
              <w:rPr>
                <w:rFonts w:hint="eastAsia"/>
              </w:rPr>
              <w:t>四、地下水环境保护目标</w:t>
            </w:r>
          </w:p>
          <w:p w14:paraId="14D7B733">
            <w:pPr>
              <w:pStyle w:val="117"/>
              <w:ind w:firstLine="480"/>
            </w:pPr>
            <w:r>
              <w:rPr>
                <w:rFonts w:hint="eastAsia"/>
              </w:rPr>
              <w:t>本项目所在地区500米范围内无地下水集中式饮用水水源和热水、矿泉水、温泉等特殊地下水资源。</w:t>
            </w:r>
          </w:p>
          <w:p w14:paraId="329BCA16">
            <w:pPr>
              <w:pStyle w:val="117"/>
              <w:ind w:firstLine="480"/>
            </w:pPr>
            <w:r>
              <w:rPr>
                <w:rFonts w:hint="eastAsia"/>
              </w:rPr>
              <w:t>五、生态保护目标</w:t>
            </w:r>
          </w:p>
          <w:p w14:paraId="1DA48E6D">
            <w:pPr>
              <w:pStyle w:val="117"/>
              <w:ind w:firstLine="480"/>
            </w:pPr>
            <w:r>
              <w:rPr>
                <w:rFonts w:hint="eastAsia"/>
              </w:rPr>
              <w:t>本项目租用现有厂房，无新增建设用地，不涉及生态环境保护目标。</w:t>
            </w:r>
          </w:p>
          <w:p w14:paraId="4CF8BCAB">
            <w:pPr>
              <w:pStyle w:val="117"/>
              <w:ind w:firstLine="480"/>
            </w:pPr>
            <w:r>
              <w:rPr>
                <w:rFonts w:hint="eastAsia"/>
              </w:rPr>
              <w:t>六、土壤环境保护目标</w:t>
            </w:r>
          </w:p>
          <w:p w14:paraId="7D6ADA7D">
            <w:pPr>
              <w:pStyle w:val="117"/>
              <w:ind w:firstLine="480"/>
            </w:pPr>
            <w:r>
              <w:rPr>
                <w:rFonts w:hint="eastAsia"/>
              </w:rPr>
              <w:t>项目租用现有工业厂房，厂区地面均已硬化，项目用地范围内不存在土壤环境保护目标。</w:t>
            </w:r>
          </w:p>
          <w:p w14:paraId="074CDC9C">
            <w:pPr>
              <w:pStyle w:val="117"/>
              <w:ind w:firstLine="480"/>
            </w:pPr>
            <w:r>
              <w:rPr>
                <w:rFonts w:hint="eastAsia"/>
              </w:rPr>
              <w:t>项目环境保护目标详见下表。</w:t>
            </w:r>
          </w:p>
          <w:p w14:paraId="2AB7EF11">
            <w:pPr>
              <w:pStyle w:val="87"/>
            </w:pPr>
            <w:r>
              <w:rPr>
                <w:rFonts w:hint="eastAsia"/>
              </w:rPr>
              <w:t xml:space="preserve">表3-4  </w:t>
            </w:r>
            <w:r>
              <w:t>项目主要保护目标表</w:t>
            </w:r>
          </w:p>
          <w:tbl>
            <w:tblPr>
              <w:tblStyle w:val="39"/>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0"/>
              <w:gridCol w:w="803"/>
              <w:gridCol w:w="685"/>
              <w:gridCol w:w="1110"/>
              <w:gridCol w:w="1090"/>
              <w:gridCol w:w="919"/>
              <w:gridCol w:w="3064"/>
            </w:tblGrid>
            <w:tr w14:paraId="48C285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6D5B20F6">
                  <w:pPr>
                    <w:pStyle w:val="79"/>
                  </w:pPr>
                  <w:r>
                    <w:t>环境要素</w:t>
                  </w:r>
                </w:p>
              </w:tc>
              <w:tc>
                <w:tcPr>
                  <w:tcW w:w="0" w:type="auto"/>
                  <w:vAlign w:val="center"/>
                </w:tcPr>
                <w:p w14:paraId="5C0C69A3">
                  <w:pPr>
                    <w:pStyle w:val="79"/>
                  </w:pPr>
                  <w:r>
                    <w:t>保护目标</w:t>
                  </w:r>
                </w:p>
              </w:tc>
              <w:tc>
                <w:tcPr>
                  <w:tcW w:w="613" w:type="dxa"/>
                  <w:vAlign w:val="center"/>
                </w:tcPr>
                <w:p w14:paraId="633D7E2F">
                  <w:pPr>
                    <w:pStyle w:val="79"/>
                  </w:pPr>
                  <w:r>
                    <w:t>方位</w:t>
                  </w:r>
                </w:p>
              </w:tc>
              <w:tc>
                <w:tcPr>
                  <w:tcW w:w="993" w:type="dxa"/>
                  <w:vAlign w:val="center"/>
                </w:tcPr>
                <w:p w14:paraId="491EC776">
                  <w:pPr>
                    <w:pStyle w:val="79"/>
                  </w:pPr>
                  <w:r>
                    <w:t>距离（m）</w:t>
                  </w:r>
                </w:p>
              </w:tc>
              <w:tc>
                <w:tcPr>
                  <w:tcW w:w="0" w:type="auto"/>
                  <w:vAlign w:val="center"/>
                </w:tcPr>
                <w:p w14:paraId="3CD6D368">
                  <w:pPr>
                    <w:pStyle w:val="79"/>
                  </w:pPr>
                  <w:r>
                    <w:t>环境特征描述</w:t>
                  </w:r>
                </w:p>
              </w:tc>
              <w:tc>
                <w:tcPr>
                  <w:tcW w:w="919" w:type="dxa"/>
                  <w:vAlign w:val="center"/>
                </w:tcPr>
                <w:p w14:paraId="187918F2">
                  <w:pPr>
                    <w:pStyle w:val="79"/>
                  </w:pPr>
                  <w:r>
                    <w:t>饮用水</w:t>
                  </w:r>
                </w:p>
              </w:tc>
              <w:tc>
                <w:tcPr>
                  <w:tcW w:w="3064" w:type="dxa"/>
                  <w:vAlign w:val="center"/>
                </w:tcPr>
                <w:p w14:paraId="78BEBF6C">
                  <w:pPr>
                    <w:pStyle w:val="79"/>
                  </w:pPr>
                  <w:r>
                    <w:t>环境保护级别</w:t>
                  </w:r>
                </w:p>
              </w:tc>
            </w:tr>
            <w:tr w14:paraId="47A18E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69819AFD">
                  <w:pPr>
                    <w:pStyle w:val="79"/>
                  </w:pPr>
                  <w:r>
                    <w:t>大气环境</w:t>
                  </w:r>
                </w:p>
              </w:tc>
              <w:tc>
                <w:tcPr>
                  <w:tcW w:w="0" w:type="auto"/>
                  <w:vAlign w:val="center"/>
                </w:tcPr>
                <w:p w14:paraId="2C23D3F2">
                  <w:pPr>
                    <w:pStyle w:val="79"/>
                  </w:pPr>
                  <w:r>
                    <w:t>大塘屯</w:t>
                  </w:r>
                </w:p>
              </w:tc>
              <w:tc>
                <w:tcPr>
                  <w:tcW w:w="613" w:type="dxa"/>
                  <w:vAlign w:val="center"/>
                </w:tcPr>
                <w:p w14:paraId="7586C44D">
                  <w:pPr>
                    <w:pStyle w:val="79"/>
                  </w:pPr>
                  <w:r>
                    <w:t>东北</w:t>
                  </w:r>
                </w:p>
              </w:tc>
              <w:tc>
                <w:tcPr>
                  <w:tcW w:w="993" w:type="dxa"/>
                  <w:vAlign w:val="center"/>
                </w:tcPr>
                <w:p w14:paraId="4E25B28F">
                  <w:pPr>
                    <w:pStyle w:val="79"/>
                  </w:pPr>
                  <w:r>
                    <w:rPr>
                      <w:rFonts w:hint="eastAsia"/>
                    </w:rPr>
                    <w:t>140</w:t>
                  </w:r>
                </w:p>
              </w:tc>
              <w:tc>
                <w:tcPr>
                  <w:tcW w:w="0" w:type="auto"/>
                  <w:vAlign w:val="center"/>
                </w:tcPr>
                <w:p w14:paraId="17400A11">
                  <w:pPr>
                    <w:pStyle w:val="79"/>
                  </w:pPr>
                  <w:r>
                    <w:rPr>
                      <w:rFonts w:hint="eastAsia"/>
                    </w:rPr>
                    <w:t>200</w:t>
                  </w:r>
                  <w:r>
                    <w:t>人</w:t>
                  </w:r>
                </w:p>
              </w:tc>
              <w:tc>
                <w:tcPr>
                  <w:tcW w:w="919" w:type="dxa"/>
                  <w:vAlign w:val="center"/>
                </w:tcPr>
                <w:p w14:paraId="0ECEFA28">
                  <w:pPr>
                    <w:pStyle w:val="79"/>
                  </w:pPr>
                  <w:r>
                    <w:rPr>
                      <w:rFonts w:hint="eastAsia"/>
                    </w:rPr>
                    <w:t>自来水</w:t>
                  </w:r>
                </w:p>
              </w:tc>
              <w:tc>
                <w:tcPr>
                  <w:tcW w:w="3064" w:type="dxa"/>
                  <w:vAlign w:val="center"/>
                </w:tcPr>
                <w:p w14:paraId="355F8B0D">
                  <w:pPr>
                    <w:pStyle w:val="79"/>
                  </w:pPr>
                  <w:r>
                    <w:t>《</w:t>
                  </w:r>
                  <w:r>
                    <w:rPr>
                      <w:rFonts w:hint="eastAsia"/>
                    </w:rPr>
                    <w:t>环境空气质量标准</w:t>
                  </w:r>
                  <w:r>
                    <w:t>》</w:t>
                  </w:r>
                </w:p>
                <w:p w14:paraId="2D66463E">
                  <w:pPr>
                    <w:pStyle w:val="79"/>
                  </w:pPr>
                  <w:r>
                    <w:rPr>
                      <w:rFonts w:hint="eastAsia"/>
                    </w:rPr>
                    <w:t>（GB3095-2026）二级标准</w:t>
                  </w:r>
                </w:p>
              </w:tc>
            </w:tr>
            <w:tr w14:paraId="3CA334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1BD7D2B4">
                  <w:pPr>
                    <w:pStyle w:val="79"/>
                  </w:pPr>
                  <w:r>
                    <w:rPr>
                      <w:rFonts w:hint="eastAsia"/>
                    </w:rPr>
                    <w:t>声环境</w:t>
                  </w:r>
                </w:p>
              </w:tc>
              <w:tc>
                <w:tcPr>
                  <w:tcW w:w="0" w:type="auto"/>
                  <w:gridSpan w:val="6"/>
                  <w:vAlign w:val="center"/>
                </w:tcPr>
                <w:p w14:paraId="41BAF704">
                  <w:pPr>
                    <w:pStyle w:val="79"/>
                  </w:pPr>
                  <w:r>
                    <w:rPr>
                      <w:rFonts w:hint="eastAsia"/>
                    </w:rPr>
                    <w:t>厂界外50米范围内无声环境保护目标</w:t>
                  </w:r>
                </w:p>
              </w:tc>
            </w:tr>
            <w:tr w14:paraId="5EDDF7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5C111AF5">
                  <w:pPr>
                    <w:pStyle w:val="79"/>
                  </w:pPr>
                  <w:r>
                    <w:t>地表水</w:t>
                  </w:r>
                </w:p>
              </w:tc>
              <w:tc>
                <w:tcPr>
                  <w:tcW w:w="0" w:type="auto"/>
                  <w:vAlign w:val="center"/>
                </w:tcPr>
                <w:p w14:paraId="17441E58">
                  <w:pPr>
                    <w:pStyle w:val="79"/>
                  </w:pPr>
                  <w:r>
                    <w:rPr>
                      <w:rFonts w:hint="eastAsia"/>
                    </w:rPr>
                    <w:t>洛清江</w:t>
                  </w:r>
                </w:p>
              </w:tc>
              <w:tc>
                <w:tcPr>
                  <w:tcW w:w="613" w:type="dxa"/>
                  <w:vAlign w:val="center"/>
                </w:tcPr>
                <w:p w14:paraId="2B4CDAAE">
                  <w:pPr>
                    <w:pStyle w:val="79"/>
                  </w:pPr>
                  <w:r>
                    <w:rPr>
                      <w:rFonts w:hint="eastAsia"/>
                    </w:rPr>
                    <w:t>北</w:t>
                  </w:r>
                </w:p>
              </w:tc>
              <w:tc>
                <w:tcPr>
                  <w:tcW w:w="993" w:type="dxa"/>
                  <w:vAlign w:val="center"/>
                </w:tcPr>
                <w:p w14:paraId="3E6E0E57">
                  <w:pPr>
                    <w:pStyle w:val="79"/>
                  </w:pPr>
                  <w:r>
                    <w:rPr>
                      <w:rFonts w:hint="eastAsia"/>
                    </w:rPr>
                    <w:t>970</w:t>
                  </w:r>
                </w:p>
              </w:tc>
              <w:tc>
                <w:tcPr>
                  <w:tcW w:w="0" w:type="auto"/>
                  <w:vAlign w:val="center"/>
                </w:tcPr>
                <w:p w14:paraId="1F29043D">
                  <w:pPr>
                    <w:pStyle w:val="79"/>
                  </w:pPr>
                  <w:r>
                    <w:rPr>
                      <w:rFonts w:hint="eastAsia"/>
                    </w:rPr>
                    <w:t>/</w:t>
                  </w:r>
                </w:p>
              </w:tc>
              <w:tc>
                <w:tcPr>
                  <w:tcW w:w="919" w:type="dxa"/>
                  <w:vAlign w:val="center"/>
                </w:tcPr>
                <w:p w14:paraId="03944978">
                  <w:pPr>
                    <w:pStyle w:val="79"/>
                  </w:pPr>
                  <w:r>
                    <w:rPr>
                      <w:rFonts w:hint="eastAsia"/>
                    </w:rPr>
                    <w:t>/</w:t>
                  </w:r>
                </w:p>
              </w:tc>
              <w:tc>
                <w:tcPr>
                  <w:tcW w:w="3064" w:type="dxa"/>
                  <w:vAlign w:val="center"/>
                </w:tcPr>
                <w:p w14:paraId="6AD321A3">
                  <w:pPr>
                    <w:pStyle w:val="79"/>
                  </w:pPr>
                  <w:r>
                    <w:t>《地表水环境质量标准》</w:t>
                  </w:r>
                </w:p>
                <w:p w14:paraId="40BE4806">
                  <w:pPr>
                    <w:pStyle w:val="79"/>
                  </w:pPr>
                  <w:r>
                    <w:t>（GB3838-2002）Ⅲ类标准</w:t>
                  </w:r>
                </w:p>
              </w:tc>
            </w:tr>
            <w:tr w14:paraId="2FCAE1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047C3E13">
                  <w:pPr>
                    <w:pStyle w:val="79"/>
                  </w:pPr>
                  <w:r>
                    <w:rPr>
                      <w:rFonts w:hint="eastAsia"/>
                    </w:rPr>
                    <w:t>地下水</w:t>
                  </w:r>
                </w:p>
              </w:tc>
              <w:tc>
                <w:tcPr>
                  <w:tcW w:w="0" w:type="auto"/>
                  <w:gridSpan w:val="4"/>
                  <w:vAlign w:val="center"/>
                </w:tcPr>
                <w:p w14:paraId="2D661A9F">
                  <w:pPr>
                    <w:pStyle w:val="79"/>
                  </w:pPr>
                  <w:r>
                    <w:rPr>
                      <w:rFonts w:hint="eastAsia"/>
                    </w:rPr>
                    <w:t>厂界外500米范围内无地下水集中式饮用水水源</w:t>
                  </w:r>
                </w:p>
              </w:tc>
              <w:tc>
                <w:tcPr>
                  <w:tcW w:w="919" w:type="dxa"/>
                  <w:vAlign w:val="center"/>
                </w:tcPr>
                <w:p w14:paraId="411816AF">
                  <w:pPr>
                    <w:pStyle w:val="79"/>
                  </w:pPr>
                  <w:r>
                    <w:rPr>
                      <w:rFonts w:hint="eastAsia"/>
                    </w:rPr>
                    <w:t>/</w:t>
                  </w:r>
                </w:p>
              </w:tc>
              <w:tc>
                <w:tcPr>
                  <w:tcW w:w="3064" w:type="dxa"/>
                  <w:vAlign w:val="center"/>
                </w:tcPr>
                <w:p w14:paraId="542B1802">
                  <w:pPr>
                    <w:pStyle w:val="79"/>
                  </w:pPr>
                  <w:r>
                    <w:rPr>
                      <w:rFonts w:hint="eastAsia"/>
                    </w:rPr>
                    <w:t>《地下水质量标准》</w:t>
                  </w:r>
                </w:p>
                <w:p w14:paraId="1444D5CD">
                  <w:pPr>
                    <w:pStyle w:val="79"/>
                  </w:pPr>
                  <w:r>
                    <w:rPr>
                      <w:rFonts w:hint="eastAsia"/>
                    </w:rPr>
                    <w:t>（GB/T 14848-2017）</w:t>
                  </w:r>
                  <w:r>
                    <w:t>Ⅲ类标准</w:t>
                  </w:r>
                </w:p>
              </w:tc>
            </w:tr>
          </w:tbl>
          <w:p w14:paraId="1538F484">
            <w:pPr>
              <w:pStyle w:val="117"/>
              <w:ind w:firstLine="480"/>
            </w:pPr>
          </w:p>
        </w:tc>
      </w:tr>
      <w:tr w14:paraId="6D0A9D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384" w:type="pct"/>
            <w:tcMar>
              <w:left w:w="28" w:type="dxa"/>
              <w:right w:w="28" w:type="dxa"/>
            </w:tcMar>
            <w:vAlign w:val="center"/>
          </w:tcPr>
          <w:p w14:paraId="0D37EBE8">
            <w:pPr>
              <w:pStyle w:val="87"/>
            </w:pPr>
            <w:r>
              <w:rPr>
                <w:rFonts w:hint="eastAsia"/>
              </w:rPr>
              <w:t>污染物排放控制标准</w:t>
            </w:r>
          </w:p>
        </w:tc>
        <w:tc>
          <w:tcPr>
            <w:tcW w:w="4616" w:type="pct"/>
            <w:vAlign w:val="center"/>
          </w:tcPr>
          <w:p w14:paraId="3561E931">
            <w:pPr>
              <w:pStyle w:val="9"/>
              <w:ind w:firstLine="482"/>
            </w:pPr>
            <w:r>
              <w:rPr>
                <w:rFonts w:hint="eastAsia"/>
              </w:rPr>
              <w:t>1、废气排放标准</w:t>
            </w:r>
          </w:p>
          <w:p w14:paraId="083BC257">
            <w:pPr>
              <w:pStyle w:val="117"/>
              <w:ind w:firstLine="480"/>
            </w:pPr>
            <w:r>
              <w:rPr>
                <w:rFonts w:hint="eastAsia"/>
              </w:rPr>
              <w:t>（1）施工期</w:t>
            </w:r>
          </w:p>
          <w:p w14:paraId="779B264B">
            <w:pPr>
              <w:pStyle w:val="117"/>
              <w:ind w:firstLine="480"/>
            </w:pPr>
            <w:r>
              <w:t>项目施工期扬尘执行《大气污染物综合排放标准》（GB16297-1996）</w:t>
            </w:r>
            <w:r>
              <w:rPr>
                <w:rFonts w:hint="eastAsia"/>
              </w:rPr>
              <w:t>表2</w:t>
            </w:r>
            <w:r>
              <w:t>中的</w:t>
            </w:r>
            <w:r>
              <w:rPr>
                <w:rFonts w:hint="eastAsia"/>
              </w:rPr>
              <w:t>颗粒物</w:t>
            </w:r>
            <w:r>
              <w:t>无组织排放监控浓度限值</w:t>
            </w:r>
            <w:r>
              <w:rPr>
                <w:rFonts w:hint="eastAsia"/>
              </w:rPr>
              <w:t>，即周界外浓度最高点粉尘浓度小于1.0mg/m</w:t>
            </w:r>
            <w:r>
              <w:rPr>
                <w:rFonts w:hint="eastAsia"/>
                <w:vertAlign w:val="superscript"/>
              </w:rPr>
              <w:t>3</w:t>
            </w:r>
            <w:r>
              <w:t>。</w:t>
            </w:r>
          </w:p>
          <w:p w14:paraId="16190F46">
            <w:pPr>
              <w:pStyle w:val="117"/>
              <w:ind w:firstLine="480"/>
            </w:pPr>
            <w:r>
              <w:rPr>
                <w:rFonts w:hint="eastAsia"/>
              </w:rPr>
              <w:t>（2）运营期</w:t>
            </w:r>
          </w:p>
          <w:p w14:paraId="5A6BA601">
            <w:pPr>
              <w:ind w:firstLine="480"/>
            </w:pPr>
            <w:r>
              <w:rPr>
                <w:rFonts w:hint="eastAsia"/>
              </w:rPr>
              <w:t>注塑生产线营运期大气污染物排放</w:t>
            </w:r>
            <w:r>
              <w:t>《</w:t>
            </w:r>
            <w:bookmarkStart w:id="35" w:name="OLE_LINK8"/>
            <w:r>
              <w:rPr>
                <w:rFonts w:hint="eastAsia"/>
              </w:rPr>
              <w:t>合成树脂工业污染物排放标准</w:t>
            </w:r>
            <w:bookmarkEnd w:id="35"/>
            <w:r>
              <w:t>》（GB31572-2015）</w:t>
            </w:r>
            <w:r>
              <w:rPr>
                <w:rFonts w:hint="eastAsia"/>
              </w:rPr>
              <w:t>中的排放</w:t>
            </w:r>
            <w:r>
              <w:t>标准</w:t>
            </w:r>
            <w:r>
              <w:rPr>
                <w:rFonts w:hint="eastAsia"/>
              </w:rPr>
              <w:t>限值，具体标准值见下表。</w:t>
            </w:r>
          </w:p>
          <w:p w14:paraId="6ECC4954">
            <w:pPr>
              <w:pStyle w:val="87"/>
            </w:pPr>
            <w:r>
              <w:rPr>
                <w:rFonts w:hint="eastAsia"/>
              </w:rPr>
              <w:t>表</w:t>
            </w:r>
            <w:r>
              <w:t>3-</w:t>
            </w:r>
            <w:r>
              <w:rPr>
                <w:rFonts w:hint="eastAsia"/>
              </w:rPr>
              <w:t xml:space="preserve">5 </w:t>
            </w:r>
            <w:r>
              <w:t xml:space="preserve"> </w:t>
            </w:r>
            <w:r>
              <w:rPr>
                <w:rFonts w:hint="eastAsia"/>
              </w:rPr>
              <w:t>合成树脂工业污染物排放标准</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03"/>
              <w:gridCol w:w="2187"/>
              <w:gridCol w:w="2311"/>
              <w:gridCol w:w="2310"/>
            </w:tblGrid>
            <w:tr w14:paraId="769BDE6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53" w:type="pct"/>
                  <w:vAlign w:val="center"/>
                </w:tcPr>
                <w:p w14:paraId="2E261AF8">
                  <w:pPr>
                    <w:pStyle w:val="79"/>
                    <w:rPr>
                      <w:rFonts w:eastAsia="Times New Roman"/>
                      <w:b/>
                      <w:bCs/>
                    </w:rPr>
                  </w:pPr>
                  <w:r>
                    <w:rPr>
                      <w:rFonts w:hint="eastAsia" w:eastAsia="Times New Roman"/>
                      <w:b/>
                      <w:bCs/>
                    </w:rPr>
                    <w:t>污染物</w:t>
                  </w:r>
                </w:p>
              </w:tc>
              <w:tc>
                <w:tcPr>
                  <w:tcW w:w="1300" w:type="pct"/>
                  <w:vAlign w:val="center"/>
                </w:tcPr>
                <w:p w14:paraId="06E574E3">
                  <w:pPr>
                    <w:pStyle w:val="79"/>
                    <w:rPr>
                      <w:rFonts w:eastAsia="Times New Roman"/>
                      <w:b/>
                      <w:bCs/>
                    </w:rPr>
                  </w:pPr>
                  <w:r>
                    <w:rPr>
                      <w:rFonts w:hint="eastAsia" w:eastAsia="Times New Roman"/>
                      <w:b/>
                      <w:bCs/>
                    </w:rPr>
                    <w:t>排放限值（</w:t>
                  </w:r>
                  <w:r>
                    <w:rPr>
                      <w:rFonts w:eastAsia="Times New Roman"/>
                      <w:b/>
                      <w:bCs/>
                    </w:rPr>
                    <w:t>mg/m</w:t>
                  </w:r>
                  <w:r>
                    <w:rPr>
                      <w:rFonts w:eastAsia="Times New Roman"/>
                      <w:b/>
                      <w:bCs/>
                      <w:vertAlign w:val="superscript"/>
                    </w:rPr>
                    <w:t>3</w:t>
                  </w:r>
                  <w:r>
                    <w:rPr>
                      <w:rFonts w:hint="eastAsia" w:eastAsia="Times New Roman"/>
                      <w:b/>
                      <w:bCs/>
                    </w:rPr>
                    <w:t>）</w:t>
                  </w:r>
                </w:p>
              </w:tc>
              <w:tc>
                <w:tcPr>
                  <w:tcW w:w="1374" w:type="pct"/>
                  <w:vAlign w:val="center"/>
                </w:tcPr>
                <w:p w14:paraId="2BC1E54F">
                  <w:pPr>
                    <w:pStyle w:val="79"/>
                    <w:rPr>
                      <w:rFonts w:eastAsia="Times New Roman"/>
                      <w:b/>
                      <w:bCs/>
                    </w:rPr>
                  </w:pPr>
                  <w:r>
                    <w:rPr>
                      <w:rFonts w:hint="eastAsia" w:eastAsia="Times New Roman"/>
                      <w:b/>
                      <w:bCs/>
                    </w:rPr>
                    <w:t>适用的合成树脂类型</w:t>
                  </w:r>
                </w:p>
              </w:tc>
              <w:tc>
                <w:tcPr>
                  <w:tcW w:w="1373" w:type="pct"/>
                  <w:vAlign w:val="center"/>
                </w:tcPr>
                <w:p w14:paraId="4886CE0F">
                  <w:pPr>
                    <w:pStyle w:val="79"/>
                    <w:rPr>
                      <w:rFonts w:eastAsia="Times New Roman"/>
                      <w:b/>
                      <w:bCs/>
                    </w:rPr>
                  </w:pPr>
                  <w:r>
                    <w:rPr>
                      <w:rFonts w:hint="eastAsia" w:eastAsia="Times New Roman"/>
                      <w:b/>
                      <w:bCs/>
                    </w:rPr>
                    <w:t>污染物排放监控位置</w:t>
                  </w:r>
                </w:p>
              </w:tc>
            </w:tr>
            <w:tr w14:paraId="7F2A56C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53" w:type="pct"/>
                  <w:vAlign w:val="center"/>
                </w:tcPr>
                <w:p w14:paraId="54B0F8A7">
                  <w:pPr>
                    <w:pStyle w:val="79"/>
                    <w:rPr>
                      <w:rFonts w:eastAsia="Times New Roman"/>
                    </w:rPr>
                  </w:pPr>
                  <w:r>
                    <w:rPr>
                      <w:rFonts w:hint="eastAsia" w:eastAsia="Times New Roman"/>
                    </w:rPr>
                    <w:t>颗粒物</w:t>
                  </w:r>
                </w:p>
              </w:tc>
              <w:tc>
                <w:tcPr>
                  <w:tcW w:w="1300" w:type="pct"/>
                  <w:vAlign w:val="center"/>
                </w:tcPr>
                <w:p w14:paraId="243FFEA7">
                  <w:pPr>
                    <w:pStyle w:val="79"/>
                    <w:rPr>
                      <w:rFonts w:eastAsia="Times New Roman"/>
                    </w:rPr>
                  </w:pPr>
                  <w:r>
                    <w:rPr>
                      <w:rFonts w:eastAsia="Times New Roman"/>
                    </w:rPr>
                    <w:t>30</w:t>
                  </w:r>
                </w:p>
              </w:tc>
              <w:tc>
                <w:tcPr>
                  <w:tcW w:w="1374" w:type="pct"/>
                  <w:vMerge w:val="restart"/>
                  <w:vAlign w:val="center"/>
                </w:tcPr>
                <w:p w14:paraId="46191A4B">
                  <w:pPr>
                    <w:pStyle w:val="79"/>
                    <w:rPr>
                      <w:rFonts w:eastAsia="Times New Roman"/>
                    </w:rPr>
                  </w:pPr>
                  <w:r>
                    <w:rPr>
                      <w:rFonts w:hint="eastAsia" w:eastAsia="Times New Roman"/>
                    </w:rPr>
                    <w:t>所有合成树脂</w:t>
                  </w:r>
                </w:p>
              </w:tc>
              <w:tc>
                <w:tcPr>
                  <w:tcW w:w="1373" w:type="pct"/>
                  <w:vMerge w:val="restart"/>
                  <w:vAlign w:val="center"/>
                </w:tcPr>
                <w:p w14:paraId="4C128FFA">
                  <w:pPr>
                    <w:pStyle w:val="79"/>
                    <w:rPr>
                      <w:rFonts w:eastAsia="Times New Roman"/>
                    </w:rPr>
                  </w:pPr>
                  <w:r>
                    <w:rPr>
                      <w:rFonts w:hint="eastAsia" w:eastAsia="Times New Roman"/>
                    </w:rPr>
                    <w:t>车间或生产设施排气筒</w:t>
                  </w:r>
                </w:p>
              </w:tc>
            </w:tr>
            <w:tr w14:paraId="2833C0D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953" w:type="pct"/>
                  <w:vAlign w:val="center"/>
                </w:tcPr>
                <w:p w14:paraId="164F7B17">
                  <w:pPr>
                    <w:pStyle w:val="79"/>
                    <w:rPr>
                      <w:rFonts w:eastAsia="Times New Roman"/>
                    </w:rPr>
                  </w:pPr>
                  <w:r>
                    <w:rPr>
                      <w:rFonts w:hint="eastAsia" w:eastAsia="Times New Roman"/>
                    </w:rPr>
                    <w:t>非甲烷总烃</w:t>
                  </w:r>
                </w:p>
              </w:tc>
              <w:tc>
                <w:tcPr>
                  <w:tcW w:w="1300" w:type="pct"/>
                  <w:vAlign w:val="center"/>
                </w:tcPr>
                <w:p w14:paraId="0231EBC3">
                  <w:pPr>
                    <w:pStyle w:val="79"/>
                    <w:rPr>
                      <w:rFonts w:eastAsia="Times New Roman"/>
                    </w:rPr>
                  </w:pPr>
                  <w:r>
                    <w:rPr>
                      <w:rFonts w:hint="eastAsia" w:eastAsia="Times New Roman"/>
                    </w:rPr>
                    <w:t>1</w:t>
                  </w:r>
                  <w:r>
                    <w:rPr>
                      <w:rFonts w:eastAsia="Times New Roman"/>
                    </w:rPr>
                    <w:t>00</w:t>
                  </w:r>
                </w:p>
              </w:tc>
              <w:tc>
                <w:tcPr>
                  <w:tcW w:w="1374" w:type="pct"/>
                  <w:vMerge w:val="continue"/>
                  <w:vAlign w:val="center"/>
                </w:tcPr>
                <w:p w14:paraId="502E597A">
                  <w:pPr>
                    <w:pStyle w:val="79"/>
                    <w:rPr>
                      <w:rFonts w:eastAsia="Times New Roman"/>
                    </w:rPr>
                  </w:pPr>
                </w:p>
              </w:tc>
              <w:tc>
                <w:tcPr>
                  <w:tcW w:w="1373" w:type="pct"/>
                  <w:vMerge w:val="continue"/>
                  <w:vAlign w:val="center"/>
                </w:tcPr>
                <w:p w14:paraId="1D2B7BA9">
                  <w:pPr>
                    <w:pStyle w:val="79"/>
                    <w:rPr>
                      <w:rFonts w:eastAsia="Times New Roman"/>
                    </w:rPr>
                  </w:pPr>
                </w:p>
              </w:tc>
            </w:tr>
          </w:tbl>
          <w:p w14:paraId="6478AACD">
            <w:pPr>
              <w:pStyle w:val="117"/>
              <w:ind w:firstLine="480"/>
            </w:pPr>
            <w:r>
              <w:rPr>
                <w:rFonts w:hint="eastAsia"/>
              </w:rPr>
              <w:t>裁边、破碎工序粉尘执行</w:t>
            </w:r>
            <w:r>
              <w:t>《大气污染物综合排放标准》（GB16297-1996）中的表2的新污染源大气污染物排放限值，具体标准见</w:t>
            </w:r>
            <w:r>
              <w:rPr>
                <w:rFonts w:hint="eastAsia"/>
              </w:rPr>
              <w:t>下表</w:t>
            </w:r>
            <w:r>
              <w:t>。</w:t>
            </w:r>
          </w:p>
          <w:p w14:paraId="043D6001">
            <w:pPr>
              <w:pStyle w:val="87"/>
            </w:pPr>
            <w:r>
              <w:t>表3-</w:t>
            </w:r>
            <w:r>
              <w:rPr>
                <w:rFonts w:hint="eastAsia"/>
              </w:rPr>
              <w:t>6</w:t>
            </w:r>
            <w:r>
              <w:t xml:space="preserve">   新污染源大气污染物浓度排放限值</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870"/>
              <w:gridCol w:w="2981"/>
              <w:gridCol w:w="3560"/>
            </w:tblGrid>
            <w:tr w14:paraId="15AF40C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112" w:type="pct"/>
                  <w:vMerge w:val="restart"/>
                  <w:vAlign w:val="center"/>
                </w:tcPr>
                <w:p w14:paraId="4198BE8F">
                  <w:pPr>
                    <w:pStyle w:val="79"/>
                    <w:rPr>
                      <w:rFonts w:eastAsia="Times New Roman"/>
                      <w:b/>
                    </w:rPr>
                  </w:pPr>
                  <w:r>
                    <w:rPr>
                      <w:rFonts w:eastAsia="Times New Roman"/>
                      <w:b/>
                    </w:rPr>
                    <w:t>污染物</w:t>
                  </w:r>
                </w:p>
              </w:tc>
              <w:tc>
                <w:tcPr>
                  <w:tcW w:w="3888" w:type="pct"/>
                  <w:gridSpan w:val="2"/>
                  <w:vAlign w:val="center"/>
                </w:tcPr>
                <w:p w14:paraId="1BD356A2">
                  <w:pPr>
                    <w:pStyle w:val="79"/>
                    <w:rPr>
                      <w:rFonts w:eastAsia="Times New Roman"/>
                      <w:b/>
                    </w:rPr>
                  </w:pPr>
                  <w:r>
                    <w:rPr>
                      <w:rFonts w:eastAsia="Times New Roman"/>
                      <w:b/>
                    </w:rPr>
                    <w:t>无组织排放监控浓度值</w:t>
                  </w:r>
                </w:p>
              </w:tc>
            </w:tr>
            <w:tr w14:paraId="558FE7B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112" w:type="pct"/>
                  <w:vMerge w:val="continue"/>
                  <w:vAlign w:val="center"/>
                </w:tcPr>
                <w:p w14:paraId="7F559192">
                  <w:pPr>
                    <w:pStyle w:val="79"/>
                    <w:rPr>
                      <w:rFonts w:eastAsia="Times New Roman"/>
                    </w:rPr>
                  </w:pPr>
                </w:p>
              </w:tc>
              <w:tc>
                <w:tcPr>
                  <w:tcW w:w="1772" w:type="pct"/>
                  <w:vAlign w:val="center"/>
                </w:tcPr>
                <w:p w14:paraId="10BE887A">
                  <w:pPr>
                    <w:pStyle w:val="79"/>
                    <w:rPr>
                      <w:rFonts w:eastAsia="Times New Roman"/>
                      <w:b/>
                      <w:bCs/>
                    </w:rPr>
                  </w:pPr>
                  <w:r>
                    <w:rPr>
                      <w:rFonts w:eastAsia="Times New Roman"/>
                      <w:b/>
                      <w:bCs/>
                    </w:rPr>
                    <w:t>监控点</w:t>
                  </w:r>
                </w:p>
              </w:tc>
              <w:tc>
                <w:tcPr>
                  <w:tcW w:w="2116" w:type="pct"/>
                  <w:vAlign w:val="center"/>
                </w:tcPr>
                <w:p w14:paraId="78865C4D">
                  <w:pPr>
                    <w:pStyle w:val="79"/>
                    <w:rPr>
                      <w:rFonts w:eastAsia="Times New Roman"/>
                      <w:b/>
                      <w:bCs/>
                    </w:rPr>
                  </w:pPr>
                  <w:r>
                    <w:rPr>
                      <w:rFonts w:hint="eastAsia" w:ascii="宋体" w:hAnsi="宋体" w:eastAsia="Times New Roman" w:cs="宋体"/>
                      <w:b/>
                      <w:bCs/>
                    </w:rPr>
                    <w:t>浓度（</w:t>
                  </w:r>
                  <w:r>
                    <w:rPr>
                      <w:rFonts w:eastAsia="Times New Roman"/>
                      <w:b/>
                      <w:bCs/>
                    </w:rPr>
                    <w:t>mg/m</w:t>
                  </w:r>
                  <w:r>
                    <w:rPr>
                      <w:rFonts w:eastAsia="Times New Roman"/>
                      <w:b/>
                      <w:bCs/>
                      <w:vertAlign w:val="superscript"/>
                    </w:rPr>
                    <w:t>3</w:t>
                  </w:r>
                  <w:r>
                    <w:rPr>
                      <w:rFonts w:hint="eastAsia" w:ascii="宋体" w:hAnsi="宋体" w:eastAsia="Times New Roman" w:cs="宋体"/>
                      <w:b/>
                      <w:bCs/>
                    </w:rPr>
                    <w:t>）</w:t>
                  </w:r>
                </w:p>
              </w:tc>
            </w:tr>
            <w:tr w14:paraId="025EA6A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112" w:type="pct"/>
                  <w:vAlign w:val="center"/>
                </w:tcPr>
                <w:p w14:paraId="0CB92722">
                  <w:pPr>
                    <w:pStyle w:val="79"/>
                    <w:rPr>
                      <w:rFonts w:eastAsia="Times New Roman"/>
                    </w:rPr>
                  </w:pPr>
                  <w:r>
                    <w:rPr>
                      <w:rFonts w:hint="eastAsia" w:ascii="宋体" w:hAnsi="宋体" w:eastAsia="Times New Roman" w:cs="宋体"/>
                    </w:rPr>
                    <w:t>颗粒物</w:t>
                  </w:r>
                </w:p>
              </w:tc>
              <w:tc>
                <w:tcPr>
                  <w:tcW w:w="1772" w:type="pct"/>
                  <w:vMerge w:val="restart"/>
                  <w:vAlign w:val="center"/>
                </w:tcPr>
                <w:p w14:paraId="361EFA0D">
                  <w:pPr>
                    <w:pStyle w:val="79"/>
                    <w:rPr>
                      <w:rFonts w:eastAsia="Times New Roman"/>
                    </w:rPr>
                  </w:pPr>
                  <w:r>
                    <w:rPr>
                      <w:rFonts w:hint="eastAsia" w:ascii="宋体" w:hAnsi="宋体" w:eastAsia="Times New Roman" w:cs="宋体"/>
                    </w:rPr>
                    <w:t>周界外浓度最高点</w:t>
                  </w:r>
                </w:p>
              </w:tc>
              <w:tc>
                <w:tcPr>
                  <w:tcW w:w="2116" w:type="pct"/>
                  <w:vAlign w:val="center"/>
                </w:tcPr>
                <w:p w14:paraId="5D6B8F20">
                  <w:pPr>
                    <w:pStyle w:val="79"/>
                    <w:rPr>
                      <w:rFonts w:eastAsiaTheme="minorEastAsia"/>
                    </w:rPr>
                  </w:pPr>
                  <w:r>
                    <w:rPr>
                      <w:rFonts w:eastAsiaTheme="minorEastAsia"/>
                    </w:rPr>
                    <w:t>1.0</w:t>
                  </w:r>
                </w:p>
              </w:tc>
            </w:tr>
            <w:tr w14:paraId="7977C5E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112" w:type="pct"/>
                  <w:vAlign w:val="center"/>
                </w:tcPr>
                <w:p w14:paraId="042B2677">
                  <w:pPr>
                    <w:pStyle w:val="79"/>
                    <w:rPr>
                      <w:rFonts w:ascii="宋体" w:hAnsi="宋体" w:eastAsia="Times New Roman" w:cs="宋体"/>
                    </w:rPr>
                  </w:pPr>
                  <w:r>
                    <w:rPr>
                      <w:rFonts w:hint="eastAsia" w:ascii="宋体" w:hAnsi="宋体" w:eastAsia="Times New Roman" w:cs="宋体"/>
                    </w:rPr>
                    <w:t>非甲烷总烃</w:t>
                  </w:r>
                </w:p>
              </w:tc>
              <w:tc>
                <w:tcPr>
                  <w:tcW w:w="1772" w:type="pct"/>
                  <w:vMerge w:val="continue"/>
                  <w:vAlign w:val="center"/>
                </w:tcPr>
                <w:p w14:paraId="066F4AA6">
                  <w:pPr>
                    <w:pStyle w:val="79"/>
                    <w:rPr>
                      <w:rFonts w:ascii="宋体" w:hAnsi="宋体" w:eastAsia="Times New Roman" w:cs="宋体"/>
                    </w:rPr>
                  </w:pPr>
                </w:p>
              </w:tc>
              <w:tc>
                <w:tcPr>
                  <w:tcW w:w="2116" w:type="pct"/>
                  <w:vAlign w:val="center"/>
                </w:tcPr>
                <w:p w14:paraId="768F7B3D">
                  <w:pPr>
                    <w:pStyle w:val="79"/>
                    <w:rPr>
                      <w:rFonts w:eastAsiaTheme="minorEastAsia"/>
                    </w:rPr>
                  </w:pPr>
                  <w:r>
                    <w:rPr>
                      <w:rFonts w:hint="eastAsia" w:eastAsiaTheme="minorEastAsia"/>
                    </w:rPr>
                    <w:t>4.0</w:t>
                  </w:r>
                </w:p>
              </w:tc>
            </w:tr>
          </w:tbl>
          <w:p w14:paraId="02F013B3">
            <w:pPr>
              <w:pStyle w:val="9"/>
              <w:ind w:firstLine="482"/>
            </w:pPr>
            <w:r>
              <w:rPr>
                <w:rFonts w:hint="eastAsia"/>
              </w:rPr>
              <w:t>2、废水排放标准</w:t>
            </w:r>
          </w:p>
          <w:p w14:paraId="4F307957">
            <w:pPr>
              <w:pStyle w:val="117"/>
              <w:ind w:firstLine="480"/>
            </w:pPr>
            <w:r>
              <w:rPr>
                <w:rFonts w:hint="eastAsia"/>
              </w:rPr>
              <w:t>项目运营期间生活污水经化粪池处理达到《污水综合排放标准》（GB8978-1996）</w:t>
            </w:r>
            <w:bookmarkStart w:id="36" w:name="OLE_LINK2"/>
            <w:r>
              <w:rPr>
                <w:rFonts w:hint="eastAsia"/>
              </w:rPr>
              <w:t>三级标准</w:t>
            </w:r>
            <w:bookmarkEnd w:id="36"/>
            <w:r>
              <w:rPr>
                <w:rFonts w:hint="eastAsia"/>
              </w:rPr>
              <w:t>和鹿寨县第二污水处理厂进水水质要求</w:t>
            </w:r>
            <w:bookmarkStart w:id="37" w:name="OLE_LINK4"/>
            <w:r>
              <w:rPr>
                <w:rFonts w:hint="eastAsia"/>
              </w:rPr>
              <w:t>后排入市政污水管网，输送至鹿寨县第二污水处理厂，处理达标后排入洛清江。</w:t>
            </w:r>
            <w:bookmarkEnd w:id="37"/>
            <w:r>
              <w:rPr>
                <w:rFonts w:hint="eastAsia"/>
              </w:rPr>
              <w:t>具体限值见下表。</w:t>
            </w:r>
          </w:p>
          <w:p w14:paraId="11ABEB1B">
            <w:pPr>
              <w:pStyle w:val="87"/>
            </w:pPr>
            <w:r>
              <w:rPr>
                <w:rFonts w:hint="eastAsia"/>
              </w:rPr>
              <w:t>表3-7  《污水综合排放标准》（GB8978－1996）（单位：mg/L）</w:t>
            </w:r>
          </w:p>
          <w:tbl>
            <w:tblPr>
              <w:tblStyle w:val="39"/>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35"/>
              <w:gridCol w:w="1218"/>
              <w:gridCol w:w="1218"/>
              <w:gridCol w:w="1235"/>
              <w:gridCol w:w="1230"/>
              <w:gridCol w:w="1233"/>
              <w:gridCol w:w="1142"/>
            </w:tblGrid>
            <w:tr w14:paraId="4D87F72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75" w:type="pct"/>
                  <w:vAlign w:val="center"/>
                </w:tcPr>
                <w:p w14:paraId="0B6735E4">
                  <w:pPr>
                    <w:pStyle w:val="79"/>
                  </w:pPr>
                  <w:r>
                    <w:rPr>
                      <w:rFonts w:hint="eastAsia"/>
                    </w:rPr>
                    <w:t>项目</w:t>
                  </w:r>
                </w:p>
              </w:tc>
              <w:tc>
                <w:tcPr>
                  <w:tcW w:w="724" w:type="pct"/>
                  <w:vAlign w:val="center"/>
                </w:tcPr>
                <w:p w14:paraId="118B1F75">
                  <w:pPr>
                    <w:pStyle w:val="79"/>
                  </w:pPr>
                  <w:r>
                    <w:rPr>
                      <w:rFonts w:hint="eastAsia"/>
                    </w:rPr>
                    <w:t>pH值</w:t>
                  </w:r>
                </w:p>
              </w:tc>
              <w:tc>
                <w:tcPr>
                  <w:tcW w:w="724" w:type="pct"/>
                  <w:vAlign w:val="center"/>
                </w:tcPr>
                <w:p w14:paraId="214284C0">
                  <w:pPr>
                    <w:pStyle w:val="79"/>
                  </w:pPr>
                  <w:r>
                    <w:rPr>
                      <w:rFonts w:hint="eastAsia"/>
                    </w:rPr>
                    <w:t>SS≤</w:t>
                  </w:r>
                </w:p>
              </w:tc>
              <w:tc>
                <w:tcPr>
                  <w:tcW w:w="734" w:type="pct"/>
                  <w:vAlign w:val="center"/>
                </w:tcPr>
                <w:p w14:paraId="0FEB8AE7">
                  <w:pPr>
                    <w:pStyle w:val="79"/>
                  </w:pPr>
                  <w:r>
                    <w:t>COD</w:t>
                  </w:r>
                  <w:r>
                    <w:rPr>
                      <w:rFonts w:hint="eastAsia"/>
                      <w:vertAlign w:val="subscript"/>
                    </w:rPr>
                    <w:t>Cr</w:t>
                  </w:r>
                  <w:r>
                    <w:rPr>
                      <w:rFonts w:hint="eastAsia"/>
                    </w:rPr>
                    <w:t>≤</w:t>
                  </w:r>
                </w:p>
              </w:tc>
              <w:tc>
                <w:tcPr>
                  <w:tcW w:w="731" w:type="pct"/>
                  <w:vAlign w:val="center"/>
                </w:tcPr>
                <w:p w14:paraId="5A3C6887">
                  <w:pPr>
                    <w:pStyle w:val="79"/>
                  </w:pPr>
                  <w:r>
                    <w:t>BOD</w:t>
                  </w:r>
                  <w:r>
                    <w:rPr>
                      <w:vertAlign w:val="subscript"/>
                    </w:rPr>
                    <w:t>5</w:t>
                  </w:r>
                  <w:r>
                    <w:rPr>
                      <w:rFonts w:hint="eastAsia"/>
                    </w:rPr>
                    <w:t>≤</w:t>
                  </w:r>
                </w:p>
              </w:tc>
              <w:tc>
                <w:tcPr>
                  <w:tcW w:w="733" w:type="pct"/>
                  <w:vAlign w:val="center"/>
                </w:tcPr>
                <w:p w14:paraId="5A82EE1D">
                  <w:pPr>
                    <w:pStyle w:val="79"/>
                  </w:pPr>
                  <w:r>
                    <w:rPr>
                      <w:rFonts w:hint="eastAsia"/>
                    </w:rPr>
                    <w:t>NH</w:t>
                  </w:r>
                  <w:r>
                    <w:rPr>
                      <w:rFonts w:hint="eastAsia"/>
                      <w:vertAlign w:val="subscript"/>
                    </w:rPr>
                    <w:t>3</w:t>
                  </w:r>
                  <w:r>
                    <w:rPr>
                      <w:rFonts w:hint="eastAsia"/>
                    </w:rPr>
                    <w:t>-N≤</w:t>
                  </w:r>
                </w:p>
              </w:tc>
              <w:tc>
                <w:tcPr>
                  <w:tcW w:w="679" w:type="pct"/>
                  <w:vAlign w:val="center"/>
                </w:tcPr>
                <w:p w14:paraId="6BF5BE07">
                  <w:pPr>
                    <w:pStyle w:val="79"/>
                  </w:pPr>
                  <w:r>
                    <w:rPr>
                      <w:rFonts w:hint="eastAsia"/>
                    </w:rPr>
                    <w:t>动植物油</w:t>
                  </w:r>
                </w:p>
              </w:tc>
            </w:tr>
            <w:tr w14:paraId="7C2893AD">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75" w:type="pct"/>
                  <w:vAlign w:val="center"/>
                </w:tcPr>
                <w:p w14:paraId="74222AB9">
                  <w:pPr>
                    <w:pStyle w:val="79"/>
                  </w:pPr>
                  <w:r>
                    <w:rPr>
                      <w:rFonts w:hint="eastAsia"/>
                    </w:rPr>
                    <w:t>三级标准</w:t>
                  </w:r>
                </w:p>
              </w:tc>
              <w:tc>
                <w:tcPr>
                  <w:tcW w:w="724" w:type="pct"/>
                  <w:vAlign w:val="center"/>
                </w:tcPr>
                <w:p w14:paraId="5DCDEFF2">
                  <w:pPr>
                    <w:pStyle w:val="79"/>
                  </w:pPr>
                  <w:r>
                    <w:rPr>
                      <w:rFonts w:hint="eastAsia"/>
                    </w:rPr>
                    <w:t>6~9</w:t>
                  </w:r>
                </w:p>
              </w:tc>
              <w:tc>
                <w:tcPr>
                  <w:tcW w:w="724" w:type="pct"/>
                  <w:vAlign w:val="center"/>
                </w:tcPr>
                <w:p w14:paraId="407AF0C1">
                  <w:pPr>
                    <w:pStyle w:val="79"/>
                  </w:pPr>
                  <w:r>
                    <w:rPr>
                      <w:rFonts w:hint="eastAsia"/>
                    </w:rPr>
                    <w:t>400</w:t>
                  </w:r>
                </w:p>
              </w:tc>
              <w:tc>
                <w:tcPr>
                  <w:tcW w:w="734" w:type="pct"/>
                  <w:vAlign w:val="center"/>
                </w:tcPr>
                <w:p w14:paraId="4772EDC9">
                  <w:pPr>
                    <w:pStyle w:val="79"/>
                  </w:pPr>
                  <w:r>
                    <w:rPr>
                      <w:rFonts w:hint="eastAsia"/>
                    </w:rPr>
                    <w:t>500</w:t>
                  </w:r>
                </w:p>
              </w:tc>
              <w:tc>
                <w:tcPr>
                  <w:tcW w:w="731" w:type="pct"/>
                  <w:vAlign w:val="center"/>
                </w:tcPr>
                <w:p w14:paraId="1F191169">
                  <w:pPr>
                    <w:pStyle w:val="79"/>
                  </w:pPr>
                  <w:r>
                    <w:rPr>
                      <w:rFonts w:hint="eastAsia"/>
                    </w:rPr>
                    <w:t>300</w:t>
                  </w:r>
                </w:p>
              </w:tc>
              <w:tc>
                <w:tcPr>
                  <w:tcW w:w="733" w:type="pct"/>
                  <w:vAlign w:val="center"/>
                </w:tcPr>
                <w:p w14:paraId="1FBDB75F">
                  <w:pPr>
                    <w:pStyle w:val="79"/>
                  </w:pPr>
                  <w:r>
                    <w:rPr>
                      <w:rFonts w:hint="eastAsia"/>
                    </w:rPr>
                    <w:t>---</w:t>
                  </w:r>
                </w:p>
              </w:tc>
              <w:tc>
                <w:tcPr>
                  <w:tcW w:w="679" w:type="pct"/>
                  <w:vAlign w:val="center"/>
                </w:tcPr>
                <w:p w14:paraId="4C308344">
                  <w:pPr>
                    <w:pStyle w:val="79"/>
                  </w:pPr>
                  <w:r>
                    <w:rPr>
                      <w:rFonts w:hint="eastAsia"/>
                    </w:rPr>
                    <w:t>100</w:t>
                  </w:r>
                </w:p>
              </w:tc>
            </w:tr>
          </w:tbl>
          <w:p w14:paraId="3BB65B18">
            <w:pPr>
              <w:pStyle w:val="9"/>
              <w:ind w:firstLine="482"/>
            </w:pPr>
            <w:r>
              <w:t>3、噪声排放标准</w:t>
            </w:r>
          </w:p>
          <w:p w14:paraId="5DD17C50">
            <w:pPr>
              <w:ind w:firstLine="480"/>
            </w:pPr>
            <w:r>
              <w:rPr>
                <w:rFonts w:hint="eastAsia"/>
              </w:rPr>
              <w:t>（1）施工期</w:t>
            </w:r>
          </w:p>
          <w:p w14:paraId="489AE5AC">
            <w:pPr>
              <w:ind w:firstLine="480"/>
            </w:pPr>
            <w:r>
              <w:t>施工噪声执行</w:t>
            </w:r>
            <w:r>
              <w:rPr>
                <w:rFonts w:hint="eastAsia"/>
              </w:rPr>
              <w:t>《建筑施工噪声排放标准》（</w:t>
            </w:r>
            <w:r>
              <w:t>GB12523-20</w:t>
            </w:r>
            <w:r>
              <w:rPr>
                <w:rFonts w:hint="eastAsia"/>
              </w:rPr>
              <w:t>25）</w:t>
            </w:r>
            <w:r>
              <w:t>，见</w:t>
            </w:r>
            <w:r>
              <w:rPr>
                <w:rFonts w:hint="eastAsia"/>
              </w:rPr>
              <w:t>下表。</w:t>
            </w:r>
          </w:p>
          <w:p w14:paraId="7969E4CD">
            <w:pPr>
              <w:pStyle w:val="87"/>
              <w:ind w:firstLine="480"/>
            </w:pPr>
            <w:r>
              <w:t>表3-</w:t>
            </w:r>
            <w:r>
              <w:rPr>
                <w:rFonts w:hint="eastAsia"/>
              </w:rPr>
              <w:t>8   《建筑施工噪声排放标准》</w:t>
            </w:r>
            <w:r>
              <w:t xml:space="preserve">    单位：dB（A）</w:t>
            </w:r>
          </w:p>
          <w:tbl>
            <w:tblPr>
              <w:tblStyle w:val="39"/>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821"/>
              <w:gridCol w:w="2917"/>
              <w:gridCol w:w="2673"/>
            </w:tblGrid>
            <w:tr w14:paraId="06BB080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77" w:type="pct"/>
                  <w:vAlign w:val="center"/>
                </w:tcPr>
                <w:p w14:paraId="6E7B8D32">
                  <w:pPr>
                    <w:pStyle w:val="79"/>
                  </w:pPr>
                  <w:r>
                    <w:t>时段</w:t>
                  </w:r>
                </w:p>
              </w:tc>
              <w:tc>
                <w:tcPr>
                  <w:tcW w:w="1734" w:type="pct"/>
                  <w:vAlign w:val="center"/>
                </w:tcPr>
                <w:p w14:paraId="14E4B9C4">
                  <w:pPr>
                    <w:pStyle w:val="79"/>
                  </w:pPr>
                  <w:r>
                    <w:t>昼间</w:t>
                  </w:r>
                </w:p>
              </w:tc>
              <w:tc>
                <w:tcPr>
                  <w:tcW w:w="1589" w:type="pct"/>
                  <w:vAlign w:val="center"/>
                </w:tcPr>
                <w:p w14:paraId="25B75EC2">
                  <w:pPr>
                    <w:pStyle w:val="79"/>
                  </w:pPr>
                  <w:r>
                    <w:t>夜间</w:t>
                  </w:r>
                </w:p>
              </w:tc>
            </w:tr>
            <w:tr w14:paraId="61F9985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77" w:type="pct"/>
                  <w:vAlign w:val="center"/>
                </w:tcPr>
                <w:p w14:paraId="5030B0D1">
                  <w:pPr>
                    <w:pStyle w:val="79"/>
                  </w:pPr>
                  <w:r>
                    <w:t>噪声限值</w:t>
                  </w:r>
                </w:p>
              </w:tc>
              <w:tc>
                <w:tcPr>
                  <w:tcW w:w="1734" w:type="pct"/>
                  <w:vAlign w:val="center"/>
                </w:tcPr>
                <w:p w14:paraId="76FC1073">
                  <w:pPr>
                    <w:pStyle w:val="79"/>
                  </w:pPr>
                  <w:r>
                    <w:t>70</w:t>
                  </w:r>
                </w:p>
              </w:tc>
              <w:tc>
                <w:tcPr>
                  <w:tcW w:w="1589" w:type="pct"/>
                  <w:vAlign w:val="center"/>
                </w:tcPr>
                <w:p w14:paraId="3F0FF367">
                  <w:pPr>
                    <w:pStyle w:val="79"/>
                  </w:pPr>
                  <w:r>
                    <w:t>55</w:t>
                  </w:r>
                </w:p>
              </w:tc>
            </w:tr>
          </w:tbl>
          <w:p w14:paraId="3F5677AE">
            <w:pPr>
              <w:ind w:firstLine="480"/>
            </w:pPr>
            <w:r>
              <w:rPr>
                <w:rFonts w:hint="eastAsia"/>
              </w:rPr>
              <w:t>（2）营运期</w:t>
            </w:r>
          </w:p>
          <w:p w14:paraId="733A36E2">
            <w:pPr>
              <w:ind w:firstLine="480"/>
            </w:pPr>
            <w:r>
              <w:rPr>
                <w:rFonts w:hint="eastAsia"/>
              </w:rPr>
              <w:t>根据《鹿寨县声环境功能区划》，本项目所在区域划分为声环境2类区，项目在《鹿寨县声环境功能区划》中的位置详见附图6。项目运营期排放噪声执行《工业企业厂界环境噪声排放标准》（GB12348-2008）中的2类标准，具体标准值</w:t>
            </w:r>
            <w:r>
              <w:rPr>
                <w:bCs/>
              </w:rPr>
              <w:t>见</w:t>
            </w:r>
            <w:r>
              <w:rPr>
                <w:rFonts w:hint="eastAsia"/>
                <w:bCs/>
              </w:rPr>
              <w:t>下</w:t>
            </w:r>
            <w:r>
              <w:rPr>
                <w:bCs/>
              </w:rPr>
              <w:t>表</w:t>
            </w:r>
            <w:r>
              <w:rPr>
                <w:rFonts w:hint="eastAsia"/>
              </w:rPr>
              <w:t>。</w:t>
            </w:r>
          </w:p>
          <w:p w14:paraId="1B5872CA">
            <w:pPr>
              <w:pStyle w:val="87"/>
              <w:jc w:val="right"/>
            </w:pPr>
            <w:r>
              <w:t>表3-</w:t>
            </w:r>
            <w:r>
              <w:rPr>
                <w:rFonts w:hint="eastAsia"/>
              </w:rPr>
              <w:t>8</w:t>
            </w:r>
            <w:r>
              <w:t xml:space="preserve">  《</w:t>
            </w:r>
            <w:r>
              <w:rPr>
                <w:rFonts w:hint="eastAsia"/>
              </w:rPr>
              <w:t>工业企业</w:t>
            </w:r>
            <w:r>
              <w:t xml:space="preserve">厂界环境噪声排放标准》     </w:t>
            </w:r>
            <w:r>
              <w:rPr>
                <w:b w:val="0"/>
                <w:bCs/>
                <w:sz w:val="21"/>
                <w:szCs w:val="20"/>
              </w:rPr>
              <w:t>单位：dB（A）</w:t>
            </w:r>
          </w:p>
          <w:tbl>
            <w:tblPr>
              <w:tblStyle w:val="39"/>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821"/>
              <w:gridCol w:w="2917"/>
              <w:gridCol w:w="2673"/>
            </w:tblGrid>
            <w:tr w14:paraId="448A548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77" w:type="pct"/>
                  <w:vAlign w:val="center"/>
                </w:tcPr>
                <w:p w14:paraId="2B387E6F">
                  <w:pPr>
                    <w:pStyle w:val="79"/>
                    <w:rPr>
                      <w:b/>
                    </w:rPr>
                  </w:pPr>
                  <w:r>
                    <w:rPr>
                      <w:rFonts w:hint="eastAsia"/>
                      <w:b/>
                    </w:rPr>
                    <w:t>类别</w:t>
                  </w:r>
                </w:p>
              </w:tc>
              <w:tc>
                <w:tcPr>
                  <w:tcW w:w="1734" w:type="pct"/>
                  <w:vAlign w:val="center"/>
                </w:tcPr>
                <w:p w14:paraId="31573401">
                  <w:pPr>
                    <w:pStyle w:val="79"/>
                    <w:rPr>
                      <w:b/>
                    </w:rPr>
                  </w:pPr>
                  <w:r>
                    <w:rPr>
                      <w:b/>
                    </w:rPr>
                    <w:t>昼间</w:t>
                  </w:r>
                </w:p>
              </w:tc>
              <w:tc>
                <w:tcPr>
                  <w:tcW w:w="1589" w:type="pct"/>
                  <w:vAlign w:val="center"/>
                </w:tcPr>
                <w:p w14:paraId="7972CF5E">
                  <w:pPr>
                    <w:pStyle w:val="79"/>
                    <w:rPr>
                      <w:b/>
                    </w:rPr>
                  </w:pPr>
                  <w:r>
                    <w:rPr>
                      <w:b/>
                    </w:rPr>
                    <w:t>夜间</w:t>
                  </w:r>
                </w:p>
              </w:tc>
            </w:tr>
            <w:tr w14:paraId="5C9AC12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677" w:type="pct"/>
                  <w:vAlign w:val="center"/>
                </w:tcPr>
                <w:p w14:paraId="09D9201A">
                  <w:pPr>
                    <w:pStyle w:val="79"/>
                  </w:pPr>
                  <w:r>
                    <w:rPr>
                      <w:rFonts w:hint="eastAsia"/>
                    </w:rPr>
                    <w:t>2类</w:t>
                  </w:r>
                </w:p>
              </w:tc>
              <w:tc>
                <w:tcPr>
                  <w:tcW w:w="1734" w:type="pct"/>
                  <w:vAlign w:val="center"/>
                </w:tcPr>
                <w:p w14:paraId="69B1383F">
                  <w:pPr>
                    <w:pStyle w:val="79"/>
                  </w:pPr>
                  <w:r>
                    <w:rPr>
                      <w:rFonts w:hint="eastAsia"/>
                    </w:rPr>
                    <w:t>60</w:t>
                  </w:r>
                </w:p>
              </w:tc>
              <w:tc>
                <w:tcPr>
                  <w:tcW w:w="1589" w:type="pct"/>
                  <w:vAlign w:val="center"/>
                </w:tcPr>
                <w:p w14:paraId="4EC7A892">
                  <w:pPr>
                    <w:pStyle w:val="79"/>
                  </w:pPr>
                  <w:r>
                    <w:rPr>
                      <w:rFonts w:hint="eastAsia"/>
                    </w:rPr>
                    <w:t>50</w:t>
                  </w:r>
                </w:p>
              </w:tc>
            </w:tr>
          </w:tbl>
          <w:p w14:paraId="37F0E663">
            <w:pPr>
              <w:pStyle w:val="9"/>
              <w:ind w:firstLine="482"/>
            </w:pPr>
            <w:r>
              <w:rPr>
                <w:rFonts w:hint="eastAsia"/>
              </w:rPr>
              <w:t>4、固体废物排放标准</w:t>
            </w:r>
          </w:p>
          <w:p w14:paraId="2FC3290D">
            <w:pPr>
              <w:pStyle w:val="117"/>
              <w:ind w:firstLine="480"/>
            </w:pPr>
            <w:r>
              <w:rPr>
                <w:rFonts w:hint="eastAsia"/>
              </w:rPr>
              <w:t>一般固体废物执行《一般工业固体废物贮存和填埋污染控制标准》（GB18599-2020）中规定执行；危险废物执行《危险废物贮存污染控制标准》（GB18597-20</w:t>
            </w:r>
            <w:r>
              <w:t>23</w:t>
            </w:r>
            <w:r>
              <w:rPr>
                <w:rFonts w:hint="eastAsia"/>
              </w:rPr>
              <w:t>）中规定执行；生活垃圾处置执行《中华人民共和国固体废物污染环境防治法》（2020年9月1日实施）的“第三章第三节生活垃圾污染环境的防治”的规定。</w:t>
            </w:r>
          </w:p>
        </w:tc>
      </w:tr>
      <w:tr w14:paraId="321395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0" w:hRule="atLeast"/>
          <w:jc w:val="center"/>
        </w:trPr>
        <w:tc>
          <w:tcPr>
            <w:tcW w:w="384" w:type="pct"/>
            <w:vAlign w:val="center"/>
          </w:tcPr>
          <w:p w14:paraId="4B4295E7">
            <w:pPr>
              <w:pStyle w:val="87"/>
              <w:spacing w:line="240" w:lineRule="auto"/>
            </w:pPr>
            <w:r>
              <w:rPr>
                <w:rFonts w:hint="eastAsia"/>
              </w:rPr>
              <w:t>总量控制指标</w:t>
            </w:r>
          </w:p>
        </w:tc>
        <w:tc>
          <w:tcPr>
            <w:tcW w:w="4616" w:type="pct"/>
            <w:vAlign w:val="center"/>
          </w:tcPr>
          <w:p w14:paraId="547D9875">
            <w:pPr>
              <w:spacing w:line="336" w:lineRule="auto"/>
              <w:ind w:firstLine="480"/>
            </w:pPr>
            <w:r>
              <w:rPr>
                <w:rFonts w:hint="eastAsia"/>
              </w:rPr>
              <w:t>我国“十四五”期间对二氧化硫、氮氧化物、化学需氧量、氨氮实行总量控制，在河湖、近岸海域等重点区域以及重点行业，对总氮、总磷实行污染物总量控制。</w:t>
            </w:r>
          </w:p>
          <w:p w14:paraId="714E9CAA">
            <w:pPr>
              <w:spacing w:line="336" w:lineRule="auto"/>
              <w:ind w:firstLine="480"/>
            </w:pPr>
            <w:r>
              <w:rPr>
                <w:rFonts w:hint="eastAsia"/>
              </w:rPr>
              <w:t>在大气方面，针对重点区域和行业，把工业烟粉尘、VOCs纳入到总量控制中。评价根据本项目污染源和污染物产排特点，提出本项目污染物总量控制建议指标，作为地方环境管理的依据。</w:t>
            </w:r>
          </w:p>
          <w:p w14:paraId="6FDD0FA1">
            <w:pPr>
              <w:spacing w:line="336" w:lineRule="auto"/>
              <w:ind w:firstLine="480"/>
            </w:pPr>
            <w:r>
              <w:rPr>
                <w:rFonts w:hint="eastAsia"/>
              </w:rPr>
              <w:t>根据《排污许可证申请与核发技术规范 总则》（HJ942-2018），对于大气污染物，一般排放口和无组织废气不许可排放量。项目排放大气污染物的为无组织排放，不涉及主要排放口，因此，本项目不设置大气污染物总量控制指标。</w:t>
            </w:r>
          </w:p>
          <w:p w14:paraId="0EAD86A8">
            <w:pPr>
              <w:spacing w:line="336" w:lineRule="auto"/>
              <w:ind w:firstLine="480"/>
            </w:pPr>
            <w:r>
              <w:rPr>
                <w:rFonts w:hint="eastAsia"/>
              </w:rPr>
              <w:t>项目生活污水经处理后排入鹿寨县城第二污水处理厂处理，最终排入洛清江，项目废水为间接排放，总量由污水处理厂统一控制，因此项目无需申请水污染物总量控制指标。|</w:t>
            </w:r>
          </w:p>
        </w:tc>
      </w:tr>
    </w:tbl>
    <w:p w14:paraId="345D16BE">
      <w:pPr>
        <w:pStyle w:val="2"/>
        <w:rPr>
          <w:snapToGrid w:val="0"/>
          <w:color w:val="auto"/>
        </w:rPr>
      </w:pPr>
      <w:r>
        <w:rPr>
          <w:snapToGrid w:val="0"/>
          <w:color w:val="auto"/>
          <w:sz w:val="36"/>
          <w:szCs w:val="36"/>
        </w:rPr>
        <w:br w:type="page"/>
      </w:r>
      <w:bookmarkStart w:id="38" w:name="_Toc106358053"/>
      <w:bookmarkStart w:id="39" w:name="_Toc106357936"/>
      <w:bookmarkStart w:id="40" w:name="_Toc106786251"/>
      <w:bookmarkStart w:id="41" w:name="_Toc106357850"/>
      <w:bookmarkStart w:id="42" w:name="_Toc109895245"/>
      <w:bookmarkStart w:id="43" w:name="_Toc68650491"/>
      <w:r>
        <w:rPr>
          <w:rFonts w:hint="eastAsia"/>
          <w:snapToGrid w:val="0"/>
          <w:color w:val="auto"/>
        </w:rPr>
        <w:t>四、主要环境影响和保护措施</w:t>
      </w:r>
      <w:bookmarkEnd w:id="38"/>
      <w:bookmarkEnd w:id="39"/>
      <w:bookmarkEnd w:id="40"/>
      <w:bookmarkEnd w:id="41"/>
      <w:bookmarkEnd w:id="42"/>
      <w:bookmarkEnd w:id="43"/>
    </w:p>
    <w:tbl>
      <w:tblPr>
        <w:tblStyle w:val="39"/>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16"/>
        <w:gridCol w:w="8693"/>
      </w:tblGrid>
      <w:tr w14:paraId="0A0CAC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74" w:hRule="atLeast"/>
          <w:jc w:val="center"/>
        </w:trPr>
        <w:tc>
          <w:tcPr>
            <w:tcW w:w="416" w:type="dxa"/>
            <w:tcMar>
              <w:left w:w="28" w:type="dxa"/>
              <w:right w:w="28" w:type="dxa"/>
            </w:tcMar>
            <w:vAlign w:val="center"/>
          </w:tcPr>
          <w:p w14:paraId="723E4CAA">
            <w:pPr>
              <w:pStyle w:val="87"/>
              <w:spacing w:line="240" w:lineRule="auto"/>
              <w:rPr>
                <w:color w:val="auto"/>
              </w:rPr>
            </w:pPr>
            <w:r>
              <w:rPr>
                <w:rFonts w:hint="eastAsia"/>
                <w:color w:val="auto"/>
              </w:rPr>
              <w:t>施工期环境保护措施</w:t>
            </w:r>
          </w:p>
        </w:tc>
        <w:tc>
          <w:tcPr>
            <w:tcW w:w="8693" w:type="dxa"/>
            <w:vAlign w:val="center"/>
          </w:tcPr>
          <w:p w14:paraId="5B100733">
            <w:pPr>
              <w:pStyle w:val="117"/>
              <w:ind w:firstLine="480"/>
              <w:rPr>
                <w:color w:val="auto"/>
              </w:rPr>
            </w:pPr>
            <w:r>
              <w:rPr>
                <w:rFonts w:hint="eastAsia"/>
                <w:color w:val="auto"/>
              </w:rPr>
              <w:t>项目租用现有已建成的工业厂房，仅进行设备安装，不涉及土建工程，设备安装主要产生噪声影响及少量废弃纸箱、金属零件等一般工业固废，一般工业固废经统一收集后，可回收利用的外售给废旧回收站处置，不可回收利用的交由环卫部门处置。</w:t>
            </w:r>
          </w:p>
          <w:p w14:paraId="10F109AB">
            <w:pPr>
              <w:pStyle w:val="117"/>
              <w:ind w:firstLine="480"/>
              <w:rPr>
                <w:color w:val="auto"/>
              </w:rPr>
            </w:pPr>
            <w:r>
              <w:rPr>
                <w:rFonts w:hint="eastAsia"/>
                <w:color w:val="auto"/>
              </w:rPr>
              <w:t>项目已完成主要生产设备安装，设备安装时间较短，对周边环境影响不大。项目施工期未受到环境保护投诉。</w:t>
            </w:r>
          </w:p>
        </w:tc>
      </w:tr>
      <w:tr w14:paraId="7B32CD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10" w:hRule="atLeast"/>
          <w:jc w:val="center"/>
        </w:trPr>
        <w:tc>
          <w:tcPr>
            <w:tcW w:w="416" w:type="dxa"/>
            <w:tcMar>
              <w:left w:w="28" w:type="dxa"/>
              <w:right w:w="28" w:type="dxa"/>
            </w:tcMar>
            <w:vAlign w:val="center"/>
          </w:tcPr>
          <w:p w14:paraId="233AF53E">
            <w:pPr>
              <w:pStyle w:val="87"/>
              <w:rPr>
                <w:color w:val="auto"/>
              </w:rPr>
            </w:pPr>
            <w:r>
              <w:rPr>
                <w:rFonts w:hint="eastAsia"/>
                <w:color w:val="auto"/>
              </w:rPr>
              <w:t>运营期环境影响和保护措施</w:t>
            </w:r>
          </w:p>
        </w:tc>
        <w:tc>
          <w:tcPr>
            <w:tcW w:w="8693" w:type="dxa"/>
            <w:vAlign w:val="center"/>
          </w:tcPr>
          <w:p w14:paraId="27DF1B40">
            <w:pPr>
              <w:ind w:firstLine="482"/>
              <w:rPr>
                <w:b/>
                <w:color w:val="auto"/>
              </w:rPr>
            </w:pPr>
            <w:r>
              <w:rPr>
                <w:rFonts w:hint="eastAsia"/>
                <w:b/>
                <w:color w:val="auto"/>
              </w:rPr>
              <w:t>一</w:t>
            </w:r>
            <w:r>
              <w:rPr>
                <w:b/>
                <w:color w:val="auto"/>
              </w:rPr>
              <w:t>、</w:t>
            </w:r>
            <w:r>
              <w:rPr>
                <w:rFonts w:hint="eastAsia"/>
                <w:b/>
                <w:color w:val="auto"/>
              </w:rPr>
              <w:t>大气环境</w:t>
            </w:r>
            <w:r>
              <w:rPr>
                <w:rFonts w:hint="eastAsia"/>
                <w:b/>
                <w:bCs/>
                <w:color w:val="auto"/>
              </w:rPr>
              <w:t>影响</w:t>
            </w:r>
            <w:r>
              <w:rPr>
                <w:rFonts w:hint="eastAsia"/>
                <w:b/>
                <w:color w:val="auto"/>
              </w:rPr>
              <w:t>分析</w:t>
            </w:r>
          </w:p>
          <w:p w14:paraId="352523EB">
            <w:pPr>
              <w:pStyle w:val="9"/>
              <w:ind w:firstLine="482"/>
              <w:rPr>
                <w:color w:val="auto"/>
              </w:rPr>
            </w:pPr>
            <w:r>
              <w:rPr>
                <w:rFonts w:hint="eastAsia"/>
                <w:color w:val="auto"/>
              </w:rPr>
              <w:t>1、污染源强核算</w:t>
            </w:r>
          </w:p>
          <w:p w14:paraId="6CDFB4A7">
            <w:pPr>
              <w:pStyle w:val="117"/>
              <w:ind w:firstLine="480"/>
              <w:rPr>
                <w:color w:val="auto"/>
              </w:rPr>
            </w:pPr>
            <w:r>
              <w:rPr>
                <w:rFonts w:hint="eastAsia"/>
                <w:color w:val="auto"/>
              </w:rPr>
              <w:t>（1）投料粉尘</w:t>
            </w:r>
          </w:p>
          <w:p w14:paraId="5D22530B">
            <w:pPr>
              <w:pStyle w:val="117"/>
              <w:ind w:firstLine="480"/>
              <w:rPr>
                <w:color w:val="auto"/>
              </w:rPr>
            </w:pPr>
            <w:r>
              <w:rPr>
                <w:rFonts w:hint="eastAsia"/>
                <w:color w:val="auto"/>
              </w:rPr>
              <w:t>项目使用外购塑料颗粒为原料，投料过程中会产生少量投料粉尘，主要污染因子为颗粒物。投料粉尘与原料含水率及粒径相关，投料粉尘参照《逸散性工业粉尘控制技术》（中国环境科学出版社）P168表7-1中砂型用砂的卸料产污系数，为0.015kg/t（卸料），本项目塑料颗粒用量为420t/a，则投料粉尘为0.0063t/a。投料粉尘主要在车间内无组织排放，排放量为0.0063t/a，每天投料时间约为2h，则每年投料时间为600h，排放速率0.0105kg/h。</w:t>
            </w:r>
          </w:p>
          <w:p w14:paraId="08D8A7E3">
            <w:pPr>
              <w:pStyle w:val="117"/>
              <w:ind w:firstLine="480"/>
              <w:rPr>
                <w:color w:val="auto"/>
              </w:rPr>
            </w:pPr>
            <w:r>
              <w:rPr>
                <w:rFonts w:hint="eastAsia"/>
                <w:color w:val="auto"/>
              </w:rPr>
              <w:t>（2）注塑废气</w:t>
            </w:r>
          </w:p>
          <w:p w14:paraId="7AAD6F9A">
            <w:pPr>
              <w:pStyle w:val="117"/>
              <w:ind w:firstLine="480"/>
              <w:rPr>
                <w:color w:val="auto"/>
              </w:rPr>
            </w:pPr>
            <w:r>
              <w:rPr>
                <w:rFonts w:hint="eastAsia"/>
                <w:color w:val="auto"/>
              </w:rPr>
              <w:t>投料后粒料在料筒内加热熔融，然后进行注塑工序，加热熔融及注塑过程产生注塑废气，主要成分为非甲烷总烃。根据《排放源统计调查产排污核算方法和系数手册》中的“36汽车制造业行业系数手册——树脂纤维加工——注塑件、吹塑件、搪塑件、纤维材料——树脂材料或塑料—— 注塑成型、吹塑成型、搪塑成型工序”，产污系数为1.20kg/t-原料，本项目塑料颗粒用量为420t/a，则非甲烷总烃产生量为0.504t/a。</w:t>
            </w:r>
          </w:p>
          <w:p w14:paraId="6A9F535D">
            <w:pPr>
              <w:pStyle w:val="117"/>
              <w:ind w:firstLine="480"/>
              <w:rPr>
                <w:color w:val="auto"/>
              </w:rPr>
            </w:pPr>
            <w:r>
              <w:rPr>
                <w:rFonts w:hint="eastAsia"/>
                <w:color w:val="auto"/>
              </w:rPr>
              <w:t>本项目配备集气罩对注塑废气进行收集，集气罩配套风机风量为10000m</w:t>
            </w:r>
            <w:r>
              <w:rPr>
                <w:rFonts w:hint="eastAsia"/>
                <w:color w:val="auto"/>
                <w:vertAlign w:val="superscript"/>
              </w:rPr>
              <w:t>3</w:t>
            </w:r>
            <w:r>
              <w:rPr>
                <w:rFonts w:hint="eastAsia"/>
                <w:color w:val="auto"/>
              </w:rPr>
              <w:t>/h，挥发性有机物经集气罩收集，本项目集气罩集气效率按80%计，未收集到的废气通过车间通风换气无组织排放，项目采用二级活性炭处理注塑废气，根据</w:t>
            </w:r>
            <w:bookmarkStart w:id="44" w:name="OLE_LINK11"/>
            <w:r>
              <w:rPr>
                <w:rFonts w:hint="eastAsia"/>
                <w:color w:val="auto"/>
              </w:rPr>
              <w:t>《排放源统计调查产排污核算方法和系数手册》</w:t>
            </w:r>
            <w:bookmarkEnd w:id="44"/>
            <w:r>
              <w:rPr>
                <w:rFonts w:hint="eastAsia"/>
                <w:color w:val="auto"/>
              </w:rPr>
              <w:t>中的“36汽车制造业行业系数手册”，“活性炭吸附”治理技术末端处置效率为18%，本项目设置二级活性炭吸附装置，则综合处理效率为33%。则本项目注塑车间非甲烷总烃有组织排放量为0.2701t/a，每天注塑时间为8h，则每年注塑时间为2400h，排放速率为0.1126kg/h，排放浓度为11.26mg/m</w:t>
            </w:r>
            <w:r>
              <w:rPr>
                <w:rFonts w:hint="eastAsia"/>
                <w:color w:val="auto"/>
                <w:vertAlign w:val="superscript"/>
              </w:rPr>
              <w:t>3</w:t>
            </w:r>
            <w:r>
              <w:rPr>
                <w:rFonts w:hint="eastAsia"/>
                <w:color w:val="auto"/>
              </w:rPr>
              <w:t>；无组织排放量为0.1008t/a，排放速率为0.042kg/h。</w:t>
            </w:r>
          </w:p>
          <w:p w14:paraId="7D4E10B1">
            <w:pPr>
              <w:pStyle w:val="117"/>
              <w:ind w:firstLine="480"/>
              <w:rPr>
                <w:color w:val="auto"/>
              </w:rPr>
            </w:pPr>
            <w:r>
              <w:rPr>
                <w:rFonts w:hint="eastAsia"/>
                <w:color w:val="auto"/>
              </w:rPr>
              <w:t>（3）破碎粉尘</w:t>
            </w:r>
          </w:p>
          <w:p w14:paraId="36E34472">
            <w:pPr>
              <w:pStyle w:val="117"/>
              <w:ind w:firstLine="480"/>
              <w:rPr>
                <w:color w:val="auto"/>
              </w:rPr>
            </w:pPr>
            <w:r>
              <w:rPr>
                <w:rFonts w:hint="eastAsia"/>
                <w:color w:val="auto"/>
              </w:rPr>
              <w:t>修边产生的边角料及不合格工件破碎成碎塑料片后回用于生产，该过程会产生少量粉尘，参照《排放源统计调查产排污核算方法和系数手册》中“42废弃资源综合利用行业系数手册”中的“4220非金属废料和碎屑加工处理行业产污系数”，废PE/PVC-干法破碎颗粒物产生系数为0.375kg/t-原料。根据建设单位提供资料，本项目破碎量约为20t/a，则破碎工序颗粒物产生量为0.0075t/a，该部分颗粒物粒径较大，多数在设备附近自然沉降，仅小部分粒径较小的以无组织形式排放，颗粒物自然沉降按照80%估算，则颗粒物无组织排放量为0.0015t/a，项目年破碎时间为600h，排放速率为0.0025kg/h。</w:t>
            </w:r>
          </w:p>
          <w:p w14:paraId="47C5A3DA">
            <w:pPr>
              <w:pStyle w:val="9"/>
              <w:ind w:firstLine="482"/>
              <w:rPr>
                <w:color w:val="auto"/>
              </w:rPr>
            </w:pPr>
            <w:r>
              <w:rPr>
                <w:rFonts w:hint="eastAsia"/>
                <w:color w:val="auto"/>
              </w:rPr>
              <w:t>2、废气治理措施可行性分析</w:t>
            </w:r>
          </w:p>
          <w:p w14:paraId="042BC541">
            <w:pPr>
              <w:pStyle w:val="117"/>
              <w:ind w:firstLine="480"/>
              <w:rPr>
                <w:color w:val="auto"/>
              </w:rPr>
            </w:pPr>
            <w:r>
              <w:rPr>
                <w:rFonts w:hint="eastAsia"/>
                <w:color w:val="auto"/>
              </w:rPr>
              <w:t>（1）二级活性炭可行性</w:t>
            </w:r>
          </w:p>
          <w:p w14:paraId="1E3B0709">
            <w:pPr>
              <w:pStyle w:val="117"/>
              <w:ind w:firstLine="480"/>
              <w:rPr>
                <w:color w:val="auto"/>
              </w:rPr>
            </w:pPr>
            <w:r>
              <w:rPr>
                <w:rFonts w:hint="eastAsia"/>
                <w:color w:val="auto"/>
              </w:rPr>
              <w:t>本项目注塑工序非甲烷总烃总产生量为0.504t/a，为处理注塑工序产生的非甲烷总烃，项目在注塑机设置集气罩+二级活性炭吸附装置。集气罩捕集率按80%计，废气经收集后由二级活性炭吸附装置处理，处理后经15m高DA001排气筒排放，排放量为0.270</w:t>
            </w:r>
            <w:r>
              <w:rPr>
                <w:color w:val="auto"/>
              </w:rPr>
              <w:t>1</w:t>
            </w:r>
            <w:r>
              <w:rPr>
                <w:rFonts w:hint="eastAsia"/>
                <w:color w:val="auto"/>
              </w:rPr>
              <w:t xml:space="preserve"> t/a，排放速率为0.1126 kg/h，排放浓度为11.26 mg/m³，满足《合成树脂工业污染物排放标准》（GB 31572-2015，含2024年修改单）表4限值（非甲烷总烃≤100 mg/m³）。</w:t>
            </w:r>
          </w:p>
          <w:p w14:paraId="5989B57E">
            <w:pPr>
              <w:pStyle w:val="117"/>
              <w:ind w:firstLine="480"/>
              <w:rPr>
                <w:color w:val="auto"/>
              </w:rPr>
            </w:pPr>
            <w:r>
              <w:rPr>
                <w:color w:val="auto"/>
              </w:rPr>
              <w:t>项目属于</w:t>
            </w:r>
            <w:r>
              <w:rPr>
                <w:rFonts w:hint="eastAsia"/>
                <w:color w:val="auto"/>
              </w:rPr>
              <w:t>汽车零件制造</w:t>
            </w:r>
            <w:r>
              <w:rPr>
                <w:color w:val="auto"/>
              </w:rPr>
              <w:t>，根据《</w:t>
            </w:r>
            <w:r>
              <w:rPr>
                <w:rFonts w:hint="eastAsia"/>
                <w:color w:val="auto"/>
              </w:rPr>
              <w:t>排污许可证申请与核发技术规范 汽车制造业</w:t>
            </w:r>
            <w:r>
              <w:rPr>
                <w:color w:val="auto"/>
              </w:rPr>
              <w:t>》</w:t>
            </w:r>
            <w:r>
              <w:rPr>
                <w:rFonts w:hint="eastAsia"/>
                <w:color w:val="auto"/>
              </w:rPr>
              <w:t>(HJ 971-2018)</w:t>
            </w:r>
            <w:r>
              <w:rPr>
                <w:color w:val="auto"/>
              </w:rPr>
              <w:t>，</w:t>
            </w:r>
            <w:r>
              <w:rPr>
                <w:rFonts w:hint="eastAsia"/>
                <w:color w:val="auto"/>
              </w:rPr>
              <w:t>项目使用的二级活性炭处置方案属规范表中</w:t>
            </w:r>
            <w:r>
              <w:rPr>
                <w:color w:val="auto"/>
              </w:rPr>
              <w:t>的可行技术。</w:t>
            </w:r>
            <w:r>
              <w:rPr>
                <w:rFonts w:hint="eastAsia"/>
                <w:color w:val="auto"/>
              </w:rPr>
              <w:t>根据2025年《国家污染防治技术指导目录》，本项目使用的二级活性炭处置方案不属于目录中鼓励类及低效类技术，属允许技术。</w:t>
            </w:r>
          </w:p>
          <w:p w14:paraId="130478B8">
            <w:pPr>
              <w:pStyle w:val="117"/>
              <w:ind w:firstLine="480"/>
              <w:rPr>
                <w:color w:val="auto"/>
              </w:rPr>
            </w:pPr>
            <w:r>
              <w:rPr>
                <w:rFonts w:hint="eastAsia"/>
                <w:color w:val="auto"/>
              </w:rPr>
              <w:t>（2）排气筒高度设置合理性分析</w:t>
            </w:r>
          </w:p>
          <w:p w14:paraId="2D97EB6F">
            <w:pPr>
              <w:pStyle w:val="117"/>
              <w:ind w:firstLine="480"/>
              <w:rPr>
                <w:color w:val="auto"/>
              </w:rPr>
            </w:pPr>
            <w:r>
              <w:rPr>
                <w:rFonts w:hint="eastAsia"/>
                <w:color w:val="auto"/>
              </w:rPr>
              <w:t>项目DA001排气筒设置情况见下表。</w:t>
            </w:r>
          </w:p>
          <w:p w14:paraId="382FCAD4">
            <w:pPr>
              <w:pStyle w:val="87"/>
              <w:rPr>
                <w:color w:val="auto"/>
              </w:rPr>
            </w:pPr>
            <w:r>
              <w:rPr>
                <w:rFonts w:hint="eastAsia"/>
                <w:color w:val="auto"/>
              </w:rPr>
              <w:t>表4-1  排气筒设置情况表</w:t>
            </w:r>
          </w:p>
          <w:tbl>
            <w:tblPr>
              <w:tblStyle w:val="154"/>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20"/>
              <w:gridCol w:w="1559"/>
              <w:gridCol w:w="1559"/>
              <w:gridCol w:w="992"/>
              <w:gridCol w:w="966"/>
              <w:gridCol w:w="1189"/>
              <w:gridCol w:w="1192"/>
            </w:tblGrid>
            <w:tr w14:paraId="15FFBDB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020" w:type="dxa"/>
                  <w:vMerge w:val="restart"/>
                  <w:vAlign w:val="center"/>
                </w:tcPr>
                <w:p w14:paraId="1C850820">
                  <w:pPr>
                    <w:pStyle w:val="79"/>
                    <w:rPr>
                      <w:rFonts w:eastAsia="Times New Roman"/>
                      <w:b w:val="0"/>
                      <w:color w:val="auto"/>
                    </w:rPr>
                  </w:pPr>
                  <w:r>
                    <w:rPr>
                      <w:rFonts w:hint="eastAsia" w:ascii="宋体" w:hAnsi="宋体" w:eastAsia="Times New Roman" w:cs="宋体"/>
                      <w:b/>
                      <w:color w:val="auto"/>
                    </w:rPr>
                    <w:t>编号</w:t>
                  </w:r>
                </w:p>
              </w:tc>
              <w:tc>
                <w:tcPr>
                  <w:tcW w:w="3118" w:type="dxa"/>
                  <w:gridSpan w:val="2"/>
                  <w:vAlign w:val="center"/>
                </w:tcPr>
                <w:p w14:paraId="369576B0">
                  <w:pPr>
                    <w:pStyle w:val="79"/>
                    <w:rPr>
                      <w:rFonts w:eastAsia="Times New Roman"/>
                      <w:b w:val="0"/>
                      <w:color w:val="auto"/>
                    </w:rPr>
                  </w:pPr>
                  <w:r>
                    <w:rPr>
                      <w:rFonts w:hint="eastAsia" w:ascii="宋体" w:hAnsi="宋体" w:eastAsia="Times New Roman" w:cs="宋体"/>
                      <w:b/>
                      <w:color w:val="auto"/>
                    </w:rPr>
                    <w:t>坐标</w:t>
                  </w:r>
                </w:p>
              </w:tc>
              <w:tc>
                <w:tcPr>
                  <w:tcW w:w="992" w:type="dxa"/>
                  <w:vMerge w:val="restart"/>
                  <w:vAlign w:val="center"/>
                </w:tcPr>
                <w:p w14:paraId="1EF70738">
                  <w:pPr>
                    <w:pStyle w:val="79"/>
                    <w:rPr>
                      <w:rFonts w:ascii="宋体" w:hAnsi="宋体" w:eastAsia="Times New Roman" w:cs="宋体"/>
                      <w:b/>
                      <w:color w:val="auto"/>
                    </w:rPr>
                  </w:pPr>
                  <w:r>
                    <w:rPr>
                      <w:rFonts w:hint="eastAsia" w:ascii="宋体" w:hAnsi="宋体" w:eastAsia="Times New Roman" w:cs="宋体"/>
                      <w:b/>
                      <w:color w:val="auto"/>
                    </w:rPr>
                    <w:t>高度</w:t>
                  </w:r>
                </w:p>
                <w:p w14:paraId="05DCBB8D">
                  <w:pPr>
                    <w:pStyle w:val="79"/>
                    <w:rPr>
                      <w:rFonts w:eastAsia="Times New Roman"/>
                      <w:b w:val="0"/>
                      <w:color w:val="auto"/>
                    </w:rPr>
                  </w:pPr>
                  <w:r>
                    <w:rPr>
                      <w:rFonts w:hint="eastAsia" w:ascii="宋体" w:hAnsi="宋体" w:eastAsia="Times New Roman" w:cs="宋体"/>
                      <w:b/>
                      <w:color w:val="auto"/>
                    </w:rPr>
                    <w:t>（</w:t>
                  </w:r>
                  <w:r>
                    <w:rPr>
                      <w:rFonts w:hint="eastAsia" w:eastAsia="Times New Roman"/>
                      <w:b/>
                      <w:color w:val="auto"/>
                    </w:rPr>
                    <w:t>m</w:t>
                  </w:r>
                  <w:r>
                    <w:rPr>
                      <w:rFonts w:hint="eastAsia" w:ascii="宋体" w:hAnsi="宋体" w:eastAsia="Times New Roman" w:cs="宋体"/>
                      <w:b/>
                      <w:color w:val="auto"/>
                    </w:rPr>
                    <w:t>）</w:t>
                  </w:r>
                </w:p>
              </w:tc>
              <w:tc>
                <w:tcPr>
                  <w:tcW w:w="966" w:type="dxa"/>
                  <w:vMerge w:val="restart"/>
                  <w:vAlign w:val="center"/>
                </w:tcPr>
                <w:p w14:paraId="0013B94A">
                  <w:pPr>
                    <w:pStyle w:val="79"/>
                    <w:rPr>
                      <w:rFonts w:ascii="宋体" w:hAnsi="宋体" w:eastAsia="Times New Roman" w:cs="宋体"/>
                      <w:b/>
                      <w:color w:val="auto"/>
                    </w:rPr>
                  </w:pPr>
                  <w:r>
                    <w:rPr>
                      <w:rFonts w:hint="eastAsia" w:ascii="宋体" w:hAnsi="宋体" w:eastAsia="Times New Roman" w:cs="宋体"/>
                      <w:b/>
                      <w:color w:val="auto"/>
                    </w:rPr>
                    <w:t>内径</w:t>
                  </w:r>
                </w:p>
                <w:p w14:paraId="0FB7EDAE">
                  <w:pPr>
                    <w:pStyle w:val="79"/>
                    <w:rPr>
                      <w:rFonts w:eastAsia="Times New Roman"/>
                      <w:b w:val="0"/>
                      <w:color w:val="auto"/>
                    </w:rPr>
                  </w:pPr>
                  <w:r>
                    <w:rPr>
                      <w:rFonts w:hint="eastAsia" w:ascii="宋体" w:hAnsi="宋体" w:eastAsia="Times New Roman" w:cs="宋体"/>
                      <w:b/>
                      <w:color w:val="auto"/>
                    </w:rPr>
                    <w:t>（</w:t>
                  </w:r>
                  <w:r>
                    <w:rPr>
                      <w:rFonts w:hint="eastAsia" w:eastAsia="Times New Roman"/>
                      <w:b/>
                      <w:color w:val="auto"/>
                    </w:rPr>
                    <w:t>m</w:t>
                  </w:r>
                  <w:r>
                    <w:rPr>
                      <w:rFonts w:hint="eastAsia" w:ascii="宋体" w:hAnsi="宋体" w:eastAsia="Times New Roman" w:cs="宋体"/>
                      <w:b/>
                      <w:color w:val="auto"/>
                    </w:rPr>
                    <w:t>）</w:t>
                  </w:r>
                </w:p>
              </w:tc>
              <w:tc>
                <w:tcPr>
                  <w:tcW w:w="1189" w:type="dxa"/>
                  <w:vMerge w:val="restart"/>
                  <w:vAlign w:val="center"/>
                </w:tcPr>
                <w:p w14:paraId="1E25DC9E">
                  <w:pPr>
                    <w:pStyle w:val="79"/>
                    <w:rPr>
                      <w:rFonts w:ascii="宋体" w:hAnsi="宋体" w:eastAsia="Times New Roman" w:cs="宋体"/>
                      <w:b/>
                      <w:color w:val="auto"/>
                    </w:rPr>
                  </w:pPr>
                  <w:r>
                    <w:rPr>
                      <w:rFonts w:hint="eastAsia" w:ascii="宋体" w:hAnsi="宋体" w:eastAsia="Times New Roman" w:cs="宋体"/>
                      <w:b/>
                      <w:color w:val="auto"/>
                    </w:rPr>
                    <w:t>烟气温度</w:t>
                  </w:r>
                </w:p>
                <w:p w14:paraId="2D8D6792">
                  <w:pPr>
                    <w:pStyle w:val="79"/>
                    <w:rPr>
                      <w:rFonts w:eastAsia="Times New Roman"/>
                      <w:b w:val="0"/>
                      <w:color w:val="auto"/>
                    </w:rPr>
                  </w:pPr>
                  <w:r>
                    <w:rPr>
                      <w:rFonts w:hint="eastAsia" w:ascii="宋体" w:hAnsi="宋体" w:eastAsia="Times New Roman" w:cs="宋体"/>
                      <w:b/>
                      <w:color w:val="auto"/>
                    </w:rPr>
                    <w:t>（</w:t>
                  </w:r>
                  <w:r>
                    <w:rPr>
                      <w:rFonts w:hint="eastAsia" w:eastAsia="Times New Roman"/>
                      <w:b/>
                      <w:color w:val="auto"/>
                    </w:rPr>
                    <w:t>℃</w:t>
                  </w:r>
                  <w:r>
                    <w:rPr>
                      <w:rFonts w:hint="eastAsia" w:ascii="宋体" w:hAnsi="宋体" w:eastAsia="Times New Roman" w:cs="宋体"/>
                      <w:b/>
                      <w:color w:val="auto"/>
                    </w:rPr>
                    <w:t>）</w:t>
                  </w:r>
                </w:p>
              </w:tc>
              <w:tc>
                <w:tcPr>
                  <w:tcW w:w="1192" w:type="dxa"/>
                  <w:vMerge w:val="restart"/>
                  <w:vAlign w:val="center"/>
                </w:tcPr>
                <w:p w14:paraId="24CB08F5">
                  <w:pPr>
                    <w:pStyle w:val="79"/>
                    <w:rPr>
                      <w:rFonts w:ascii="宋体" w:hAnsi="宋体" w:eastAsia="Times New Roman" w:cs="宋体"/>
                      <w:b/>
                      <w:color w:val="auto"/>
                    </w:rPr>
                  </w:pPr>
                  <w:r>
                    <w:rPr>
                      <w:rFonts w:hint="eastAsia" w:ascii="宋体" w:hAnsi="宋体" w:eastAsia="Times New Roman" w:cs="宋体"/>
                      <w:b/>
                      <w:color w:val="auto"/>
                    </w:rPr>
                    <w:t>烟气流速</w:t>
                  </w:r>
                </w:p>
                <w:p w14:paraId="1C236C55">
                  <w:pPr>
                    <w:pStyle w:val="79"/>
                    <w:rPr>
                      <w:rFonts w:eastAsia="Times New Roman"/>
                      <w:b w:val="0"/>
                      <w:color w:val="auto"/>
                    </w:rPr>
                  </w:pPr>
                  <w:r>
                    <w:rPr>
                      <w:rFonts w:hint="eastAsia" w:ascii="宋体" w:hAnsi="宋体" w:eastAsia="Times New Roman" w:cs="宋体"/>
                      <w:b/>
                      <w:color w:val="auto"/>
                    </w:rPr>
                    <w:t>（</w:t>
                  </w:r>
                  <w:r>
                    <w:rPr>
                      <w:rFonts w:hint="eastAsia" w:eastAsia="Times New Roman"/>
                      <w:b/>
                      <w:color w:val="auto"/>
                    </w:rPr>
                    <w:t>m/s</w:t>
                  </w:r>
                  <w:r>
                    <w:rPr>
                      <w:rFonts w:hint="eastAsia" w:ascii="宋体" w:hAnsi="宋体" w:eastAsia="Times New Roman" w:cs="宋体"/>
                      <w:b/>
                      <w:color w:val="auto"/>
                    </w:rPr>
                    <w:t>）</w:t>
                  </w:r>
                </w:p>
              </w:tc>
            </w:tr>
            <w:tr w14:paraId="021632C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020" w:type="dxa"/>
                  <w:vMerge w:val="continue"/>
                  <w:vAlign w:val="center"/>
                </w:tcPr>
                <w:p w14:paraId="0F1ED2BB">
                  <w:pPr>
                    <w:pStyle w:val="79"/>
                    <w:rPr>
                      <w:rFonts w:eastAsia="Times New Roman"/>
                      <w:color w:val="auto"/>
                    </w:rPr>
                  </w:pPr>
                </w:p>
              </w:tc>
              <w:tc>
                <w:tcPr>
                  <w:tcW w:w="1559" w:type="dxa"/>
                  <w:vAlign w:val="center"/>
                </w:tcPr>
                <w:p w14:paraId="2C8705F5">
                  <w:pPr>
                    <w:pStyle w:val="79"/>
                    <w:rPr>
                      <w:rFonts w:eastAsia="Times New Roman"/>
                      <w:b/>
                      <w:bCs/>
                      <w:color w:val="auto"/>
                    </w:rPr>
                  </w:pPr>
                  <w:r>
                    <w:rPr>
                      <w:rFonts w:hint="eastAsia" w:ascii="宋体" w:hAnsi="宋体" w:eastAsia="Times New Roman" w:cs="宋体"/>
                      <w:b/>
                      <w:bCs/>
                      <w:color w:val="auto"/>
                    </w:rPr>
                    <w:t>东经</w:t>
                  </w:r>
                </w:p>
              </w:tc>
              <w:tc>
                <w:tcPr>
                  <w:tcW w:w="1559" w:type="dxa"/>
                  <w:vAlign w:val="center"/>
                </w:tcPr>
                <w:p w14:paraId="52FC606B">
                  <w:pPr>
                    <w:pStyle w:val="79"/>
                    <w:rPr>
                      <w:rFonts w:eastAsia="Times New Roman"/>
                      <w:b/>
                      <w:bCs/>
                      <w:color w:val="auto"/>
                    </w:rPr>
                  </w:pPr>
                  <w:r>
                    <w:rPr>
                      <w:rFonts w:hint="eastAsia" w:ascii="宋体" w:hAnsi="宋体" w:eastAsia="Times New Roman" w:cs="宋体"/>
                      <w:b/>
                      <w:bCs/>
                      <w:color w:val="auto"/>
                    </w:rPr>
                    <w:t>北纬</w:t>
                  </w:r>
                </w:p>
              </w:tc>
              <w:tc>
                <w:tcPr>
                  <w:tcW w:w="992" w:type="dxa"/>
                  <w:vMerge w:val="continue"/>
                  <w:vAlign w:val="center"/>
                </w:tcPr>
                <w:p w14:paraId="370BCF99">
                  <w:pPr>
                    <w:pStyle w:val="79"/>
                    <w:rPr>
                      <w:rFonts w:eastAsia="Times New Roman"/>
                      <w:color w:val="auto"/>
                    </w:rPr>
                  </w:pPr>
                </w:p>
              </w:tc>
              <w:tc>
                <w:tcPr>
                  <w:tcW w:w="966" w:type="dxa"/>
                  <w:vMerge w:val="continue"/>
                  <w:vAlign w:val="center"/>
                </w:tcPr>
                <w:p w14:paraId="5B27FB8B">
                  <w:pPr>
                    <w:pStyle w:val="79"/>
                    <w:rPr>
                      <w:rFonts w:eastAsia="Times New Roman"/>
                      <w:color w:val="auto"/>
                    </w:rPr>
                  </w:pPr>
                </w:p>
              </w:tc>
              <w:tc>
                <w:tcPr>
                  <w:tcW w:w="1189" w:type="dxa"/>
                  <w:vMerge w:val="continue"/>
                  <w:vAlign w:val="center"/>
                </w:tcPr>
                <w:p w14:paraId="27E9F0F8">
                  <w:pPr>
                    <w:pStyle w:val="79"/>
                    <w:rPr>
                      <w:rFonts w:eastAsia="Times New Roman"/>
                      <w:color w:val="auto"/>
                    </w:rPr>
                  </w:pPr>
                </w:p>
              </w:tc>
              <w:tc>
                <w:tcPr>
                  <w:tcW w:w="1192" w:type="dxa"/>
                  <w:vMerge w:val="continue"/>
                  <w:vAlign w:val="center"/>
                </w:tcPr>
                <w:p w14:paraId="54CE1C08">
                  <w:pPr>
                    <w:pStyle w:val="79"/>
                    <w:rPr>
                      <w:rFonts w:eastAsia="Times New Roman"/>
                      <w:color w:val="auto"/>
                    </w:rPr>
                  </w:pPr>
                </w:p>
              </w:tc>
            </w:tr>
            <w:tr w14:paraId="18D4309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020" w:type="dxa"/>
                  <w:vAlign w:val="center"/>
                </w:tcPr>
                <w:p w14:paraId="28A5D368">
                  <w:pPr>
                    <w:pStyle w:val="79"/>
                    <w:rPr>
                      <w:rFonts w:eastAsia="Times New Roman"/>
                      <w:color w:val="auto"/>
                    </w:rPr>
                  </w:pPr>
                  <w:r>
                    <w:rPr>
                      <w:rFonts w:hint="eastAsia" w:eastAsia="Times New Roman"/>
                      <w:color w:val="auto"/>
                    </w:rPr>
                    <w:t>DA001</w:t>
                  </w:r>
                </w:p>
              </w:tc>
              <w:tc>
                <w:tcPr>
                  <w:tcW w:w="1559" w:type="dxa"/>
                  <w:vAlign w:val="center"/>
                </w:tcPr>
                <w:p w14:paraId="7CAC0696">
                  <w:pPr>
                    <w:pStyle w:val="79"/>
                    <w:rPr>
                      <w:rFonts w:eastAsia="Times New Roman"/>
                      <w:color w:val="auto"/>
                    </w:rPr>
                  </w:pPr>
                  <w:r>
                    <w:rPr>
                      <w:rFonts w:eastAsia="Times New Roman"/>
                      <w:color w:val="auto"/>
                    </w:rPr>
                    <w:t>109°40'41.677"</w:t>
                  </w:r>
                </w:p>
              </w:tc>
              <w:tc>
                <w:tcPr>
                  <w:tcW w:w="1559" w:type="dxa"/>
                  <w:vAlign w:val="center"/>
                </w:tcPr>
                <w:p w14:paraId="6E85961C">
                  <w:pPr>
                    <w:pStyle w:val="79"/>
                    <w:rPr>
                      <w:rFonts w:eastAsia="Times New Roman"/>
                      <w:color w:val="auto"/>
                    </w:rPr>
                  </w:pPr>
                  <w:r>
                    <w:rPr>
                      <w:rFonts w:eastAsia="Times New Roman"/>
                      <w:color w:val="auto"/>
                    </w:rPr>
                    <w:t>24°25'33.795"</w:t>
                  </w:r>
                </w:p>
              </w:tc>
              <w:tc>
                <w:tcPr>
                  <w:tcW w:w="992" w:type="dxa"/>
                  <w:vAlign w:val="center"/>
                </w:tcPr>
                <w:p w14:paraId="15DCA67D">
                  <w:pPr>
                    <w:pStyle w:val="79"/>
                    <w:rPr>
                      <w:rFonts w:eastAsiaTheme="minorEastAsia"/>
                      <w:color w:val="auto"/>
                    </w:rPr>
                  </w:pPr>
                  <w:r>
                    <w:rPr>
                      <w:rFonts w:hint="eastAsia" w:eastAsiaTheme="minorEastAsia"/>
                      <w:color w:val="auto"/>
                    </w:rPr>
                    <w:t>15</w:t>
                  </w:r>
                </w:p>
              </w:tc>
              <w:tc>
                <w:tcPr>
                  <w:tcW w:w="966" w:type="dxa"/>
                  <w:vAlign w:val="center"/>
                </w:tcPr>
                <w:p w14:paraId="4CEBB5B1">
                  <w:pPr>
                    <w:pStyle w:val="79"/>
                    <w:rPr>
                      <w:rFonts w:eastAsiaTheme="minorEastAsia"/>
                      <w:color w:val="auto"/>
                    </w:rPr>
                  </w:pPr>
                  <w:r>
                    <w:rPr>
                      <w:rFonts w:hint="eastAsia" w:eastAsiaTheme="minorEastAsia"/>
                      <w:color w:val="auto"/>
                    </w:rPr>
                    <w:t>0.5</w:t>
                  </w:r>
                </w:p>
              </w:tc>
              <w:tc>
                <w:tcPr>
                  <w:tcW w:w="1189" w:type="dxa"/>
                  <w:vAlign w:val="center"/>
                </w:tcPr>
                <w:p w14:paraId="09A62E8E">
                  <w:pPr>
                    <w:pStyle w:val="79"/>
                    <w:rPr>
                      <w:rFonts w:eastAsiaTheme="minorEastAsia"/>
                      <w:color w:val="auto"/>
                    </w:rPr>
                  </w:pPr>
                  <w:r>
                    <w:rPr>
                      <w:rFonts w:hint="eastAsia" w:eastAsiaTheme="minorEastAsia"/>
                      <w:color w:val="auto"/>
                    </w:rPr>
                    <w:t>60</w:t>
                  </w:r>
                </w:p>
              </w:tc>
              <w:tc>
                <w:tcPr>
                  <w:tcW w:w="1192" w:type="dxa"/>
                  <w:vAlign w:val="center"/>
                </w:tcPr>
                <w:p w14:paraId="4754BC9A">
                  <w:pPr>
                    <w:pStyle w:val="79"/>
                    <w:rPr>
                      <w:rFonts w:eastAsiaTheme="minorEastAsia"/>
                      <w:color w:val="auto"/>
                    </w:rPr>
                  </w:pPr>
                  <w:r>
                    <w:rPr>
                      <w:rFonts w:hint="eastAsia" w:eastAsiaTheme="minorEastAsia"/>
                      <w:color w:val="auto"/>
                    </w:rPr>
                    <w:t>14.15</w:t>
                  </w:r>
                </w:p>
              </w:tc>
            </w:tr>
          </w:tbl>
          <w:p w14:paraId="1F58159A">
            <w:pPr>
              <w:pStyle w:val="117"/>
              <w:ind w:firstLine="480"/>
              <w:rPr>
                <w:color w:val="auto"/>
              </w:rPr>
            </w:pPr>
            <w:r>
              <w:rPr>
                <w:rFonts w:hint="eastAsia"/>
                <w:color w:val="auto"/>
              </w:rPr>
              <w:t>DA001排气筒排放的非甲烷总烃执行根据《合成树脂工业污染物排放标准》（GB 31572-2015）。根据《合成树脂工业污染物排放标准》（GB 31572-2015）“5.4.2 废气收集系统与处理装置应符合相关安全技术要求。排气筒高度不低于15m（因安全考虑或有特殊工艺要求的，以及装置区污水池处理设施除外），具体高度以及与周围建筑物的相对高度关系应根据环境影响评价文件确定”。本项目DA001排气筒高度为15m，排气筒高度符合《合成树脂工业污染物排放标准》（GB 31572-2015）要求。</w:t>
            </w:r>
          </w:p>
          <w:p w14:paraId="11417024">
            <w:pPr>
              <w:pStyle w:val="117"/>
              <w:ind w:firstLine="480"/>
              <w:rPr>
                <w:color w:val="auto"/>
              </w:rPr>
            </w:pPr>
            <w:r>
              <w:rPr>
                <w:rFonts w:hint="eastAsia"/>
                <w:color w:val="auto"/>
              </w:rPr>
              <w:t>同时，排气筒应设置便于采样、监测并符合《固定污染源排气中颗粒物和气态污染物采样方法》（GBT16157-1996）、《固定源废气监测技术规范》（HJ/T397-2007）要求的采样口和采样平台，并且按照《环境保护图形标志》（GB15562.1-1995）的规定设置与之相适应的环境保护图形标志牌。综上所述，项目排气筒设置基本合理，各项污染物均能实现达标排放，对周边大气环境影响较小。</w:t>
            </w:r>
          </w:p>
          <w:p w14:paraId="1677DB97">
            <w:pPr>
              <w:pStyle w:val="117"/>
              <w:ind w:firstLine="480"/>
              <w:rPr>
                <w:color w:val="auto"/>
              </w:rPr>
            </w:pPr>
            <w:r>
              <w:rPr>
                <w:rFonts w:hint="eastAsia"/>
                <w:color w:val="auto"/>
              </w:rPr>
              <w:t>综上分析，本项目采取的废气污染防治措施从技术原理、处理效率、同类项目实践等方面均具有可行性。</w:t>
            </w:r>
          </w:p>
          <w:p w14:paraId="0F2FE06A">
            <w:pPr>
              <w:pStyle w:val="117"/>
              <w:ind w:firstLine="480"/>
              <w:rPr>
                <w:color w:val="auto"/>
              </w:rPr>
            </w:pPr>
            <w:r>
              <w:rPr>
                <w:color w:val="auto"/>
              </w:rPr>
              <w:t>因此</w:t>
            </w:r>
            <w:r>
              <w:rPr>
                <w:rFonts w:hint="eastAsia"/>
                <w:color w:val="auto"/>
              </w:rPr>
              <w:t>，</w:t>
            </w:r>
            <w:r>
              <w:rPr>
                <w:color w:val="auto"/>
              </w:rPr>
              <w:t>项目采取</w:t>
            </w:r>
            <w:r>
              <w:rPr>
                <w:rFonts w:hint="eastAsia"/>
                <w:color w:val="auto"/>
              </w:rPr>
              <w:t>二级活性炭</w:t>
            </w:r>
            <w:r>
              <w:rPr>
                <w:color w:val="auto"/>
              </w:rPr>
              <w:t>处理</w:t>
            </w:r>
            <w:r>
              <w:rPr>
                <w:rFonts w:hint="eastAsia"/>
                <w:color w:val="auto"/>
              </w:rPr>
              <w:t>注塑</w:t>
            </w:r>
            <w:r>
              <w:rPr>
                <w:color w:val="auto"/>
              </w:rPr>
              <w:t>废气是可行的。</w:t>
            </w:r>
          </w:p>
          <w:p w14:paraId="3AC0EA98">
            <w:pPr>
              <w:pStyle w:val="117"/>
              <w:ind w:firstLine="482"/>
              <w:rPr>
                <w:b/>
                <w:bCs w:val="0"/>
                <w:color w:val="auto"/>
              </w:rPr>
            </w:pPr>
            <w:r>
              <w:rPr>
                <w:rFonts w:hint="eastAsia"/>
                <w:b/>
                <w:bCs w:val="0"/>
                <w:color w:val="auto"/>
              </w:rPr>
              <w:t>3、非正常生产状况下废气污染源排放情况</w:t>
            </w:r>
          </w:p>
          <w:p w14:paraId="15F4A9E1">
            <w:pPr>
              <w:pStyle w:val="117"/>
              <w:ind w:firstLine="480"/>
              <w:rPr>
                <w:color w:val="auto"/>
              </w:rPr>
            </w:pPr>
            <w:r>
              <w:rPr>
                <w:color w:val="auto"/>
              </w:rPr>
              <w:t>结合项目工艺、设备及废气污染物产排特点，非正常生产状况主要是环保设施发生故障达不到应有处理效率造成。项目大气污染物非正常排放情况见下表。</w:t>
            </w:r>
          </w:p>
          <w:p w14:paraId="6625DC5A">
            <w:pPr>
              <w:pStyle w:val="87"/>
              <w:rPr>
                <w:color w:val="auto"/>
              </w:rPr>
            </w:pPr>
            <w:r>
              <w:rPr>
                <w:rFonts w:hint="eastAsia"/>
                <w:color w:val="auto"/>
              </w:rPr>
              <w:t>表4-2  大气污染物非正常排放情况一览表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59"/>
              <w:gridCol w:w="910"/>
              <w:gridCol w:w="878"/>
              <w:gridCol w:w="627"/>
              <w:gridCol w:w="1248"/>
              <w:gridCol w:w="1243"/>
              <w:gridCol w:w="999"/>
              <w:gridCol w:w="644"/>
              <w:gridCol w:w="1569"/>
            </w:tblGrid>
            <w:tr w14:paraId="1BBFA46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13" w:type="pct"/>
                  <w:vAlign w:val="center"/>
                </w:tcPr>
                <w:p w14:paraId="55834AB3">
                  <w:pPr>
                    <w:pStyle w:val="79"/>
                    <w:rPr>
                      <w:rFonts w:eastAsia="Times New Roman"/>
                      <w:b w:val="0"/>
                      <w:color w:val="auto"/>
                    </w:rPr>
                  </w:pPr>
                  <w:r>
                    <w:rPr>
                      <w:rFonts w:eastAsia="Times New Roman"/>
                      <w:b/>
                      <w:color w:val="auto"/>
                    </w:rPr>
                    <w:t>序号</w:t>
                  </w:r>
                </w:p>
              </w:tc>
              <w:tc>
                <w:tcPr>
                  <w:tcW w:w="538" w:type="pct"/>
                  <w:vAlign w:val="center"/>
                </w:tcPr>
                <w:p w14:paraId="28D5A559">
                  <w:pPr>
                    <w:pStyle w:val="79"/>
                    <w:rPr>
                      <w:rFonts w:eastAsia="Times New Roman"/>
                      <w:b w:val="0"/>
                      <w:color w:val="auto"/>
                    </w:rPr>
                  </w:pPr>
                  <w:r>
                    <w:rPr>
                      <w:rFonts w:eastAsia="Times New Roman"/>
                      <w:b/>
                      <w:color w:val="auto"/>
                    </w:rPr>
                    <w:t>污染源</w:t>
                  </w:r>
                </w:p>
              </w:tc>
              <w:tc>
                <w:tcPr>
                  <w:tcW w:w="519" w:type="pct"/>
                  <w:vAlign w:val="center"/>
                </w:tcPr>
                <w:p w14:paraId="27350586">
                  <w:pPr>
                    <w:pStyle w:val="79"/>
                    <w:rPr>
                      <w:rFonts w:eastAsia="Times New Roman"/>
                      <w:b w:val="0"/>
                      <w:color w:val="auto"/>
                    </w:rPr>
                  </w:pPr>
                  <w:r>
                    <w:rPr>
                      <w:rFonts w:eastAsia="Times New Roman"/>
                      <w:b/>
                      <w:color w:val="auto"/>
                    </w:rPr>
                    <w:t>非正常排放原因</w:t>
                  </w:r>
                </w:p>
              </w:tc>
              <w:tc>
                <w:tcPr>
                  <w:tcW w:w="371" w:type="pct"/>
                  <w:vAlign w:val="center"/>
                </w:tcPr>
                <w:p w14:paraId="3821B661">
                  <w:pPr>
                    <w:pStyle w:val="79"/>
                    <w:rPr>
                      <w:rFonts w:eastAsia="Times New Roman"/>
                      <w:b w:val="0"/>
                      <w:color w:val="auto"/>
                    </w:rPr>
                  </w:pPr>
                  <w:r>
                    <w:rPr>
                      <w:rFonts w:eastAsia="Times New Roman"/>
                      <w:b/>
                      <w:color w:val="auto"/>
                    </w:rPr>
                    <w:t>污染物</w:t>
                  </w:r>
                </w:p>
              </w:tc>
              <w:tc>
                <w:tcPr>
                  <w:tcW w:w="737" w:type="pct"/>
                  <w:vAlign w:val="center"/>
                </w:tcPr>
                <w:p w14:paraId="005E72C5">
                  <w:pPr>
                    <w:pStyle w:val="79"/>
                    <w:rPr>
                      <w:rFonts w:eastAsia="Times New Roman"/>
                      <w:b w:val="0"/>
                      <w:color w:val="auto"/>
                    </w:rPr>
                  </w:pPr>
                  <w:r>
                    <w:rPr>
                      <w:rFonts w:eastAsia="Times New Roman"/>
                      <w:b/>
                      <w:color w:val="auto"/>
                    </w:rPr>
                    <w:t>非正常排放</w:t>
                  </w:r>
                  <w:r>
                    <w:rPr>
                      <w:rFonts w:eastAsia="Times New Roman"/>
                      <w:b/>
                      <w:color w:val="auto"/>
                      <w:lang w:val="en-US"/>
                    </w:rPr>
                    <w:t>速率</w:t>
                  </w:r>
                  <w:r>
                    <w:rPr>
                      <w:rFonts w:eastAsia="Times New Roman"/>
                      <w:b/>
                      <w:color w:val="auto"/>
                    </w:rPr>
                    <w:t>（</w:t>
                  </w:r>
                  <w:r>
                    <w:rPr>
                      <w:rFonts w:eastAsia="Times New Roman"/>
                      <w:b/>
                      <w:color w:val="auto"/>
                      <w:lang w:val="en-US"/>
                    </w:rPr>
                    <w:t>kg/h</w:t>
                  </w:r>
                  <w:r>
                    <w:rPr>
                      <w:rFonts w:eastAsia="Times New Roman"/>
                      <w:b/>
                      <w:color w:val="auto"/>
                    </w:rPr>
                    <w:t>）</w:t>
                  </w:r>
                </w:p>
              </w:tc>
              <w:tc>
                <w:tcPr>
                  <w:tcW w:w="734" w:type="pct"/>
                  <w:vAlign w:val="center"/>
                </w:tcPr>
                <w:p w14:paraId="4265A6A4">
                  <w:pPr>
                    <w:pStyle w:val="79"/>
                    <w:rPr>
                      <w:rFonts w:eastAsia="Times New Roman"/>
                      <w:b w:val="0"/>
                      <w:color w:val="auto"/>
                    </w:rPr>
                  </w:pPr>
                  <w:r>
                    <w:rPr>
                      <w:rFonts w:eastAsia="Times New Roman"/>
                      <w:b/>
                      <w:color w:val="auto"/>
                    </w:rPr>
                    <w:t>非正常排放</w:t>
                  </w:r>
                  <w:r>
                    <w:rPr>
                      <w:rFonts w:eastAsia="Times New Roman"/>
                      <w:b/>
                      <w:color w:val="auto"/>
                      <w:lang w:val="en-US"/>
                    </w:rPr>
                    <w:t>浓度</w:t>
                  </w:r>
                  <w:r>
                    <w:rPr>
                      <w:rFonts w:eastAsia="Times New Roman"/>
                      <w:b/>
                      <w:color w:val="auto"/>
                    </w:rPr>
                    <w:t>（mg/m</w:t>
                  </w:r>
                  <w:r>
                    <w:rPr>
                      <w:rFonts w:eastAsia="Times New Roman"/>
                      <w:b/>
                      <w:color w:val="auto"/>
                      <w:vertAlign w:val="superscript"/>
                    </w:rPr>
                    <w:t>3</w:t>
                  </w:r>
                  <w:r>
                    <w:rPr>
                      <w:rFonts w:eastAsia="Times New Roman"/>
                      <w:b/>
                      <w:color w:val="auto"/>
                    </w:rPr>
                    <w:t>）</w:t>
                  </w:r>
                </w:p>
              </w:tc>
              <w:tc>
                <w:tcPr>
                  <w:tcW w:w="590" w:type="pct"/>
                  <w:vAlign w:val="center"/>
                </w:tcPr>
                <w:p w14:paraId="50B6A876">
                  <w:pPr>
                    <w:pStyle w:val="79"/>
                    <w:rPr>
                      <w:rFonts w:eastAsia="Times New Roman"/>
                      <w:b w:val="0"/>
                      <w:color w:val="auto"/>
                    </w:rPr>
                  </w:pPr>
                  <w:r>
                    <w:rPr>
                      <w:rFonts w:eastAsia="Times New Roman"/>
                      <w:b/>
                      <w:color w:val="auto"/>
                    </w:rPr>
                    <w:t>单次持续时间（h）</w:t>
                  </w:r>
                </w:p>
              </w:tc>
              <w:tc>
                <w:tcPr>
                  <w:tcW w:w="372" w:type="pct"/>
                  <w:vAlign w:val="center"/>
                </w:tcPr>
                <w:p w14:paraId="0A6998A7">
                  <w:pPr>
                    <w:pStyle w:val="79"/>
                    <w:rPr>
                      <w:rFonts w:eastAsia="Times New Roman"/>
                      <w:b w:val="0"/>
                      <w:color w:val="auto"/>
                    </w:rPr>
                  </w:pPr>
                  <w:r>
                    <w:rPr>
                      <w:rFonts w:eastAsia="Times New Roman"/>
                      <w:b/>
                      <w:color w:val="auto"/>
                    </w:rPr>
                    <w:t>年发生频次（次）</w:t>
                  </w:r>
                </w:p>
              </w:tc>
              <w:tc>
                <w:tcPr>
                  <w:tcW w:w="926" w:type="pct"/>
                  <w:vAlign w:val="center"/>
                </w:tcPr>
                <w:p w14:paraId="1011F3B8">
                  <w:pPr>
                    <w:pStyle w:val="79"/>
                    <w:rPr>
                      <w:rFonts w:eastAsia="Times New Roman"/>
                      <w:b w:val="0"/>
                      <w:color w:val="auto"/>
                    </w:rPr>
                  </w:pPr>
                  <w:r>
                    <w:rPr>
                      <w:rFonts w:eastAsia="Times New Roman"/>
                      <w:b/>
                      <w:color w:val="auto"/>
                    </w:rPr>
                    <w:t>应对措施</w:t>
                  </w:r>
                </w:p>
              </w:tc>
            </w:tr>
            <w:tr w14:paraId="41D02D5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13" w:type="pct"/>
                  <w:vAlign w:val="center"/>
                </w:tcPr>
                <w:p w14:paraId="2212ACA1">
                  <w:pPr>
                    <w:pStyle w:val="79"/>
                    <w:rPr>
                      <w:rFonts w:eastAsia="Times New Roman"/>
                      <w:color w:val="auto"/>
                    </w:rPr>
                  </w:pPr>
                  <w:r>
                    <w:rPr>
                      <w:rFonts w:eastAsia="Times New Roman"/>
                      <w:color w:val="auto"/>
                    </w:rPr>
                    <w:t>1</w:t>
                  </w:r>
                </w:p>
              </w:tc>
              <w:tc>
                <w:tcPr>
                  <w:tcW w:w="538" w:type="pct"/>
                  <w:vAlign w:val="center"/>
                </w:tcPr>
                <w:p w14:paraId="41757295">
                  <w:pPr>
                    <w:pStyle w:val="79"/>
                    <w:rPr>
                      <w:rFonts w:eastAsia="Times New Roman"/>
                      <w:color w:val="auto"/>
                    </w:rPr>
                  </w:pPr>
                  <w:r>
                    <w:rPr>
                      <w:rFonts w:eastAsia="Times New Roman"/>
                      <w:color w:val="auto"/>
                      <w:lang w:val="en-US"/>
                    </w:rPr>
                    <w:t>注塑工序</w:t>
                  </w:r>
                </w:p>
              </w:tc>
              <w:tc>
                <w:tcPr>
                  <w:tcW w:w="519" w:type="pct"/>
                  <w:vAlign w:val="center"/>
                </w:tcPr>
                <w:p w14:paraId="51B98CA7">
                  <w:pPr>
                    <w:pStyle w:val="79"/>
                    <w:rPr>
                      <w:rFonts w:eastAsia="Times New Roman"/>
                      <w:color w:val="auto"/>
                    </w:rPr>
                  </w:pPr>
                  <w:r>
                    <w:rPr>
                      <w:rFonts w:eastAsia="Times New Roman"/>
                      <w:color w:val="auto"/>
                    </w:rPr>
                    <w:t>废气治理措施故障</w:t>
                  </w:r>
                </w:p>
              </w:tc>
              <w:tc>
                <w:tcPr>
                  <w:tcW w:w="371" w:type="pct"/>
                  <w:vAlign w:val="center"/>
                </w:tcPr>
                <w:p w14:paraId="5655CA4B">
                  <w:pPr>
                    <w:pStyle w:val="79"/>
                    <w:rPr>
                      <w:rFonts w:eastAsia="Times New Roman"/>
                      <w:color w:val="auto"/>
                    </w:rPr>
                  </w:pPr>
                  <w:r>
                    <w:rPr>
                      <w:rFonts w:eastAsia="Times New Roman"/>
                      <w:color w:val="auto"/>
                      <w:lang w:val="en-US"/>
                    </w:rPr>
                    <w:t>非甲烷总烃</w:t>
                  </w:r>
                </w:p>
              </w:tc>
              <w:tc>
                <w:tcPr>
                  <w:tcW w:w="737" w:type="pct"/>
                  <w:vAlign w:val="center"/>
                </w:tcPr>
                <w:p w14:paraId="343E811A">
                  <w:pPr>
                    <w:pStyle w:val="79"/>
                    <w:rPr>
                      <w:rFonts w:eastAsiaTheme="minorEastAsia"/>
                      <w:color w:val="auto"/>
                    </w:rPr>
                  </w:pPr>
                  <w:r>
                    <w:rPr>
                      <w:rFonts w:eastAsia="Times New Roman"/>
                      <w:color w:val="auto"/>
                      <w:lang w:val="en-US"/>
                    </w:rPr>
                    <w:t>0.</w:t>
                  </w:r>
                  <w:r>
                    <w:rPr>
                      <w:rFonts w:eastAsiaTheme="minorEastAsia"/>
                      <w:color w:val="auto"/>
                      <w:lang w:val="en-US"/>
                    </w:rPr>
                    <w:t>168</w:t>
                  </w:r>
                </w:p>
              </w:tc>
              <w:tc>
                <w:tcPr>
                  <w:tcW w:w="734" w:type="pct"/>
                  <w:vAlign w:val="center"/>
                </w:tcPr>
                <w:p w14:paraId="5CEBA4D3">
                  <w:pPr>
                    <w:pStyle w:val="79"/>
                    <w:rPr>
                      <w:rFonts w:eastAsiaTheme="minorEastAsia"/>
                      <w:color w:val="auto"/>
                      <w:lang w:val="en-US"/>
                    </w:rPr>
                  </w:pPr>
                  <w:r>
                    <w:rPr>
                      <w:rFonts w:hint="eastAsia" w:eastAsiaTheme="minorEastAsia"/>
                      <w:color w:val="auto"/>
                      <w:lang w:val="en-US"/>
                    </w:rPr>
                    <w:t>16.8</w:t>
                  </w:r>
                </w:p>
              </w:tc>
              <w:tc>
                <w:tcPr>
                  <w:tcW w:w="590" w:type="pct"/>
                  <w:vAlign w:val="center"/>
                </w:tcPr>
                <w:p w14:paraId="571F1F72">
                  <w:pPr>
                    <w:pStyle w:val="79"/>
                    <w:rPr>
                      <w:rFonts w:eastAsiaTheme="minorEastAsia"/>
                      <w:color w:val="auto"/>
                    </w:rPr>
                  </w:pPr>
                  <w:r>
                    <w:rPr>
                      <w:rFonts w:eastAsiaTheme="minorEastAsia"/>
                      <w:color w:val="auto"/>
                      <w:lang w:val="en-US"/>
                    </w:rPr>
                    <w:t>1</w:t>
                  </w:r>
                </w:p>
              </w:tc>
              <w:tc>
                <w:tcPr>
                  <w:tcW w:w="372" w:type="pct"/>
                  <w:vAlign w:val="center"/>
                </w:tcPr>
                <w:p w14:paraId="60064EB9">
                  <w:pPr>
                    <w:pStyle w:val="79"/>
                    <w:rPr>
                      <w:rFonts w:eastAsia="Times New Roman"/>
                      <w:color w:val="auto"/>
                    </w:rPr>
                  </w:pPr>
                  <w:r>
                    <w:rPr>
                      <w:rFonts w:eastAsia="Times New Roman"/>
                      <w:color w:val="auto"/>
                      <w:lang w:val="en-US"/>
                    </w:rPr>
                    <w:t>2</w:t>
                  </w:r>
                </w:p>
              </w:tc>
              <w:tc>
                <w:tcPr>
                  <w:tcW w:w="926" w:type="pct"/>
                  <w:vAlign w:val="center"/>
                </w:tcPr>
                <w:p w14:paraId="6D070824">
                  <w:pPr>
                    <w:pStyle w:val="79"/>
                    <w:jc w:val="both"/>
                    <w:rPr>
                      <w:rFonts w:eastAsia="Times New Roman"/>
                      <w:color w:val="auto"/>
                    </w:rPr>
                  </w:pPr>
                  <w:r>
                    <w:rPr>
                      <w:rFonts w:eastAsia="Times New Roman"/>
                      <w:color w:val="auto"/>
                    </w:rPr>
                    <w:t>加强日常巡检，发现故障及时停运生产设备</w:t>
                  </w:r>
                </w:p>
              </w:tc>
            </w:tr>
          </w:tbl>
          <w:p w14:paraId="6A690BFE">
            <w:pPr>
              <w:pStyle w:val="117"/>
              <w:ind w:firstLine="480"/>
              <w:rPr>
                <w:color w:val="auto"/>
              </w:rPr>
            </w:pPr>
            <w:r>
              <w:rPr>
                <w:color w:val="auto"/>
              </w:rPr>
              <w:t>为减少非正常工况，应对设备加强日常维护，定期检修维护，确保废气净化装置稳定运行，污染物达标排放。一旦环保设施出现故障，影响废气处理效率，应立即停止当前作业。本项目非正常工况持续时间短，排放量少，对环境影响不大。</w:t>
            </w:r>
          </w:p>
          <w:p w14:paraId="5AFE0CDA">
            <w:pPr>
              <w:pStyle w:val="117"/>
              <w:ind w:firstLine="482"/>
              <w:rPr>
                <w:b/>
                <w:bCs w:val="0"/>
                <w:color w:val="auto"/>
              </w:rPr>
            </w:pPr>
            <w:r>
              <w:rPr>
                <w:rFonts w:hint="eastAsia"/>
                <w:b/>
                <w:bCs w:val="0"/>
                <w:color w:val="auto"/>
              </w:rPr>
              <w:t>4、自行监测计划</w:t>
            </w:r>
          </w:p>
          <w:p w14:paraId="5F3FF184">
            <w:pPr>
              <w:ind w:firstLine="480"/>
              <w:rPr>
                <w:color w:val="auto"/>
              </w:rPr>
            </w:pPr>
            <w:r>
              <w:rPr>
                <w:color w:val="auto"/>
              </w:rPr>
              <w:t>制定环境监测计划的目的是为了监督各项措施的落实，根据监测结果适 时调整环境保护行动计划，为环保措施的实施时间和实施方案提供依据。</w:t>
            </w:r>
            <w:r>
              <w:rPr>
                <w:rFonts w:hint="eastAsia"/>
                <w:color w:val="auto"/>
              </w:rPr>
              <w:t>参考</w:t>
            </w:r>
            <w:r>
              <w:rPr>
                <w:color w:val="auto"/>
              </w:rPr>
              <w:t>《</w:t>
            </w:r>
            <w:r>
              <w:rPr>
                <w:rFonts w:hint="eastAsia"/>
                <w:color w:val="auto"/>
              </w:rPr>
              <w:t>排污许可证申请与核发技术规范 汽车制造业</w:t>
            </w:r>
            <w:r>
              <w:rPr>
                <w:color w:val="auto"/>
              </w:rPr>
              <w:t>》</w:t>
            </w:r>
            <w:r>
              <w:rPr>
                <w:rFonts w:hint="eastAsia"/>
                <w:color w:val="auto"/>
              </w:rPr>
              <w:t>(HJ 971-2018)</w:t>
            </w:r>
            <w:r>
              <w:rPr>
                <w:color w:val="auto"/>
              </w:rPr>
              <w:t>，项目废气监测计划见</w:t>
            </w:r>
            <w:r>
              <w:rPr>
                <w:rFonts w:hint="eastAsia"/>
                <w:color w:val="auto"/>
              </w:rPr>
              <w:t>下表</w:t>
            </w:r>
            <w:r>
              <w:rPr>
                <w:color w:val="auto"/>
              </w:rPr>
              <w:t>。</w:t>
            </w:r>
          </w:p>
          <w:p w14:paraId="33214B7E">
            <w:pPr>
              <w:pStyle w:val="87"/>
              <w:rPr>
                <w:color w:val="auto"/>
              </w:rPr>
            </w:pPr>
            <w:r>
              <w:rPr>
                <w:rFonts w:hint="eastAsia"/>
                <w:color w:val="auto"/>
              </w:rPr>
              <w:t>表4</w:t>
            </w:r>
            <w:r>
              <w:rPr>
                <w:color w:val="auto"/>
              </w:rPr>
              <w:t>-</w:t>
            </w:r>
            <w:r>
              <w:rPr>
                <w:rFonts w:hint="eastAsia"/>
                <w:color w:val="auto"/>
              </w:rPr>
              <w:t>3</w:t>
            </w:r>
            <w:r>
              <w:rPr>
                <w:color w:val="auto"/>
              </w:rPr>
              <w:t xml:space="preserve">  </w:t>
            </w:r>
            <w:r>
              <w:rPr>
                <w:rFonts w:hint="eastAsia"/>
                <w:color w:val="auto"/>
              </w:rPr>
              <w:t>项目废气监测计划表</w:t>
            </w:r>
          </w:p>
          <w:tbl>
            <w:tblPr>
              <w:tblStyle w:val="39"/>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461"/>
              <w:gridCol w:w="2001"/>
              <w:gridCol w:w="1714"/>
              <w:gridCol w:w="3301"/>
            </w:tblGrid>
            <w:tr w14:paraId="3B69741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862" w:type="pct"/>
                  <w:vAlign w:val="center"/>
                </w:tcPr>
                <w:p w14:paraId="1F59E1E3">
                  <w:pPr>
                    <w:pStyle w:val="79"/>
                    <w:rPr>
                      <w:color w:val="auto"/>
                    </w:rPr>
                  </w:pPr>
                  <w:r>
                    <w:rPr>
                      <w:rFonts w:hint="eastAsia"/>
                      <w:color w:val="auto"/>
                    </w:rPr>
                    <w:t>监测点位</w:t>
                  </w:r>
                </w:p>
              </w:tc>
              <w:tc>
                <w:tcPr>
                  <w:tcW w:w="1180" w:type="pct"/>
                  <w:vAlign w:val="center"/>
                </w:tcPr>
                <w:p w14:paraId="563B9562">
                  <w:pPr>
                    <w:pStyle w:val="79"/>
                    <w:rPr>
                      <w:color w:val="auto"/>
                    </w:rPr>
                  </w:pPr>
                  <w:r>
                    <w:rPr>
                      <w:rFonts w:hint="eastAsia"/>
                      <w:color w:val="auto"/>
                    </w:rPr>
                    <w:t>监测指标</w:t>
                  </w:r>
                </w:p>
              </w:tc>
              <w:tc>
                <w:tcPr>
                  <w:tcW w:w="1011" w:type="pct"/>
                  <w:vAlign w:val="center"/>
                </w:tcPr>
                <w:p w14:paraId="46DEBB39">
                  <w:pPr>
                    <w:pStyle w:val="79"/>
                    <w:rPr>
                      <w:color w:val="auto"/>
                    </w:rPr>
                  </w:pPr>
                  <w:r>
                    <w:rPr>
                      <w:rFonts w:hint="eastAsia"/>
                      <w:color w:val="auto"/>
                    </w:rPr>
                    <w:t>监测频次</w:t>
                  </w:r>
                </w:p>
              </w:tc>
              <w:tc>
                <w:tcPr>
                  <w:tcW w:w="1947" w:type="pct"/>
                  <w:vAlign w:val="center"/>
                </w:tcPr>
                <w:p w14:paraId="69C165C0">
                  <w:pPr>
                    <w:pStyle w:val="79"/>
                    <w:rPr>
                      <w:color w:val="auto"/>
                    </w:rPr>
                  </w:pPr>
                  <w:r>
                    <w:rPr>
                      <w:rFonts w:hint="eastAsia"/>
                      <w:color w:val="auto"/>
                    </w:rPr>
                    <w:t>执行标准</w:t>
                  </w:r>
                </w:p>
              </w:tc>
            </w:tr>
            <w:tr w14:paraId="600A1631">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862" w:type="pct"/>
                  <w:vAlign w:val="center"/>
                </w:tcPr>
                <w:p w14:paraId="5798053A">
                  <w:pPr>
                    <w:pStyle w:val="79"/>
                    <w:rPr>
                      <w:color w:val="auto"/>
                    </w:rPr>
                  </w:pPr>
                  <w:r>
                    <w:rPr>
                      <w:color w:val="auto"/>
                    </w:rPr>
                    <w:t>DA001</w:t>
                  </w:r>
                  <w:r>
                    <w:rPr>
                      <w:rFonts w:hint="eastAsia"/>
                      <w:color w:val="auto"/>
                    </w:rPr>
                    <w:t>排气筒</w:t>
                  </w:r>
                </w:p>
              </w:tc>
              <w:tc>
                <w:tcPr>
                  <w:tcW w:w="1180" w:type="pct"/>
                  <w:vAlign w:val="center"/>
                </w:tcPr>
                <w:p w14:paraId="7E0D5E9A">
                  <w:pPr>
                    <w:pStyle w:val="79"/>
                    <w:rPr>
                      <w:color w:val="auto"/>
                    </w:rPr>
                  </w:pPr>
                  <w:r>
                    <w:rPr>
                      <w:rFonts w:hint="eastAsia"/>
                      <w:color w:val="auto"/>
                    </w:rPr>
                    <w:t>非甲烷总烃</w:t>
                  </w:r>
                </w:p>
              </w:tc>
              <w:tc>
                <w:tcPr>
                  <w:tcW w:w="1011" w:type="pct"/>
                  <w:vAlign w:val="center"/>
                </w:tcPr>
                <w:p w14:paraId="61F346A9">
                  <w:pPr>
                    <w:pStyle w:val="79"/>
                    <w:rPr>
                      <w:color w:val="auto"/>
                    </w:rPr>
                  </w:pPr>
                  <w:r>
                    <w:rPr>
                      <w:rFonts w:hint="eastAsia"/>
                      <w:color w:val="auto"/>
                    </w:rPr>
                    <w:t>1次/半年</w:t>
                  </w:r>
                </w:p>
              </w:tc>
              <w:tc>
                <w:tcPr>
                  <w:tcW w:w="1947" w:type="pct"/>
                  <w:vAlign w:val="center"/>
                </w:tcPr>
                <w:p w14:paraId="4CEAA007">
                  <w:pPr>
                    <w:pStyle w:val="79"/>
                    <w:rPr>
                      <w:color w:val="auto"/>
                    </w:rPr>
                  </w:pPr>
                  <w:r>
                    <w:rPr>
                      <w:rFonts w:hint="eastAsia"/>
                      <w:color w:val="auto"/>
                    </w:rPr>
                    <w:t>《合成树脂工业污染物排放标准》（GB 31572-2015）</w:t>
                  </w:r>
                </w:p>
              </w:tc>
            </w:tr>
            <w:tr w14:paraId="0838FAF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794" w:hRule="atLeast"/>
              </w:trPr>
              <w:tc>
                <w:tcPr>
                  <w:tcW w:w="862" w:type="pct"/>
                  <w:vAlign w:val="center"/>
                </w:tcPr>
                <w:p w14:paraId="7E0233FB">
                  <w:pPr>
                    <w:pStyle w:val="79"/>
                    <w:rPr>
                      <w:color w:val="auto"/>
                    </w:rPr>
                  </w:pPr>
                  <w:r>
                    <w:rPr>
                      <w:rFonts w:hint="eastAsia"/>
                      <w:color w:val="auto"/>
                    </w:rPr>
                    <w:t>四面厂界</w:t>
                  </w:r>
                </w:p>
              </w:tc>
              <w:tc>
                <w:tcPr>
                  <w:tcW w:w="1180" w:type="pct"/>
                  <w:vAlign w:val="center"/>
                </w:tcPr>
                <w:p w14:paraId="359130C0">
                  <w:pPr>
                    <w:pStyle w:val="79"/>
                    <w:rPr>
                      <w:color w:val="auto"/>
                    </w:rPr>
                  </w:pPr>
                  <w:r>
                    <w:rPr>
                      <w:rFonts w:hint="eastAsia"/>
                      <w:color w:val="auto"/>
                    </w:rPr>
                    <w:t>颗粒物、非甲烷总烃</w:t>
                  </w:r>
                </w:p>
              </w:tc>
              <w:tc>
                <w:tcPr>
                  <w:tcW w:w="1011" w:type="pct"/>
                  <w:vAlign w:val="center"/>
                </w:tcPr>
                <w:p w14:paraId="1E08064D">
                  <w:pPr>
                    <w:pStyle w:val="79"/>
                    <w:rPr>
                      <w:color w:val="auto"/>
                    </w:rPr>
                  </w:pPr>
                  <w:r>
                    <w:rPr>
                      <w:rFonts w:hint="eastAsia"/>
                      <w:color w:val="auto"/>
                    </w:rPr>
                    <w:t>1次/年</w:t>
                  </w:r>
                </w:p>
              </w:tc>
              <w:tc>
                <w:tcPr>
                  <w:tcW w:w="1947" w:type="pct"/>
                  <w:vAlign w:val="center"/>
                </w:tcPr>
                <w:p w14:paraId="34E67591">
                  <w:pPr>
                    <w:pStyle w:val="79"/>
                    <w:rPr>
                      <w:color w:val="auto"/>
                    </w:rPr>
                  </w:pPr>
                  <w:r>
                    <w:rPr>
                      <w:rFonts w:hint="eastAsia"/>
                      <w:color w:val="auto"/>
                    </w:rPr>
                    <w:t>《大气污染物综合排放标准》（GB16297-1996）</w:t>
                  </w:r>
                </w:p>
              </w:tc>
            </w:tr>
          </w:tbl>
          <w:p w14:paraId="0D01A869">
            <w:pPr>
              <w:ind w:firstLine="482"/>
              <w:rPr>
                <w:b/>
                <w:color w:val="auto"/>
              </w:rPr>
            </w:pPr>
            <w:r>
              <w:rPr>
                <w:rFonts w:hint="eastAsia"/>
                <w:b/>
                <w:color w:val="auto"/>
              </w:rPr>
              <w:t>二</w:t>
            </w:r>
            <w:r>
              <w:rPr>
                <w:b/>
                <w:color w:val="auto"/>
              </w:rPr>
              <w:t>、水环境影响分析</w:t>
            </w:r>
          </w:p>
          <w:p w14:paraId="13A67839">
            <w:pPr>
              <w:pStyle w:val="9"/>
              <w:ind w:firstLine="482"/>
              <w:rPr>
                <w:color w:val="auto"/>
              </w:rPr>
            </w:pPr>
            <w:r>
              <w:rPr>
                <w:rFonts w:hint="eastAsia"/>
                <w:color w:val="auto"/>
              </w:rPr>
              <w:t>1、污染物源强分析</w:t>
            </w:r>
          </w:p>
          <w:p w14:paraId="745EDF65">
            <w:pPr>
              <w:ind w:firstLine="480"/>
              <w:rPr>
                <w:color w:val="auto"/>
              </w:rPr>
            </w:pPr>
            <w:r>
              <w:rPr>
                <w:rFonts w:hint="eastAsia"/>
                <w:color w:val="auto"/>
              </w:rPr>
              <w:t>项目营运期无生产废水排放，排放废水主要为员工生活污水。</w:t>
            </w:r>
            <w:r>
              <w:rPr>
                <w:color w:val="auto"/>
              </w:rPr>
              <w:t>项目劳动定员</w:t>
            </w:r>
            <w:r>
              <w:rPr>
                <w:rFonts w:hint="eastAsia"/>
                <w:color w:val="auto"/>
              </w:rPr>
              <w:t>10人，员工均不</w:t>
            </w:r>
            <w:r>
              <w:rPr>
                <w:color w:val="auto"/>
              </w:rPr>
              <w:t>住在厂内。按照《建筑给水排水设计规范》（</w:t>
            </w:r>
            <w:r>
              <w:rPr>
                <w:rFonts w:hint="eastAsia"/>
                <w:color w:val="auto"/>
              </w:rPr>
              <w:t>GB50015-2019</w:t>
            </w:r>
            <w:r>
              <w:rPr>
                <w:color w:val="auto"/>
              </w:rPr>
              <w:t>）中企业员工用水定额，不住厂员工用水量按0.1m</w:t>
            </w:r>
            <w:r>
              <w:rPr>
                <w:color w:val="auto"/>
                <w:vertAlign w:val="superscript"/>
              </w:rPr>
              <w:t>3</w:t>
            </w:r>
            <w:r>
              <w:rPr>
                <w:color w:val="auto"/>
              </w:rPr>
              <w:t>/(人·d)计算，则项目运营期生活用水量为</w:t>
            </w:r>
            <w:r>
              <w:rPr>
                <w:rFonts w:hint="eastAsia"/>
                <w:color w:val="auto"/>
              </w:rPr>
              <w:t>1</w:t>
            </w:r>
            <w:r>
              <w:rPr>
                <w:color w:val="auto"/>
              </w:rPr>
              <w:t>.0m</w:t>
            </w:r>
            <w:r>
              <w:rPr>
                <w:color w:val="auto"/>
                <w:vertAlign w:val="superscript"/>
              </w:rPr>
              <w:t>3</w:t>
            </w:r>
            <w:r>
              <w:rPr>
                <w:color w:val="auto"/>
              </w:rPr>
              <w:t>/d，</w:t>
            </w:r>
            <w:r>
              <w:rPr>
                <w:rFonts w:hint="eastAsia"/>
                <w:color w:val="auto"/>
              </w:rPr>
              <w:t>30</w:t>
            </w:r>
            <w:r>
              <w:rPr>
                <w:color w:val="auto"/>
              </w:rPr>
              <w:t>0m</w:t>
            </w:r>
            <w:r>
              <w:rPr>
                <w:color w:val="auto"/>
                <w:vertAlign w:val="superscript"/>
              </w:rPr>
              <w:t>3</w:t>
            </w:r>
            <w:r>
              <w:rPr>
                <w:color w:val="auto"/>
              </w:rPr>
              <w:t>/a。生活污水产生量按用水量的80%计，则员工排放的生活污水量为</w:t>
            </w:r>
            <w:r>
              <w:rPr>
                <w:rFonts w:hint="eastAsia"/>
                <w:bCs/>
                <w:color w:val="auto"/>
              </w:rPr>
              <w:t>0.8</w:t>
            </w:r>
            <w:r>
              <w:rPr>
                <w:bCs/>
                <w:color w:val="auto"/>
              </w:rPr>
              <w:t>m</w:t>
            </w:r>
            <w:r>
              <w:rPr>
                <w:bCs/>
                <w:color w:val="auto"/>
                <w:vertAlign w:val="superscript"/>
              </w:rPr>
              <w:t>3</w:t>
            </w:r>
            <w:r>
              <w:rPr>
                <w:bCs/>
                <w:color w:val="auto"/>
              </w:rPr>
              <w:t>/d，即</w:t>
            </w:r>
            <w:r>
              <w:rPr>
                <w:rFonts w:hint="eastAsia"/>
                <w:bCs/>
                <w:color w:val="auto"/>
              </w:rPr>
              <w:t>240</w:t>
            </w:r>
            <w:r>
              <w:rPr>
                <w:bCs/>
                <w:color w:val="auto"/>
              </w:rPr>
              <w:t>m</w:t>
            </w:r>
            <w:r>
              <w:rPr>
                <w:bCs/>
                <w:color w:val="auto"/>
                <w:vertAlign w:val="superscript"/>
              </w:rPr>
              <w:t>3</w:t>
            </w:r>
            <w:r>
              <w:rPr>
                <w:bCs/>
                <w:color w:val="auto"/>
              </w:rPr>
              <w:t>/a</w:t>
            </w:r>
            <w:r>
              <w:rPr>
                <w:color w:val="auto"/>
              </w:rPr>
              <w:t>。</w:t>
            </w:r>
            <w:r>
              <w:rPr>
                <w:rFonts w:hint="eastAsia"/>
                <w:color w:val="auto"/>
              </w:rPr>
              <w:t>员工生活污水主要污染物为COD</w:t>
            </w:r>
            <w:r>
              <w:rPr>
                <w:color w:val="auto"/>
                <w:vertAlign w:val="subscript"/>
              </w:rPr>
              <w:t>C</w:t>
            </w:r>
            <w:r>
              <w:rPr>
                <w:rFonts w:hint="eastAsia"/>
                <w:color w:val="auto"/>
                <w:vertAlign w:val="subscript"/>
              </w:rPr>
              <w:t>r</w:t>
            </w:r>
            <w:r>
              <w:rPr>
                <w:rFonts w:hint="eastAsia"/>
                <w:color w:val="auto"/>
              </w:rPr>
              <w:t>、BOD</w:t>
            </w:r>
            <w:r>
              <w:rPr>
                <w:rFonts w:hint="eastAsia"/>
                <w:color w:val="auto"/>
                <w:vertAlign w:val="subscript"/>
              </w:rPr>
              <w:t>5</w:t>
            </w:r>
            <w:r>
              <w:rPr>
                <w:rFonts w:hint="eastAsia"/>
                <w:color w:val="auto"/>
              </w:rPr>
              <w:t>、NH</w:t>
            </w:r>
            <w:r>
              <w:rPr>
                <w:rFonts w:hint="eastAsia"/>
                <w:color w:val="auto"/>
                <w:vertAlign w:val="subscript"/>
              </w:rPr>
              <w:t>3</w:t>
            </w:r>
            <w:r>
              <w:rPr>
                <w:rFonts w:hint="eastAsia"/>
                <w:color w:val="auto"/>
              </w:rPr>
              <w:t>-N以及SS。</w:t>
            </w:r>
            <w:r>
              <w:rPr>
                <w:color w:val="auto"/>
              </w:rPr>
              <w:t>生活污水中各种污染物浓度参照《环境影响评价工程师职业资格登记培训教材——社会区域类环境影响评价（2007版）》中的生活污水水质浓度确定，COD、BOD</w:t>
            </w:r>
            <w:r>
              <w:rPr>
                <w:color w:val="auto"/>
                <w:vertAlign w:val="subscript"/>
              </w:rPr>
              <w:t>5</w:t>
            </w:r>
            <w:r>
              <w:rPr>
                <w:color w:val="auto"/>
              </w:rPr>
              <w:t>、SS和NH</w:t>
            </w:r>
            <w:r>
              <w:rPr>
                <w:color w:val="auto"/>
                <w:vertAlign w:val="subscript"/>
              </w:rPr>
              <w:t>3</w:t>
            </w:r>
            <w:r>
              <w:rPr>
                <w:color w:val="auto"/>
              </w:rPr>
              <w:t>-N的浓度分别为350mg/L、250mg/L、250mg/L、30mg/L。生活污水通过化粪池处理，根据原国家环保部2013年7月17日发布的《村镇生活污染防治最佳可行技术指南（试行）》（HJ-BAT-9），三级化粪池对污染物的去除效率：COD</w:t>
            </w:r>
            <w:r>
              <w:rPr>
                <w:color w:val="auto"/>
                <w:vertAlign w:val="subscript"/>
              </w:rPr>
              <w:t>Cr</w:t>
            </w:r>
            <w:r>
              <w:rPr>
                <w:color w:val="auto"/>
              </w:rPr>
              <w:t>：40%~50%，悬浮物：60%~70%。本次评价各污染物去除率分别为COD：40%，BOD</w:t>
            </w:r>
            <w:r>
              <w:rPr>
                <w:color w:val="auto"/>
                <w:vertAlign w:val="subscript"/>
              </w:rPr>
              <w:t>5</w:t>
            </w:r>
            <w:r>
              <w:rPr>
                <w:color w:val="auto"/>
              </w:rPr>
              <w:t>：30%，SS：60%，不考虑对NH</w:t>
            </w:r>
            <w:r>
              <w:rPr>
                <w:color w:val="auto"/>
                <w:vertAlign w:val="subscript"/>
              </w:rPr>
              <w:t>3</w:t>
            </w:r>
            <w:r>
              <w:rPr>
                <w:color w:val="auto"/>
              </w:rPr>
              <w:t>-N的去除效率。</w:t>
            </w:r>
          </w:p>
          <w:p w14:paraId="76AD2AD6">
            <w:pPr>
              <w:pStyle w:val="87"/>
              <w:rPr>
                <w:color w:val="auto"/>
              </w:rPr>
            </w:pPr>
            <w:r>
              <w:rPr>
                <w:color w:val="auto"/>
              </w:rPr>
              <w:t>表4-</w:t>
            </w:r>
            <w:r>
              <w:rPr>
                <w:rFonts w:hint="eastAsia"/>
                <w:color w:val="auto"/>
              </w:rPr>
              <w:t>4</w:t>
            </w:r>
            <w:r>
              <w:rPr>
                <w:color w:val="auto"/>
              </w:rPr>
              <w:t xml:space="preserve">  营运期生活污水污染物处理前后浓度变化情况一览表</w:t>
            </w:r>
          </w:p>
          <w:tbl>
            <w:tblPr>
              <w:tblStyle w:val="39"/>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07"/>
              <w:gridCol w:w="2526"/>
              <w:gridCol w:w="994"/>
              <w:gridCol w:w="902"/>
              <w:gridCol w:w="971"/>
              <w:gridCol w:w="902"/>
              <w:gridCol w:w="1075"/>
            </w:tblGrid>
            <w:tr w14:paraId="487F437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143" w:type="pct"/>
                  <w:gridSpan w:val="2"/>
                  <w:vAlign w:val="center"/>
                </w:tcPr>
                <w:p w14:paraId="6C514B66">
                  <w:pPr>
                    <w:pStyle w:val="160"/>
                    <w:rPr>
                      <w:color w:val="auto"/>
                    </w:rPr>
                  </w:pPr>
                  <w:r>
                    <w:rPr>
                      <w:rFonts w:hint="eastAsia"/>
                      <w:color w:val="auto"/>
                    </w:rPr>
                    <w:t>污染物</w:t>
                  </w:r>
                </w:p>
              </w:tc>
              <w:tc>
                <w:tcPr>
                  <w:tcW w:w="586" w:type="pct"/>
                  <w:vAlign w:val="center"/>
                </w:tcPr>
                <w:p w14:paraId="05C68B68">
                  <w:pPr>
                    <w:pStyle w:val="160"/>
                    <w:rPr>
                      <w:rFonts w:eastAsia="等线"/>
                      <w:color w:val="auto"/>
                    </w:rPr>
                  </w:pPr>
                  <w:r>
                    <w:rPr>
                      <w:rFonts w:eastAsia="等线"/>
                      <w:color w:val="auto"/>
                    </w:rPr>
                    <w:t>pH</w:t>
                  </w:r>
                  <w:r>
                    <w:rPr>
                      <w:rFonts w:hint="eastAsia"/>
                      <w:color w:val="auto"/>
                    </w:rPr>
                    <w:t>值</w:t>
                  </w:r>
                </w:p>
              </w:tc>
              <w:tc>
                <w:tcPr>
                  <w:tcW w:w="532" w:type="pct"/>
                  <w:vAlign w:val="center"/>
                </w:tcPr>
                <w:p w14:paraId="2CDED84B">
                  <w:pPr>
                    <w:pStyle w:val="160"/>
                    <w:rPr>
                      <w:rFonts w:eastAsia="等线"/>
                      <w:color w:val="auto"/>
                    </w:rPr>
                  </w:pPr>
                  <w:r>
                    <w:rPr>
                      <w:rFonts w:eastAsia="等线"/>
                      <w:color w:val="auto"/>
                    </w:rPr>
                    <w:t>COD</w:t>
                  </w:r>
                </w:p>
              </w:tc>
              <w:tc>
                <w:tcPr>
                  <w:tcW w:w="573" w:type="pct"/>
                  <w:vAlign w:val="center"/>
                </w:tcPr>
                <w:p w14:paraId="7C1C81F8">
                  <w:pPr>
                    <w:pStyle w:val="160"/>
                    <w:rPr>
                      <w:rFonts w:eastAsia="等线"/>
                      <w:color w:val="auto"/>
                    </w:rPr>
                  </w:pPr>
                  <w:r>
                    <w:rPr>
                      <w:rFonts w:eastAsia="等线"/>
                      <w:color w:val="auto"/>
                    </w:rPr>
                    <w:t>BOD</w:t>
                  </w:r>
                  <w:r>
                    <w:rPr>
                      <w:rFonts w:eastAsia="等线"/>
                      <w:color w:val="auto"/>
                      <w:vertAlign w:val="subscript"/>
                    </w:rPr>
                    <w:t>5</w:t>
                  </w:r>
                </w:p>
              </w:tc>
              <w:tc>
                <w:tcPr>
                  <w:tcW w:w="532" w:type="pct"/>
                  <w:vAlign w:val="center"/>
                </w:tcPr>
                <w:p w14:paraId="6CB3074B">
                  <w:pPr>
                    <w:pStyle w:val="160"/>
                    <w:rPr>
                      <w:rFonts w:eastAsia="等线"/>
                      <w:color w:val="auto"/>
                    </w:rPr>
                  </w:pPr>
                  <w:r>
                    <w:rPr>
                      <w:rFonts w:eastAsia="等线"/>
                      <w:color w:val="auto"/>
                    </w:rPr>
                    <w:t>SS</w:t>
                  </w:r>
                </w:p>
              </w:tc>
              <w:tc>
                <w:tcPr>
                  <w:tcW w:w="634" w:type="pct"/>
                  <w:vAlign w:val="center"/>
                </w:tcPr>
                <w:p w14:paraId="2B2BC05C">
                  <w:pPr>
                    <w:pStyle w:val="160"/>
                    <w:rPr>
                      <w:rFonts w:eastAsia="等线"/>
                      <w:color w:val="auto"/>
                    </w:rPr>
                  </w:pPr>
                  <w:r>
                    <w:rPr>
                      <w:rFonts w:eastAsia="等线"/>
                      <w:color w:val="auto"/>
                    </w:rPr>
                    <w:t>NH</w:t>
                  </w:r>
                  <w:r>
                    <w:rPr>
                      <w:rFonts w:eastAsia="等线"/>
                      <w:color w:val="auto"/>
                      <w:vertAlign w:val="subscript"/>
                    </w:rPr>
                    <w:t>3</w:t>
                  </w:r>
                  <w:r>
                    <w:rPr>
                      <w:rFonts w:eastAsia="等线"/>
                      <w:color w:val="auto"/>
                    </w:rPr>
                    <w:t>-N</w:t>
                  </w:r>
                </w:p>
              </w:tc>
            </w:tr>
            <w:tr w14:paraId="47571F4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3" w:type="pct"/>
                  <w:vMerge w:val="restart"/>
                  <w:vAlign w:val="center"/>
                </w:tcPr>
                <w:p w14:paraId="554D09D8">
                  <w:pPr>
                    <w:pStyle w:val="160"/>
                    <w:rPr>
                      <w:color w:val="auto"/>
                    </w:rPr>
                  </w:pPr>
                  <w:r>
                    <w:rPr>
                      <w:rFonts w:hint="eastAsia"/>
                      <w:color w:val="auto"/>
                    </w:rPr>
                    <w:t>处理前</w:t>
                  </w:r>
                </w:p>
              </w:tc>
              <w:tc>
                <w:tcPr>
                  <w:tcW w:w="1490" w:type="pct"/>
                  <w:vAlign w:val="center"/>
                </w:tcPr>
                <w:p w14:paraId="077F91D8">
                  <w:pPr>
                    <w:pStyle w:val="160"/>
                    <w:rPr>
                      <w:color w:val="auto"/>
                    </w:rPr>
                  </w:pPr>
                  <w:r>
                    <w:rPr>
                      <w:rFonts w:hint="eastAsia"/>
                      <w:color w:val="auto"/>
                    </w:rPr>
                    <w:t>产生浓度（</w:t>
                  </w:r>
                  <w:r>
                    <w:rPr>
                      <w:color w:val="auto"/>
                    </w:rPr>
                    <w:t>mg/L</w:t>
                  </w:r>
                  <w:r>
                    <w:rPr>
                      <w:rFonts w:hint="eastAsia"/>
                      <w:color w:val="auto"/>
                    </w:rPr>
                    <w:t>）</w:t>
                  </w:r>
                </w:p>
              </w:tc>
              <w:tc>
                <w:tcPr>
                  <w:tcW w:w="586" w:type="pct"/>
                  <w:vAlign w:val="center"/>
                </w:tcPr>
                <w:p w14:paraId="440AADF0">
                  <w:pPr>
                    <w:pStyle w:val="160"/>
                    <w:rPr>
                      <w:color w:val="auto"/>
                    </w:rPr>
                  </w:pPr>
                  <w:r>
                    <w:rPr>
                      <w:color w:val="auto"/>
                    </w:rPr>
                    <w:t>6~9</w:t>
                  </w:r>
                </w:p>
              </w:tc>
              <w:tc>
                <w:tcPr>
                  <w:tcW w:w="532" w:type="pct"/>
                  <w:vAlign w:val="center"/>
                </w:tcPr>
                <w:p w14:paraId="68BF98F1">
                  <w:pPr>
                    <w:pStyle w:val="160"/>
                    <w:rPr>
                      <w:color w:val="auto"/>
                    </w:rPr>
                  </w:pPr>
                  <w:r>
                    <w:rPr>
                      <w:color w:val="auto"/>
                    </w:rPr>
                    <w:t>350</w:t>
                  </w:r>
                </w:p>
              </w:tc>
              <w:tc>
                <w:tcPr>
                  <w:tcW w:w="573" w:type="pct"/>
                  <w:vAlign w:val="center"/>
                </w:tcPr>
                <w:p w14:paraId="195B3DB4">
                  <w:pPr>
                    <w:pStyle w:val="160"/>
                    <w:rPr>
                      <w:color w:val="auto"/>
                    </w:rPr>
                  </w:pPr>
                  <w:r>
                    <w:rPr>
                      <w:color w:val="auto"/>
                    </w:rPr>
                    <w:t>250</w:t>
                  </w:r>
                </w:p>
              </w:tc>
              <w:tc>
                <w:tcPr>
                  <w:tcW w:w="532" w:type="pct"/>
                  <w:vAlign w:val="center"/>
                </w:tcPr>
                <w:p w14:paraId="5C5AE84C">
                  <w:pPr>
                    <w:pStyle w:val="160"/>
                    <w:rPr>
                      <w:color w:val="auto"/>
                    </w:rPr>
                  </w:pPr>
                  <w:r>
                    <w:rPr>
                      <w:color w:val="auto"/>
                    </w:rPr>
                    <w:t>250</w:t>
                  </w:r>
                </w:p>
              </w:tc>
              <w:tc>
                <w:tcPr>
                  <w:tcW w:w="634" w:type="pct"/>
                  <w:vAlign w:val="center"/>
                </w:tcPr>
                <w:p w14:paraId="268E9782">
                  <w:pPr>
                    <w:pStyle w:val="160"/>
                    <w:rPr>
                      <w:color w:val="auto"/>
                    </w:rPr>
                  </w:pPr>
                  <w:r>
                    <w:rPr>
                      <w:color w:val="auto"/>
                    </w:rPr>
                    <w:t>30</w:t>
                  </w:r>
                </w:p>
              </w:tc>
            </w:tr>
            <w:tr w14:paraId="1F1575A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3" w:type="pct"/>
                  <w:vMerge w:val="continue"/>
                  <w:vAlign w:val="center"/>
                </w:tcPr>
                <w:p w14:paraId="7457EAD0">
                  <w:pPr>
                    <w:pStyle w:val="160"/>
                    <w:rPr>
                      <w:color w:val="auto"/>
                    </w:rPr>
                  </w:pPr>
                </w:p>
              </w:tc>
              <w:tc>
                <w:tcPr>
                  <w:tcW w:w="1490" w:type="pct"/>
                  <w:vAlign w:val="center"/>
                </w:tcPr>
                <w:p w14:paraId="6BD82FB6">
                  <w:pPr>
                    <w:pStyle w:val="160"/>
                    <w:rPr>
                      <w:rFonts w:eastAsia="等线"/>
                      <w:color w:val="auto"/>
                    </w:rPr>
                  </w:pPr>
                  <w:r>
                    <w:rPr>
                      <w:rFonts w:hint="eastAsia"/>
                      <w:color w:val="auto"/>
                    </w:rPr>
                    <w:t>产生量（</w:t>
                  </w:r>
                  <w:r>
                    <w:rPr>
                      <w:color w:val="auto"/>
                    </w:rPr>
                    <w:t>t/a</w:t>
                  </w:r>
                  <w:r>
                    <w:rPr>
                      <w:rFonts w:hint="eastAsia"/>
                      <w:color w:val="auto"/>
                    </w:rPr>
                    <w:t>）</w:t>
                  </w:r>
                </w:p>
              </w:tc>
              <w:tc>
                <w:tcPr>
                  <w:tcW w:w="586" w:type="pct"/>
                  <w:vAlign w:val="center"/>
                </w:tcPr>
                <w:p w14:paraId="5FAB4696">
                  <w:pPr>
                    <w:pStyle w:val="160"/>
                    <w:rPr>
                      <w:color w:val="auto"/>
                    </w:rPr>
                  </w:pPr>
                  <w:r>
                    <w:rPr>
                      <w:color w:val="auto"/>
                    </w:rPr>
                    <w:t>—</w:t>
                  </w:r>
                </w:p>
              </w:tc>
              <w:tc>
                <w:tcPr>
                  <w:tcW w:w="532" w:type="pct"/>
                  <w:vAlign w:val="center"/>
                </w:tcPr>
                <w:p w14:paraId="48BFD0DE">
                  <w:pPr>
                    <w:pStyle w:val="160"/>
                    <w:rPr>
                      <w:color w:val="auto"/>
                    </w:rPr>
                  </w:pPr>
                  <w:r>
                    <w:rPr>
                      <w:color w:val="auto"/>
                    </w:rPr>
                    <w:t>0.</w:t>
                  </w:r>
                  <w:r>
                    <w:rPr>
                      <w:rFonts w:hint="eastAsia"/>
                      <w:color w:val="auto"/>
                    </w:rPr>
                    <w:t>084</w:t>
                  </w:r>
                </w:p>
              </w:tc>
              <w:tc>
                <w:tcPr>
                  <w:tcW w:w="573" w:type="pct"/>
                  <w:vAlign w:val="center"/>
                </w:tcPr>
                <w:p w14:paraId="01BCAF77">
                  <w:pPr>
                    <w:pStyle w:val="160"/>
                    <w:rPr>
                      <w:color w:val="auto"/>
                    </w:rPr>
                  </w:pPr>
                  <w:r>
                    <w:rPr>
                      <w:color w:val="auto"/>
                    </w:rPr>
                    <w:t>0.</w:t>
                  </w:r>
                  <w:r>
                    <w:rPr>
                      <w:rFonts w:hint="eastAsia"/>
                      <w:color w:val="auto"/>
                    </w:rPr>
                    <w:t>060</w:t>
                  </w:r>
                </w:p>
              </w:tc>
              <w:tc>
                <w:tcPr>
                  <w:tcW w:w="532" w:type="pct"/>
                  <w:vAlign w:val="center"/>
                </w:tcPr>
                <w:p w14:paraId="3EA42167">
                  <w:pPr>
                    <w:pStyle w:val="160"/>
                    <w:rPr>
                      <w:color w:val="auto"/>
                    </w:rPr>
                  </w:pPr>
                  <w:r>
                    <w:rPr>
                      <w:color w:val="auto"/>
                    </w:rPr>
                    <w:t>0.</w:t>
                  </w:r>
                  <w:r>
                    <w:rPr>
                      <w:rFonts w:hint="eastAsia"/>
                      <w:color w:val="auto"/>
                    </w:rPr>
                    <w:t>060</w:t>
                  </w:r>
                </w:p>
              </w:tc>
              <w:tc>
                <w:tcPr>
                  <w:tcW w:w="634" w:type="pct"/>
                  <w:vAlign w:val="center"/>
                </w:tcPr>
                <w:p w14:paraId="39A2369A">
                  <w:pPr>
                    <w:pStyle w:val="160"/>
                    <w:rPr>
                      <w:color w:val="auto"/>
                    </w:rPr>
                  </w:pPr>
                  <w:r>
                    <w:rPr>
                      <w:color w:val="auto"/>
                    </w:rPr>
                    <w:t>0.0</w:t>
                  </w:r>
                  <w:r>
                    <w:rPr>
                      <w:rFonts w:hint="eastAsia"/>
                      <w:color w:val="auto"/>
                    </w:rPr>
                    <w:t>07</w:t>
                  </w:r>
                </w:p>
              </w:tc>
            </w:tr>
            <w:tr w14:paraId="055D777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3" w:type="pct"/>
                  <w:vMerge w:val="restart"/>
                  <w:vAlign w:val="center"/>
                </w:tcPr>
                <w:p w14:paraId="155075D8">
                  <w:pPr>
                    <w:pStyle w:val="160"/>
                    <w:rPr>
                      <w:color w:val="auto"/>
                    </w:rPr>
                  </w:pPr>
                  <w:r>
                    <w:rPr>
                      <w:rFonts w:hint="eastAsia"/>
                      <w:color w:val="auto"/>
                    </w:rPr>
                    <w:t>处理后</w:t>
                  </w:r>
                </w:p>
              </w:tc>
              <w:tc>
                <w:tcPr>
                  <w:tcW w:w="1490" w:type="pct"/>
                  <w:vAlign w:val="center"/>
                </w:tcPr>
                <w:p w14:paraId="4AC5ACF2">
                  <w:pPr>
                    <w:pStyle w:val="160"/>
                    <w:rPr>
                      <w:color w:val="auto"/>
                    </w:rPr>
                  </w:pPr>
                  <w:r>
                    <w:rPr>
                      <w:rFonts w:hint="eastAsia"/>
                      <w:color w:val="auto"/>
                    </w:rPr>
                    <w:t>排放浓度（</w:t>
                  </w:r>
                  <w:r>
                    <w:rPr>
                      <w:color w:val="auto"/>
                    </w:rPr>
                    <w:t>mg/L</w:t>
                  </w:r>
                  <w:r>
                    <w:rPr>
                      <w:rFonts w:hint="eastAsia"/>
                      <w:color w:val="auto"/>
                    </w:rPr>
                    <w:t>）</w:t>
                  </w:r>
                </w:p>
              </w:tc>
              <w:tc>
                <w:tcPr>
                  <w:tcW w:w="586" w:type="pct"/>
                  <w:vAlign w:val="center"/>
                </w:tcPr>
                <w:p w14:paraId="1C8892B6">
                  <w:pPr>
                    <w:pStyle w:val="160"/>
                    <w:rPr>
                      <w:color w:val="auto"/>
                    </w:rPr>
                  </w:pPr>
                  <w:r>
                    <w:rPr>
                      <w:color w:val="auto"/>
                    </w:rPr>
                    <w:t>6~9</w:t>
                  </w:r>
                </w:p>
              </w:tc>
              <w:tc>
                <w:tcPr>
                  <w:tcW w:w="532" w:type="pct"/>
                  <w:vAlign w:val="center"/>
                </w:tcPr>
                <w:p w14:paraId="3E711EF1">
                  <w:pPr>
                    <w:pStyle w:val="160"/>
                    <w:rPr>
                      <w:color w:val="auto"/>
                    </w:rPr>
                  </w:pPr>
                  <w:r>
                    <w:rPr>
                      <w:color w:val="auto"/>
                    </w:rPr>
                    <w:t>210</w:t>
                  </w:r>
                </w:p>
              </w:tc>
              <w:tc>
                <w:tcPr>
                  <w:tcW w:w="573" w:type="pct"/>
                  <w:vAlign w:val="center"/>
                </w:tcPr>
                <w:p w14:paraId="14BCE0B1">
                  <w:pPr>
                    <w:pStyle w:val="160"/>
                    <w:rPr>
                      <w:color w:val="auto"/>
                    </w:rPr>
                  </w:pPr>
                  <w:r>
                    <w:rPr>
                      <w:color w:val="auto"/>
                    </w:rPr>
                    <w:t>175</w:t>
                  </w:r>
                </w:p>
              </w:tc>
              <w:tc>
                <w:tcPr>
                  <w:tcW w:w="532" w:type="pct"/>
                  <w:vAlign w:val="center"/>
                </w:tcPr>
                <w:p w14:paraId="2D049150">
                  <w:pPr>
                    <w:pStyle w:val="160"/>
                    <w:rPr>
                      <w:color w:val="auto"/>
                    </w:rPr>
                  </w:pPr>
                  <w:r>
                    <w:rPr>
                      <w:color w:val="auto"/>
                    </w:rPr>
                    <w:t>100</w:t>
                  </w:r>
                </w:p>
              </w:tc>
              <w:tc>
                <w:tcPr>
                  <w:tcW w:w="634" w:type="pct"/>
                  <w:vAlign w:val="center"/>
                </w:tcPr>
                <w:p w14:paraId="23476795">
                  <w:pPr>
                    <w:pStyle w:val="160"/>
                    <w:rPr>
                      <w:color w:val="auto"/>
                    </w:rPr>
                  </w:pPr>
                  <w:r>
                    <w:rPr>
                      <w:color w:val="auto"/>
                    </w:rPr>
                    <w:t>30</w:t>
                  </w:r>
                </w:p>
              </w:tc>
            </w:tr>
            <w:tr w14:paraId="423C5AF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653" w:type="pct"/>
                  <w:vMerge w:val="continue"/>
                  <w:vAlign w:val="center"/>
                </w:tcPr>
                <w:p w14:paraId="6DBD4D92">
                  <w:pPr>
                    <w:pStyle w:val="160"/>
                    <w:rPr>
                      <w:color w:val="auto"/>
                    </w:rPr>
                  </w:pPr>
                </w:p>
              </w:tc>
              <w:tc>
                <w:tcPr>
                  <w:tcW w:w="1490" w:type="pct"/>
                  <w:vAlign w:val="center"/>
                </w:tcPr>
                <w:p w14:paraId="1255DA78">
                  <w:pPr>
                    <w:pStyle w:val="160"/>
                    <w:rPr>
                      <w:rFonts w:eastAsia="等线"/>
                      <w:color w:val="auto"/>
                    </w:rPr>
                  </w:pPr>
                  <w:r>
                    <w:rPr>
                      <w:rFonts w:hint="eastAsia"/>
                      <w:color w:val="auto"/>
                    </w:rPr>
                    <w:t>排放量（</w:t>
                  </w:r>
                  <w:r>
                    <w:rPr>
                      <w:color w:val="auto"/>
                    </w:rPr>
                    <w:t>t/a</w:t>
                  </w:r>
                  <w:r>
                    <w:rPr>
                      <w:rFonts w:hint="eastAsia"/>
                      <w:color w:val="auto"/>
                    </w:rPr>
                    <w:t>）</w:t>
                  </w:r>
                </w:p>
              </w:tc>
              <w:tc>
                <w:tcPr>
                  <w:tcW w:w="586" w:type="pct"/>
                  <w:vAlign w:val="center"/>
                </w:tcPr>
                <w:p w14:paraId="02AAEDF6">
                  <w:pPr>
                    <w:pStyle w:val="160"/>
                    <w:rPr>
                      <w:color w:val="auto"/>
                    </w:rPr>
                  </w:pPr>
                  <w:r>
                    <w:rPr>
                      <w:color w:val="auto"/>
                    </w:rPr>
                    <w:t>—</w:t>
                  </w:r>
                </w:p>
              </w:tc>
              <w:tc>
                <w:tcPr>
                  <w:tcW w:w="532" w:type="pct"/>
                  <w:vAlign w:val="center"/>
                </w:tcPr>
                <w:p w14:paraId="7277AAF7">
                  <w:pPr>
                    <w:pStyle w:val="160"/>
                    <w:rPr>
                      <w:color w:val="auto"/>
                    </w:rPr>
                  </w:pPr>
                  <w:r>
                    <w:rPr>
                      <w:color w:val="auto"/>
                    </w:rPr>
                    <w:t>0.</w:t>
                  </w:r>
                  <w:r>
                    <w:rPr>
                      <w:rFonts w:hint="eastAsia"/>
                      <w:color w:val="auto"/>
                    </w:rPr>
                    <w:t>050</w:t>
                  </w:r>
                </w:p>
              </w:tc>
              <w:tc>
                <w:tcPr>
                  <w:tcW w:w="573" w:type="pct"/>
                  <w:vAlign w:val="center"/>
                </w:tcPr>
                <w:p w14:paraId="73E6B333">
                  <w:pPr>
                    <w:pStyle w:val="160"/>
                    <w:rPr>
                      <w:color w:val="auto"/>
                    </w:rPr>
                  </w:pPr>
                  <w:r>
                    <w:rPr>
                      <w:color w:val="auto"/>
                    </w:rPr>
                    <w:t>0.</w:t>
                  </w:r>
                  <w:r>
                    <w:rPr>
                      <w:rFonts w:hint="eastAsia"/>
                      <w:color w:val="auto"/>
                    </w:rPr>
                    <w:t>042</w:t>
                  </w:r>
                </w:p>
              </w:tc>
              <w:tc>
                <w:tcPr>
                  <w:tcW w:w="532" w:type="pct"/>
                  <w:vAlign w:val="center"/>
                </w:tcPr>
                <w:p w14:paraId="7475AAD4">
                  <w:pPr>
                    <w:pStyle w:val="160"/>
                    <w:rPr>
                      <w:color w:val="auto"/>
                    </w:rPr>
                  </w:pPr>
                  <w:r>
                    <w:rPr>
                      <w:color w:val="auto"/>
                    </w:rPr>
                    <w:t>0.</w:t>
                  </w:r>
                  <w:r>
                    <w:rPr>
                      <w:rFonts w:hint="eastAsia"/>
                      <w:color w:val="auto"/>
                    </w:rPr>
                    <w:t>024</w:t>
                  </w:r>
                </w:p>
              </w:tc>
              <w:tc>
                <w:tcPr>
                  <w:tcW w:w="634" w:type="pct"/>
                  <w:vAlign w:val="center"/>
                </w:tcPr>
                <w:p w14:paraId="6127783B">
                  <w:pPr>
                    <w:pStyle w:val="160"/>
                    <w:rPr>
                      <w:color w:val="auto"/>
                    </w:rPr>
                  </w:pPr>
                  <w:r>
                    <w:rPr>
                      <w:color w:val="auto"/>
                    </w:rPr>
                    <w:t>0.0</w:t>
                  </w:r>
                  <w:r>
                    <w:rPr>
                      <w:rFonts w:hint="eastAsia"/>
                      <w:color w:val="auto"/>
                    </w:rPr>
                    <w:t>07</w:t>
                  </w:r>
                </w:p>
              </w:tc>
            </w:tr>
            <w:tr w14:paraId="5D3B7DC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143" w:type="pct"/>
                  <w:gridSpan w:val="2"/>
                  <w:vAlign w:val="center"/>
                </w:tcPr>
                <w:p w14:paraId="207A3595">
                  <w:pPr>
                    <w:pStyle w:val="160"/>
                    <w:rPr>
                      <w:color w:val="auto"/>
                    </w:rPr>
                  </w:pPr>
                  <w:r>
                    <w:rPr>
                      <w:rFonts w:hint="eastAsia"/>
                      <w:color w:val="auto"/>
                    </w:rPr>
                    <w:t>化粪池处理效率</w:t>
                  </w:r>
                </w:p>
              </w:tc>
              <w:tc>
                <w:tcPr>
                  <w:tcW w:w="586" w:type="pct"/>
                  <w:vAlign w:val="center"/>
                </w:tcPr>
                <w:p w14:paraId="0B666109">
                  <w:pPr>
                    <w:pStyle w:val="160"/>
                    <w:rPr>
                      <w:color w:val="auto"/>
                    </w:rPr>
                  </w:pPr>
                  <w:r>
                    <w:rPr>
                      <w:color w:val="auto"/>
                    </w:rPr>
                    <w:t>—</w:t>
                  </w:r>
                </w:p>
              </w:tc>
              <w:tc>
                <w:tcPr>
                  <w:tcW w:w="532" w:type="pct"/>
                  <w:vAlign w:val="center"/>
                </w:tcPr>
                <w:p w14:paraId="71A549D1">
                  <w:pPr>
                    <w:pStyle w:val="160"/>
                    <w:rPr>
                      <w:color w:val="auto"/>
                    </w:rPr>
                  </w:pPr>
                  <w:r>
                    <w:rPr>
                      <w:color w:val="auto"/>
                    </w:rPr>
                    <w:t>40%</w:t>
                  </w:r>
                </w:p>
              </w:tc>
              <w:tc>
                <w:tcPr>
                  <w:tcW w:w="573" w:type="pct"/>
                  <w:vAlign w:val="center"/>
                </w:tcPr>
                <w:p w14:paraId="6D0DD5ED">
                  <w:pPr>
                    <w:pStyle w:val="160"/>
                    <w:rPr>
                      <w:color w:val="auto"/>
                    </w:rPr>
                  </w:pPr>
                  <w:r>
                    <w:rPr>
                      <w:color w:val="auto"/>
                    </w:rPr>
                    <w:t>30%</w:t>
                  </w:r>
                </w:p>
              </w:tc>
              <w:tc>
                <w:tcPr>
                  <w:tcW w:w="532" w:type="pct"/>
                  <w:vAlign w:val="center"/>
                </w:tcPr>
                <w:p w14:paraId="46D4E0CE">
                  <w:pPr>
                    <w:pStyle w:val="160"/>
                    <w:rPr>
                      <w:color w:val="auto"/>
                    </w:rPr>
                  </w:pPr>
                  <w:r>
                    <w:rPr>
                      <w:color w:val="auto"/>
                    </w:rPr>
                    <w:t>60%</w:t>
                  </w:r>
                </w:p>
              </w:tc>
              <w:tc>
                <w:tcPr>
                  <w:tcW w:w="634" w:type="pct"/>
                  <w:vAlign w:val="center"/>
                </w:tcPr>
                <w:p w14:paraId="6FC1147A">
                  <w:pPr>
                    <w:pStyle w:val="160"/>
                    <w:rPr>
                      <w:color w:val="auto"/>
                    </w:rPr>
                  </w:pPr>
                  <w:r>
                    <w:rPr>
                      <w:color w:val="auto"/>
                    </w:rPr>
                    <w:t>/</w:t>
                  </w:r>
                </w:p>
              </w:tc>
            </w:tr>
            <w:tr w14:paraId="4C497CDB">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143" w:type="pct"/>
                  <w:gridSpan w:val="2"/>
                  <w:vAlign w:val="center"/>
                </w:tcPr>
                <w:p w14:paraId="4E547BFA">
                  <w:pPr>
                    <w:pStyle w:val="160"/>
                    <w:rPr>
                      <w:color w:val="auto"/>
                    </w:rPr>
                  </w:pPr>
                  <w:r>
                    <w:rPr>
                      <w:rFonts w:hint="eastAsia"/>
                      <w:color w:val="auto"/>
                      <w:lang w:val="en-US"/>
                    </w:rPr>
                    <w:t>《污水综合排放标准》（GB8978-1996）三级标准</w:t>
                  </w:r>
                </w:p>
              </w:tc>
              <w:tc>
                <w:tcPr>
                  <w:tcW w:w="586" w:type="pct"/>
                  <w:vAlign w:val="center"/>
                </w:tcPr>
                <w:p w14:paraId="1A25135E">
                  <w:pPr>
                    <w:pStyle w:val="160"/>
                    <w:rPr>
                      <w:color w:val="auto"/>
                    </w:rPr>
                  </w:pPr>
                  <w:r>
                    <w:rPr>
                      <w:rFonts w:hint="eastAsia"/>
                      <w:color w:val="auto"/>
                    </w:rPr>
                    <w:t>5</w:t>
                  </w:r>
                  <w:r>
                    <w:rPr>
                      <w:color w:val="auto"/>
                    </w:rPr>
                    <w:t>00</w:t>
                  </w:r>
                </w:p>
              </w:tc>
              <w:tc>
                <w:tcPr>
                  <w:tcW w:w="532" w:type="pct"/>
                  <w:vAlign w:val="center"/>
                </w:tcPr>
                <w:p w14:paraId="1B64C60E">
                  <w:pPr>
                    <w:pStyle w:val="160"/>
                    <w:rPr>
                      <w:color w:val="auto"/>
                    </w:rPr>
                  </w:pPr>
                  <w:r>
                    <w:rPr>
                      <w:rFonts w:hint="eastAsia"/>
                      <w:color w:val="auto"/>
                    </w:rPr>
                    <w:t>5</w:t>
                  </w:r>
                  <w:r>
                    <w:rPr>
                      <w:color w:val="auto"/>
                    </w:rPr>
                    <w:t>00</w:t>
                  </w:r>
                </w:p>
              </w:tc>
              <w:tc>
                <w:tcPr>
                  <w:tcW w:w="573" w:type="pct"/>
                  <w:vAlign w:val="center"/>
                </w:tcPr>
                <w:p w14:paraId="040ED6D0">
                  <w:pPr>
                    <w:pStyle w:val="160"/>
                    <w:rPr>
                      <w:color w:val="auto"/>
                    </w:rPr>
                  </w:pPr>
                  <w:r>
                    <w:rPr>
                      <w:rFonts w:hint="eastAsia"/>
                      <w:color w:val="auto"/>
                    </w:rPr>
                    <w:t>4</w:t>
                  </w:r>
                  <w:r>
                    <w:rPr>
                      <w:color w:val="auto"/>
                    </w:rPr>
                    <w:t>00</w:t>
                  </w:r>
                </w:p>
              </w:tc>
              <w:tc>
                <w:tcPr>
                  <w:tcW w:w="532" w:type="pct"/>
                  <w:vAlign w:val="center"/>
                </w:tcPr>
                <w:p w14:paraId="4853A73A">
                  <w:pPr>
                    <w:pStyle w:val="160"/>
                    <w:rPr>
                      <w:color w:val="auto"/>
                    </w:rPr>
                  </w:pPr>
                  <w:r>
                    <w:rPr>
                      <w:color w:val="auto"/>
                    </w:rPr>
                    <w:t>400</w:t>
                  </w:r>
                </w:p>
              </w:tc>
              <w:tc>
                <w:tcPr>
                  <w:tcW w:w="634" w:type="pct"/>
                  <w:vAlign w:val="center"/>
                </w:tcPr>
                <w:p w14:paraId="4C4348B7">
                  <w:pPr>
                    <w:pStyle w:val="160"/>
                    <w:rPr>
                      <w:color w:val="auto"/>
                    </w:rPr>
                  </w:pPr>
                  <w:r>
                    <w:rPr>
                      <w:color w:val="auto"/>
                    </w:rPr>
                    <w:t>/</w:t>
                  </w:r>
                </w:p>
              </w:tc>
            </w:tr>
          </w:tbl>
          <w:p w14:paraId="3A47B85F">
            <w:pPr>
              <w:pStyle w:val="117"/>
              <w:ind w:firstLine="480"/>
              <w:rPr>
                <w:color w:val="auto"/>
              </w:rPr>
            </w:pPr>
            <w:r>
              <w:rPr>
                <w:rFonts w:hint="eastAsia"/>
                <w:color w:val="auto"/>
              </w:rPr>
              <w:t>生活污水经化粪池处理后经市政管网排入鹿寨县第二污水处理厂，处理后最终排入洛清江。</w:t>
            </w:r>
          </w:p>
          <w:p w14:paraId="6C78F40B">
            <w:pPr>
              <w:ind w:firstLine="482"/>
              <w:rPr>
                <w:b/>
                <w:bCs/>
                <w:color w:val="auto"/>
              </w:rPr>
            </w:pPr>
            <w:r>
              <w:rPr>
                <w:b/>
                <w:bCs/>
                <w:color w:val="auto"/>
              </w:rPr>
              <w:t>2</w:t>
            </w:r>
            <w:r>
              <w:rPr>
                <w:rFonts w:hint="eastAsia"/>
                <w:b/>
                <w:bCs/>
                <w:color w:val="auto"/>
              </w:rPr>
              <w:t>、废水处理措施及可行性分析</w:t>
            </w:r>
          </w:p>
          <w:p w14:paraId="77373A89">
            <w:pPr>
              <w:ind w:firstLine="480"/>
              <w:rPr>
                <w:color w:val="auto"/>
              </w:rPr>
            </w:pPr>
            <w:r>
              <w:rPr>
                <w:rFonts w:hint="eastAsia"/>
                <w:color w:val="auto"/>
              </w:rPr>
              <w:t>（1）化粪池可行性分析</w:t>
            </w:r>
          </w:p>
          <w:p w14:paraId="1CCD9361">
            <w:pPr>
              <w:ind w:firstLine="480"/>
              <w:rPr>
                <w:color w:val="auto"/>
              </w:rPr>
            </w:pPr>
            <w:r>
              <w:rPr>
                <w:rFonts w:hint="eastAsia"/>
                <w:color w:val="auto"/>
              </w:rPr>
              <w:t>化粪池是处理粪便并加以过滤沉淀的设备，其原理是固化物在池底分解，上层的水化物体，进入管道流走，防治了管道堵塞，给固化物体（粪便等垃圾）有充足的时间水解，污水首先由进水口排到第一格，在第一格里比重较大的固体物及寄生虫卵等物沉淀下来，开始初步的发酵分解，经第一格处理过的污水可分为三层：糊状粪皮、比较澄清的粪液和固体状的粪渣。经过初步分解的粪液流入第二格，而漂浮在上面的粪皮和沉积在下面的粪渣则留在第一格继续发酵。在第二格中，粪液继续发酵分解，虫卵继续下沉，病原体铸件死亡，粪液得到进一步无害化，产生的粪皮和粪渣厚度比第一格显著减少，流入第三格的粪液一般己经腐熟，其中病菌和寄生虫卵己基本杀灭。第三格功能主要起暂时储存已基本无害的粪液作用。</w:t>
            </w:r>
          </w:p>
          <w:p w14:paraId="159BC296">
            <w:pPr>
              <w:pStyle w:val="117"/>
              <w:ind w:firstLine="480"/>
              <w:rPr>
                <w:color w:val="auto"/>
              </w:rPr>
            </w:pPr>
            <w:r>
              <w:rPr>
                <w:color w:val="auto"/>
              </w:rPr>
              <w:t>（</w:t>
            </w:r>
            <w:r>
              <w:rPr>
                <w:rFonts w:hint="eastAsia"/>
                <w:color w:val="auto"/>
              </w:rPr>
              <w:t>2</w:t>
            </w:r>
            <w:r>
              <w:rPr>
                <w:color w:val="auto"/>
              </w:rPr>
              <w:t>）依托污水处理厂的可行性分析</w:t>
            </w:r>
          </w:p>
          <w:p w14:paraId="1384BFE0">
            <w:pPr>
              <w:pStyle w:val="117"/>
              <w:ind w:firstLine="480"/>
              <w:rPr>
                <w:color w:val="auto"/>
              </w:rPr>
            </w:pPr>
            <w:r>
              <w:rPr>
                <w:rFonts w:hint="eastAsia"/>
                <w:color w:val="auto"/>
              </w:rPr>
              <w:t>项目所在区域为鹿寨县第二污水处理厂的服务范围，服务范围为鹿寨县城西南开发区和城南开发区等区域生活污水和工业废水，设计服务范围共计5.5km</w:t>
            </w:r>
            <w:r>
              <w:rPr>
                <w:rFonts w:hint="eastAsia"/>
                <w:color w:val="auto"/>
                <w:vertAlign w:val="superscript"/>
              </w:rPr>
              <w:t>2</w:t>
            </w:r>
            <w:r>
              <w:rPr>
                <w:rFonts w:hint="eastAsia"/>
                <w:color w:val="auto"/>
              </w:rPr>
              <w:t>，设计服务人口3.65万人。</w:t>
            </w:r>
          </w:p>
          <w:p w14:paraId="66C19D82">
            <w:pPr>
              <w:pStyle w:val="117"/>
              <w:ind w:firstLine="480"/>
              <w:rPr>
                <w:color w:val="auto"/>
              </w:rPr>
            </w:pPr>
            <w:r>
              <w:rPr>
                <w:rFonts w:hint="eastAsia"/>
                <w:color w:val="auto"/>
              </w:rPr>
              <w:t>据调查，鹿寨县城第二污水处理厂改扩建工程设计处理能力3万m</w:t>
            </w:r>
            <w:r>
              <w:rPr>
                <w:rFonts w:hint="eastAsia"/>
                <w:color w:val="auto"/>
                <w:vertAlign w:val="superscript"/>
              </w:rPr>
              <w:t>3</w:t>
            </w:r>
            <w:r>
              <w:rPr>
                <w:rFonts w:hint="eastAsia"/>
                <w:color w:val="auto"/>
              </w:rPr>
              <w:t>/d，目前已建成，目前负荷约1.2万m</w:t>
            </w:r>
            <w:r>
              <w:rPr>
                <w:rFonts w:hint="eastAsia"/>
                <w:color w:val="auto"/>
                <w:vertAlign w:val="superscript"/>
              </w:rPr>
              <w:t>3</w:t>
            </w:r>
            <w:r>
              <w:rPr>
                <w:rFonts w:hint="eastAsia"/>
                <w:color w:val="auto"/>
              </w:rPr>
              <w:t>/d。本项目外排废水总量约2.4m</w:t>
            </w:r>
            <w:r>
              <w:rPr>
                <w:rFonts w:hint="eastAsia"/>
                <w:color w:val="auto"/>
                <w:vertAlign w:val="superscript"/>
              </w:rPr>
              <w:t>3</w:t>
            </w:r>
            <w:r>
              <w:rPr>
                <w:rFonts w:hint="eastAsia"/>
                <w:color w:val="auto"/>
              </w:rPr>
              <w:t>/d，约占污水处理厂当前剩余处理容量的0.01%，远远小于该污水处理厂的剩余处理容量。因此，鹿寨县第二污水处理厂可容纳处理本项目产生的废水。本项目废水中不含重金属等第类污染物，鹿寨县第二污水处理厂的处理工艺可以处理本项目的生活污水，不会造成污水处理厂负荷和超过污水处理厂进水浓度，对鹿寨县第二污水处理厂的正常运行影响很小。</w:t>
            </w:r>
          </w:p>
          <w:p w14:paraId="2CC479B7">
            <w:pPr>
              <w:pStyle w:val="117"/>
              <w:ind w:firstLine="480"/>
              <w:rPr>
                <w:color w:val="auto"/>
              </w:rPr>
            </w:pPr>
            <w:r>
              <w:rPr>
                <w:rFonts w:hint="eastAsia"/>
                <w:color w:val="auto"/>
              </w:rPr>
              <w:t>综上所述，项目水环境影响减缓措施有效，排入鹿寨县第二污水处理厂处理本项目外排污水可行，对地表水环境影响可以接受。</w:t>
            </w:r>
          </w:p>
          <w:p w14:paraId="087E3421">
            <w:pPr>
              <w:pStyle w:val="117"/>
              <w:ind w:firstLine="482"/>
              <w:rPr>
                <w:b/>
                <w:color w:val="auto"/>
              </w:rPr>
            </w:pPr>
            <w:r>
              <w:rPr>
                <w:rFonts w:hint="eastAsia"/>
                <w:b/>
                <w:color w:val="auto"/>
              </w:rPr>
              <w:t>3、废水排放口情况</w:t>
            </w:r>
          </w:p>
          <w:p w14:paraId="6CA296E0">
            <w:pPr>
              <w:pStyle w:val="117"/>
              <w:ind w:firstLine="480"/>
              <w:rPr>
                <w:b/>
                <w:color w:val="auto"/>
                <w:szCs w:val="21"/>
              </w:rPr>
            </w:pPr>
            <w:r>
              <w:rPr>
                <w:rFonts w:hint="eastAsia"/>
                <w:color w:val="auto"/>
              </w:rPr>
              <w:t>项目废水类别、污染物及污染防治设施信息见下表。</w:t>
            </w:r>
          </w:p>
          <w:p w14:paraId="2032D718">
            <w:pPr>
              <w:pStyle w:val="87"/>
              <w:rPr>
                <w:color w:val="auto"/>
              </w:rPr>
            </w:pPr>
            <w:r>
              <w:rPr>
                <w:color w:val="auto"/>
              </w:rPr>
              <w:t>表</w:t>
            </w:r>
            <w:r>
              <w:rPr>
                <w:rFonts w:hint="eastAsia"/>
                <w:color w:val="auto"/>
              </w:rPr>
              <w:t>4-5</w:t>
            </w:r>
            <w:r>
              <w:rPr>
                <w:color w:val="auto"/>
              </w:rPr>
              <w:t xml:space="preserve">  </w:t>
            </w:r>
            <w:r>
              <w:rPr>
                <w:rFonts w:hint="eastAsia"/>
                <w:color w:val="auto"/>
              </w:rPr>
              <w:t>废水类别、污染物及污染防治设施信息表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64"/>
              <w:gridCol w:w="371"/>
              <w:gridCol w:w="1026"/>
              <w:gridCol w:w="939"/>
              <w:gridCol w:w="1765"/>
              <w:gridCol w:w="895"/>
              <w:gridCol w:w="578"/>
              <w:gridCol w:w="578"/>
              <w:gridCol w:w="758"/>
              <w:gridCol w:w="732"/>
              <w:gridCol w:w="571"/>
            </w:tblGrid>
            <w:tr w14:paraId="7EBD964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6" w:type="pct"/>
                  <w:vMerge w:val="restart"/>
                  <w:vAlign w:val="center"/>
                </w:tcPr>
                <w:p w14:paraId="59726ACA">
                  <w:pPr>
                    <w:pStyle w:val="79"/>
                    <w:rPr>
                      <w:rFonts w:eastAsia="Times New Roman"/>
                      <w:b w:val="0"/>
                      <w:bCs/>
                      <w:color w:val="auto"/>
                    </w:rPr>
                  </w:pPr>
                  <w:r>
                    <w:rPr>
                      <w:rFonts w:hint="eastAsia" w:eastAsia="Times New Roman"/>
                      <w:b/>
                      <w:bCs/>
                      <w:color w:val="auto"/>
                    </w:rPr>
                    <w:t>序号</w:t>
                  </w:r>
                </w:p>
              </w:tc>
              <w:tc>
                <w:tcPr>
                  <w:tcW w:w="219" w:type="pct"/>
                  <w:vMerge w:val="restart"/>
                  <w:vAlign w:val="center"/>
                </w:tcPr>
                <w:p w14:paraId="1577B4A2">
                  <w:pPr>
                    <w:pStyle w:val="79"/>
                    <w:rPr>
                      <w:rFonts w:eastAsia="Times New Roman"/>
                      <w:b w:val="0"/>
                      <w:bCs/>
                      <w:color w:val="auto"/>
                    </w:rPr>
                  </w:pPr>
                  <w:r>
                    <w:rPr>
                      <w:rFonts w:hint="eastAsia" w:eastAsia="Times New Roman"/>
                      <w:b/>
                      <w:bCs/>
                      <w:color w:val="auto"/>
                    </w:rPr>
                    <w:t>废水类别</w:t>
                  </w:r>
                </w:p>
              </w:tc>
              <w:tc>
                <w:tcPr>
                  <w:tcW w:w="605" w:type="pct"/>
                  <w:vMerge w:val="restart"/>
                  <w:vAlign w:val="center"/>
                </w:tcPr>
                <w:p w14:paraId="2C5957E3">
                  <w:pPr>
                    <w:pStyle w:val="79"/>
                    <w:rPr>
                      <w:rFonts w:eastAsia="Times New Roman"/>
                      <w:b w:val="0"/>
                      <w:bCs/>
                      <w:color w:val="auto"/>
                    </w:rPr>
                  </w:pPr>
                  <w:r>
                    <w:rPr>
                      <w:rFonts w:hint="eastAsia" w:eastAsia="Times New Roman"/>
                      <w:b/>
                      <w:bCs/>
                      <w:color w:val="auto"/>
                    </w:rPr>
                    <w:t>污染物种类</w:t>
                  </w:r>
                </w:p>
              </w:tc>
              <w:tc>
                <w:tcPr>
                  <w:tcW w:w="554" w:type="pct"/>
                  <w:vMerge w:val="restart"/>
                  <w:vAlign w:val="center"/>
                </w:tcPr>
                <w:p w14:paraId="7A8D594E">
                  <w:pPr>
                    <w:pStyle w:val="79"/>
                    <w:rPr>
                      <w:rFonts w:eastAsia="Times New Roman"/>
                      <w:b w:val="0"/>
                      <w:bCs/>
                      <w:color w:val="auto"/>
                    </w:rPr>
                  </w:pPr>
                  <w:r>
                    <w:rPr>
                      <w:rFonts w:hint="eastAsia" w:eastAsia="Times New Roman"/>
                      <w:b/>
                      <w:bCs/>
                      <w:color w:val="auto"/>
                    </w:rPr>
                    <w:t>排放去向</w:t>
                  </w:r>
                </w:p>
              </w:tc>
              <w:tc>
                <w:tcPr>
                  <w:tcW w:w="1041" w:type="pct"/>
                  <w:vMerge w:val="restart"/>
                  <w:vAlign w:val="center"/>
                </w:tcPr>
                <w:p w14:paraId="1BA80E3C">
                  <w:pPr>
                    <w:pStyle w:val="79"/>
                    <w:rPr>
                      <w:rFonts w:eastAsia="Times New Roman"/>
                      <w:b w:val="0"/>
                      <w:bCs/>
                      <w:color w:val="auto"/>
                    </w:rPr>
                  </w:pPr>
                  <w:r>
                    <w:rPr>
                      <w:rFonts w:hint="eastAsia" w:eastAsia="Times New Roman"/>
                      <w:b/>
                      <w:bCs/>
                      <w:color w:val="auto"/>
                    </w:rPr>
                    <w:t>排放规律</w:t>
                  </w:r>
                </w:p>
              </w:tc>
              <w:tc>
                <w:tcPr>
                  <w:tcW w:w="1209" w:type="pct"/>
                  <w:gridSpan w:val="3"/>
                  <w:vAlign w:val="center"/>
                </w:tcPr>
                <w:p w14:paraId="1936C1E1">
                  <w:pPr>
                    <w:pStyle w:val="79"/>
                    <w:rPr>
                      <w:rFonts w:eastAsia="Times New Roman"/>
                      <w:b w:val="0"/>
                      <w:bCs/>
                      <w:color w:val="auto"/>
                    </w:rPr>
                  </w:pPr>
                  <w:r>
                    <w:rPr>
                      <w:rFonts w:hint="eastAsia" w:eastAsia="Times New Roman"/>
                      <w:b/>
                      <w:bCs/>
                      <w:color w:val="auto"/>
                    </w:rPr>
                    <w:t>污染治理设施</w:t>
                  </w:r>
                </w:p>
              </w:tc>
              <w:tc>
                <w:tcPr>
                  <w:tcW w:w="447" w:type="pct"/>
                  <w:vMerge w:val="restart"/>
                  <w:vAlign w:val="center"/>
                </w:tcPr>
                <w:p w14:paraId="64B8A369">
                  <w:pPr>
                    <w:pStyle w:val="79"/>
                    <w:rPr>
                      <w:rFonts w:eastAsia="Times New Roman"/>
                      <w:b w:val="0"/>
                      <w:bCs/>
                      <w:color w:val="auto"/>
                    </w:rPr>
                  </w:pPr>
                  <w:r>
                    <w:rPr>
                      <w:rFonts w:hint="eastAsia" w:eastAsia="Times New Roman"/>
                      <w:b/>
                      <w:bCs/>
                      <w:color w:val="auto"/>
                    </w:rPr>
                    <w:t>排放口编号</w:t>
                  </w:r>
                </w:p>
              </w:tc>
              <w:tc>
                <w:tcPr>
                  <w:tcW w:w="432" w:type="pct"/>
                  <w:vMerge w:val="restart"/>
                  <w:vAlign w:val="center"/>
                </w:tcPr>
                <w:p w14:paraId="1A61E8B6">
                  <w:pPr>
                    <w:pStyle w:val="79"/>
                    <w:rPr>
                      <w:rFonts w:eastAsia="Times New Roman"/>
                      <w:b w:val="0"/>
                      <w:bCs/>
                      <w:color w:val="auto"/>
                    </w:rPr>
                  </w:pPr>
                  <w:r>
                    <w:rPr>
                      <w:rFonts w:hint="eastAsia" w:eastAsia="Times New Roman"/>
                      <w:b/>
                      <w:bCs/>
                      <w:color w:val="auto"/>
                    </w:rPr>
                    <w:t>排放口设置是否符合要求</w:t>
                  </w:r>
                </w:p>
              </w:tc>
              <w:tc>
                <w:tcPr>
                  <w:tcW w:w="338" w:type="pct"/>
                  <w:vMerge w:val="restart"/>
                  <w:vAlign w:val="center"/>
                </w:tcPr>
                <w:p w14:paraId="3929415E">
                  <w:pPr>
                    <w:pStyle w:val="79"/>
                    <w:rPr>
                      <w:rFonts w:eastAsia="Times New Roman"/>
                      <w:b w:val="0"/>
                      <w:bCs/>
                      <w:color w:val="auto"/>
                    </w:rPr>
                  </w:pPr>
                  <w:r>
                    <w:rPr>
                      <w:rFonts w:hint="eastAsia" w:eastAsia="Times New Roman"/>
                      <w:b/>
                      <w:bCs/>
                      <w:color w:val="auto"/>
                    </w:rPr>
                    <w:t>排放口类型</w:t>
                  </w:r>
                </w:p>
              </w:tc>
            </w:tr>
            <w:tr w14:paraId="699C0B3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6" w:type="pct"/>
                  <w:vMerge w:val="continue"/>
                  <w:vAlign w:val="center"/>
                </w:tcPr>
                <w:p w14:paraId="4A3B078C">
                  <w:pPr>
                    <w:pStyle w:val="79"/>
                    <w:rPr>
                      <w:rFonts w:eastAsia="Times New Roman"/>
                      <w:color w:val="auto"/>
                    </w:rPr>
                  </w:pPr>
                </w:p>
              </w:tc>
              <w:tc>
                <w:tcPr>
                  <w:tcW w:w="219" w:type="pct"/>
                  <w:vMerge w:val="continue"/>
                  <w:vAlign w:val="center"/>
                </w:tcPr>
                <w:p w14:paraId="559D531C">
                  <w:pPr>
                    <w:pStyle w:val="79"/>
                    <w:rPr>
                      <w:rFonts w:eastAsia="Times New Roman"/>
                      <w:color w:val="auto"/>
                    </w:rPr>
                  </w:pPr>
                </w:p>
              </w:tc>
              <w:tc>
                <w:tcPr>
                  <w:tcW w:w="605" w:type="pct"/>
                  <w:vMerge w:val="continue"/>
                  <w:vAlign w:val="center"/>
                </w:tcPr>
                <w:p w14:paraId="0F8A3D6E">
                  <w:pPr>
                    <w:pStyle w:val="79"/>
                    <w:rPr>
                      <w:rFonts w:eastAsia="Times New Roman"/>
                      <w:color w:val="auto"/>
                    </w:rPr>
                  </w:pPr>
                </w:p>
              </w:tc>
              <w:tc>
                <w:tcPr>
                  <w:tcW w:w="554" w:type="pct"/>
                  <w:vMerge w:val="continue"/>
                  <w:vAlign w:val="center"/>
                </w:tcPr>
                <w:p w14:paraId="456359C9">
                  <w:pPr>
                    <w:pStyle w:val="79"/>
                    <w:rPr>
                      <w:rFonts w:eastAsia="Times New Roman"/>
                      <w:color w:val="auto"/>
                    </w:rPr>
                  </w:pPr>
                </w:p>
              </w:tc>
              <w:tc>
                <w:tcPr>
                  <w:tcW w:w="1041" w:type="pct"/>
                  <w:vMerge w:val="continue"/>
                  <w:vAlign w:val="center"/>
                </w:tcPr>
                <w:p w14:paraId="0F785009">
                  <w:pPr>
                    <w:pStyle w:val="79"/>
                    <w:rPr>
                      <w:rFonts w:eastAsia="Times New Roman"/>
                      <w:color w:val="auto"/>
                    </w:rPr>
                  </w:pPr>
                </w:p>
              </w:tc>
              <w:tc>
                <w:tcPr>
                  <w:tcW w:w="528" w:type="pct"/>
                  <w:vAlign w:val="center"/>
                </w:tcPr>
                <w:p w14:paraId="15A31ED9">
                  <w:pPr>
                    <w:pStyle w:val="79"/>
                    <w:rPr>
                      <w:rFonts w:eastAsia="Times New Roman"/>
                      <w:b/>
                      <w:bCs/>
                      <w:color w:val="auto"/>
                    </w:rPr>
                  </w:pPr>
                  <w:r>
                    <w:rPr>
                      <w:rFonts w:hint="eastAsia" w:eastAsia="Times New Roman"/>
                      <w:b/>
                      <w:bCs/>
                      <w:color w:val="auto"/>
                    </w:rPr>
                    <w:t>污染治理设施标号</w:t>
                  </w:r>
                </w:p>
              </w:tc>
              <w:tc>
                <w:tcPr>
                  <w:tcW w:w="341" w:type="pct"/>
                  <w:vAlign w:val="center"/>
                </w:tcPr>
                <w:p w14:paraId="2DE31970">
                  <w:pPr>
                    <w:pStyle w:val="79"/>
                    <w:rPr>
                      <w:rFonts w:eastAsia="Times New Roman"/>
                      <w:b/>
                      <w:bCs/>
                      <w:color w:val="auto"/>
                    </w:rPr>
                  </w:pPr>
                  <w:r>
                    <w:rPr>
                      <w:rFonts w:hint="eastAsia" w:eastAsia="Times New Roman"/>
                      <w:b/>
                      <w:bCs/>
                      <w:color w:val="auto"/>
                    </w:rPr>
                    <w:t>污染治理设施名称</w:t>
                  </w:r>
                </w:p>
              </w:tc>
              <w:tc>
                <w:tcPr>
                  <w:tcW w:w="341" w:type="pct"/>
                  <w:vAlign w:val="center"/>
                </w:tcPr>
                <w:p w14:paraId="7C53B6C6">
                  <w:pPr>
                    <w:pStyle w:val="79"/>
                    <w:rPr>
                      <w:rFonts w:eastAsia="Times New Roman"/>
                      <w:b/>
                      <w:bCs/>
                      <w:color w:val="auto"/>
                    </w:rPr>
                  </w:pPr>
                  <w:r>
                    <w:rPr>
                      <w:rFonts w:hint="eastAsia" w:eastAsia="Times New Roman"/>
                      <w:b/>
                      <w:bCs/>
                      <w:color w:val="auto"/>
                    </w:rPr>
                    <w:t>污染治理设施工艺</w:t>
                  </w:r>
                </w:p>
              </w:tc>
              <w:tc>
                <w:tcPr>
                  <w:tcW w:w="447" w:type="pct"/>
                  <w:vMerge w:val="continue"/>
                  <w:vAlign w:val="center"/>
                </w:tcPr>
                <w:p w14:paraId="3297C902">
                  <w:pPr>
                    <w:pStyle w:val="79"/>
                    <w:rPr>
                      <w:rFonts w:eastAsia="Times New Roman"/>
                      <w:color w:val="auto"/>
                    </w:rPr>
                  </w:pPr>
                </w:p>
              </w:tc>
              <w:tc>
                <w:tcPr>
                  <w:tcW w:w="432" w:type="pct"/>
                  <w:vMerge w:val="continue"/>
                  <w:vAlign w:val="center"/>
                </w:tcPr>
                <w:p w14:paraId="04072DF8">
                  <w:pPr>
                    <w:pStyle w:val="79"/>
                    <w:rPr>
                      <w:rFonts w:eastAsia="Times New Roman"/>
                      <w:color w:val="auto"/>
                    </w:rPr>
                  </w:pPr>
                </w:p>
              </w:tc>
              <w:tc>
                <w:tcPr>
                  <w:tcW w:w="338" w:type="pct"/>
                  <w:vMerge w:val="continue"/>
                  <w:vAlign w:val="center"/>
                </w:tcPr>
                <w:p w14:paraId="227B2736">
                  <w:pPr>
                    <w:pStyle w:val="79"/>
                    <w:rPr>
                      <w:rFonts w:eastAsia="Times New Roman"/>
                      <w:color w:val="auto"/>
                    </w:rPr>
                  </w:pPr>
                </w:p>
              </w:tc>
            </w:tr>
            <w:tr w14:paraId="2528DCF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56" w:type="pct"/>
                  <w:vAlign w:val="center"/>
                </w:tcPr>
                <w:p w14:paraId="226763EC">
                  <w:pPr>
                    <w:pStyle w:val="79"/>
                    <w:rPr>
                      <w:rFonts w:eastAsia="Times New Roman"/>
                      <w:color w:val="auto"/>
                    </w:rPr>
                  </w:pPr>
                  <w:r>
                    <w:rPr>
                      <w:rFonts w:hint="eastAsia" w:eastAsia="Times New Roman"/>
                      <w:color w:val="auto"/>
                    </w:rPr>
                    <w:t>1</w:t>
                  </w:r>
                </w:p>
              </w:tc>
              <w:tc>
                <w:tcPr>
                  <w:tcW w:w="219" w:type="pct"/>
                  <w:vAlign w:val="center"/>
                </w:tcPr>
                <w:p w14:paraId="737122E2">
                  <w:pPr>
                    <w:pStyle w:val="79"/>
                    <w:rPr>
                      <w:rFonts w:eastAsia="Times New Roman"/>
                      <w:color w:val="auto"/>
                    </w:rPr>
                  </w:pPr>
                  <w:r>
                    <w:rPr>
                      <w:rFonts w:hint="eastAsia" w:eastAsia="Times New Roman"/>
                      <w:color w:val="auto"/>
                    </w:rPr>
                    <w:t>生活污水</w:t>
                  </w:r>
                </w:p>
              </w:tc>
              <w:tc>
                <w:tcPr>
                  <w:tcW w:w="605" w:type="pct"/>
                  <w:vAlign w:val="center"/>
                </w:tcPr>
                <w:p w14:paraId="5654233F">
                  <w:pPr>
                    <w:pStyle w:val="79"/>
                    <w:rPr>
                      <w:rFonts w:eastAsia="Times New Roman"/>
                      <w:color w:val="auto"/>
                    </w:rPr>
                  </w:pPr>
                  <w:r>
                    <w:rPr>
                      <w:rFonts w:hint="eastAsia" w:eastAsia="Times New Roman"/>
                      <w:color w:val="auto"/>
                    </w:rPr>
                    <w:t>COD、BOD、SS、氨氮</w:t>
                  </w:r>
                </w:p>
              </w:tc>
              <w:tc>
                <w:tcPr>
                  <w:tcW w:w="554" w:type="pct"/>
                  <w:vAlign w:val="center"/>
                </w:tcPr>
                <w:p w14:paraId="74D91E7F">
                  <w:pPr>
                    <w:pStyle w:val="79"/>
                    <w:rPr>
                      <w:rFonts w:eastAsia="Times New Roman"/>
                      <w:color w:val="auto"/>
                    </w:rPr>
                  </w:pPr>
                  <w:r>
                    <w:rPr>
                      <w:rFonts w:hint="eastAsia" w:eastAsia="Times New Roman"/>
                      <w:color w:val="auto"/>
                    </w:rPr>
                    <w:t>排入污水管网进入鹿寨县第二处理厂</w:t>
                  </w:r>
                </w:p>
              </w:tc>
              <w:tc>
                <w:tcPr>
                  <w:tcW w:w="1041" w:type="pct"/>
                  <w:vAlign w:val="center"/>
                </w:tcPr>
                <w:p w14:paraId="4873DC95">
                  <w:pPr>
                    <w:pStyle w:val="79"/>
                    <w:rPr>
                      <w:rFonts w:eastAsia="Times New Roman"/>
                      <w:color w:val="auto"/>
                    </w:rPr>
                  </w:pPr>
                  <w:r>
                    <w:rPr>
                      <w:rFonts w:hint="eastAsia" w:eastAsia="Times New Roman"/>
                      <w:color w:val="auto"/>
                    </w:rPr>
                    <w:t>间断排放，排放期间流量不稳定且无规律，但不属于冲击型排放</w:t>
                  </w:r>
                </w:p>
              </w:tc>
              <w:tc>
                <w:tcPr>
                  <w:tcW w:w="528" w:type="pct"/>
                  <w:vAlign w:val="center"/>
                </w:tcPr>
                <w:p w14:paraId="1FE21014">
                  <w:pPr>
                    <w:pStyle w:val="79"/>
                    <w:rPr>
                      <w:rFonts w:eastAsia="Times New Roman"/>
                      <w:color w:val="auto"/>
                    </w:rPr>
                  </w:pPr>
                  <w:r>
                    <w:rPr>
                      <w:rFonts w:hint="eastAsia" w:eastAsia="Times New Roman"/>
                      <w:color w:val="auto"/>
                    </w:rPr>
                    <w:t>TW001</w:t>
                  </w:r>
                </w:p>
              </w:tc>
              <w:tc>
                <w:tcPr>
                  <w:tcW w:w="341" w:type="pct"/>
                  <w:vAlign w:val="center"/>
                </w:tcPr>
                <w:p w14:paraId="3E8FA1D6">
                  <w:pPr>
                    <w:pStyle w:val="79"/>
                    <w:rPr>
                      <w:rFonts w:eastAsia="Times New Roman"/>
                      <w:color w:val="auto"/>
                    </w:rPr>
                  </w:pPr>
                  <w:r>
                    <w:rPr>
                      <w:rFonts w:hint="eastAsia" w:eastAsia="Times New Roman"/>
                      <w:color w:val="auto"/>
                    </w:rPr>
                    <w:t>化粪池</w:t>
                  </w:r>
                </w:p>
              </w:tc>
              <w:tc>
                <w:tcPr>
                  <w:tcW w:w="341" w:type="pct"/>
                  <w:vAlign w:val="center"/>
                </w:tcPr>
                <w:p w14:paraId="27406F07">
                  <w:pPr>
                    <w:pStyle w:val="79"/>
                    <w:rPr>
                      <w:rFonts w:eastAsia="Times New Roman"/>
                      <w:color w:val="auto"/>
                    </w:rPr>
                  </w:pPr>
                  <w:r>
                    <w:rPr>
                      <w:rFonts w:hint="eastAsia" w:eastAsia="Times New Roman"/>
                      <w:color w:val="auto"/>
                    </w:rPr>
                    <w:t>化粪池</w:t>
                  </w:r>
                </w:p>
              </w:tc>
              <w:tc>
                <w:tcPr>
                  <w:tcW w:w="447" w:type="pct"/>
                  <w:vAlign w:val="center"/>
                </w:tcPr>
                <w:p w14:paraId="6DF022AD">
                  <w:pPr>
                    <w:pStyle w:val="79"/>
                    <w:rPr>
                      <w:rFonts w:eastAsia="Times New Roman"/>
                      <w:color w:val="auto"/>
                    </w:rPr>
                  </w:pPr>
                  <w:r>
                    <w:rPr>
                      <w:rFonts w:hint="eastAsia" w:eastAsia="Times New Roman"/>
                      <w:color w:val="auto"/>
                    </w:rPr>
                    <w:t>DW001</w:t>
                  </w:r>
                </w:p>
              </w:tc>
              <w:tc>
                <w:tcPr>
                  <w:tcW w:w="432" w:type="pct"/>
                  <w:vAlign w:val="center"/>
                </w:tcPr>
                <w:p w14:paraId="306F3D76">
                  <w:pPr>
                    <w:pStyle w:val="79"/>
                    <w:rPr>
                      <w:rFonts w:eastAsia="Times New Roman"/>
                      <w:color w:val="auto"/>
                    </w:rPr>
                  </w:pPr>
                  <w:r>
                    <w:rPr>
                      <w:rFonts w:hint="eastAsia" w:eastAsia="Times New Roman"/>
                      <w:color w:val="auto"/>
                    </w:rPr>
                    <w:t>满足</w:t>
                  </w:r>
                </w:p>
              </w:tc>
              <w:tc>
                <w:tcPr>
                  <w:tcW w:w="338" w:type="pct"/>
                  <w:vAlign w:val="center"/>
                </w:tcPr>
                <w:p w14:paraId="3695A006">
                  <w:pPr>
                    <w:pStyle w:val="79"/>
                    <w:rPr>
                      <w:rFonts w:eastAsia="Times New Roman"/>
                      <w:color w:val="auto"/>
                    </w:rPr>
                  </w:pPr>
                  <w:r>
                    <w:rPr>
                      <w:rFonts w:hint="eastAsia" w:eastAsia="Times New Roman"/>
                      <w:color w:val="auto"/>
                    </w:rPr>
                    <w:t>厂区废水总排放口</w:t>
                  </w:r>
                </w:p>
              </w:tc>
            </w:tr>
          </w:tbl>
          <w:p w14:paraId="2BB116CB">
            <w:pPr>
              <w:pStyle w:val="87"/>
              <w:rPr>
                <w:color w:val="auto"/>
              </w:rPr>
            </w:pPr>
            <w:r>
              <w:rPr>
                <w:rFonts w:hint="eastAsia"/>
                <w:color w:val="auto"/>
              </w:rPr>
              <w:t>表4-6  废水间接排放口基本情况表</w:t>
            </w:r>
          </w:p>
          <w:tbl>
            <w:tblPr>
              <w:tblStyle w:val="154"/>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340"/>
              <w:gridCol w:w="1321"/>
              <w:gridCol w:w="1216"/>
              <w:gridCol w:w="705"/>
              <w:gridCol w:w="315"/>
              <w:gridCol w:w="315"/>
              <w:gridCol w:w="981"/>
              <w:gridCol w:w="282"/>
              <w:gridCol w:w="438"/>
              <w:gridCol w:w="1338"/>
              <w:gridCol w:w="1226"/>
            </w:tblGrid>
            <w:tr w14:paraId="35CAAAA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0" w:type="auto"/>
                  <w:vMerge w:val="restart"/>
                  <w:vAlign w:val="center"/>
                </w:tcPr>
                <w:p w14:paraId="43C42C48">
                  <w:pPr>
                    <w:pStyle w:val="79"/>
                    <w:rPr>
                      <w:rFonts w:eastAsia="Times New Roman"/>
                      <w:b/>
                      <w:color w:val="auto"/>
                    </w:rPr>
                  </w:pPr>
                  <w:r>
                    <w:rPr>
                      <w:rFonts w:hint="eastAsia" w:eastAsia="Times New Roman"/>
                      <w:b/>
                      <w:color w:val="auto"/>
                    </w:rPr>
                    <w:t>排放口编号</w:t>
                  </w:r>
                </w:p>
              </w:tc>
              <w:tc>
                <w:tcPr>
                  <w:tcW w:w="0" w:type="auto"/>
                  <w:gridSpan w:val="2"/>
                  <w:vAlign w:val="center"/>
                </w:tcPr>
                <w:p w14:paraId="57E3AB62">
                  <w:pPr>
                    <w:pStyle w:val="79"/>
                    <w:rPr>
                      <w:rFonts w:eastAsia="Times New Roman"/>
                      <w:b/>
                      <w:color w:val="auto"/>
                    </w:rPr>
                  </w:pPr>
                  <w:r>
                    <w:rPr>
                      <w:rFonts w:hint="eastAsia" w:eastAsia="Times New Roman"/>
                      <w:b/>
                      <w:color w:val="auto"/>
                    </w:rPr>
                    <w:t>排放口地理坐标</w:t>
                  </w:r>
                </w:p>
              </w:tc>
              <w:tc>
                <w:tcPr>
                  <w:tcW w:w="0" w:type="auto"/>
                  <w:vMerge w:val="restart"/>
                  <w:vAlign w:val="center"/>
                </w:tcPr>
                <w:p w14:paraId="5432B7A6">
                  <w:pPr>
                    <w:pStyle w:val="79"/>
                    <w:rPr>
                      <w:rFonts w:eastAsia="Times New Roman"/>
                      <w:b/>
                      <w:color w:val="auto"/>
                    </w:rPr>
                  </w:pPr>
                  <w:r>
                    <w:rPr>
                      <w:rFonts w:hint="eastAsia" w:eastAsia="Times New Roman"/>
                      <w:b/>
                      <w:color w:val="auto"/>
                    </w:rPr>
                    <w:t>废水排放量（万t/a）</w:t>
                  </w:r>
                </w:p>
              </w:tc>
              <w:tc>
                <w:tcPr>
                  <w:tcW w:w="0" w:type="auto"/>
                  <w:vMerge w:val="restart"/>
                  <w:vAlign w:val="center"/>
                </w:tcPr>
                <w:p w14:paraId="38BC4E78">
                  <w:pPr>
                    <w:pStyle w:val="79"/>
                    <w:rPr>
                      <w:rFonts w:eastAsia="Times New Roman"/>
                      <w:b/>
                      <w:color w:val="auto"/>
                    </w:rPr>
                  </w:pPr>
                  <w:r>
                    <w:rPr>
                      <w:rFonts w:hint="eastAsia" w:eastAsia="Times New Roman"/>
                      <w:b/>
                      <w:color w:val="auto"/>
                    </w:rPr>
                    <w:t>排放去向</w:t>
                  </w:r>
                </w:p>
              </w:tc>
              <w:tc>
                <w:tcPr>
                  <w:tcW w:w="0" w:type="auto"/>
                  <w:vMerge w:val="restart"/>
                  <w:vAlign w:val="center"/>
                </w:tcPr>
                <w:p w14:paraId="2B1B3267">
                  <w:pPr>
                    <w:pStyle w:val="79"/>
                    <w:rPr>
                      <w:rFonts w:eastAsia="Times New Roman"/>
                      <w:b/>
                      <w:color w:val="auto"/>
                    </w:rPr>
                  </w:pPr>
                  <w:r>
                    <w:rPr>
                      <w:rFonts w:hint="eastAsia" w:eastAsia="Times New Roman"/>
                      <w:b/>
                      <w:color w:val="auto"/>
                    </w:rPr>
                    <w:t>排放规律</w:t>
                  </w:r>
                </w:p>
              </w:tc>
              <w:tc>
                <w:tcPr>
                  <w:tcW w:w="0" w:type="auto"/>
                  <w:vMerge w:val="restart"/>
                  <w:vAlign w:val="center"/>
                </w:tcPr>
                <w:p w14:paraId="4D6966F8">
                  <w:pPr>
                    <w:pStyle w:val="79"/>
                    <w:rPr>
                      <w:rFonts w:eastAsia="Times New Roman"/>
                      <w:b/>
                      <w:color w:val="auto"/>
                    </w:rPr>
                  </w:pPr>
                  <w:r>
                    <w:rPr>
                      <w:rFonts w:hint="eastAsia" w:eastAsia="Times New Roman"/>
                      <w:b/>
                      <w:color w:val="auto"/>
                    </w:rPr>
                    <w:t>间歇排放时段</w:t>
                  </w:r>
                </w:p>
              </w:tc>
              <w:tc>
                <w:tcPr>
                  <w:tcW w:w="0" w:type="auto"/>
                  <w:gridSpan w:val="2"/>
                  <w:vAlign w:val="center"/>
                </w:tcPr>
                <w:p w14:paraId="5FA011DB">
                  <w:pPr>
                    <w:pStyle w:val="79"/>
                    <w:rPr>
                      <w:rFonts w:eastAsia="Times New Roman"/>
                      <w:b/>
                      <w:color w:val="auto"/>
                    </w:rPr>
                  </w:pPr>
                  <w:r>
                    <w:rPr>
                      <w:rFonts w:hint="eastAsia" w:eastAsia="Times New Roman"/>
                      <w:b/>
                      <w:color w:val="auto"/>
                    </w:rPr>
                    <w:t>受纳水体信息</w:t>
                  </w:r>
                </w:p>
              </w:tc>
              <w:tc>
                <w:tcPr>
                  <w:tcW w:w="0" w:type="auto"/>
                  <w:gridSpan w:val="2"/>
                  <w:vAlign w:val="center"/>
                </w:tcPr>
                <w:p w14:paraId="1AD9EFA1">
                  <w:pPr>
                    <w:pStyle w:val="79"/>
                    <w:rPr>
                      <w:rFonts w:eastAsia="Times New Roman"/>
                      <w:b/>
                      <w:color w:val="auto"/>
                    </w:rPr>
                  </w:pPr>
                  <w:r>
                    <w:rPr>
                      <w:rFonts w:hint="eastAsia" w:eastAsia="Times New Roman"/>
                      <w:b/>
                      <w:color w:val="auto"/>
                    </w:rPr>
                    <w:t>汇入受纳自然水体处地理坐标</w:t>
                  </w:r>
                </w:p>
              </w:tc>
            </w:tr>
            <w:tr w14:paraId="5EFD79A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0" w:type="auto"/>
                  <w:vMerge w:val="continue"/>
                  <w:vAlign w:val="center"/>
                </w:tcPr>
                <w:p w14:paraId="3B00FD11">
                  <w:pPr>
                    <w:pStyle w:val="79"/>
                    <w:rPr>
                      <w:rFonts w:eastAsia="Times New Roman"/>
                      <w:color w:val="auto"/>
                    </w:rPr>
                  </w:pPr>
                </w:p>
              </w:tc>
              <w:tc>
                <w:tcPr>
                  <w:tcW w:w="1063" w:type="dxa"/>
                  <w:vAlign w:val="center"/>
                </w:tcPr>
                <w:p w14:paraId="2FF94474">
                  <w:pPr>
                    <w:pStyle w:val="79"/>
                    <w:rPr>
                      <w:rFonts w:eastAsia="Times New Roman"/>
                      <w:color w:val="auto"/>
                    </w:rPr>
                  </w:pPr>
                  <w:r>
                    <w:rPr>
                      <w:rFonts w:hint="eastAsia" w:eastAsia="Times New Roman"/>
                      <w:color w:val="auto"/>
                    </w:rPr>
                    <w:t>经度</w:t>
                  </w:r>
                </w:p>
              </w:tc>
              <w:tc>
                <w:tcPr>
                  <w:tcW w:w="929" w:type="dxa"/>
                  <w:vAlign w:val="center"/>
                </w:tcPr>
                <w:p w14:paraId="08C3D05D">
                  <w:pPr>
                    <w:pStyle w:val="79"/>
                    <w:rPr>
                      <w:rFonts w:eastAsia="Times New Roman"/>
                      <w:color w:val="auto"/>
                    </w:rPr>
                  </w:pPr>
                  <w:r>
                    <w:rPr>
                      <w:rFonts w:hint="eastAsia" w:eastAsia="Times New Roman"/>
                      <w:color w:val="auto"/>
                    </w:rPr>
                    <w:t>纬度</w:t>
                  </w:r>
                </w:p>
              </w:tc>
              <w:tc>
                <w:tcPr>
                  <w:tcW w:w="0" w:type="auto"/>
                  <w:vMerge w:val="continue"/>
                  <w:vAlign w:val="center"/>
                </w:tcPr>
                <w:p w14:paraId="5B1D386E">
                  <w:pPr>
                    <w:pStyle w:val="79"/>
                    <w:rPr>
                      <w:rFonts w:eastAsia="Times New Roman"/>
                      <w:color w:val="auto"/>
                    </w:rPr>
                  </w:pPr>
                </w:p>
              </w:tc>
              <w:tc>
                <w:tcPr>
                  <w:tcW w:w="0" w:type="auto"/>
                  <w:vMerge w:val="continue"/>
                  <w:vAlign w:val="center"/>
                </w:tcPr>
                <w:p w14:paraId="0B0ABA17">
                  <w:pPr>
                    <w:pStyle w:val="79"/>
                    <w:rPr>
                      <w:rFonts w:eastAsia="Times New Roman"/>
                      <w:color w:val="auto"/>
                    </w:rPr>
                  </w:pPr>
                </w:p>
              </w:tc>
              <w:tc>
                <w:tcPr>
                  <w:tcW w:w="0" w:type="auto"/>
                  <w:vMerge w:val="continue"/>
                  <w:vAlign w:val="center"/>
                </w:tcPr>
                <w:p w14:paraId="3591CDF0">
                  <w:pPr>
                    <w:pStyle w:val="79"/>
                    <w:rPr>
                      <w:rFonts w:eastAsia="Times New Roman"/>
                      <w:color w:val="auto"/>
                    </w:rPr>
                  </w:pPr>
                </w:p>
              </w:tc>
              <w:tc>
                <w:tcPr>
                  <w:tcW w:w="0" w:type="auto"/>
                  <w:vMerge w:val="continue"/>
                  <w:vAlign w:val="center"/>
                </w:tcPr>
                <w:p w14:paraId="359631E7">
                  <w:pPr>
                    <w:pStyle w:val="79"/>
                    <w:rPr>
                      <w:rFonts w:eastAsia="Times New Roman"/>
                      <w:color w:val="auto"/>
                    </w:rPr>
                  </w:pPr>
                </w:p>
              </w:tc>
              <w:tc>
                <w:tcPr>
                  <w:tcW w:w="0" w:type="auto"/>
                  <w:vAlign w:val="center"/>
                </w:tcPr>
                <w:p w14:paraId="5E0529DB">
                  <w:pPr>
                    <w:pStyle w:val="79"/>
                    <w:rPr>
                      <w:rFonts w:eastAsia="Times New Roman"/>
                      <w:color w:val="auto"/>
                    </w:rPr>
                  </w:pPr>
                  <w:r>
                    <w:rPr>
                      <w:rFonts w:hint="eastAsia" w:eastAsia="Times New Roman"/>
                      <w:color w:val="auto"/>
                    </w:rPr>
                    <w:t>名称</w:t>
                  </w:r>
                </w:p>
              </w:tc>
              <w:tc>
                <w:tcPr>
                  <w:tcW w:w="0" w:type="auto"/>
                  <w:vAlign w:val="center"/>
                </w:tcPr>
                <w:p w14:paraId="0723A695">
                  <w:pPr>
                    <w:pStyle w:val="79"/>
                    <w:rPr>
                      <w:rFonts w:eastAsia="Times New Roman"/>
                      <w:color w:val="auto"/>
                    </w:rPr>
                  </w:pPr>
                  <w:r>
                    <w:rPr>
                      <w:rFonts w:hint="eastAsia" w:eastAsia="Times New Roman"/>
                      <w:color w:val="auto"/>
                    </w:rPr>
                    <w:t>受纳水体功能目标</w:t>
                  </w:r>
                </w:p>
              </w:tc>
              <w:tc>
                <w:tcPr>
                  <w:tcW w:w="0" w:type="auto"/>
                  <w:vAlign w:val="center"/>
                </w:tcPr>
                <w:p w14:paraId="7DBA4471">
                  <w:pPr>
                    <w:pStyle w:val="79"/>
                    <w:rPr>
                      <w:rFonts w:eastAsia="Times New Roman"/>
                      <w:color w:val="auto"/>
                    </w:rPr>
                  </w:pPr>
                  <w:r>
                    <w:rPr>
                      <w:rFonts w:hint="eastAsia" w:eastAsia="Times New Roman"/>
                      <w:color w:val="auto"/>
                    </w:rPr>
                    <w:t>经度</w:t>
                  </w:r>
                </w:p>
              </w:tc>
              <w:tc>
                <w:tcPr>
                  <w:tcW w:w="0" w:type="auto"/>
                  <w:vAlign w:val="center"/>
                </w:tcPr>
                <w:p w14:paraId="6DE0AA98">
                  <w:pPr>
                    <w:pStyle w:val="79"/>
                    <w:rPr>
                      <w:rFonts w:eastAsia="Times New Roman"/>
                      <w:color w:val="auto"/>
                    </w:rPr>
                  </w:pPr>
                  <w:r>
                    <w:rPr>
                      <w:rFonts w:hint="eastAsia" w:eastAsia="Times New Roman"/>
                      <w:color w:val="auto"/>
                    </w:rPr>
                    <w:t>纬度</w:t>
                  </w:r>
                </w:p>
              </w:tc>
            </w:tr>
            <w:tr w14:paraId="39209B5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0" w:type="auto"/>
                  <w:vAlign w:val="center"/>
                </w:tcPr>
                <w:p w14:paraId="3D322124">
                  <w:pPr>
                    <w:pStyle w:val="79"/>
                    <w:rPr>
                      <w:rFonts w:eastAsia="Times New Roman"/>
                      <w:color w:val="auto"/>
                    </w:rPr>
                  </w:pPr>
                  <w:r>
                    <w:rPr>
                      <w:rFonts w:hint="eastAsia" w:eastAsia="Times New Roman"/>
                      <w:color w:val="auto"/>
                    </w:rPr>
                    <w:t>1#</w:t>
                  </w:r>
                </w:p>
              </w:tc>
              <w:tc>
                <w:tcPr>
                  <w:tcW w:w="1063" w:type="dxa"/>
                  <w:vAlign w:val="center"/>
                </w:tcPr>
                <w:p w14:paraId="472E3181">
                  <w:pPr>
                    <w:pStyle w:val="79"/>
                    <w:rPr>
                      <w:rFonts w:eastAsia="Times New Roman"/>
                      <w:color w:val="auto"/>
                      <w:lang w:val="en-US"/>
                    </w:rPr>
                  </w:pPr>
                  <w:r>
                    <w:rPr>
                      <w:rFonts w:hint="eastAsia" w:eastAsia="Times New Roman"/>
                      <w:color w:val="auto"/>
                    </w:rPr>
                    <w:t>109°</w:t>
                  </w:r>
                  <w:r>
                    <w:rPr>
                      <w:rFonts w:hint="eastAsia" w:eastAsia="Times New Roman"/>
                      <w:color w:val="auto"/>
                      <w:lang w:val="en-US"/>
                    </w:rPr>
                    <w:t>42</w:t>
                  </w:r>
                  <w:r>
                    <w:rPr>
                      <w:rFonts w:hint="eastAsia" w:eastAsia="Times New Roman"/>
                      <w:color w:val="auto"/>
                    </w:rPr>
                    <w:t>'</w:t>
                  </w:r>
                  <w:r>
                    <w:rPr>
                      <w:rFonts w:hint="eastAsia" w:eastAsia="Times New Roman"/>
                      <w:color w:val="auto"/>
                      <w:lang w:val="en-US"/>
                    </w:rPr>
                    <w:t>21.621</w:t>
                  </w:r>
                  <w:r>
                    <w:rPr>
                      <w:rFonts w:hint="eastAsia" w:eastAsia="Times New Roman"/>
                      <w:color w:val="auto"/>
                    </w:rPr>
                    <w:t>"</w:t>
                  </w:r>
                </w:p>
              </w:tc>
              <w:tc>
                <w:tcPr>
                  <w:tcW w:w="929" w:type="dxa"/>
                  <w:vAlign w:val="center"/>
                </w:tcPr>
                <w:p w14:paraId="522DEA05">
                  <w:pPr>
                    <w:pStyle w:val="79"/>
                    <w:rPr>
                      <w:rFonts w:eastAsia="Times New Roman"/>
                      <w:color w:val="auto"/>
                      <w:lang w:val="en-US"/>
                    </w:rPr>
                  </w:pPr>
                  <w:r>
                    <w:rPr>
                      <w:rFonts w:hint="eastAsia" w:eastAsia="Times New Roman"/>
                      <w:color w:val="auto"/>
                    </w:rPr>
                    <w:t>24°</w:t>
                  </w:r>
                  <w:r>
                    <w:rPr>
                      <w:rFonts w:hint="eastAsia" w:eastAsia="Times New Roman"/>
                      <w:color w:val="auto"/>
                      <w:lang w:val="en-US"/>
                    </w:rPr>
                    <w:t>26</w:t>
                  </w:r>
                  <w:r>
                    <w:rPr>
                      <w:rFonts w:hint="eastAsia" w:eastAsia="Times New Roman"/>
                      <w:color w:val="auto"/>
                    </w:rPr>
                    <w:t>'</w:t>
                  </w:r>
                  <w:r>
                    <w:rPr>
                      <w:rFonts w:hint="eastAsia" w:eastAsia="Times New Roman"/>
                      <w:color w:val="auto"/>
                      <w:lang w:val="en-US"/>
                    </w:rPr>
                    <w:t>56.770</w:t>
                  </w:r>
                  <w:r>
                    <w:rPr>
                      <w:rFonts w:hint="eastAsia" w:eastAsia="Times New Roman"/>
                      <w:color w:val="auto"/>
                    </w:rPr>
                    <w:t>"</w:t>
                  </w:r>
                </w:p>
              </w:tc>
              <w:tc>
                <w:tcPr>
                  <w:tcW w:w="0" w:type="auto"/>
                  <w:vAlign w:val="center"/>
                </w:tcPr>
                <w:p w14:paraId="46779895">
                  <w:pPr>
                    <w:pStyle w:val="79"/>
                    <w:rPr>
                      <w:rFonts w:eastAsia="Times New Roman"/>
                      <w:color w:val="auto"/>
                      <w:lang w:val="en-US"/>
                    </w:rPr>
                  </w:pPr>
                  <w:r>
                    <w:rPr>
                      <w:rFonts w:hint="eastAsia" w:eastAsia="Times New Roman"/>
                      <w:color w:val="auto"/>
                      <w:lang w:val="en-US"/>
                    </w:rPr>
                    <w:t>0.024</w:t>
                  </w:r>
                </w:p>
              </w:tc>
              <w:tc>
                <w:tcPr>
                  <w:tcW w:w="0" w:type="auto"/>
                  <w:vAlign w:val="center"/>
                </w:tcPr>
                <w:p w14:paraId="75257301">
                  <w:pPr>
                    <w:pStyle w:val="79"/>
                    <w:rPr>
                      <w:rFonts w:eastAsia="Times New Roman"/>
                      <w:color w:val="auto"/>
                    </w:rPr>
                  </w:pPr>
                  <w:r>
                    <w:rPr>
                      <w:rFonts w:hint="eastAsia" w:eastAsia="Times New Roman"/>
                      <w:color w:val="auto"/>
                      <w:lang w:val="en-US"/>
                    </w:rPr>
                    <w:t>洛清江</w:t>
                  </w:r>
                </w:p>
              </w:tc>
              <w:tc>
                <w:tcPr>
                  <w:tcW w:w="0" w:type="auto"/>
                  <w:vAlign w:val="center"/>
                </w:tcPr>
                <w:p w14:paraId="38B9D643">
                  <w:pPr>
                    <w:pStyle w:val="79"/>
                    <w:rPr>
                      <w:rFonts w:eastAsia="Times New Roman"/>
                      <w:color w:val="auto"/>
                    </w:rPr>
                  </w:pPr>
                  <w:r>
                    <w:rPr>
                      <w:rFonts w:hint="eastAsia" w:eastAsia="Times New Roman"/>
                      <w:color w:val="auto"/>
                    </w:rPr>
                    <w:t>间歇</w:t>
                  </w:r>
                </w:p>
              </w:tc>
              <w:tc>
                <w:tcPr>
                  <w:tcW w:w="0" w:type="auto"/>
                  <w:vAlign w:val="center"/>
                </w:tcPr>
                <w:p w14:paraId="4C5DAD91">
                  <w:pPr>
                    <w:pStyle w:val="79"/>
                    <w:rPr>
                      <w:rFonts w:eastAsia="Times New Roman"/>
                      <w:color w:val="auto"/>
                    </w:rPr>
                  </w:pPr>
                  <w:r>
                    <w:rPr>
                      <w:rFonts w:hint="eastAsia" w:eastAsia="Times New Roman"/>
                      <w:color w:val="auto"/>
                    </w:rPr>
                    <w:t>8:00～12:00，14：00～18:00</w:t>
                  </w:r>
                </w:p>
              </w:tc>
              <w:tc>
                <w:tcPr>
                  <w:tcW w:w="0" w:type="auto"/>
                  <w:vAlign w:val="center"/>
                </w:tcPr>
                <w:p w14:paraId="40D87CBA">
                  <w:pPr>
                    <w:pStyle w:val="79"/>
                    <w:rPr>
                      <w:rFonts w:eastAsia="Times New Roman"/>
                      <w:color w:val="auto"/>
                    </w:rPr>
                  </w:pPr>
                  <w:r>
                    <w:rPr>
                      <w:rFonts w:hint="eastAsia" w:eastAsia="Times New Roman"/>
                      <w:color w:val="auto"/>
                      <w:lang w:val="en-US"/>
                    </w:rPr>
                    <w:t>洛清江</w:t>
                  </w:r>
                </w:p>
              </w:tc>
              <w:tc>
                <w:tcPr>
                  <w:tcW w:w="0" w:type="auto"/>
                  <w:vAlign w:val="center"/>
                </w:tcPr>
                <w:p w14:paraId="4C35B85F">
                  <w:pPr>
                    <w:pStyle w:val="79"/>
                    <w:rPr>
                      <w:rFonts w:eastAsia="Times New Roman"/>
                      <w:color w:val="auto"/>
                    </w:rPr>
                  </w:pPr>
                  <w:r>
                    <w:rPr>
                      <w:rFonts w:hint="eastAsia" w:eastAsia="Times New Roman"/>
                      <w:color w:val="auto"/>
                    </w:rPr>
                    <w:t>Ⅲ类水体</w:t>
                  </w:r>
                </w:p>
              </w:tc>
              <w:tc>
                <w:tcPr>
                  <w:tcW w:w="0" w:type="auto"/>
                  <w:vAlign w:val="center"/>
                </w:tcPr>
                <w:p w14:paraId="43EEF552">
                  <w:pPr>
                    <w:pStyle w:val="79"/>
                    <w:rPr>
                      <w:rFonts w:eastAsia="Times New Roman"/>
                      <w:color w:val="auto"/>
                    </w:rPr>
                  </w:pPr>
                  <w:r>
                    <w:rPr>
                      <w:rFonts w:eastAsia="Times New Roman"/>
                      <w:color w:val="auto"/>
                    </w:rPr>
                    <w:t>109°40'35.059</w:t>
                  </w:r>
                  <w:r>
                    <w:rPr>
                      <w:rFonts w:hint="eastAsia" w:eastAsia="Times New Roman"/>
                      <w:color w:val="auto"/>
                    </w:rPr>
                    <w:t>"</w:t>
                  </w:r>
                </w:p>
              </w:tc>
              <w:tc>
                <w:tcPr>
                  <w:tcW w:w="0" w:type="auto"/>
                  <w:vAlign w:val="center"/>
                </w:tcPr>
                <w:p w14:paraId="41461857">
                  <w:pPr>
                    <w:pStyle w:val="79"/>
                    <w:rPr>
                      <w:rFonts w:eastAsia="Times New Roman"/>
                      <w:color w:val="auto"/>
                    </w:rPr>
                  </w:pPr>
                  <w:r>
                    <w:rPr>
                      <w:rFonts w:eastAsia="Times New Roman"/>
                      <w:color w:val="auto"/>
                    </w:rPr>
                    <w:t>24°26'08.167</w:t>
                  </w:r>
                  <w:r>
                    <w:rPr>
                      <w:rFonts w:hint="eastAsia" w:eastAsia="Times New Roman"/>
                      <w:color w:val="auto"/>
                    </w:rPr>
                    <w:t>"</w:t>
                  </w:r>
                </w:p>
              </w:tc>
            </w:tr>
          </w:tbl>
          <w:p w14:paraId="32F55637">
            <w:pPr>
              <w:ind w:firstLine="482"/>
              <w:rPr>
                <w:b/>
                <w:color w:val="auto"/>
              </w:rPr>
            </w:pPr>
            <w:r>
              <w:rPr>
                <w:rFonts w:hint="eastAsia"/>
                <w:b/>
                <w:color w:val="auto"/>
              </w:rPr>
              <w:t>三</w:t>
            </w:r>
            <w:r>
              <w:rPr>
                <w:b/>
                <w:color w:val="auto"/>
              </w:rPr>
              <w:t>、</w:t>
            </w:r>
            <w:r>
              <w:rPr>
                <w:rFonts w:hint="eastAsia"/>
                <w:b/>
                <w:color w:val="auto"/>
              </w:rPr>
              <w:t>声</w:t>
            </w:r>
            <w:r>
              <w:rPr>
                <w:b/>
                <w:color w:val="auto"/>
              </w:rPr>
              <w:t>环境影响分析</w:t>
            </w:r>
          </w:p>
          <w:p w14:paraId="08F9597F">
            <w:pPr>
              <w:ind w:firstLine="482"/>
              <w:rPr>
                <w:b/>
                <w:bCs/>
                <w:color w:val="auto"/>
              </w:rPr>
            </w:pPr>
            <w:r>
              <w:rPr>
                <w:rFonts w:hint="eastAsia"/>
                <w:b/>
                <w:bCs/>
                <w:color w:val="auto"/>
              </w:rPr>
              <w:t>1、噪声源强分析</w:t>
            </w:r>
          </w:p>
          <w:p w14:paraId="60EB049F">
            <w:pPr>
              <w:ind w:firstLine="480"/>
              <w:rPr>
                <w:color w:val="auto"/>
              </w:rPr>
            </w:pPr>
            <w:r>
              <w:rPr>
                <w:color w:val="auto"/>
              </w:rPr>
              <w:t>本</w:t>
            </w:r>
            <w:r>
              <w:rPr>
                <w:rFonts w:hint="eastAsia"/>
                <w:color w:val="auto"/>
              </w:rPr>
              <w:t>项目</w:t>
            </w:r>
            <w:r>
              <w:rPr>
                <w:color w:val="auto"/>
              </w:rPr>
              <w:t>的主要噪声源是</w:t>
            </w:r>
            <w:r>
              <w:rPr>
                <w:rFonts w:hint="eastAsia"/>
                <w:color w:val="auto"/>
              </w:rPr>
              <w:t>生产设备运行是产生噪声，</w:t>
            </w:r>
            <w:r>
              <w:rPr>
                <w:bCs/>
                <w:color w:val="auto"/>
              </w:rPr>
              <w:t>项目选用低噪声设备，采取一定的降噪措施，采取措施后项目噪声污染情况见</w:t>
            </w:r>
            <w:r>
              <w:rPr>
                <w:rFonts w:hint="eastAsia"/>
                <w:bCs/>
                <w:color w:val="auto"/>
              </w:rPr>
              <w:t>下</w:t>
            </w:r>
            <w:r>
              <w:rPr>
                <w:bCs/>
                <w:color w:val="auto"/>
              </w:rPr>
              <w:t>表</w:t>
            </w:r>
            <w:r>
              <w:rPr>
                <w:rFonts w:hint="eastAsia"/>
                <w:color w:val="auto"/>
              </w:rPr>
              <w:t>。</w:t>
            </w:r>
          </w:p>
          <w:p w14:paraId="54E89F44">
            <w:pPr>
              <w:ind w:firstLine="480"/>
              <w:rPr>
                <w:color w:val="auto"/>
              </w:rPr>
            </w:pPr>
          </w:p>
          <w:p w14:paraId="6A1F5CE4">
            <w:pPr>
              <w:ind w:firstLine="480"/>
              <w:rPr>
                <w:color w:val="auto"/>
              </w:rPr>
            </w:pPr>
          </w:p>
          <w:p w14:paraId="7A3C14F3">
            <w:pPr>
              <w:ind w:firstLine="480"/>
              <w:rPr>
                <w:color w:val="auto"/>
              </w:rPr>
            </w:pPr>
          </w:p>
          <w:p w14:paraId="7D987DA4">
            <w:pPr>
              <w:ind w:firstLine="480"/>
              <w:rPr>
                <w:color w:val="auto"/>
              </w:rPr>
            </w:pPr>
          </w:p>
          <w:p w14:paraId="21985ABC">
            <w:pPr>
              <w:ind w:firstLine="480"/>
              <w:rPr>
                <w:color w:val="auto"/>
              </w:rPr>
            </w:pPr>
          </w:p>
          <w:p w14:paraId="104646FC">
            <w:pPr>
              <w:ind w:firstLine="480"/>
              <w:rPr>
                <w:color w:val="auto"/>
              </w:rPr>
            </w:pPr>
          </w:p>
          <w:p w14:paraId="0A19B8D4">
            <w:pPr>
              <w:ind w:firstLine="480"/>
              <w:rPr>
                <w:color w:val="auto"/>
              </w:rPr>
            </w:pPr>
          </w:p>
          <w:p w14:paraId="1C8915F2">
            <w:pPr>
              <w:ind w:firstLine="480"/>
              <w:rPr>
                <w:color w:val="auto"/>
              </w:rPr>
            </w:pPr>
          </w:p>
        </w:tc>
      </w:tr>
    </w:tbl>
    <w:p w14:paraId="6706FF09">
      <w:pPr>
        <w:adjustRightInd w:val="0"/>
        <w:snapToGrid w:val="0"/>
        <w:ind w:firstLine="562"/>
        <w:rPr>
          <w:rFonts w:ascii="宋体" w:cs="宋体"/>
          <w:b/>
          <w:kern w:val="0"/>
          <w:sz w:val="28"/>
          <w:szCs w:val="28"/>
        </w:rPr>
        <w:sectPr>
          <w:pgSz w:w="11907" w:h="16840"/>
          <w:pgMar w:top="1474" w:right="1247" w:bottom="1474" w:left="1531" w:header="851" w:footer="851" w:gutter="0"/>
          <w:cols w:space="720" w:num="1"/>
          <w:docGrid w:linePitch="312" w:charSpace="0"/>
        </w:sectPr>
      </w:pPr>
    </w:p>
    <w:p w14:paraId="1272F7FB">
      <w:pPr>
        <w:pStyle w:val="87"/>
      </w:pPr>
      <w:r>
        <w:rPr>
          <w:rFonts w:hint="eastAsia"/>
        </w:rPr>
        <w:t>表4</w:t>
      </w:r>
      <w:r>
        <w:t>-</w:t>
      </w:r>
      <w:r>
        <w:rPr>
          <w:rFonts w:hint="eastAsia"/>
        </w:rPr>
        <w:t>7</w:t>
      </w:r>
      <w:r>
        <w:t xml:space="preserve">  </w:t>
      </w:r>
      <w:r>
        <w:rPr>
          <w:rFonts w:hint="eastAsia"/>
        </w:rPr>
        <w:t>营运期各设备噪声源强一览表</w:t>
      </w:r>
    </w:p>
    <w:tbl>
      <w:tblPr>
        <w:tblStyle w:val="154"/>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0" w:type="dxa"/>
          <w:bottom w:w="0" w:type="dxa"/>
          <w:right w:w="0" w:type="dxa"/>
        </w:tblCellMar>
      </w:tblPr>
      <w:tblGrid>
        <w:gridCol w:w="400"/>
        <w:gridCol w:w="993"/>
        <w:gridCol w:w="1159"/>
        <w:gridCol w:w="1476"/>
        <w:gridCol w:w="2172"/>
        <w:gridCol w:w="455"/>
        <w:gridCol w:w="454"/>
        <w:gridCol w:w="546"/>
        <w:gridCol w:w="1352"/>
        <w:gridCol w:w="914"/>
        <w:gridCol w:w="1703"/>
        <w:gridCol w:w="860"/>
        <w:gridCol w:w="1408"/>
      </w:tblGrid>
      <w:tr w14:paraId="75EC22B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Merge w:val="restart"/>
            <w:vAlign w:val="center"/>
          </w:tcPr>
          <w:p w14:paraId="5FA00763">
            <w:pPr>
              <w:pStyle w:val="79"/>
              <w:rPr>
                <w:rFonts w:eastAsia="Times New Roman"/>
                <w:b/>
              </w:rPr>
            </w:pPr>
            <w:r>
              <w:rPr>
                <w:rFonts w:hint="eastAsia" w:eastAsia="Times New Roman"/>
                <w:b/>
              </w:rPr>
              <w:t>序号</w:t>
            </w:r>
          </w:p>
        </w:tc>
        <w:tc>
          <w:tcPr>
            <w:tcW w:w="993" w:type="dxa"/>
            <w:vMerge w:val="restart"/>
            <w:vAlign w:val="center"/>
          </w:tcPr>
          <w:p w14:paraId="19484B71">
            <w:pPr>
              <w:pStyle w:val="79"/>
              <w:rPr>
                <w:rFonts w:eastAsia="Times New Roman"/>
                <w:b/>
              </w:rPr>
            </w:pPr>
            <w:r>
              <w:rPr>
                <w:rFonts w:hint="eastAsia" w:eastAsia="Times New Roman"/>
                <w:b/>
              </w:rPr>
              <w:t>声源名称</w:t>
            </w:r>
          </w:p>
        </w:tc>
        <w:tc>
          <w:tcPr>
            <w:tcW w:w="1159" w:type="dxa"/>
            <w:vMerge w:val="restart"/>
            <w:vAlign w:val="center"/>
          </w:tcPr>
          <w:p w14:paraId="0582E5CD">
            <w:pPr>
              <w:pStyle w:val="79"/>
              <w:rPr>
                <w:rFonts w:eastAsia="Times New Roman"/>
                <w:b/>
              </w:rPr>
            </w:pPr>
            <w:r>
              <w:rPr>
                <w:rFonts w:hint="eastAsia" w:eastAsia="Times New Roman"/>
                <w:b/>
              </w:rPr>
              <w:t>型号</w:t>
            </w:r>
          </w:p>
        </w:tc>
        <w:tc>
          <w:tcPr>
            <w:tcW w:w="1476" w:type="dxa"/>
            <w:vMerge w:val="restart"/>
            <w:vAlign w:val="center"/>
          </w:tcPr>
          <w:p w14:paraId="09B6A259">
            <w:pPr>
              <w:pStyle w:val="79"/>
              <w:rPr>
                <w:rFonts w:eastAsia="Times New Roman"/>
                <w:b/>
              </w:rPr>
            </w:pPr>
            <w:r>
              <w:rPr>
                <w:rFonts w:hint="eastAsia" w:ascii="宋体" w:hAnsi="宋体" w:eastAsia="Times New Roman" w:cs="宋体"/>
                <w:b/>
              </w:rPr>
              <w:t>声源源强（声功率级</w:t>
            </w:r>
            <w:r>
              <w:rPr>
                <w:rFonts w:hint="eastAsia" w:eastAsia="Times New Roman"/>
                <w:b/>
              </w:rPr>
              <w:t>/dB(A)</w:t>
            </w:r>
            <w:r>
              <w:rPr>
                <w:rFonts w:hint="eastAsia" w:ascii="宋体" w:hAnsi="宋体" w:eastAsia="Times New Roman" w:cs="宋体"/>
                <w:b/>
              </w:rPr>
              <w:t>）</w:t>
            </w:r>
          </w:p>
        </w:tc>
        <w:tc>
          <w:tcPr>
            <w:tcW w:w="2172" w:type="dxa"/>
            <w:vMerge w:val="restart"/>
            <w:vAlign w:val="center"/>
          </w:tcPr>
          <w:p w14:paraId="3E7EDEA3">
            <w:pPr>
              <w:pStyle w:val="79"/>
              <w:rPr>
                <w:rFonts w:eastAsia="Times New Roman"/>
                <w:b/>
              </w:rPr>
            </w:pPr>
            <w:r>
              <w:rPr>
                <w:rFonts w:hint="eastAsia" w:ascii="宋体" w:hAnsi="宋体" w:eastAsia="Times New Roman" w:cs="宋体"/>
                <w:b/>
              </w:rPr>
              <w:t>声</w:t>
            </w:r>
            <w:r>
              <w:rPr>
                <w:rFonts w:hint="eastAsia" w:eastAsia="Times New Roman"/>
                <w:b/>
              </w:rPr>
              <w:t>源控制措施</w:t>
            </w:r>
          </w:p>
        </w:tc>
        <w:tc>
          <w:tcPr>
            <w:tcW w:w="1455" w:type="dxa"/>
            <w:gridSpan w:val="3"/>
            <w:vAlign w:val="center"/>
          </w:tcPr>
          <w:p w14:paraId="242FF6CC">
            <w:pPr>
              <w:pStyle w:val="79"/>
              <w:rPr>
                <w:rFonts w:eastAsia="Times New Roman"/>
                <w:b/>
              </w:rPr>
            </w:pPr>
            <w:r>
              <w:rPr>
                <w:rFonts w:hint="eastAsia" w:eastAsia="Times New Roman"/>
                <w:b/>
              </w:rPr>
              <w:t>空间相对位置</w:t>
            </w:r>
          </w:p>
        </w:tc>
        <w:tc>
          <w:tcPr>
            <w:tcW w:w="1352" w:type="dxa"/>
            <w:vMerge w:val="restart"/>
            <w:vAlign w:val="center"/>
          </w:tcPr>
          <w:p w14:paraId="5F1BB2F2">
            <w:pPr>
              <w:pStyle w:val="79"/>
              <w:rPr>
                <w:rFonts w:eastAsia="Times New Roman"/>
                <w:b/>
              </w:rPr>
            </w:pPr>
            <w:r>
              <w:rPr>
                <w:rFonts w:hint="eastAsia" w:eastAsia="Times New Roman"/>
                <w:b/>
              </w:rPr>
              <w:t>距室内边界距离/m</w:t>
            </w:r>
          </w:p>
        </w:tc>
        <w:tc>
          <w:tcPr>
            <w:tcW w:w="914" w:type="dxa"/>
            <w:vMerge w:val="restart"/>
            <w:vAlign w:val="center"/>
          </w:tcPr>
          <w:p w14:paraId="44ACC8A7">
            <w:pPr>
              <w:pStyle w:val="79"/>
              <w:rPr>
                <w:rFonts w:eastAsia="Times New Roman"/>
                <w:b/>
              </w:rPr>
            </w:pPr>
            <w:r>
              <w:rPr>
                <w:rFonts w:hint="eastAsia" w:eastAsia="Times New Roman"/>
                <w:b/>
              </w:rPr>
              <w:t>运行时段</w:t>
            </w:r>
          </w:p>
        </w:tc>
        <w:tc>
          <w:tcPr>
            <w:tcW w:w="1703" w:type="dxa"/>
            <w:vMerge w:val="restart"/>
            <w:vAlign w:val="center"/>
          </w:tcPr>
          <w:p w14:paraId="339A873C">
            <w:pPr>
              <w:pStyle w:val="79"/>
              <w:rPr>
                <w:rFonts w:eastAsiaTheme="minorEastAsia"/>
                <w:b/>
              </w:rPr>
            </w:pPr>
            <w:r>
              <w:rPr>
                <w:rFonts w:hint="eastAsia" w:eastAsia="Times New Roman"/>
                <w:b/>
              </w:rPr>
              <w:t>建筑物插入损失</w:t>
            </w:r>
          </w:p>
          <w:p w14:paraId="4A42D719">
            <w:pPr>
              <w:pStyle w:val="79"/>
              <w:rPr>
                <w:rFonts w:eastAsia="Times New Roman"/>
                <w:b/>
              </w:rPr>
            </w:pPr>
            <w:r>
              <w:rPr>
                <w:rFonts w:hint="eastAsia" w:eastAsia="Times New Roman"/>
                <w:b/>
              </w:rPr>
              <w:t>/dB(A)</w:t>
            </w:r>
          </w:p>
        </w:tc>
        <w:tc>
          <w:tcPr>
            <w:tcW w:w="2268" w:type="dxa"/>
            <w:gridSpan w:val="2"/>
            <w:vAlign w:val="center"/>
          </w:tcPr>
          <w:p w14:paraId="0142ACCF">
            <w:pPr>
              <w:pStyle w:val="79"/>
              <w:rPr>
                <w:rFonts w:eastAsia="Times New Roman"/>
                <w:b/>
              </w:rPr>
            </w:pPr>
            <w:r>
              <w:rPr>
                <w:rFonts w:hint="eastAsia" w:ascii="宋体" w:hAnsi="宋体" w:eastAsia="Times New Roman" w:cs="宋体"/>
                <w:b/>
              </w:rPr>
              <w:t>建筑物外噪声</w:t>
            </w:r>
          </w:p>
        </w:tc>
      </w:tr>
      <w:tr w14:paraId="7120C75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Merge w:val="continue"/>
            <w:vAlign w:val="center"/>
          </w:tcPr>
          <w:p w14:paraId="7EFBC18E">
            <w:pPr>
              <w:pStyle w:val="79"/>
              <w:rPr>
                <w:rFonts w:eastAsia="Times New Roman"/>
              </w:rPr>
            </w:pPr>
          </w:p>
        </w:tc>
        <w:tc>
          <w:tcPr>
            <w:tcW w:w="993" w:type="dxa"/>
            <w:vMerge w:val="continue"/>
            <w:vAlign w:val="center"/>
          </w:tcPr>
          <w:p w14:paraId="1B3D677D">
            <w:pPr>
              <w:pStyle w:val="79"/>
              <w:rPr>
                <w:rFonts w:eastAsia="Times New Roman"/>
              </w:rPr>
            </w:pPr>
          </w:p>
        </w:tc>
        <w:tc>
          <w:tcPr>
            <w:tcW w:w="1159" w:type="dxa"/>
            <w:vMerge w:val="continue"/>
            <w:vAlign w:val="center"/>
          </w:tcPr>
          <w:p w14:paraId="1DB7E67A">
            <w:pPr>
              <w:pStyle w:val="79"/>
              <w:rPr>
                <w:rFonts w:eastAsia="Times New Roman"/>
              </w:rPr>
            </w:pPr>
          </w:p>
        </w:tc>
        <w:tc>
          <w:tcPr>
            <w:tcW w:w="1476" w:type="dxa"/>
            <w:vMerge w:val="continue"/>
            <w:vAlign w:val="center"/>
          </w:tcPr>
          <w:p w14:paraId="33119569">
            <w:pPr>
              <w:pStyle w:val="79"/>
              <w:rPr>
                <w:rFonts w:eastAsia="Times New Roman"/>
              </w:rPr>
            </w:pPr>
          </w:p>
        </w:tc>
        <w:tc>
          <w:tcPr>
            <w:tcW w:w="2172" w:type="dxa"/>
            <w:vMerge w:val="continue"/>
            <w:vAlign w:val="center"/>
          </w:tcPr>
          <w:p w14:paraId="449DB4BC">
            <w:pPr>
              <w:pStyle w:val="79"/>
              <w:rPr>
                <w:rFonts w:eastAsia="Times New Roman"/>
              </w:rPr>
            </w:pPr>
          </w:p>
        </w:tc>
        <w:tc>
          <w:tcPr>
            <w:tcW w:w="455" w:type="dxa"/>
            <w:vAlign w:val="center"/>
          </w:tcPr>
          <w:p w14:paraId="712B7719">
            <w:pPr>
              <w:pStyle w:val="79"/>
              <w:rPr>
                <w:rFonts w:eastAsia="Times New Roman"/>
              </w:rPr>
            </w:pPr>
            <w:r>
              <w:rPr>
                <w:rFonts w:hint="eastAsia" w:eastAsia="Times New Roman"/>
              </w:rPr>
              <w:t>X</w:t>
            </w:r>
          </w:p>
        </w:tc>
        <w:tc>
          <w:tcPr>
            <w:tcW w:w="454" w:type="dxa"/>
            <w:vAlign w:val="center"/>
          </w:tcPr>
          <w:p w14:paraId="2B84DC04">
            <w:pPr>
              <w:pStyle w:val="79"/>
              <w:rPr>
                <w:rFonts w:eastAsia="Times New Roman"/>
              </w:rPr>
            </w:pPr>
            <w:r>
              <w:rPr>
                <w:rFonts w:hint="eastAsia" w:eastAsia="Times New Roman"/>
              </w:rPr>
              <w:t>Y</w:t>
            </w:r>
          </w:p>
        </w:tc>
        <w:tc>
          <w:tcPr>
            <w:tcW w:w="546" w:type="dxa"/>
            <w:vAlign w:val="center"/>
          </w:tcPr>
          <w:p w14:paraId="22F94884">
            <w:pPr>
              <w:pStyle w:val="79"/>
              <w:rPr>
                <w:rFonts w:eastAsia="Times New Roman"/>
              </w:rPr>
            </w:pPr>
            <w:r>
              <w:rPr>
                <w:rFonts w:hint="eastAsia" w:eastAsia="Times New Roman"/>
              </w:rPr>
              <w:t>Z</w:t>
            </w:r>
          </w:p>
        </w:tc>
        <w:tc>
          <w:tcPr>
            <w:tcW w:w="1352" w:type="dxa"/>
            <w:vMerge w:val="continue"/>
            <w:vAlign w:val="center"/>
          </w:tcPr>
          <w:p w14:paraId="505FB93B">
            <w:pPr>
              <w:pStyle w:val="79"/>
              <w:rPr>
                <w:rFonts w:eastAsia="Times New Roman"/>
              </w:rPr>
            </w:pPr>
          </w:p>
        </w:tc>
        <w:tc>
          <w:tcPr>
            <w:tcW w:w="914" w:type="dxa"/>
            <w:vMerge w:val="continue"/>
            <w:vAlign w:val="center"/>
          </w:tcPr>
          <w:p w14:paraId="0351FF01">
            <w:pPr>
              <w:pStyle w:val="79"/>
              <w:rPr>
                <w:rFonts w:eastAsia="Times New Roman"/>
              </w:rPr>
            </w:pPr>
          </w:p>
        </w:tc>
        <w:tc>
          <w:tcPr>
            <w:tcW w:w="1703" w:type="dxa"/>
            <w:vMerge w:val="continue"/>
            <w:vAlign w:val="center"/>
          </w:tcPr>
          <w:p w14:paraId="7BB0726C">
            <w:pPr>
              <w:pStyle w:val="79"/>
              <w:rPr>
                <w:rFonts w:eastAsia="Times New Roman"/>
              </w:rPr>
            </w:pPr>
          </w:p>
        </w:tc>
        <w:tc>
          <w:tcPr>
            <w:tcW w:w="860" w:type="dxa"/>
            <w:vAlign w:val="center"/>
          </w:tcPr>
          <w:p w14:paraId="3B2287C2">
            <w:pPr>
              <w:pStyle w:val="79"/>
              <w:rPr>
                <w:rFonts w:ascii="宋体" w:hAnsi="宋体" w:eastAsia="Times New Roman" w:cs="宋体"/>
                <w:b/>
                <w:szCs w:val="21"/>
              </w:rPr>
            </w:pPr>
            <w:r>
              <w:rPr>
                <w:rFonts w:hint="eastAsia" w:ascii="宋体" w:hAnsi="宋体" w:eastAsia="Times New Roman" w:cs="宋体"/>
                <w:b/>
                <w:szCs w:val="21"/>
              </w:rPr>
              <w:t>声压级</w:t>
            </w:r>
          </w:p>
          <w:p w14:paraId="36BEE4E2">
            <w:pPr>
              <w:pStyle w:val="79"/>
              <w:rPr>
                <w:rFonts w:eastAsia="Times New Roman"/>
                <w:b/>
              </w:rPr>
            </w:pPr>
            <w:r>
              <w:rPr>
                <w:rFonts w:eastAsia="Times New Roman"/>
                <w:b/>
                <w:szCs w:val="21"/>
              </w:rPr>
              <w:t>/dB(A)</w:t>
            </w:r>
          </w:p>
        </w:tc>
        <w:tc>
          <w:tcPr>
            <w:tcW w:w="1408" w:type="dxa"/>
            <w:vAlign w:val="center"/>
          </w:tcPr>
          <w:p w14:paraId="545F8FE9">
            <w:pPr>
              <w:pStyle w:val="79"/>
              <w:rPr>
                <w:rFonts w:eastAsia="Times New Roman"/>
                <w:b/>
              </w:rPr>
            </w:pPr>
            <w:r>
              <w:rPr>
                <w:rFonts w:hint="eastAsia" w:ascii="宋体" w:hAnsi="宋体" w:eastAsia="Times New Roman" w:cs="宋体"/>
                <w:b/>
                <w:szCs w:val="21"/>
              </w:rPr>
              <w:t>建筑物外距离</w:t>
            </w:r>
            <w:r>
              <w:rPr>
                <w:rFonts w:eastAsia="Times New Roman"/>
                <w:b/>
                <w:szCs w:val="21"/>
              </w:rPr>
              <w:t>/m</w:t>
            </w:r>
          </w:p>
        </w:tc>
      </w:tr>
      <w:tr w14:paraId="4813A78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118D464E">
            <w:pPr>
              <w:pStyle w:val="79"/>
              <w:rPr>
                <w:rFonts w:eastAsia="Times New Roman"/>
                <w:lang w:val="en-US"/>
              </w:rPr>
            </w:pPr>
            <w:r>
              <w:rPr>
                <w:rFonts w:eastAsia="Times New Roman"/>
                <w:szCs w:val="21"/>
              </w:rPr>
              <w:t>1</w:t>
            </w:r>
          </w:p>
        </w:tc>
        <w:tc>
          <w:tcPr>
            <w:tcW w:w="993" w:type="dxa"/>
            <w:tcBorders>
              <w:top w:val="single" w:color="000000" w:sz="4" w:space="0"/>
              <w:left w:val="single" w:color="000000" w:sz="4" w:space="0"/>
              <w:bottom w:val="single" w:color="000000" w:sz="4" w:space="0"/>
              <w:right w:val="single" w:color="000000" w:sz="4" w:space="0"/>
            </w:tcBorders>
            <w:vAlign w:val="center"/>
          </w:tcPr>
          <w:p w14:paraId="73CEDA33">
            <w:pPr>
              <w:pStyle w:val="79"/>
              <w:rPr>
                <w:rFonts w:eastAsia="Times New Roman"/>
              </w:rPr>
            </w:pPr>
            <w:r>
              <w:rPr>
                <w:rFonts w:hint="eastAsia" w:ascii="宋体" w:hAnsi="宋体" w:eastAsia="Times New Roman"/>
                <w:szCs w:val="21"/>
              </w:rPr>
              <w:t>注塑机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6195DBC0">
            <w:pPr>
              <w:pStyle w:val="79"/>
              <w:rPr>
                <w:rFonts w:eastAsia="Times New Roman"/>
              </w:rPr>
            </w:pPr>
            <w:r>
              <w:rPr>
                <w:rStyle w:val="180"/>
                <w:rFonts w:hint="eastAsia" w:eastAsia="楷体_GB2312"/>
                <w:bCs/>
                <w:kern w:val="1"/>
                <w:sz w:val="21"/>
                <w:szCs w:val="21"/>
                <w:lang w:val="en-US"/>
              </w:rPr>
              <w:t>600T</w:t>
            </w:r>
          </w:p>
        </w:tc>
        <w:tc>
          <w:tcPr>
            <w:tcW w:w="1476" w:type="dxa"/>
            <w:vAlign w:val="center"/>
          </w:tcPr>
          <w:p w14:paraId="4D1C2D17">
            <w:pPr>
              <w:pStyle w:val="79"/>
              <w:rPr>
                <w:rFonts w:eastAsiaTheme="minorEastAsia"/>
              </w:rPr>
            </w:pPr>
            <w:r>
              <w:rPr>
                <w:rFonts w:hint="eastAsia" w:eastAsiaTheme="minorEastAsia"/>
              </w:rPr>
              <w:t>70</w:t>
            </w:r>
            <w:r>
              <w:rPr>
                <w:rFonts w:eastAsiaTheme="minorEastAsia"/>
              </w:rPr>
              <w:t>~</w:t>
            </w:r>
            <w:r>
              <w:rPr>
                <w:rFonts w:hint="eastAsia" w:eastAsiaTheme="minorEastAsia"/>
              </w:rPr>
              <w:t>80</w:t>
            </w:r>
          </w:p>
        </w:tc>
        <w:tc>
          <w:tcPr>
            <w:tcW w:w="2172" w:type="dxa"/>
            <w:vMerge w:val="restart"/>
            <w:vAlign w:val="center"/>
          </w:tcPr>
          <w:p w14:paraId="4CFAAB1D">
            <w:pPr>
              <w:pStyle w:val="79"/>
              <w:rPr>
                <w:rFonts w:eastAsiaTheme="minorEastAsia"/>
              </w:rPr>
            </w:pPr>
            <w:r>
              <w:rPr>
                <w:rFonts w:hint="eastAsia" w:ascii="宋体" w:hAnsi="宋体" w:eastAsia="Times New Roman" w:cs="宋体"/>
              </w:rPr>
              <w:t>低噪声设备，基础减振、墙体隔声等措施</w:t>
            </w:r>
          </w:p>
        </w:tc>
        <w:tc>
          <w:tcPr>
            <w:tcW w:w="455" w:type="dxa"/>
            <w:vAlign w:val="center"/>
          </w:tcPr>
          <w:p w14:paraId="4783569E">
            <w:pPr>
              <w:pStyle w:val="79"/>
              <w:rPr>
                <w:rFonts w:eastAsiaTheme="minorEastAsia"/>
              </w:rPr>
            </w:pPr>
            <w:r>
              <w:rPr>
                <w:rFonts w:hint="eastAsia" w:eastAsiaTheme="minorEastAsia"/>
              </w:rPr>
              <w:t>10</w:t>
            </w:r>
          </w:p>
        </w:tc>
        <w:tc>
          <w:tcPr>
            <w:tcW w:w="454" w:type="dxa"/>
            <w:vAlign w:val="center"/>
          </w:tcPr>
          <w:p w14:paraId="149ED87F">
            <w:pPr>
              <w:pStyle w:val="79"/>
              <w:rPr>
                <w:rFonts w:eastAsiaTheme="minorEastAsia"/>
              </w:rPr>
            </w:pPr>
            <w:r>
              <w:rPr>
                <w:rFonts w:hint="eastAsia" w:eastAsiaTheme="minorEastAsia"/>
              </w:rPr>
              <w:t>7</w:t>
            </w:r>
          </w:p>
        </w:tc>
        <w:tc>
          <w:tcPr>
            <w:tcW w:w="546" w:type="dxa"/>
            <w:vAlign w:val="center"/>
          </w:tcPr>
          <w:p w14:paraId="2CE44599">
            <w:pPr>
              <w:pStyle w:val="79"/>
              <w:rPr>
                <w:rFonts w:eastAsiaTheme="minorEastAsia"/>
              </w:rPr>
            </w:pPr>
            <w:r>
              <w:rPr>
                <w:rFonts w:hint="eastAsia" w:eastAsiaTheme="minorEastAsia"/>
              </w:rPr>
              <w:t>1</w:t>
            </w:r>
          </w:p>
        </w:tc>
        <w:tc>
          <w:tcPr>
            <w:tcW w:w="1352" w:type="dxa"/>
            <w:vAlign w:val="center"/>
          </w:tcPr>
          <w:p w14:paraId="4C4EC0AB">
            <w:pPr>
              <w:pStyle w:val="79"/>
              <w:rPr>
                <w:rFonts w:eastAsiaTheme="minorEastAsia"/>
              </w:rPr>
            </w:pPr>
            <w:r>
              <w:rPr>
                <w:rFonts w:hint="eastAsia" w:eastAsiaTheme="minorEastAsia"/>
              </w:rPr>
              <w:t>6</w:t>
            </w:r>
          </w:p>
        </w:tc>
        <w:tc>
          <w:tcPr>
            <w:tcW w:w="914" w:type="dxa"/>
            <w:vMerge w:val="restart"/>
            <w:vAlign w:val="center"/>
          </w:tcPr>
          <w:p w14:paraId="044241E8">
            <w:pPr>
              <w:pStyle w:val="79"/>
              <w:rPr>
                <w:rFonts w:eastAsiaTheme="minorEastAsia"/>
              </w:rPr>
            </w:pPr>
            <w:r>
              <w:rPr>
                <w:rFonts w:hint="eastAsia" w:eastAsiaTheme="minorEastAsia"/>
              </w:rPr>
              <w:t>0:00~24:00</w:t>
            </w:r>
          </w:p>
        </w:tc>
        <w:tc>
          <w:tcPr>
            <w:tcW w:w="1703" w:type="dxa"/>
            <w:vAlign w:val="center"/>
          </w:tcPr>
          <w:p w14:paraId="7CE71654">
            <w:pPr>
              <w:pStyle w:val="79"/>
              <w:rPr>
                <w:rFonts w:eastAsiaTheme="minorEastAsia"/>
              </w:rPr>
            </w:pPr>
            <w:r>
              <w:rPr>
                <w:rFonts w:hint="eastAsia" w:eastAsiaTheme="minorEastAsia"/>
              </w:rPr>
              <w:t>1</w:t>
            </w:r>
            <w:r>
              <w:rPr>
                <w:rFonts w:eastAsiaTheme="minorEastAsia"/>
              </w:rPr>
              <w:t>0</w:t>
            </w:r>
          </w:p>
        </w:tc>
        <w:tc>
          <w:tcPr>
            <w:tcW w:w="860" w:type="dxa"/>
            <w:vAlign w:val="center"/>
          </w:tcPr>
          <w:p w14:paraId="4850856F">
            <w:pPr>
              <w:pStyle w:val="79"/>
              <w:rPr>
                <w:rFonts w:eastAsiaTheme="minorEastAsia"/>
              </w:rPr>
            </w:pPr>
            <w:r>
              <w:rPr>
                <w:rFonts w:hint="eastAsia" w:eastAsiaTheme="minorEastAsia"/>
              </w:rPr>
              <w:t>46</w:t>
            </w:r>
            <w:r>
              <w:rPr>
                <w:rFonts w:eastAsiaTheme="minorEastAsia"/>
              </w:rPr>
              <w:t>.3</w:t>
            </w:r>
          </w:p>
        </w:tc>
        <w:tc>
          <w:tcPr>
            <w:tcW w:w="1408" w:type="dxa"/>
            <w:vAlign w:val="center"/>
          </w:tcPr>
          <w:p w14:paraId="541BC2F9">
            <w:pPr>
              <w:pStyle w:val="79"/>
              <w:rPr>
                <w:rFonts w:eastAsiaTheme="minorEastAsia"/>
              </w:rPr>
            </w:pPr>
            <w:r>
              <w:rPr>
                <w:rFonts w:hint="eastAsia" w:eastAsiaTheme="minorEastAsia"/>
              </w:rPr>
              <w:t>1</w:t>
            </w:r>
            <w:r>
              <w:rPr>
                <w:rFonts w:eastAsiaTheme="minorEastAsia"/>
              </w:rPr>
              <w:t>.0</w:t>
            </w:r>
          </w:p>
        </w:tc>
      </w:tr>
      <w:tr w14:paraId="1810D3C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350E63B9">
            <w:pPr>
              <w:pStyle w:val="79"/>
              <w:rPr>
                <w:rFonts w:eastAsia="Times New Roman"/>
              </w:rPr>
            </w:pPr>
            <w:r>
              <w:rPr>
                <w:rFonts w:eastAsia="Times New Roman"/>
                <w:szCs w:val="21"/>
              </w:rPr>
              <w:t>2</w:t>
            </w:r>
          </w:p>
        </w:tc>
        <w:tc>
          <w:tcPr>
            <w:tcW w:w="993" w:type="dxa"/>
            <w:tcBorders>
              <w:top w:val="single" w:color="000000" w:sz="4" w:space="0"/>
              <w:left w:val="single" w:color="000000" w:sz="4" w:space="0"/>
              <w:bottom w:val="single" w:color="000000" w:sz="4" w:space="0"/>
              <w:right w:val="single" w:color="000000" w:sz="4" w:space="0"/>
            </w:tcBorders>
            <w:vAlign w:val="center"/>
          </w:tcPr>
          <w:p w14:paraId="041471D9">
            <w:pPr>
              <w:pStyle w:val="79"/>
              <w:rPr>
                <w:rFonts w:eastAsia="Times New Roman"/>
              </w:rPr>
            </w:pPr>
            <w:r>
              <w:rPr>
                <w:rFonts w:hint="eastAsia" w:ascii="宋体" w:hAnsi="宋体" w:eastAsia="Times New Roman"/>
                <w:szCs w:val="21"/>
              </w:rPr>
              <w:t>注塑机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1F6049CE">
            <w:pPr>
              <w:pStyle w:val="79"/>
              <w:rPr>
                <w:rFonts w:eastAsia="Times New Roman"/>
              </w:rPr>
            </w:pPr>
            <w:r>
              <w:rPr>
                <w:rStyle w:val="180"/>
                <w:rFonts w:hint="eastAsia" w:eastAsia="楷体_GB2312"/>
                <w:bCs/>
                <w:kern w:val="1"/>
                <w:sz w:val="21"/>
                <w:szCs w:val="21"/>
                <w:lang w:val="en-US"/>
              </w:rPr>
              <w:t>470T</w:t>
            </w:r>
          </w:p>
        </w:tc>
        <w:tc>
          <w:tcPr>
            <w:tcW w:w="1476" w:type="dxa"/>
            <w:vAlign w:val="center"/>
          </w:tcPr>
          <w:p w14:paraId="4BFC319C">
            <w:pPr>
              <w:pStyle w:val="79"/>
              <w:rPr>
                <w:rFonts w:eastAsiaTheme="minorEastAsia"/>
              </w:rPr>
            </w:pPr>
            <w:r>
              <w:rPr>
                <w:rFonts w:hint="eastAsia" w:eastAsiaTheme="minorEastAsia"/>
              </w:rPr>
              <w:t>8</w:t>
            </w:r>
            <w:r>
              <w:rPr>
                <w:rFonts w:eastAsiaTheme="minorEastAsia"/>
              </w:rPr>
              <w:t>0~</w:t>
            </w:r>
            <w:r>
              <w:rPr>
                <w:rFonts w:hint="eastAsia" w:eastAsiaTheme="minorEastAsia"/>
              </w:rPr>
              <w:t>90</w:t>
            </w:r>
          </w:p>
        </w:tc>
        <w:tc>
          <w:tcPr>
            <w:tcW w:w="2172" w:type="dxa"/>
            <w:vMerge w:val="continue"/>
            <w:vAlign w:val="center"/>
          </w:tcPr>
          <w:p w14:paraId="25081C58">
            <w:pPr>
              <w:pStyle w:val="79"/>
              <w:rPr>
                <w:rFonts w:eastAsiaTheme="minorEastAsia"/>
              </w:rPr>
            </w:pPr>
          </w:p>
        </w:tc>
        <w:tc>
          <w:tcPr>
            <w:tcW w:w="455" w:type="dxa"/>
            <w:vAlign w:val="center"/>
          </w:tcPr>
          <w:p w14:paraId="43341A4F">
            <w:pPr>
              <w:pStyle w:val="79"/>
              <w:rPr>
                <w:rFonts w:eastAsiaTheme="minorEastAsia"/>
              </w:rPr>
            </w:pPr>
            <w:r>
              <w:rPr>
                <w:rFonts w:hint="eastAsia" w:eastAsiaTheme="minorEastAsia"/>
              </w:rPr>
              <w:t>1</w:t>
            </w:r>
            <w:r>
              <w:rPr>
                <w:rFonts w:eastAsiaTheme="minorEastAsia"/>
              </w:rPr>
              <w:t>2</w:t>
            </w:r>
          </w:p>
        </w:tc>
        <w:tc>
          <w:tcPr>
            <w:tcW w:w="454" w:type="dxa"/>
            <w:vAlign w:val="center"/>
          </w:tcPr>
          <w:p w14:paraId="40E22755">
            <w:pPr>
              <w:pStyle w:val="79"/>
              <w:rPr>
                <w:rFonts w:eastAsiaTheme="minorEastAsia"/>
              </w:rPr>
            </w:pPr>
            <w:r>
              <w:rPr>
                <w:rFonts w:eastAsiaTheme="minorEastAsia"/>
              </w:rPr>
              <w:t>17</w:t>
            </w:r>
          </w:p>
        </w:tc>
        <w:tc>
          <w:tcPr>
            <w:tcW w:w="546" w:type="dxa"/>
            <w:vAlign w:val="center"/>
          </w:tcPr>
          <w:p w14:paraId="3F0BD187">
            <w:pPr>
              <w:pStyle w:val="79"/>
              <w:rPr>
                <w:rFonts w:eastAsiaTheme="minorEastAsia"/>
              </w:rPr>
            </w:pPr>
            <w:r>
              <w:rPr>
                <w:rFonts w:hint="eastAsia" w:eastAsiaTheme="minorEastAsia"/>
              </w:rPr>
              <w:t>1</w:t>
            </w:r>
          </w:p>
        </w:tc>
        <w:tc>
          <w:tcPr>
            <w:tcW w:w="1352" w:type="dxa"/>
            <w:vAlign w:val="center"/>
          </w:tcPr>
          <w:p w14:paraId="4372063A">
            <w:pPr>
              <w:pStyle w:val="79"/>
              <w:rPr>
                <w:rFonts w:eastAsiaTheme="minorEastAsia"/>
              </w:rPr>
            </w:pPr>
            <w:r>
              <w:rPr>
                <w:rFonts w:hint="eastAsia" w:eastAsiaTheme="minorEastAsia"/>
              </w:rPr>
              <w:t>7</w:t>
            </w:r>
          </w:p>
        </w:tc>
        <w:tc>
          <w:tcPr>
            <w:tcW w:w="914" w:type="dxa"/>
            <w:vMerge w:val="continue"/>
            <w:vAlign w:val="center"/>
          </w:tcPr>
          <w:p w14:paraId="0865C547">
            <w:pPr>
              <w:pStyle w:val="79"/>
              <w:rPr>
                <w:rFonts w:eastAsia="Times New Roman"/>
              </w:rPr>
            </w:pPr>
          </w:p>
        </w:tc>
        <w:tc>
          <w:tcPr>
            <w:tcW w:w="1703" w:type="dxa"/>
            <w:vAlign w:val="center"/>
          </w:tcPr>
          <w:p w14:paraId="434DDEFA">
            <w:pPr>
              <w:pStyle w:val="79"/>
              <w:rPr>
                <w:rFonts w:eastAsiaTheme="minorEastAsia"/>
              </w:rPr>
            </w:pPr>
            <w:r>
              <w:rPr>
                <w:rFonts w:hint="eastAsia" w:eastAsiaTheme="minorEastAsia"/>
              </w:rPr>
              <w:t>1</w:t>
            </w:r>
            <w:r>
              <w:rPr>
                <w:rFonts w:eastAsiaTheme="minorEastAsia"/>
              </w:rPr>
              <w:t>0</w:t>
            </w:r>
          </w:p>
        </w:tc>
        <w:tc>
          <w:tcPr>
            <w:tcW w:w="860" w:type="dxa"/>
            <w:vAlign w:val="center"/>
          </w:tcPr>
          <w:p w14:paraId="1D7000C7">
            <w:pPr>
              <w:pStyle w:val="79"/>
              <w:rPr>
                <w:rFonts w:eastAsiaTheme="minorEastAsia"/>
              </w:rPr>
            </w:pPr>
            <w:r>
              <w:rPr>
                <w:rFonts w:hint="eastAsia" w:eastAsiaTheme="minorEastAsia"/>
              </w:rPr>
              <w:t>5</w:t>
            </w:r>
            <w:r>
              <w:rPr>
                <w:rFonts w:eastAsiaTheme="minorEastAsia"/>
              </w:rPr>
              <w:t>7.2</w:t>
            </w:r>
          </w:p>
        </w:tc>
        <w:tc>
          <w:tcPr>
            <w:tcW w:w="1408" w:type="dxa"/>
            <w:vAlign w:val="center"/>
          </w:tcPr>
          <w:p w14:paraId="6CDA919B">
            <w:pPr>
              <w:pStyle w:val="79"/>
              <w:rPr>
                <w:rFonts w:eastAsiaTheme="minorEastAsia"/>
              </w:rPr>
            </w:pPr>
            <w:r>
              <w:rPr>
                <w:rFonts w:hint="eastAsia" w:eastAsiaTheme="minorEastAsia"/>
              </w:rPr>
              <w:t>1</w:t>
            </w:r>
            <w:r>
              <w:rPr>
                <w:rFonts w:eastAsiaTheme="minorEastAsia"/>
              </w:rPr>
              <w:t>.0</w:t>
            </w:r>
          </w:p>
        </w:tc>
      </w:tr>
      <w:tr w14:paraId="56A7DA3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589A6046">
            <w:pPr>
              <w:pStyle w:val="79"/>
              <w:rPr>
                <w:rFonts w:eastAsia="Times New Roman"/>
              </w:rPr>
            </w:pPr>
            <w:r>
              <w:rPr>
                <w:rFonts w:eastAsia="Times New Roman"/>
                <w:szCs w:val="21"/>
              </w:rPr>
              <w:t>3</w:t>
            </w:r>
          </w:p>
        </w:tc>
        <w:tc>
          <w:tcPr>
            <w:tcW w:w="993" w:type="dxa"/>
            <w:tcBorders>
              <w:top w:val="single" w:color="000000" w:sz="4" w:space="0"/>
              <w:left w:val="single" w:color="000000" w:sz="4" w:space="0"/>
              <w:bottom w:val="single" w:color="000000" w:sz="4" w:space="0"/>
              <w:right w:val="single" w:color="000000" w:sz="4" w:space="0"/>
            </w:tcBorders>
            <w:vAlign w:val="center"/>
          </w:tcPr>
          <w:p w14:paraId="356C407C">
            <w:pPr>
              <w:pStyle w:val="79"/>
              <w:rPr>
                <w:rFonts w:eastAsia="Times New Roman"/>
              </w:rPr>
            </w:pPr>
            <w:r>
              <w:rPr>
                <w:rFonts w:hint="eastAsia" w:ascii="宋体" w:hAnsi="宋体" w:eastAsia="Times New Roman"/>
                <w:szCs w:val="21"/>
              </w:rPr>
              <w:t>注塑机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14F2B3D6">
            <w:pPr>
              <w:pStyle w:val="79"/>
              <w:rPr>
                <w:rFonts w:eastAsia="Times New Roman"/>
              </w:rPr>
            </w:pPr>
            <w:r>
              <w:rPr>
                <w:rStyle w:val="180"/>
                <w:rFonts w:hint="eastAsia" w:eastAsia="楷体_GB2312"/>
                <w:bCs/>
                <w:kern w:val="1"/>
                <w:sz w:val="21"/>
                <w:szCs w:val="21"/>
                <w:lang w:val="en-US"/>
              </w:rPr>
              <w:t>250T/260T</w:t>
            </w:r>
          </w:p>
        </w:tc>
        <w:tc>
          <w:tcPr>
            <w:tcW w:w="1476" w:type="dxa"/>
            <w:vAlign w:val="center"/>
          </w:tcPr>
          <w:p w14:paraId="3DE9C39A">
            <w:pPr>
              <w:pStyle w:val="79"/>
              <w:rPr>
                <w:rFonts w:eastAsiaTheme="minorEastAsia"/>
              </w:rPr>
            </w:pPr>
            <w:r>
              <w:rPr>
                <w:rFonts w:hint="eastAsia" w:eastAsiaTheme="minorEastAsia"/>
              </w:rPr>
              <w:t>65</w:t>
            </w:r>
            <w:r>
              <w:rPr>
                <w:rFonts w:eastAsiaTheme="minorEastAsia"/>
              </w:rPr>
              <w:t>~7</w:t>
            </w:r>
            <w:r>
              <w:rPr>
                <w:rFonts w:hint="eastAsia" w:eastAsiaTheme="minorEastAsia"/>
              </w:rPr>
              <w:t>5</w:t>
            </w:r>
          </w:p>
        </w:tc>
        <w:tc>
          <w:tcPr>
            <w:tcW w:w="2172" w:type="dxa"/>
            <w:vMerge w:val="continue"/>
            <w:vAlign w:val="center"/>
          </w:tcPr>
          <w:p w14:paraId="4C01C0E3">
            <w:pPr>
              <w:pStyle w:val="79"/>
              <w:rPr>
                <w:rFonts w:eastAsiaTheme="minorEastAsia"/>
              </w:rPr>
            </w:pPr>
          </w:p>
        </w:tc>
        <w:tc>
          <w:tcPr>
            <w:tcW w:w="455" w:type="dxa"/>
            <w:vAlign w:val="center"/>
          </w:tcPr>
          <w:p w14:paraId="7A51AB6A">
            <w:pPr>
              <w:pStyle w:val="79"/>
              <w:rPr>
                <w:rFonts w:eastAsiaTheme="minorEastAsia"/>
              </w:rPr>
            </w:pPr>
            <w:r>
              <w:rPr>
                <w:rFonts w:hint="eastAsia" w:eastAsiaTheme="minorEastAsia"/>
              </w:rPr>
              <w:t>3</w:t>
            </w:r>
            <w:r>
              <w:rPr>
                <w:rFonts w:eastAsiaTheme="minorEastAsia"/>
              </w:rPr>
              <w:t>3</w:t>
            </w:r>
          </w:p>
        </w:tc>
        <w:tc>
          <w:tcPr>
            <w:tcW w:w="454" w:type="dxa"/>
            <w:vAlign w:val="center"/>
          </w:tcPr>
          <w:p w14:paraId="2A29F161">
            <w:pPr>
              <w:pStyle w:val="79"/>
              <w:rPr>
                <w:rFonts w:eastAsiaTheme="minorEastAsia"/>
              </w:rPr>
            </w:pPr>
            <w:r>
              <w:rPr>
                <w:rFonts w:eastAsiaTheme="minorEastAsia"/>
              </w:rPr>
              <w:t>16</w:t>
            </w:r>
          </w:p>
        </w:tc>
        <w:tc>
          <w:tcPr>
            <w:tcW w:w="546" w:type="dxa"/>
            <w:vAlign w:val="center"/>
          </w:tcPr>
          <w:p w14:paraId="261DD10F">
            <w:pPr>
              <w:pStyle w:val="79"/>
              <w:rPr>
                <w:rFonts w:eastAsiaTheme="minorEastAsia"/>
              </w:rPr>
            </w:pPr>
            <w:r>
              <w:rPr>
                <w:rFonts w:hint="eastAsia" w:eastAsiaTheme="minorEastAsia"/>
              </w:rPr>
              <w:t>1</w:t>
            </w:r>
          </w:p>
        </w:tc>
        <w:tc>
          <w:tcPr>
            <w:tcW w:w="1352" w:type="dxa"/>
            <w:vAlign w:val="center"/>
          </w:tcPr>
          <w:p w14:paraId="60E9F67A">
            <w:pPr>
              <w:pStyle w:val="79"/>
              <w:rPr>
                <w:rFonts w:eastAsiaTheme="minorEastAsia"/>
              </w:rPr>
            </w:pPr>
            <w:r>
              <w:rPr>
                <w:rFonts w:hint="eastAsia" w:eastAsiaTheme="minorEastAsia"/>
              </w:rPr>
              <w:t>7</w:t>
            </w:r>
          </w:p>
        </w:tc>
        <w:tc>
          <w:tcPr>
            <w:tcW w:w="914" w:type="dxa"/>
            <w:vMerge w:val="continue"/>
            <w:vAlign w:val="center"/>
          </w:tcPr>
          <w:p w14:paraId="0AA191D9">
            <w:pPr>
              <w:pStyle w:val="79"/>
              <w:rPr>
                <w:rFonts w:eastAsia="Times New Roman"/>
              </w:rPr>
            </w:pPr>
          </w:p>
        </w:tc>
        <w:tc>
          <w:tcPr>
            <w:tcW w:w="1703" w:type="dxa"/>
            <w:vAlign w:val="center"/>
          </w:tcPr>
          <w:p w14:paraId="7364D80B">
            <w:pPr>
              <w:pStyle w:val="79"/>
              <w:rPr>
                <w:rFonts w:eastAsiaTheme="minorEastAsia"/>
              </w:rPr>
            </w:pPr>
            <w:r>
              <w:rPr>
                <w:rFonts w:hint="eastAsia" w:eastAsiaTheme="minorEastAsia"/>
              </w:rPr>
              <w:t>1</w:t>
            </w:r>
            <w:r>
              <w:rPr>
                <w:rFonts w:eastAsiaTheme="minorEastAsia"/>
              </w:rPr>
              <w:t>0</w:t>
            </w:r>
          </w:p>
        </w:tc>
        <w:tc>
          <w:tcPr>
            <w:tcW w:w="860" w:type="dxa"/>
            <w:vAlign w:val="center"/>
          </w:tcPr>
          <w:p w14:paraId="7EC11042">
            <w:pPr>
              <w:pStyle w:val="79"/>
              <w:rPr>
                <w:rFonts w:eastAsiaTheme="minorEastAsia"/>
              </w:rPr>
            </w:pPr>
            <w:r>
              <w:rPr>
                <w:rFonts w:hint="eastAsia" w:eastAsiaTheme="minorEastAsia"/>
              </w:rPr>
              <w:t>42.2</w:t>
            </w:r>
          </w:p>
        </w:tc>
        <w:tc>
          <w:tcPr>
            <w:tcW w:w="1408" w:type="dxa"/>
            <w:vAlign w:val="center"/>
          </w:tcPr>
          <w:p w14:paraId="4F99B454">
            <w:pPr>
              <w:pStyle w:val="79"/>
              <w:rPr>
                <w:rFonts w:eastAsia="Times New Roman"/>
              </w:rPr>
            </w:pPr>
            <w:r>
              <w:rPr>
                <w:rFonts w:hint="eastAsia" w:eastAsiaTheme="minorEastAsia"/>
              </w:rPr>
              <w:t>1</w:t>
            </w:r>
            <w:r>
              <w:rPr>
                <w:rFonts w:eastAsiaTheme="minorEastAsia"/>
              </w:rPr>
              <w:t>.0</w:t>
            </w:r>
          </w:p>
        </w:tc>
      </w:tr>
      <w:tr w14:paraId="1D8574E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006AAEA6">
            <w:pPr>
              <w:pStyle w:val="79"/>
              <w:rPr>
                <w:rFonts w:eastAsia="Times New Roman"/>
              </w:rPr>
            </w:pPr>
            <w:r>
              <w:rPr>
                <w:rFonts w:eastAsia="Times New Roman"/>
                <w:szCs w:val="21"/>
              </w:rPr>
              <w:t>4</w:t>
            </w:r>
          </w:p>
        </w:tc>
        <w:tc>
          <w:tcPr>
            <w:tcW w:w="993" w:type="dxa"/>
            <w:tcBorders>
              <w:top w:val="single" w:color="000000" w:sz="4" w:space="0"/>
              <w:left w:val="single" w:color="000000" w:sz="4" w:space="0"/>
              <w:bottom w:val="single" w:color="000000" w:sz="4" w:space="0"/>
              <w:right w:val="single" w:color="000000" w:sz="4" w:space="0"/>
            </w:tcBorders>
            <w:vAlign w:val="center"/>
          </w:tcPr>
          <w:p w14:paraId="17BABACC">
            <w:pPr>
              <w:pStyle w:val="79"/>
              <w:rPr>
                <w:rFonts w:eastAsia="Times New Roman"/>
              </w:rPr>
            </w:pPr>
            <w:r>
              <w:rPr>
                <w:rFonts w:hint="eastAsia" w:ascii="宋体" w:hAnsi="宋体" w:eastAsia="Times New Roman"/>
                <w:szCs w:val="21"/>
              </w:rPr>
              <w:t>注塑机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719CE931">
            <w:pPr>
              <w:pStyle w:val="79"/>
              <w:rPr>
                <w:rFonts w:eastAsia="Times New Roman"/>
              </w:rPr>
            </w:pPr>
            <w:r>
              <w:rPr>
                <w:rStyle w:val="180"/>
                <w:rFonts w:hint="eastAsia" w:eastAsia="楷体_GB2312"/>
                <w:bCs/>
                <w:kern w:val="1"/>
                <w:sz w:val="21"/>
                <w:szCs w:val="21"/>
                <w:lang w:val="en-US"/>
              </w:rPr>
              <w:t>400T</w:t>
            </w:r>
          </w:p>
        </w:tc>
        <w:tc>
          <w:tcPr>
            <w:tcW w:w="1476" w:type="dxa"/>
            <w:vAlign w:val="center"/>
          </w:tcPr>
          <w:p w14:paraId="2BAAF447">
            <w:pPr>
              <w:pStyle w:val="79"/>
              <w:rPr>
                <w:rFonts w:eastAsiaTheme="minorEastAsia"/>
              </w:rPr>
            </w:pPr>
            <w:r>
              <w:rPr>
                <w:rFonts w:hint="eastAsia" w:eastAsiaTheme="minorEastAsia"/>
              </w:rPr>
              <w:t>65</w:t>
            </w:r>
            <w:r>
              <w:rPr>
                <w:rFonts w:eastAsiaTheme="minorEastAsia"/>
              </w:rPr>
              <w:t>~7</w:t>
            </w:r>
            <w:r>
              <w:rPr>
                <w:rFonts w:hint="eastAsia" w:eastAsiaTheme="minorEastAsia"/>
              </w:rPr>
              <w:t>5</w:t>
            </w:r>
          </w:p>
        </w:tc>
        <w:tc>
          <w:tcPr>
            <w:tcW w:w="2172" w:type="dxa"/>
            <w:vMerge w:val="continue"/>
            <w:vAlign w:val="center"/>
          </w:tcPr>
          <w:p w14:paraId="586A0036">
            <w:pPr>
              <w:pStyle w:val="79"/>
              <w:rPr>
                <w:rFonts w:eastAsiaTheme="minorEastAsia"/>
              </w:rPr>
            </w:pPr>
          </w:p>
        </w:tc>
        <w:tc>
          <w:tcPr>
            <w:tcW w:w="455" w:type="dxa"/>
            <w:vAlign w:val="center"/>
          </w:tcPr>
          <w:p w14:paraId="75970F33">
            <w:pPr>
              <w:pStyle w:val="79"/>
              <w:rPr>
                <w:rFonts w:eastAsiaTheme="minorEastAsia"/>
              </w:rPr>
            </w:pPr>
            <w:r>
              <w:rPr>
                <w:rFonts w:hint="eastAsia" w:eastAsiaTheme="minorEastAsia"/>
              </w:rPr>
              <w:t>2</w:t>
            </w:r>
            <w:r>
              <w:rPr>
                <w:rFonts w:eastAsiaTheme="minorEastAsia"/>
              </w:rPr>
              <w:t>6</w:t>
            </w:r>
          </w:p>
        </w:tc>
        <w:tc>
          <w:tcPr>
            <w:tcW w:w="454" w:type="dxa"/>
            <w:vAlign w:val="center"/>
          </w:tcPr>
          <w:p w14:paraId="3F2F13D5">
            <w:pPr>
              <w:pStyle w:val="79"/>
              <w:rPr>
                <w:rFonts w:eastAsiaTheme="minorEastAsia"/>
              </w:rPr>
            </w:pPr>
            <w:r>
              <w:rPr>
                <w:rFonts w:eastAsiaTheme="minorEastAsia"/>
              </w:rPr>
              <w:t>13</w:t>
            </w:r>
          </w:p>
        </w:tc>
        <w:tc>
          <w:tcPr>
            <w:tcW w:w="546" w:type="dxa"/>
            <w:vAlign w:val="center"/>
          </w:tcPr>
          <w:p w14:paraId="0C18B969">
            <w:pPr>
              <w:pStyle w:val="79"/>
              <w:rPr>
                <w:rFonts w:eastAsiaTheme="minorEastAsia"/>
              </w:rPr>
            </w:pPr>
            <w:r>
              <w:rPr>
                <w:rFonts w:hint="eastAsia" w:eastAsiaTheme="minorEastAsia"/>
              </w:rPr>
              <w:t>1</w:t>
            </w:r>
          </w:p>
        </w:tc>
        <w:tc>
          <w:tcPr>
            <w:tcW w:w="1352" w:type="dxa"/>
            <w:vAlign w:val="center"/>
          </w:tcPr>
          <w:p w14:paraId="2B8D9B41">
            <w:pPr>
              <w:pStyle w:val="79"/>
              <w:rPr>
                <w:rFonts w:eastAsiaTheme="minorEastAsia"/>
              </w:rPr>
            </w:pPr>
            <w:r>
              <w:rPr>
                <w:rFonts w:hint="eastAsia" w:eastAsiaTheme="minorEastAsia"/>
              </w:rPr>
              <w:t>1</w:t>
            </w:r>
            <w:r>
              <w:rPr>
                <w:rFonts w:eastAsiaTheme="minorEastAsia"/>
              </w:rPr>
              <w:t>3</w:t>
            </w:r>
          </w:p>
        </w:tc>
        <w:tc>
          <w:tcPr>
            <w:tcW w:w="914" w:type="dxa"/>
            <w:vMerge w:val="continue"/>
            <w:vAlign w:val="center"/>
          </w:tcPr>
          <w:p w14:paraId="7289E999">
            <w:pPr>
              <w:pStyle w:val="79"/>
              <w:rPr>
                <w:rFonts w:eastAsia="Times New Roman"/>
              </w:rPr>
            </w:pPr>
          </w:p>
        </w:tc>
        <w:tc>
          <w:tcPr>
            <w:tcW w:w="1703" w:type="dxa"/>
            <w:vAlign w:val="center"/>
          </w:tcPr>
          <w:p w14:paraId="2FD37C62">
            <w:pPr>
              <w:pStyle w:val="79"/>
              <w:rPr>
                <w:rFonts w:eastAsiaTheme="minorEastAsia"/>
              </w:rPr>
            </w:pPr>
            <w:r>
              <w:rPr>
                <w:rFonts w:hint="eastAsia" w:eastAsiaTheme="minorEastAsia"/>
              </w:rPr>
              <w:t>1</w:t>
            </w:r>
            <w:r>
              <w:rPr>
                <w:rFonts w:eastAsiaTheme="minorEastAsia"/>
              </w:rPr>
              <w:t>0</w:t>
            </w:r>
          </w:p>
        </w:tc>
        <w:tc>
          <w:tcPr>
            <w:tcW w:w="860" w:type="dxa"/>
            <w:vAlign w:val="center"/>
          </w:tcPr>
          <w:p w14:paraId="5F57815C">
            <w:pPr>
              <w:pStyle w:val="79"/>
              <w:rPr>
                <w:rFonts w:eastAsiaTheme="minorEastAsia"/>
              </w:rPr>
            </w:pPr>
            <w:r>
              <w:rPr>
                <w:rFonts w:hint="eastAsia" w:eastAsiaTheme="minorEastAsia"/>
              </w:rPr>
              <w:t>36</w:t>
            </w:r>
            <w:r>
              <w:rPr>
                <w:rFonts w:eastAsiaTheme="minorEastAsia"/>
              </w:rPr>
              <w:t>.4</w:t>
            </w:r>
          </w:p>
        </w:tc>
        <w:tc>
          <w:tcPr>
            <w:tcW w:w="1408" w:type="dxa"/>
            <w:vAlign w:val="center"/>
          </w:tcPr>
          <w:p w14:paraId="3B0A8462">
            <w:pPr>
              <w:pStyle w:val="79"/>
              <w:rPr>
                <w:rFonts w:eastAsia="Times New Roman"/>
              </w:rPr>
            </w:pPr>
            <w:r>
              <w:rPr>
                <w:rFonts w:hint="eastAsia" w:eastAsiaTheme="minorEastAsia"/>
              </w:rPr>
              <w:t>1</w:t>
            </w:r>
            <w:r>
              <w:rPr>
                <w:rFonts w:eastAsiaTheme="minorEastAsia"/>
              </w:rPr>
              <w:t>.0</w:t>
            </w:r>
          </w:p>
        </w:tc>
      </w:tr>
      <w:tr w14:paraId="1792D27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23E27878">
            <w:pPr>
              <w:pStyle w:val="79"/>
              <w:rPr>
                <w:rFonts w:eastAsia="Times New Roman"/>
              </w:rPr>
            </w:pPr>
            <w:r>
              <w:rPr>
                <w:rFonts w:eastAsia="Times New Roman"/>
                <w:szCs w:val="21"/>
              </w:rPr>
              <w:t>5</w:t>
            </w:r>
          </w:p>
        </w:tc>
        <w:tc>
          <w:tcPr>
            <w:tcW w:w="993" w:type="dxa"/>
            <w:tcBorders>
              <w:top w:val="single" w:color="000000" w:sz="4" w:space="0"/>
              <w:left w:val="single" w:color="000000" w:sz="4" w:space="0"/>
              <w:bottom w:val="single" w:color="000000" w:sz="4" w:space="0"/>
              <w:right w:val="single" w:color="000000" w:sz="4" w:space="0"/>
            </w:tcBorders>
            <w:vAlign w:val="center"/>
          </w:tcPr>
          <w:p w14:paraId="42345010">
            <w:pPr>
              <w:pStyle w:val="79"/>
              <w:rPr>
                <w:rFonts w:eastAsia="Times New Roman"/>
              </w:rPr>
            </w:pPr>
            <w:r>
              <w:rPr>
                <w:rFonts w:hint="eastAsia" w:ascii="宋体" w:hAnsi="宋体" w:eastAsia="Times New Roman"/>
                <w:szCs w:val="21"/>
              </w:rPr>
              <w:t>注塑机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6BF03FB0">
            <w:pPr>
              <w:pStyle w:val="79"/>
              <w:rPr>
                <w:rFonts w:eastAsia="Times New Roman"/>
              </w:rPr>
            </w:pPr>
            <w:r>
              <w:rPr>
                <w:rStyle w:val="180"/>
                <w:rFonts w:hint="eastAsia" w:eastAsia="楷体_GB2312"/>
                <w:bCs/>
                <w:kern w:val="1"/>
                <w:sz w:val="21"/>
                <w:szCs w:val="21"/>
                <w:lang w:val="en-US"/>
              </w:rPr>
              <w:t>700T</w:t>
            </w:r>
          </w:p>
        </w:tc>
        <w:tc>
          <w:tcPr>
            <w:tcW w:w="1476" w:type="dxa"/>
            <w:vAlign w:val="center"/>
          </w:tcPr>
          <w:p w14:paraId="7AC846E2">
            <w:pPr>
              <w:pStyle w:val="79"/>
              <w:rPr>
                <w:rFonts w:eastAsiaTheme="minorEastAsia"/>
              </w:rPr>
            </w:pPr>
            <w:r>
              <w:rPr>
                <w:rFonts w:hint="eastAsia" w:eastAsiaTheme="minorEastAsia"/>
              </w:rPr>
              <w:t>6</w:t>
            </w:r>
            <w:r>
              <w:rPr>
                <w:rFonts w:eastAsiaTheme="minorEastAsia"/>
              </w:rPr>
              <w:t>5~75</w:t>
            </w:r>
          </w:p>
        </w:tc>
        <w:tc>
          <w:tcPr>
            <w:tcW w:w="2172" w:type="dxa"/>
            <w:vMerge w:val="continue"/>
            <w:vAlign w:val="center"/>
          </w:tcPr>
          <w:p w14:paraId="7054475B">
            <w:pPr>
              <w:pStyle w:val="79"/>
              <w:rPr>
                <w:rFonts w:eastAsiaTheme="minorEastAsia"/>
              </w:rPr>
            </w:pPr>
          </w:p>
        </w:tc>
        <w:tc>
          <w:tcPr>
            <w:tcW w:w="455" w:type="dxa"/>
            <w:vAlign w:val="center"/>
          </w:tcPr>
          <w:p w14:paraId="6C42669E">
            <w:pPr>
              <w:pStyle w:val="79"/>
              <w:rPr>
                <w:rFonts w:eastAsiaTheme="minorEastAsia"/>
              </w:rPr>
            </w:pPr>
            <w:r>
              <w:rPr>
                <w:rFonts w:hint="eastAsia" w:eastAsiaTheme="minorEastAsia"/>
              </w:rPr>
              <w:t>2</w:t>
            </w:r>
            <w:r>
              <w:rPr>
                <w:rFonts w:eastAsiaTheme="minorEastAsia"/>
              </w:rPr>
              <w:t>1</w:t>
            </w:r>
          </w:p>
        </w:tc>
        <w:tc>
          <w:tcPr>
            <w:tcW w:w="454" w:type="dxa"/>
            <w:vAlign w:val="center"/>
          </w:tcPr>
          <w:p w14:paraId="4A679F47">
            <w:pPr>
              <w:pStyle w:val="79"/>
              <w:rPr>
                <w:rFonts w:eastAsiaTheme="minorEastAsia"/>
              </w:rPr>
            </w:pPr>
            <w:r>
              <w:rPr>
                <w:rFonts w:hint="eastAsia" w:eastAsiaTheme="minorEastAsia"/>
              </w:rPr>
              <w:t>5</w:t>
            </w:r>
          </w:p>
        </w:tc>
        <w:tc>
          <w:tcPr>
            <w:tcW w:w="546" w:type="dxa"/>
            <w:vAlign w:val="center"/>
          </w:tcPr>
          <w:p w14:paraId="04564595">
            <w:pPr>
              <w:pStyle w:val="79"/>
              <w:rPr>
                <w:rFonts w:eastAsiaTheme="minorEastAsia"/>
              </w:rPr>
            </w:pPr>
            <w:r>
              <w:rPr>
                <w:rFonts w:hint="eastAsia" w:eastAsiaTheme="minorEastAsia"/>
              </w:rPr>
              <w:t>1</w:t>
            </w:r>
          </w:p>
        </w:tc>
        <w:tc>
          <w:tcPr>
            <w:tcW w:w="1352" w:type="dxa"/>
            <w:vAlign w:val="center"/>
          </w:tcPr>
          <w:p w14:paraId="7CB80FFC">
            <w:pPr>
              <w:pStyle w:val="79"/>
              <w:rPr>
                <w:rFonts w:eastAsiaTheme="minorEastAsia"/>
              </w:rPr>
            </w:pPr>
            <w:r>
              <w:rPr>
                <w:rFonts w:hint="eastAsia" w:eastAsiaTheme="minorEastAsia"/>
              </w:rPr>
              <w:t>1</w:t>
            </w:r>
            <w:r>
              <w:rPr>
                <w:rFonts w:eastAsiaTheme="minorEastAsia"/>
              </w:rPr>
              <w:t>5</w:t>
            </w:r>
          </w:p>
        </w:tc>
        <w:tc>
          <w:tcPr>
            <w:tcW w:w="914" w:type="dxa"/>
            <w:vMerge w:val="continue"/>
            <w:vAlign w:val="center"/>
          </w:tcPr>
          <w:p w14:paraId="3C4A32DA">
            <w:pPr>
              <w:pStyle w:val="79"/>
              <w:rPr>
                <w:rFonts w:eastAsia="Times New Roman"/>
              </w:rPr>
            </w:pPr>
          </w:p>
        </w:tc>
        <w:tc>
          <w:tcPr>
            <w:tcW w:w="1703" w:type="dxa"/>
            <w:vAlign w:val="center"/>
          </w:tcPr>
          <w:p w14:paraId="058DBC3A">
            <w:pPr>
              <w:pStyle w:val="79"/>
              <w:rPr>
                <w:rFonts w:eastAsiaTheme="minorEastAsia"/>
              </w:rPr>
            </w:pPr>
            <w:r>
              <w:rPr>
                <w:rFonts w:hint="eastAsia" w:eastAsiaTheme="minorEastAsia"/>
              </w:rPr>
              <w:t>1</w:t>
            </w:r>
            <w:r>
              <w:rPr>
                <w:rFonts w:eastAsiaTheme="minorEastAsia"/>
              </w:rPr>
              <w:t>0</w:t>
            </w:r>
          </w:p>
        </w:tc>
        <w:tc>
          <w:tcPr>
            <w:tcW w:w="860" w:type="dxa"/>
            <w:vAlign w:val="center"/>
          </w:tcPr>
          <w:p w14:paraId="297AA72F">
            <w:pPr>
              <w:pStyle w:val="79"/>
              <w:rPr>
                <w:rFonts w:eastAsiaTheme="minorEastAsia"/>
              </w:rPr>
            </w:pPr>
            <w:r>
              <w:rPr>
                <w:rFonts w:hint="eastAsia" w:eastAsiaTheme="minorEastAsia"/>
              </w:rPr>
              <w:t>3</w:t>
            </w:r>
            <w:r>
              <w:rPr>
                <w:rFonts w:eastAsiaTheme="minorEastAsia"/>
              </w:rPr>
              <w:t>6.2</w:t>
            </w:r>
          </w:p>
        </w:tc>
        <w:tc>
          <w:tcPr>
            <w:tcW w:w="1408" w:type="dxa"/>
            <w:vAlign w:val="center"/>
          </w:tcPr>
          <w:p w14:paraId="616C6CB2">
            <w:pPr>
              <w:pStyle w:val="79"/>
              <w:rPr>
                <w:rFonts w:eastAsia="Times New Roman"/>
              </w:rPr>
            </w:pPr>
            <w:r>
              <w:rPr>
                <w:rFonts w:hint="eastAsia" w:eastAsiaTheme="minorEastAsia"/>
              </w:rPr>
              <w:t>1</w:t>
            </w:r>
            <w:r>
              <w:rPr>
                <w:rFonts w:eastAsiaTheme="minorEastAsia"/>
              </w:rPr>
              <w:t>.0</w:t>
            </w:r>
          </w:p>
        </w:tc>
      </w:tr>
      <w:tr w14:paraId="64A02F7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76A0E4FC">
            <w:pPr>
              <w:pStyle w:val="79"/>
              <w:rPr>
                <w:rFonts w:eastAsia="Times New Roman"/>
              </w:rPr>
            </w:pPr>
            <w:r>
              <w:rPr>
                <w:rFonts w:eastAsia="Times New Roman"/>
                <w:szCs w:val="21"/>
              </w:rPr>
              <w:t>6</w:t>
            </w:r>
          </w:p>
        </w:tc>
        <w:tc>
          <w:tcPr>
            <w:tcW w:w="993" w:type="dxa"/>
            <w:tcBorders>
              <w:top w:val="single" w:color="000000" w:sz="4" w:space="0"/>
              <w:left w:val="single" w:color="000000" w:sz="4" w:space="0"/>
              <w:bottom w:val="single" w:color="000000" w:sz="4" w:space="0"/>
              <w:right w:val="single" w:color="000000" w:sz="4" w:space="0"/>
            </w:tcBorders>
            <w:vAlign w:val="center"/>
          </w:tcPr>
          <w:p w14:paraId="157D9BE0">
            <w:pPr>
              <w:pStyle w:val="79"/>
              <w:rPr>
                <w:rFonts w:eastAsia="Times New Roman"/>
              </w:rPr>
            </w:pPr>
            <w:r>
              <w:rPr>
                <w:rFonts w:hint="eastAsia" w:ascii="宋体" w:hAnsi="宋体" w:eastAsia="Times New Roman"/>
                <w:szCs w:val="21"/>
              </w:rPr>
              <w:t>注塑机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0ED18B76">
            <w:pPr>
              <w:pStyle w:val="79"/>
              <w:rPr>
                <w:rFonts w:eastAsia="Times New Roman"/>
              </w:rPr>
            </w:pPr>
            <w:r>
              <w:rPr>
                <w:rStyle w:val="180"/>
                <w:rFonts w:hint="eastAsia" w:eastAsia="楷体_GB2312"/>
                <w:bCs/>
                <w:kern w:val="1"/>
                <w:sz w:val="21"/>
                <w:szCs w:val="21"/>
                <w:lang w:val="en-US"/>
              </w:rPr>
              <w:t>320T</w:t>
            </w:r>
          </w:p>
        </w:tc>
        <w:tc>
          <w:tcPr>
            <w:tcW w:w="1476" w:type="dxa"/>
            <w:vAlign w:val="center"/>
          </w:tcPr>
          <w:p w14:paraId="17DFF25B">
            <w:pPr>
              <w:pStyle w:val="79"/>
              <w:rPr>
                <w:rFonts w:eastAsiaTheme="minorEastAsia"/>
              </w:rPr>
            </w:pPr>
            <w:r>
              <w:rPr>
                <w:rFonts w:hint="eastAsia" w:eastAsiaTheme="minorEastAsia"/>
              </w:rPr>
              <w:t>7</w:t>
            </w:r>
            <w:r>
              <w:rPr>
                <w:rFonts w:eastAsiaTheme="minorEastAsia"/>
              </w:rPr>
              <w:t>5~85</w:t>
            </w:r>
          </w:p>
        </w:tc>
        <w:tc>
          <w:tcPr>
            <w:tcW w:w="2172" w:type="dxa"/>
            <w:vMerge w:val="continue"/>
            <w:vAlign w:val="center"/>
          </w:tcPr>
          <w:p w14:paraId="0561414A">
            <w:pPr>
              <w:pStyle w:val="79"/>
              <w:rPr>
                <w:rFonts w:eastAsiaTheme="minorEastAsia"/>
              </w:rPr>
            </w:pPr>
          </w:p>
        </w:tc>
        <w:tc>
          <w:tcPr>
            <w:tcW w:w="455" w:type="dxa"/>
            <w:vAlign w:val="center"/>
          </w:tcPr>
          <w:p w14:paraId="7F125825">
            <w:pPr>
              <w:pStyle w:val="79"/>
              <w:rPr>
                <w:rFonts w:eastAsiaTheme="minorEastAsia"/>
              </w:rPr>
            </w:pPr>
            <w:r>
              <w:rPr>
                <w:rFonts w:hint="eastAsia" w:eastAsiaTheme="minorEastAsia"/>
              </w:rPr>
              <w:t>1</w:t>
            </w:r>
            <w:r>
              <w:rPr>
                <w:rFonts w:eastAsiaTheme="minorEastAsia"/>
              </w:rPr>
              <w:t>7</w:t>
            </w:r>
          </w:p>
        </w:tc>
        <w:tc>
          <w:tcPr>
            <w:tcW w:w="454" w:type="dxa"/>
            <w:vAlign w:val="center"/>
          </w:tcPr>
          <w:p w14:paraId="7DCC8058">
            <w:pPr>
              <w:pStyle w:val="79"/>
              <w:rPr>
                <w:rFonts w:eastAsiaTheme="minorEastAsia"/>
              </w:rPr>
            </w:pPr>
            <w:r>
              <w:rPr>
                <w:rFonts w:hint="eastAsia" w:eastAsiaTheme="minorEastAsia"/>
              </w:rPr>
              <w:t>1</w:t>
            </w:r>
            <w:r>
              <w:rPr>
                <w:rFonts w:eastAsiaTheme="minorEastAsia"/>
              </w:rPr>
              <w:t>0</w:t>
            </w:r>
          </w:p>
        </w:tc>
        <w:tc>
          <w:tcPr>
            <w:tcW w:w="546" w:type="dxa"/>
            <w:vAlign w:val="center"/>
          </w:tcPr>
          <w:p w14:paraId="2964A861">
            <w:pPr>
              <w:pStyle w:val="79"/>
              <w:rPr>
                <w:rFonts w:eastAsiaTheme="minorEastAsia"/>
              </w:rPr>
            </w:pPr>
            <w:r>
              <w:rPr>
                <w:rFonts w:hint="eastAsia" w:eastAsiaTheme="minorEastAsia"/>
              </w:rPr>
              <w:t>1</w:t>
            </w:r>
          </w:p>
        </w:tc>
        <w:tc>
          <w:tcPr>
            <w:tcW w:w="1352" w:type="dxa"/>
            <w:vAlign w:val="center"/>
          </w:tcPr>
          <w:p w14:paraId="159C672F">
            <w:pPr>
              <w:pStyle w:val="79"/>
              <w:rPr>
                <w:rFonts w:eastAsiaTheme="minorEastAsia"/>
              </w:rPr>
            </w:pPr>
            <w:r>
              <w:rPr>
                <w:rFonts w:hint="eastAsia" w:eastAsiaTheme="minorEastAsia"/>
              </w:rPr>
              <w:t>1</w:t>
            </w:r>
            <w:r>
              <w:rPr>
                <w:rFonts w:eastAsiaTheme="minorEastAsia"/>
              </w:rPr>
              <w:t>5</w:t>
            </w:r>
          </w:p>
        </w:tc>
        <w:tc>
          <w:tcPr>
            <w:tcW w:w="914" w:type="dxa"/>
            <w:vMerge w:val="continue"/>
            <w:vAlign w:val="center"/>
          </w:tcPr>
          <w:p w14:paraId="2C2F36AA">
            <w:pPr>
              <w:pStyle w:val="79"/>
              <w:rPr>
                <w:rFonts w:eastAsia="Times New Roman"/>
              </w:rPr>
            </w:pPr>
          </w:p>
        </w:tc>
        <w:tc>
          <w:tcPr>
            <w:tcW w:w="1703" w:type="dxa"/>
            <w:vAlign w:val="center"/>
          </w:tcPr>
          <w:p w14:paraId="2A50E144">
            <w:pPr>
              <w:pStyle w:val="79"/>
              <w:rPr>
                <w:rFonts w:eastAsiaTheme="minorEastAsia"/>
              </w:rPr>
            </w:pPr>
            <w:r>
              <w:rPr>
                <w:rFonts w:hint="eastAsia" w:eastAsiaTheme="minorEastAsia"/>
              </w:rPr>
              <w:t>1</w:t>
            </w:r>
            <w:r>
              <w:rPr>
                <w:rFonts w:eastAsiaTheme="minorEastAsia"/>
              </w:rPr>
              <w:t>0</w:t>
            </w:r>
          </w:p>
        </w:tc>
        <w:tc>
          <w:tcPr>
            <w:tcW w:w="860" w:type="dxa"/>
            <w:vAlign w:val="center"/>
          </w:tcPr>
          <w:p w14:paraId="7BDEA872">
            <w:pPr>
              <w:pStyle w:val="79"/>
              <w:rPr>
                <w:rFonts w:eastAsiaTheme="minorEastAsia"/>
              </w:rPr>
            </w:pPr>
            <w:r>
              <w:rPr>
                <w:rFonts w:hint="eastAsia" w:eastAsiaTheme="minorEastAsia"/>
              </w:rPr>
              <w:t>4</w:t>
            </w:r>
            <w:r>
              <w:rPr>
                <w:rFonts w:eastAsiaTheme="minorEastAsia"/>
              </w:rPr>
              <w:t>6.2</w:t>
            </w:r>
          </w:p>
        </w:tc>
        <w:tc>
          <w:tcPr>
            <w:tcW w:w="1408" w:type="dxa"/>
            <w:vAlign w:val="center"/>
          </w:tcPr>
          <w:p w14:paraId="27F106D7">
            <w:pPr>
              <w:pStyle w:val="79"/>
              <w:rPr>
                <w:rFonts w:eastAsia="Times New Roman"/>
              </w:rPr>
            </w:pPr>
            <w:r>
              <w:rPr>
                <w:rFonts w:hint="eastAsia" w:eastAsiaTheme="minorEastAsia"/>
              </w:rPr>
              <w:t>1</w:t>
            </w:r>
            <w:r>
              <w:rPr>
                <w:rFonts w:eastAsiaTheme="minorEastAsia"/>
              </w:rPr>
              <w:t>.0</w:t>
            </w:r>
          </w:p>
        </w:tc>
      </w:tr>
      <w:tr w14:paraId="45C6A6F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70499509">
            <w:pPr>
              <w:pStyle w:val="79"/>
              <w:rPr>
                <w:rFonts w:eastAsia="Times New Roman"/>
              </w:rPr>
            </w:pPr>
            <w:r>
              <w:rPr>
                <w:rFonts w:eastAsia="Times New Roman"/>
                <w:szCs w:val="21"/>
              </w:rPr>
              <w:t>7</w:t>
            </w:r>
          </w:p>
        </w:tc>
        <w:tc>
          <w:tcPr>
            <w:tcW w:w="993" w:type="dxa"/>
            <w:tcBorders>
              <w:top w:val="single" w:color="000000" w:sz="4" w:space="0"/>
              <w:left w:val="single" w:color="000000" w:sz="4" w:space="0"/>
              <w:bottom w:val="single" w:color="000000" w:sz="4" w:space="0"/>
              <w:right w:val="single" w:color="000000" w:sz="4" w:space="0"/>
            </w:tcBorders>
            <w:vAlign w:val="center"/>
          </w:tcPr>
          <w:p w14:paraId="51E76BEF">
            <w:pPr>
              <w:pStyle w:val="79"/>
              <w:rPr>
                <w:rFonts w:eastAsia="Times New Roman"/>
              </w:rPr>
            </w:pPr>
            <w:r>
              <w:rPr>
                <w:rFonts w:hint="eastAsia" w:ascii="宋体" w:hAnsi="宋体" w:eastAsia="Times New Roman"/>
                <w:szCs w:val="21"/>
              </w:rPr>
              <w:t>注塑机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36249ECB">
            <w:pPr>
              <w:pStyle w:val="79"/>
              <w:rPr>
                <w:rFonts w:eastAsia="Times New Roman"/>
              </w:rPr>
            </w:pPr>
            <w:r>
              <w:rPr>
                <w:rStyle w:val="180"/>
                <w:rFonts w:hint="eastAsia" w:eastAsia="楷体_GB2312"/>
                <w:bCs/>
                <w:kern w:val="1"/>
                <w:sz w:val="21"/>
                <w:szCs w:val="21"/>
                <w:lang w:val="en-US"/>
              </w:rPr>
              <w:t>650T</w:t>
            </w:r>
          </w:p>
        </w:tc>
        <w:tc>
          <w:tcPr>
            <w:tcW w:w="1476" w:type="dxa"/>
            <w:vAlign w:val="center"/>
          </w:tcPr>
          <w:p w14:paraId="35ECABF6">
            <w:pPr>
              <w:pStyle w:val="79"/>
              <w:rPr>
                <w:rFonts w:eastAsiaTheme="minorEastAsia"/>
              </w:rPr>
            </w:pPr>
            <w:r>
              <w:rPr>
                <w:rFonts w:hint="eastAsia" w:eastAsiaTheme="minorEastAsia"/>
              </w:rPr>
              <w:t>7</w:t>
            </w:r>
            <w:r>
              <w:rPr>
                <w:rFonts w:eastAsiaTheme="minorEastAsia"/>
              </w:rPr>
              <w:t>5~85</w:t>
            </w:r>
          </w:p>
        </w:tc>
        <w:tc>
          <w:tcPr>
            <w:tcW w:w="2172" w:type="dxa"/>
            <w:vMerge w:val="continue"/>
            <w:vAlign w:val="center"/>
          </w:tcPr>
          <w:p w14:paraId="538DCA84">
            <w:pPr>
              <w:pStyle w:val="79"/>
              <w:rPr>
                <w:rFonts w:eastAsiaTheme="minorEastAsia"/>
              </w:rPr>
            </w:pPr>
          </w:p>
        </w:tc>
        <w:tc>
          <w:tcPr>
            <w:tcW w:w="455" w:type="dxa"/>
            <w:vAlign w:val="center"/>
          </w:tcPr>
          <w:p w14:paraId="019F151B">
            <w:pPr>
              <w:pStyle w:val="79"/>
              <w:rPr>
                <w:rFonts w:eastAsiaTheme="minorEastAsia"/>
              </w:rPr>
            </w:pPr>
            <w:r>
              <w:rPr>
                <w:rFonts w:hint="eastAsia" w:eastAsiaTheme="minorEastAsia"/>
              </w:rPr>
              <w:t>1</w:t>
            </w:r>
            <w:r>
              <w:rPr>
                <w:rFonts w:eastAsiaTheme="minorEastAsia"/>
              </w:rPr>
              <w:t>8</w:t>
            </w:r>
          </w:p>
        </w:tc>
        <w:tc>
          <w:tcPr>
            <w:tcW w:w="454" w:type="dxa"/>
            <w:vAlign w:val="center"/>
          </w:tcPr>
          <w:p w14:paraId="4EF9568B">
            <w:pPr>
              <w:pStyle w:val="79"/>
              <w:rPr>
                <w:rFonts w:eastAsiaTheme="minorEastAsia"/>
              </w:rPr>
            </w:pPr>
            <w:r>
              <w:rPr>
                <w:rFonts w:hint="eastAsia" w:eastAsiaTheme="minorEastAsia"/>
              </w:rPr>
              <w:t>8</w:t>
            </w:r>
          </w:p>
        </w:tc>
        <w:tc>
          <w:tcPr>
            <w:tcW w:w="546" w:type="dxa"/>
            <w:vAlign w:val="center"/>
          </w:tcPr>
          <w:p w14:paraId="4E79F301">
            <w:pPr>
              <w:pStyle w:val="79"/>
              <w:rPr>
                <w:rFonts w:eastAsiaTheme="minorEastAsia"/>
              </w:rPr>
            </w:pPr>
            <w:r>
              <w:rPr>
                <w:rFonts w:hint="eastAsia" w:eastAsiaTheme="minorEastAsia"/>
              </w:rPr>
              <w:t>1</w:t>
            </w:r>
          </w:p>
        </w:tc>
        <w:tc>
          <w:tcPr>
            <w:tcW w:w="1352" w:type="dxa"/>
            <w:vAlign w:val="center"/>
          </w:tcPr>
          <w:p w14:paraId="376C50DE">
            <w:pPr>
              <w:pStyle w:val="79"/>
              <w:rPr>
                <w:rFonts w:eastAsiaTheme="minorEastAsia"/>
              </w:rPr>
            </w:pPr>
            <w:r>
              <w:rPr>
                <w:rFonts w:hint="eastAsia" w:eastAsiaTheme="minorEastAsia"/>
              </w:rPr>
              <w:t>8</w:t>
            </w:r>
          </w:p>
        </w:tc>
        <w:tc>
          <w:tcPr>
            <w:tcW w:w="914" w:type="dxa"/>
            <w:vMerge w:val="continue"/>
            <w:vAlign w:val="center"/>
          </w:tcPr>
          <w:p w14:paraId="516736E1">
            <w:pPr>
              <w:pStyle w:val="79"/>
              <w:rPr>
                <w:rFonts w:eastAsia="Times New Roman"/>
              </w:rPr>
            </w:pPr>
          </w:p>
        </w:tc>
        <w:tc>
          <w:tcPr>
            <w:tcW w:w="1703" w:type="dxa"/>
            <w:vAlign w:val="center"/>
          </w:tcPr>
          <w:p w14:paraId="7FB13498">
            <w:pPr>
              <w:pStyle w:val="79"/>
              <w:rPr>
                <w:rFonts w:eastAsiaTheme="minorEastAsia"/>
              </w:rPr>
            </w:pPr>
            <w:r>
              <w:rPr>
                <w:rFonts w:hint="eastAsia" w:eastAsiaTheme="minorEastAsia"/>
              </w:rPr>
              <w:t>1</w:t>
            </w:r>
            <w:r>
              <w:rPr>
                <w:rFonts w:eastAsiaTheme="minorEastAsia"/>
              </w:rPr>
              <w:t>0</w:t>
            </w:r>
          </w:p>
        </w:tc>
        <w:tc>
          <w:tcPr>
            <w:tcW w:w="860" w:type="dxa"/>
            <w:vAlign w:val="center"/>
          </w:tcPr>
          <w:p w14:paraId="4C3BA9C6">
            <w:pPr>
              <w:pStyle w:val="79"/>
              <w:rPr>
                <w:rFonts w:eastAsiaTheme="minorEastAsia"/>
              </w:rPr>
            </w:pPr>
            <w:r>
              <w:rPr>
                <w:rFonts w:hint="eastAsia" w:eastAsiaTheme="minorEastAsia"/>
              </w:rPr>
              <w:t>5</w:t>
            </w:r>
            <w:r>
              <w:rPr>
                <w:rFonts w:eastAsiaTheme="minorEastAsia"/>
              </w:rPr>
              <w:t>2.2</w:t>
            </w:r>
          </w:p>
        </w:tc>
        <w:tc>
          <w:tcPr>
            <w:tcW w:w="1408" w:type="dxa"/>
            <w:vAlign w:val="center"/>
          </w:tcPr>
          <w:p w14:paraId="27ECE2D4">
            <w:pPr>
              <w:pStyle w:val="79"/>
              <w:rPr>
                <w:rFonts w:eastAsia="Times New Roman"/>
              </w:rPr>
            </w:pPr>
            <w:r>
              <w:rPr>
                <w:rFonts w:hint="eastAsia" w:eastAsiaTheme="minorEastAsia"/>
              </w:rPr>
              <w:t>1</w:t>
            </w:r>
            <w:r>
              <w:rPr>
                <w:rFonts w:eastAsiaTheme="minorEastAsia"/>
              </w:rPr>
              <w:t>.0</w:t>
            </w:r>
          </w:p>
        </w:tc>
      </w:tr>
      <w:tr w14:paraId="11121E4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70FF7A23">
            <w:pPr>
              <w:pStyle w:val="79"/>
              <w:rPr>
                <w:rFonts w:eastAsia="Times New Roman"/>
              </w:rPr>
            </w:pPr>
            <w:r>
              <w:rPr>
                <w:rFonts w:eastAsia="Times New Roman"/>
                <w:szCs w:val="21"/>
              </w:rPr>
              <w:t>8</w:t>
            </w:r>
          </w:p>
        </w:tc>
        <w:tc>
          <w:tcPr>
            <w:tcW w:w="993" w:type="dxa"/>
            <w:tcBorders>
              <w:top w:val="single" w:color="000000" w:sz="4" w:space="0"/>
              <w:left w:val="single" w:color="000000" w:sz="4" w:space="0"/>
              <w:bottom w:val="single" w:color="000000" w:sz="4" w:space="0"/>
              <w:right w:val="single" w:color="000000" w:sz="4" w:space="0"/>
            </w:tcBorders>
            <w:vAlign w:val="center"/>
          </w:tcPr>
          <w:p w14:paraId="13FD83F5">
            <w:pPr>
              <w:pStyle w:val="79"/>
              <w:rPr>
                <w:rFonts w:eastAsia="Times New Roman"/>
              </w:rPr>
            </w:pPr>
            <w:r>
              <w:rPr>
                <w:rFonts w:hint="eastAsia" w:ascii="宋体" w:hAnsi="宋体" w:eastAsia="Times New Roman"/>
                <w:szCs w:val="21"/>
              </w:rPr>
              <w:t>上料机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7FBC0F90">
            <w:pPr>
              <w:pStyle w:val="79"/>
              <w:rPr>
                <w:rFonts w:eastAsia="Times New Roman"/>
              </w:rPr>
            </w:pPr>
            <w:r>
              <w:rPr>
                <w:rFonts w:hint="eastAsia" w:eastAsiaTheme="minorEastAsia"/>
                <w:szCs w:val="21"/>
              </w:rPr>
              <w:t>/</w:t>
            </w:r>
          </w:p>
        </w:tc>
        <w:tc>
          <w:tcPr>
            <w:tcW w:w="1476" w:type="dxa"/>
            <w:vAlign w:val="center"/>
          </w:tcPr>
          <w:p w14:paraId="6CAE050A">
            <w:pPr>
              <w:pStyle w:val="79"/>
              <w:rPr>
                <w:rFonts w:eastAsiaTheme="minorEastAsia"/>
              </w:rPr>
            </w:pPr>
            <w:r>
              <w:rPr>
                <w:rFonts w:hint="eastAsia" w:eastAsiaTheme="minorEastAsia"/>
              </w:rPr>
              <w:t>7</w:t>
            </w:r>
            <w:r>
              <w:rPr>
                <w:rFonts w:eastAsiaTheme="minorEastAsia"/>
              </w:rPr>
              <w:t>0~80</w:t>
            </w:r>
          </w:p>
        </w:tc>
        <w:tc>
          <w:tcPr>
            <w:tcW w:w="2172" w:type="dxa"/>
            <w:vMerge w:val="continue"/>
            <w:vAlign w:val="center"/>
          </w:tcPr>
          <w:p w14:paraId="6B04490A">
            <w:pPr>
              <w:pStyle w:val="79"/>
              <w:rPr>
                <w:rFonts w:eastAsiaTheme="minorEastAsia"/>
              </w:rPr>
            </w:pPr>
          </w:p>
        </w:tc>
        <w:tc>
          <w:tcPr>
            <w:tcW w:w="455" w:type="dxa"/>
            <w:vAlign w:val="center"/>
          </w:tcPr>
          <w:p w14:paraId="1E7300F1">
            <w:pPr>
              <w:pStyle w:val="79"/>
              <w:rPr>
                <w:rFonts w:eastAsiaTheme="minorEastAsia"/>
              </w:rPr>
            </w:pPr>
            <w:r>
              <w:rPr>
                <w:rFonts w:hint="eastAsia" w:eastAsiaTheme="minorEastAsia"/>
              </w:rPr>
              <w:t>1</w:t>
            </w:r>
            <w:r>
              <w:rPr>
                <w:rFonts w:eastAsiaTheme="minorEastAsia"/>
              </w:rPr>
              <w:t>0</w:t>
            </w:r>
          </w:p>
        </w:tc>
        <w:tc>
          <w:tcPr>
            <w:tcW w:w="454" w:type="dxa"/>
            <w:vAlign w:val="center"/>
          </w:tcPr>
          <w:p w14:paraId="3CF7DE37">
            <w:pPr>
              <w:pStyle w:val="79"/>
              <w:rPr>
                <w:rFonts w:eastAsiaTheme="minorEastAsia"/>
              </w:rPr>
            </w:pPr>
            <w:r>
              <w:rPr>
                <w:rFonts w:hint="eastAsia" w:eastAsiaTheme="minorEastAsia"/>
              </w:rPr>
              <w:t>7</w:t>
            </w:r>
          </w:p>
        </w:tc>
        <w:tc>
          <w:tcPr>
            <w:tcW w:w="546" w:type="dxa"/>
            <w:vAlign w:val="center"/>
          </w:tcPr>
          <w:p w14:paraId="0C14B475">
            <w:pPr>
              <w:pStyle w:val="79"/>
              <w:rPr>
                <w:rFonts w:eastAsiaTheme="minorEastAsia"/>
              </w:rPr>
            </w:pPr>
            <w:r>
              <w:rPr>
                <w:rFonts w:hint="eastAsia" w:eastAsiaTheme="minorEastAsia"/>
              </w:rPr>
              <w:t>1</w:t>
            </w:r>
          </w:p>
        </w:tc>
        <w:tc>
          <w:tcPr>
            <w:tcW w:w="1352" w:type="dxa"/>
            <w:vAlign w:val="center"/>
          </w:tcPr>
          <w:p w14:paraId="115BA321">
            <w:pPr>
              <w:pStyle w:val="79"/>
              <w:rPr>
                <w:rFonts w:eastAsiaTheme="minorEastAsia"/>
              </w:rPr>
            </w:pPr>
            <w:r>
              <w:rPr>
                <w:rFonts w:hint="eastAsia" w:eastAsiaTheme="minorEastAsia"/>
              </w:rPr>
              <w:t>7</w:t>
            </w:r>
          </w:p>
        </w:tc>
        <w:tc>
          <w:tcPr>
            <w:tcW w:w="914" w:type="dxa"/>
            <w:vMerge w:val="continue"/>
            <w:vAlign w:val="center"/>
          </w:tcPr>
          <w:p w14:paraId="038DEC6E">
            <w:pPr>
              <w:pStyle w:val="79"/>
              <w:rPr>
                <w:rFonts w:eastAsia="Times New Roman"/>
              </w:rPr>
            </w:pPr>
          </w:p>
        </w:tc>
        <w:tc>
          <w:tcPr>
            <w:tcW w:w="1703" w:type="dxa"/>
            <w:vAlign w:val="center"/>
          </w:tcPr>
          <w:p w14:paraId="76B3D75A">
            <w:pPr>
              <w:pStyle w:val="79"/>
              <w:rPr>
                <w:rFonts w:eastAsiaTheme="minorEastAsia"/>
              </w:rPr>
            </w:pPr>
            <w:r>
              <w:rPr>
                <w:rFonts w:hint="eastAsia" w:eastAsiaTheme="minorEastAsia"/>
              </w:rPr>
              <w:t>1</w:t>
            </w:r>
            <w:r>
              <w:rPr>
                <w:rFonts w:eastAsiaTheme="minorEastAsia"/>
              </w:rPr>
              <w:t>0</w:t>
            </w:r>
          </w:p>
        </w:tc>
        <w:tc>
          <w:tcPr>
            <w:tcW w:w="860" w:type="dxa"/>
            <w:vAlign w:val="center"/>
          </w:tcPr>
          <w:p w14:paraId="6C599C04">
            <w:pPr>
              <w:pStyle w:val="79"/>
              <w:rPr>
                <w:rFonts w:eastAsiaTheme="minorEastAsia"/>
              </w:rPr>
            </w:pPr>
            <w:r>
              <w:rPr>
                <w:rFonts w:hint="eastAsia" w:eastAsiaTheme="minorEastAsia"/>
              </w:rPr>
              <w:t>5</w:t>
            </w:r>
            <w:r>
              <w:rPr>
                <w:rFonts w:eastAsiaTheme="minorEastAsia"/>
              </w:rPr>
              <w:t>1.2</w:t>
            </w:r>
          </w:p>
        </w:tc>
        <w:tc>
          <w:tcPr>
            <w:tcW w:w="1408" w:type="dxa"/>
            <w:vAlign w:val="center"/>
          </w:tcPr>
          <w:p w14:paraId="44C33D43">
            <w:pPr>
              <w:pStyle w:val="79"/>
              <w:rPr>
                <w:rFonts w:eastAsia="Times New Roman"/>
              </w:rPr>
            </w:pPr>
            <w:r>
              <w:rPr>
                <w:rFonts w:hint="eastAsia" w:eastAsiaTheme="minorEastAsia"/>
              </w:rPr>
              <w:t>1</w:t>
            </w:r>
            <w:r>
              <w:rPr>
                <w:rFonts w:eastAsiaTheme="minorEastAsia"/>
              </w:rPr>
              <w:t>.0</w:t>
            </w:r>
          </w:p>
        </w:tc>
      </w:tr>
      <w:tr w14:paraId="7DBC1EA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7F1FD1E5">
            <w:pPr>
              <w:pStyle w:val="79"/>
              <w:rPr>
                <w:rFonts w:eastAsia="Times New Roman"/>
              </w:rPr>
            </w:pPr>
            <w:r>
              <w:rPr>
                <w:rFonts w:eastAsia="Times New Roman"/>
                <w:szCs w:val="21"/>
              </w:rPr>
              <w:t>9</w:t>
            </w:r>
          </w:p>
        </w:tc>
        <w:tc>
          <w:tcPr>
            <w:tcW w:w="993" w:type="dxa"/>
            <w:tcBorders>
              <w:top w:val="single" w:color="000000" w:sz="4" w:space="0"/>
              <w:left w:val="single" w:color="000000" w:sz="4" w:space="0"/>
              <w:bottom w:val="single" w:color="000000" w:sz="4" w:space="0"/>
              <w:right w:val="single" w:color="000000" w:sz="4" w:space="0"/>
            </w:tcBorders>
            <w:vAlign w:val="center"/>
          </w:tcPr>
          <w:p w14:paraId="02C42B11">
            <w:pPr>
              <w:pStyle w:val="79"/>
              <w:rPr>
                <w:rFonts w:eastAsia="Times New Roman"/>
              </w:rPr>
            </w:pPr>
            <w:r>
              <w:rPr>
                <w:rFonts w:hint="eastAsia" w:ascii="宋体" w:hAnsi="宋体" w:eastAsia="Times New Roman"/>
                <w:szCs w:val="21"/>
              </w:rPr>
              <w:t>机械手</w:t>
            </w:r>
          </w:p>
        </w:tc>
        <w:tc>
          <w:tcPr>
            <w:tcW w:w="1159" w:type="dxa"/>
            <w:tcBorders>
              <w:top w:val="single" w:color="000000" w:sz="4" w:space="0"/>
              <w:left w:val="single" w:color="000000" w:sz="4" w:space="0"/>
              <w:bottom w:val="single" w:color="000000" w:sz="4" w:space="0"/>
              <w:right w:val="single" w:color="000000" w:sz="4" w:space="0"/>
            </w:tcBorders>
            <w:vAlign w:val="center"/>
          </w:tcPr>
          <w:p w14:paraId="3AB4DBCE">
            <w:pPr>
              <w:pStyle w:val="79"/>
              <w:rPr>
                <w:rFonts w:eastAsia="Times New Roman"/>
              </w:rPr>
            </w:pPr>
            <w:r>
              <w:rPr>
                <w:rFonts w:hint="eastAsia" w:eastAsiaTheme="minorEastAsia"/>
                <w:szCs w:val="21"/>
              </w:rPr>
              <w:t>/</w:t>
            </w:r>
          </w:p>
        </w:tc>
        <w:tc>
          <w:tcPr>
            <w:tcW w:w="1476" w:type="dxa"/>
            <w:vAlign w:val="center"/>
          </w:tcPr>
          <w:p w14:paraId="47614342">
            <w:pPr>
              <w:pStyle w:val="79"/>
              <w:rPr>
                <w:rFonts w:eastAsiaTheme="minorEastAsia"/>
              </w:rPr>
            </w:pPr>
            <w:r>
              <w:rPr>
                <w:rFonts w:hint="eastAsia" w:eastAsiaTheme="minorEastAsia"/>
              </w:rPr>
              <w:t>8</w:t>
            </w:r>
            <w:r>
              <w:rPr>
                <w:rFonts w:eastAsiaTheme="minorEastAsia"/>
              </w:rPr>
              <w:t>0~</w:t>
            </w:r>
            <w:r>
              <w:rPr>
                <w:rFonts w:hint="eastAsia" w:eastAsiaTheme="minorEastAsia"/>
              </w:rPr>
              <w:t>9</w:t>
            </w:r>
            <w:r>
              <w:rPr>
                <w:rFonts w:eastAsiaTheme="minorEastAsia"/>
              </w:rPr>
              <w:t>0</w:t>
            </w:r>
          </w:p>
        </w:tc>
        <w:tc>
          <w:tcPr>
            <w:tcW w:w="2172" w:type="dxa"/>
            <w:vMerge w:val="continue"/>
            <w:vAlign w:val="center"/>
          </w:tcPr>
          <w:p w14:paraId="795E0826">
            <w:pPr>
              <w:pStyle w:val="79"/>
              <w:rPr>
                <w:rFonts w:eastAsiaTheme="minorEastAsia"/>
              </w:rPr>
            </w:pPr>
          </w:p>
        </w:tc>
        <w:tc>
          <w:tcPr>
            <w:tcW w:w="455" w:type="dxa"/>
            <w:vAlign w:val="center"/>
          </w:tcPr>
          <w:p w14:paraId="276B9D75">
            <w:pPr>
              <w:pStyle w:val="79"/>
              <w:rPr>
                <w:rFonts w:eastAsiaTheme="minorEastAsia"/>
              </w:rPr>
            </w:pPr>
            <w:r>
              <w:rPr>
                <w:rFonts w:hint="eastAsia" w:eastAsiaTheme="minorEastAsia"/>
              </w:rPr>
              <w:t>1</w:t>
            </w:r>
            <w:r>
              <w:rPr>
                <w:rFonts w:eastAsiaTheme="minorEastAsia"/>
              </w:rPr>
              <w:t>0</w:t>
            </w:r>
          </w:p>
        </w:tc>
        <w:tc>
          <w:tcPr>
            <w:tcW w:w="454" w:type="dxa"/>
            <w:vAlign w:val="center"/>
          </w:tcPr>
          <w:p w14:paraId="66844A86">
            <w:pPr>
              <w:pStyle w:val="79"/>
              <w:rPr>
                <w:rFonts w:eastAsiaTheme="minorEastAsia"/>
              </w:rPr>
            </w:pPr>
            <w:r>
              <w:rPr>
                <w:rFonts w:hint="eastAsia" w:eastAsiaTheme="minorEastAsia"/>
              </w:rPr>
              <w:t>8</w:t>
            </w:r>
          </w:p>
        </w:tc>
        <w:tc>
          <w:tcPr>
            <w:tcW w:w="546" w:type="dxa"/>
            <w:vAlign w:val="center"/>
          </w:tcPr>
          <w:p w14:paraId="7C2BD948">
            <w:pPr>
              <w:pStyle w:val="79"/>
              <w:rPr>
                <w:rFonts w:eastAsiaTheme="minorEastAsia"/>
              </w:rPr>
            </w:pPr>
            <w:r>
              <w:rPr>
                <w:rFonts w:hint="eastAsia" w:eastAsiaTheme="minorEastAsia"/>
              </w:rPr>
              <w:t>1</w:t>
            </w:r>
          </w:p>
        </w:tc>
        <w:tc>
          <w:tcPr>
            <w:tcW w:w="1352" w:type="dxa"/>
            <w:vAlign w:val="center"/>
          </w:tcPr>
          <w:p w14:paraId="393BA0DC">
            <w:pPr>
              <w:pStyle w:val="79"/>
              <w:rPr>
                <w:rFonts w:eastAsiaTheme="minorEastAsia"/>
              </w:rPr>
            </w:pPr>
            <w:r>
              <w:rPr>
                <w:rFonts w:hint="eastAsia" w:eastAsiaTheme="minorEastAsia"/>
              </w:rPr>
              <w:t>1</w:t>
            </w:r>
            <w:r>
              <w:rPr>
                <w:rFonts w:eastAsiaTheme="minorEastAsia"/>
              </w:rPr>
              <w:t>0</w:t>
            </w:r>
          </w:p>
        </w:tc>
        <w:tc>
          <w:tcPr>
            <w:tcW w:w="914" w:type="dxa"/>
            <w:vMerge w:val="continue"/>
            <w:vAlign w:val="center"/>
          </w:tcPr>
          <w:p w14:paraId="3F96DB95">
            <w:pPr>
              <w:pStyle w:val="79"/>
              <w:rPr>
                <w:rFonts w:eastAsia="Times New Roman"/>
              </w:rPr>
            </w:pPr>
          </w:p>
        </w:tc>
        <w:tc>
          <w:tcPr>
            <w:tcW w:w="1703" w:type="dxa"/>
            <w:vAlign w:val="center"/>
          </w:tcPr>
          <w:p w14:paraId="1972BDCB">
            <w:pPr>
              <w:pStyle w:val="79"/>
              <w:rPr>
                <w:rFonts w:eastAsiaTheme="minorEastAsia"/>
              </w:rPr>
            </w:pPr>
            <w:r>
              <w:rPr>
                <w:rFonts w:hint="eastAsia" w:eastAsiaTheme="minorEastAsia"/>
              </w:rPr>
              <w:t>1</w:t>
            </w:r>
            <w:r>
              <w:rPr>
                <w:rFonts w:eastAsiaTheme="minorEastAsia"/>
              </w:rPr>
              <w:t>0</w:t>
            </w:r>
          </w:p>
        </w:tc>
        <w:tc>
          <w:tcPr>
            <w:tcW w:w="860" w:type="dxa"/>
            <w:vAlign w:val="center"/>
          </w:tcPr>
          <w:p w14:paraId="61E7E657">
            <w:pPr>
              <w:pStyle w:val="79"/>
              <w:rPr>
                <w:rFonts w:eastAsiaTheme="minorEastAsia"/>
              </w:rPr>
            </w:pPr>
            <w:r>
              <w:rPr>
                <w:rFonts w:hint="eastAsia" w:eastAsiaTheme="minorEastAsia"/>
              </w:rPr>
              <w:t>5</w:t>
            </w:r>
            <w:r>
              <w:rPr>
                <w:rFonts w:eastAsiaTheme="minorEastAsia"/>
              </w:rPr>
              <w:t>4.5</w:t>
            </w:r>
          </w:p>
        </w:tc>
        <w:tc>
          <w:tcPr>
            <w:tcW w:w="1408" w:type="dxa"/>
            <w:vAlign w:val="center"/>
          </w:tcPr>
          <w:p w14:paraId="187C9065">
            <w:pPr>
              <w:pStyle w:val="79"/>
              <w:rPr>
                <w:rFonts w:eastAsia="Times New Roman"/>
              </w:rPr>
            </w:pPr>
            <w:r>
              <w:rPr>
                <w:rFonts w:hint="eastAsia" w:eastAsiaTheme="minorEastAsia"/>
              </w:rPr>
              <w:t>1</w:t>
            </w:r>
            <w:r>
              <w:rPr>
                <w:rFonts w:eastAsiaTheme="minorEastAsia"/>
              </w:rPr>
              <w:t>.0</w:t>
            </w:r>
          </w:p>
        </w:tc>
      </w:tr>
      <w:tr w14:paraId="212A50C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34F19E3A">
            <w:pPr>
              <w:pStyle w:val="79"/>
              <w:rPr>
                <w:rFonts w:eastAsiaTheme="minorEastAsia"/>
              </w:rPr>
            </w:pPr>
            <w:r>
              <w:rPr>
                <w:rFonts w:eastAsia="Times New Roman"/>
                <w:szCs w:val="21"/>
              </w:rPr>
              <w:t>10</w:t>
            </w:r>
          </w:p>
        </w:tc>
        <w:tc>
          <w:tcPr>
            <w:tcW w:w="993" w:type="dxa"/>
            <w:tcBorders>
              <w:top w:val="single" w:color="000000" w:sz="4" w:space="0"/>
              <w:left w:val="single" w:color="000000" w:sz="4" w:space="0"/>
              <w:bottom w:val="single" w:color="000000" w:sz="4" w:space="0"/>
              <w:right w:val="single" w:color="000000" w:sz="4" w:space="0"/>
            </w:tcBorders>
            <w:vAlign w:val="center"/>
          </w:tcPr>
          <w:p w14:paraId="344FE6B8">
            <w:pPr>
              <w:pStyle w:val="79"/>
              <w:rPr>
                <w:rFonts w:eastAsia="Times New Roman"/>
              </w:rPr>
            </w:pPr>
            <w:r>
              <w:rPr>
                <w:rFonts w:hint="eastAsia" w:ascii="宋体" w:hAnsi="宋体" w:eastAsia="Times New Roman"/>
                <w:szCs w:val="21"/>
              </w:rPr>
              <w:t>冷却塔</w:t>
            </w:r>
          </w:p>
        </w:tc>
        <w:tc>
          <w:tcPr>
            <w:tcW w:w="1159" w:type="dxa"/>
            <w:tcBorders>
              <w:top w:val="single" w:color="000000" w:sz="4" w:space="0"/>
              <w:left w:val="single" w:color="000000" w:sz="4" w:space="0"/>
              <w:bottom w:val="single" w:color="000000" w:sz="4" w:space="0"/>
              <w:right w:val="single" w:color="000000" w:sz="4" w:space="0"/>
            </w:tcBorders>
            <w:vAlign w:val="center"/>
          </w:tcPr>
          <w:p w14:paraId="7852FDE7">
            <w:pPr>
              <w:pStyle w:val="79"/>
              <w:rPr>
                <w:rFonts w:eastAsia="Times New Roman"/>
              </w:rPr>
            </w:pPr>
            <w:r>
              <w:rPr>
                <w:rFonts w:hint="eastAsia" w:eastAsiaTheme="minorEastAsia"/>
                <w:szCs w:val="21"/>
              </w:rPr>
              <w:t>/</w:t>
            </w:r>
          </w:p>
        </w:tc>
        <w:tc>
          <w:tcPr>
            <w:tcW w:w="1476" w:type="dxa"/>
            <w:vAlign w:val="center"/>
          </w:tcPr>
          <w:p w14:paraId="22E377B0">
            <w:pPr>
              <w:pStyle w:val="79"/>
              <w:rPr>
                <w:rFonts w:eastAsiaTheme="minorEastAsia"/>
              </w:rPr>
            </w:pPr>
            <w:r>
              <w:rPr>
                <w:rFonts w:hint="eastAsia" w:eastAsiaTheme="minorEastAsia"/>
              </w:rPr>
              <w:t>65</w:t>
            </w:r>
            <w:r>
              <w:rPr>
                <w:rFonts w:eastAsiaTheme="minorEastAsia"/>
              </w:rPr>
              <w:t>~7</w:t>
            </w:r>
            <w:r>
              <w:rPr>
                <w:rFonts w:hint="eastAsia" w:eastAsiaTheme="minorEastAsia"/>
              </w:rPr>
              <w:t>5</w:t>
            </w:r>
          </w:p>
        </w:tc>
        <w:tc>
          <w:tcPr>
            <w:tcW w:w="2172" w:type="dxa"/>
            <w:vMerge w:val="continue"/>
            <w:vAlign w:val="center"/>
          </w:tcPr>
          <w:p w14:paraId="0B735CA7">
            <w:pPr>
              <w:pStyle w:val="79"/>
              <w:rPr>
                <w:rFonts w:eastAsiaTheme="minorEastAsia"/>
              </w:rPr>
            </w:pPr>
          </w:p>
        </w:tc>
        <w:tc>
          <w:tcPr>
            <w:tcW w:w="455" w:type="dxa"/>
            <w:vAlign w:val="center"/>
          </w:tcPr>
          <w:p w14:paraId="63B6319B">
            <w:pPr>
              <w:pStyle w:val="79"/>
              <w:rPr>
                <w:rFonts w:eastAsiaTheme="minorEastAsia"/>
              </w:rPr>
            </w:pPr>
            <w:r>
              <w:rPr>
                <w:rFonts w:hint="eastAsia" w:eastAsiaTheme="minorEastAsia"/>
              </w:rPr>
              <w:t>1</w:t>
            </w:r>
            <w:r>
              <w:rPr>
                <w:rFonts w:eastAsiaTheme="minorEastAsia"/>
              </w:rPr>
              <w:t>0</w:t>
            </w:r>
          </w:p>
        </w:tc>
        <w:tc>
          <w:tcPr>
            <w:tcW w:w="454" w:type="dxa"/>
            <w:vAlign w:val="center"/>
          </w:tcPr>
          <w:p w14:paraId="5F99F753">
            <w:pPr>
              <w:pStyle w:val="79"/>
              <w:rPr>
                <w:rFonts w:eastAsiaTheme="minorEastAsia"/>
              </w:rPr>
            </w:pPr>
            <w:r>
              <w:rPr>
                <w:rFonts w:hint="eastAsia" w:eastAsiaTheme="minorEastAsia"/>
              </w:rPr>
              <w:t>1</w:t>
            </w:r>
            <w:r>
              <w:rPr>
                <w:rFonts w:eastAsiaTheme="minorEastAsia"/>
              </w:rPr>
              <w:t>2</w:t>
            </w:r>
          </w:p>
        </w:tc>
        <w:tc>
          <w:tcPr>
            <w:tcW w:w="546" w:type="dxa"/>
            <w:vAlign w:val="center"/>
          </w:tcPr>
          <w:p w14:paraId="30B21A33">
            <w:pPr>
              <w:pStyle w:val="79"/>
              <w:rPr>
                <w:rFonts w:eastAsiaTheme="minorEastAsia"/>
              </w:rPr>
            </w:pPr>
            <w:r>
              <w:rPr>
                <w:rFonts w:hint="eastAsia" w:eastAsiaTheme="minorEastAsia"/>
              </w:rPr>
              <w:t>1</w:t>
            </w:r>
          </w:p>
        </w:tc>
        <w:tc>
          <w:tcPr>
            <w:tcW w:w="1352" w:type="dxa"/>
            <w:vAlign w:val="center"/>
          </w:tcPr>
          <w:p w14:paraId="3BA3D159">
            <w:pPr>
              <w:pStyle w:val="79"/>
              <w:rPr>
                <w:rFonts w:eastAsiaTheme="minorEastAsia"/>
              </w:rPr>
            </w:pPr>
            <w:r>
              <w:rPr>
                <w:rFonts w:hint="eastAsia" w:eastAsiaTheme="minorEastAsia"/>
              </w:rPr>
              <w:t>6</w:t>
            </w:r>
          </w:p>
        </w:tc>
        <w:tc>
          <w:tcPr>
            <w:tcW w:w="914" w:type="dxa"/>
            <w:vMerge w:val="continue"/>
            <w:vAlign w:val="center"/>
          </w:tcPr>
          <w:p w14:paraId="16A30D5D">
            <w:pPr>
              <w:pStyle w:val="79"/>
              <w:rPr>
                <w:rFonts w:eastAsia="Times New Roman"/>
              </w:rPr>
            </w:pPr>
          </w:p>
        </w:tc>
        <w:tc>
          <w:tcPr>
            <w:tcW w:w="1703" w:type="dxa"/>
            <w:vAlign w:val="center"/>
          </w:tcPr>
          <w:p w14:paraId="08446DF3">
            <w:pPr>
              <w:pStyle w:val="79"/>
              <w:rPr>
                <w:rFonts w:eastAsiaTheme="minorEastAsia"/>
              </w:rPr>
            </w:pPr>
            <w:r>
              <w:rPr>
                <w:rFonts w:hint="eastAsia" w:eastAsiaTheme="minorEastAsia"/>
              </w:rPr>
              <w:t>1</w:t>
            </w:r>
            <w:r>
              <w:rPr>
                <w:rFonts w:eastAsiaTheme="minorEastAsia"/>
              </w:rPr>
              <w:t>0</w:t>
            </w:r>
          </w:p>
        </w:tc>
        <w:tc>
          <w:tcPr>
            <w:tcW w:w="860" w:type="dxa"/>
            <w:vAlign w:val="center"/>
          </w:tcPr>
          <w:p w14:paraId="443AA97E">
            <w:pPr>
              <w:pStyle w:val="79"/>
              <w:rPr>
                <w:rFonts w:eastAsiaTheme="minorEastAsia"/>
              </w:rPr>
            </w:pPr>
            <w:r>
              <w:rPr>
                <w:rFonts w:hint="eastAsia" w:eastAsiaTheme="minorEastAsia"/>
              </w:rPr>
              <w:t>46</w:t>
            </w:r>
            <w:r>
              <w:rPr>
                <w:rFonts w:eastAsiaTheme="minorEastAsia"/>
              </w:rPr>
              <w:t>.3</w:t>
            </w:r>
          </w:p>
        </w:tc>
        <w:tc>
          <w:tcPr>
            <w:tcW w:w="1408" w:type="dxa"/>
            <w:vAlign w:val="center"/>
          </w:tcPr>
          <w:p w14:paraId="198512AE">
            <w:pPr>
              <w:pStyle w:val="79"/>
              <w:rPr>
                <w:rFonts w:eastAsia="Times New Roman"/>
              </w:rPr>
            </w:pPr>
            <w:r>
              <w:rPr>
                <w:rFonts w:hint="eastAsia" w:eastAsiaTheme="minorEastAsia"/>
              </w:rPr>
              <w:t>1</w:t>
            </w:r>
            <w:r>
              <w:rPr>
                <w:rFonts w:eastAsiaTheme="minorEastAsia"/>
              </w:rPr>
              <w:t>.0</w:t>
            </w:r>
          </w:p>
        </w:tc>
      </w:tr>
      <w:tr w14:paraId="55E2941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6F69217A">
            <w:pPr>
              <w:pStyle w:val="79"/>
              <w:rPr>
                <w:rFonts w:eastAsiaTheme="minorEastAsia"/>
              </w:rPr>
            </w:pPr>
            <w:r>
              <w:rPr>
                <w:rFonts w:eastAsia="Times New Roman"/>
                <w:szCs w:val="21"/>
              </w:rPr>
              <w:t>11</w:t>
            </w:r>
          </w:p>
        </w:tc>
        <w:tc>
          <w:tcPr>
            <w:tcW w:w="993" w:type="dxa"/>
            <w:tcBorders>
              <w:top w:val="single" w:color="000000" w:sz="4" w:space="0"/>
              <w:left w:val="single" w:color="000000" w:sz="4" w:space="0"/>
              <w:bottom w:val="single" w:color="000000" w:sz="4" w:space="0"/>
              <w:right w:val="single" w:color="000000" w:sz="4" w:space="0"/>
            </w:tcBorders>
            <w:vAlign w:val="center"/>
          </w:tcPr>
          <w:p w14:paraId="2F3640F4">
            <w:pPr>
              <w:pStyle w:val="79"/>
              <w:rPr>
                <w:rFonts w:eastAsia="Times New Roman"/>
              </w:rPr>
            </w:pPr>
            <w:r>
              <w:rPr>
                <w:rFonts w:hint="eastAsia" w:ascii="宋体" w:hAnsi="宋体" w:eastAsia="Times New Roman"/>
                <w:szCs w:val="21"/>
              </w:rPr>
              <w:t>破碎机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4F669F64">
            <w:pPr>
              <w:pStyle w:val="79"/>
              <w:rPr>
                <w:rFonts w:eastAsia="Times New Roman"/>
              </w:rPr>
            </w:pPr>
            <w:r>
              <w:rPr>
                <w:rFonts w:hint="eastAsia" w:eastAsiaTheme="minorEastAsia"/>
                <w:szCs w:val="21"/>
              </w:rPr>
              <w:t>/</w:t>
            </w:r>
          </w:p>
        </w:tc>
        <w:tc>
          <w:tcPr>
            <w:tcW w:w="1476" w:type="dxa"/>
            <w:vAlign w:val="center"/>
          </w:tcPr>
          <w:p w14:paraId="2EFD957F">
            <w:pPr>
              <w:pStyle w:val="79"/>
              <w:rPr>
                <w:rFonts w:eastAsiaTheme="minorEastAsia"/>
              </w:rPr>
            </w:pPr>
            <w:r>
              <w:rPr>
                <w:rFonts w:hint="eastAsia" w:eastAsiaTheme="minorEastAsia"/>
              </w:rPr>
              <w:t>65</w:t>
            </w:r>
            <w:r>
              <w:rPr>
                <w:rFonts w:eastAsiaTheme="minorEastAsia"/>
              </w:rPr>
              <w:t>~7</w:t>
            </w:r>
            <w:r>
              <w:rPr>
                <w:rFonts w:hint="eastAsia" w:eastAsiaTheme="minorEastAsia"/>
              </w:rPr>
              <w:t>5</w:t>
            </w:r>
          </w:p>
        </w:tc>
        <w:tc>
          <w:tcPr>
            <w:tcW w:w="2172" w:type="dxa"/>
            <w:vMerge w:val="continue"/>
            <w:vAlign w:val="center"/>
          </w:tcPr>
          <w:p w14:paraId="515CFEA1">
            <w:pPr>
              <w:pStyle w:val="79"/>
              <w:rPr>
                <w:rFonts w:eastAsiaTheme="minorEastAsia"/>
              </w:rPr>
            </w:pPr>
          </w:p>
        </w:tc>
        <w:tc>
          <w:tcPr>
            <w:tcW w:w="455" w:type="dxa"/>
            <w:vAlign w:val="center"/>
          </w:tcPr>
          <w:p w14:paraId="77A149FD">
            <w:pPr>
              <w:pStyle w:val="79"/>
              <w:rPr>
                <w:rFonts w:eastAsiaTheme="minorEastAsia"/>
              </w:rPr>
            </w:pPr>
            <w:r>
              <w:rPr>
                <w:rFonts w:hint="eastAsia" w:eastAsiaTheme="minorEastAsia"/>
              </w:rPr>
              <w:t>12</w:t>
            </w:r>
          </w:p>
        </w:tc>
        <w:tc>
          <w:tcPr>
            <w:tcW w:w="454" w:type="dxa"/>
            <w:vAlign w:val="center"/>
          </w:tcPr>
          <w:p w14:paraId="01A07782">
            <w:pPr>
              <w:pStyle w:val="79"/>
              <w:rPr>
                <w:rFonts w:eastAsiaTheme="minorEastAsia"/>
              </w:rPr>
            </w:pPr>
            <w:r>
              <w:rPr>
                <w:rFonts w:hint="eastAsia" w:eastAsiaTheme="minorEastAsia"/>
              </w:rPr>
              <w:t>15</w:t>
            </w:r>
          </w:p>
        </w:tc>
        <w:tc>
          <w:tcPr>
            <w:tcW w:w="546" w:type="dxa"/>
            <w:vAlign w:val="center"/>
          </w:tcPr>
          <w:p w14:paraId="04156ECD">
            <w:pPr>
              <w:pStyle w:val="79"/>
              <w:rPr>
                <w:rFonts w:eastAsiaTheme="minorEastAsia"/>
              </w:rPr>
            </w:pPr>
            <w:r>
              <w:rPr>
                <w:rFonts w:hint="eastAsia" w:eastAsiaTheme="minorEastAsia"/>
              </w:rPr>
              <w:t>1</w:t>
            </w:r>
          </w:p>
        </w:tc>
        <w:tc>
          <w:tcPr>
            <w:tcW w:w="1352" w:type="dxa"/>
            <w:vAlign w:val="center"/>
          </w:tcPr>
          <w:p w14:paraId="45486745">
            <w:pPr>
              <w:pStyle w:val="79"/>
              <w:rPr>
                <w:rFonts w:eastAsiaTheme="minorEastAsia"/>
              </w:rPr>
            </w:pPr>
            <w:r>
              <w:rPr>
                <w:rFonts w:hint="eastAsia" w:eastAsiaTheme="minorEastAsia"/>
              </w:rPr>
              <w:t>12</w:t>
            </w:r>
          </w:p>
        </w:tc>
        <w:tc>
          <w:tcPr>
            <w:tcW w:w="914" w:type="dxa"/>
            <w:vMerge w:val="continue"/>
            <w:vAlign w:val="center"/>
          </w:tcPr>
          <w:p w14:paraId="05AE9B45">
            <w:pPr>
              <w:pStyle w:val="79"/>
              <w:rPr>
                <w:rFonts w:eastAsia="Times New Roman"/>
              </w:rPr>
            </w:pPr>
          </w:p>
        </w:tc>
        <w:tc>
          <w:tcPr>
            <w:tcW w:w="1703" w:type="dxa"/>
            <w:vAlign w:val="center"/>
          </w:tcPr>
          <w:p w14:paraId="16874816">
            <w:pPr>
              <w:pStyle w:val="79"/>
              <w:rPr>
                <w:rFonts w:eastAsiaTheme="minorEastAsia"/>
              </w:rPr>
            </w:pPr>
            <w:r>
              <w:rPr>
                <w:rFonts w:hint="eastAsia" w:eastAsiaTheme="minorEastAsia"/>
              </w:rPr>
              <w:t>1</w:t>
            </w:r>
            <w:r>
              <w:rPr>
                <w:rFonts w:eastAsiaTheme="minorEastAsia"/>
              </w:rPr>
              <w:t>0</w:t>
            </w:r>
          </w:p>
        </w:tc>
        <w:tc>
          <w:tcPr>
            <w:tcW w:w="860" w:type="dxa"/>
            <w:vAlign w:val="center"/>
          </w:tcPr>
          <w:p w14:paraId="5EE5394D">
            <w:pPr>
              <w:pStyle w:val="79"/>
              <w:rPr>
                <w:rFonts w:eastAsiaTheme="minorEastAsia"/>
              </w:rPr>
            </w:pPr>
            <w:r>
              <w:rPr>
                <w:rFonts w:hint="eastAsia" w:eastAsiaTheme="minorEastAsia"/>
              </w:rPr>
              <w:t>41.8</w:t>
            </w:r>
          </w:p>
        </w:tc>
        <w:tc>
          <w:tcPr>
            <w:tcW w:w="1408" w:type="dxa"/>
            <w:vAlign w:val="center"/>
          </w:tcPr>
          <w:p w14:paraId="1AD4197D">
            <w:pPr>
              <w:pStyle w:val="79"/>
              <w:rPr>
                <w:rFonts w:eastAsiaTheme="minorEastAsia"/>
              </w:rPr>
            </w:pPr>
            <w:r>
              <w:rPr>
                <w:rFonts w:hint="eastAsia" w:eastAsiaTheme="minorEastAsia"/>
              </w:rPr>
              <w:t>1</w:t>
            </w:r>
            <w:r>
              <w:rPr>
                <w:rFonts w:eastAsiaTheme="minorEastAsia"/>
              </w:rPr>
              <w:t>.0</w:t>
            </w:r>
          </w:p>
        </w:tc>
      </w:tr>
      <w:tr w14:paraId="04EB1DF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70575133">
            <w:pPr>
              <w:pStyle w:val="79"/>
              <w:rPr>
                <w:rFonts w:eastAsiaTheme="minorEastAsia"/>
              </w:rPr>
            </w:pPr>
            <w:r>
              <w:rPr>
                <w:rFonts w:eastAsia="Times New Roman"/>
                <w:szCs w:val="21"/>
              </w:rPr>
              <w:t>12</w:t>
            </w:r>
          </w:p>
        </w:tc>
        <w:tc>
          <w:tcPr>
            <w:tcW w:w="993" w:type="dxa"/>
            <w:tcBorders>
              <w:top w:val="single" w:color="000000" w:sz="4" w:space="0"/>
              <w:left w:val="single" w:color="000000" w:sz="4" w:space="0"/>
              <w:bottom w:val="single" w:color="000000" w:sz="4" w:space="0"/>
              <w:right w:val="single" w:color="000000" w:sz="4" w:space="0"/>
            </w:tcBorders>
            <w:vAlign w:val="center"/>
          </w:tcPr>
          <w:p w14:paraId="60D3097C">
            <w:pPr>
              <w:pStyle w:val="79"/>
              <w:rPr>
                <w:rFonts w:eastAsia="Times New Roman"/>
              </w:rPr>
            </w:pPr>
            <w:r>
              <w:rPr>
                <w:rFonts w:hint="eastAsia" w:ascii="宋体" w:hAnsi="宋体" w:eastAsia="Times New Roman"/>
                <w:szCs w:val="21"/>
              </w:rPr>
              <w:t>叉车</w:t>
            </w:r>
          </w:p>
        </w:tc>
        <w:tc>
          <w:tcPr>
            <w:tcW w:w="1159" w:type="dxa"/>
            <w:tcBorders>
              <w:top w:val="single" w:color="000000" w:sz="4" w:space="0"/>
              <w:left w:val="single" w:color="000000" w:sz="4" w:space="0"/>
              <w:bottom w:val="single" w:color="000000" w:sz="4" w:space="0"/>
              <w:right w:val="single" w:color="000000" w:sz="4" w:space="0"/>
            </w:tcBorders>
            <w:vAlign w:val="center"/>
          </w:tcPr>
          <w:p w14:paraId="1B1FD2E9">
            <w:pPr>
              <w:pStyle w:val="79"/>
              <w:rPr>
                <w:rFonts w:eastAsia="Times New Roman"/>
              </w:rPr>
            </w:pPr>
            <w:r>
              <w:rPr>
                <w:rFonts w:hint="eastAsia" w:eastAsiaTheme="minorEastAsia"/>
                <w:szCs w:val="21"/>
              </w:rPr>
              <w:t>/</w:t>
            </w:r>
          </w:p>
        </w:tc>
        <w:tc>
          <w:tcPr>
            <w:tcW w:w="1476" w:type="dxa"/>
            <w:vAlign w:val="center"/>
          </w:tcPr>
          <w:p w14:paraId="2EEAE799">
            <w:pPr>
              <w:pStyle w:val="79"/>
              <w:rPr>
                <w:rFonts w:eastAsiaTheme="minorEastAsia"/>
              </w:rPr>
            </w:pPr>
            <w:r>
              <w:rPr>
                <w:rFonts w:hint="eastAsia" w:eastAsiaTheme="minorEastAsia"/>
              </w:rPr>
              <w:t>7</w:t>
            </w:r>
            <w:r>
              <w:rPr>
                <w:rFonts w:eastAsiaTheme="minorEastAsia"/>
              </w:rPr>
              <w:t>5~85</w:t>
            </w:r>
          </w:p>
        </w:tc>
        <w:tc>
          <w:tcPr>
            <w:tcW w:w="2172" w:type="dxa"/>
            <w:vMerge w:val="continue"/>
            <w:vAlign w:val="center"/>
          </w:tcPr>
          <w:p w14:paraId="04C39FD8">
            <w:pPr>
              <w:pStyle w:val="79"/>
              <w:rPr>
                <w:rFonts w:eastAsiaTheme="minorEastAsia"/>
              </w:rPr>
            </w:pPr>
          </w:p>
        </w:tc>
        <w:tc>
          <w:tcPr>
            <w:tcW w:w="455" w:type="dxa"/>
            <w:vAlign w:val="center"/>
          </w:tcPr>
          <w:p w14:paraId="5FD7CAFA">
            <w:pPr>
              <w:pStyle w:val="79"/>
              <w:rPr>
                <w:rFonts w:eastAsiaTheme="minorEastAsia"/>
              </w:rPr>
            </w:pPr>
            <w:r>
              <w:rPr>
                <w:rFonts w:hint="eastAsia" w:eastAsiaTheme="minorEastAsia"/>
              </w:rPr>
              <w:t>7</w:t>
            </w:r>
          </w:p>
        </w:tc>
        <w:tc>
          <w:tcPr>
            <w:tcW w:w="454" w:type="dxa"/>
            <w:vAlign w:val="center"/>
          </w:tcPr>
          <w:p w14:paraId="7492CAC9">
            <w:pPr>
              <w:pStyle w:val="79"/>
              <w:rPr>
                <w:rFonts w:eastAsiaTheme="minorEastAsia"/>
              </w:rPr>
            </w:pPr>
            <w:r>
              <w:rPr>
                <w:rFonts w:hint="eastAsia" w:eastAsiaTheme="minorEastAsia"/>
              </w:rPr>
              <w:t>10</w:t>
            </w:r>
          </w:p>
        </w:tc>
        <w:tc>
          <w:tcPr>
            <w:tcW w:w="546" w:type="dxa"/>
            <w:vAlign w:val="center"/>
          </w:tcPr>
          <w:p w14:paraId="3E7A656D">
            <w:pPr>
              <w:pStyle w:val="79"/>
              <w:rPr>
                <w:rFonts w:eastAsiaTheme="minorEastAsia"/>
              </w:rPr>
            </w:pPr>
            <w:r>
              <w:rPr>
                <w:rFonts w:hint="eastAsia" w:eastAsiaTheme="minorEastAsia"/>
              </w:rPr>
              <w:t>1</w:t>
            </w:r>
          </w:p>
        </w:tc>
        <w:tc>
          <w:tcPr>
            <w:tcW w:w="1352" w:type="dxa"/>
            <w:vAlign w:val="center"/>
          </w:tcPr>
          <w:p w14:paraId="7891C95B">
            <w:pPr>
              <w:pStyle w:val="79"/>
              <w:rPr>
                <w:rFonts w:eastAsiaTheme="minorEastAsia"/>
              </w:rPr>
            </w:pPr>
            <w:r>
              <w:rPr>
                <w:rFonts w:hint="eastAsia" w:eastAsiaTheme="minorEastAsia"/>
              </w:rPr>
              <w:t>10</w:t>
            </w:r>
          </w:p>
        </w:tc>
        <w:tc>
          <w:tcPr>
            <w:tcW w:w="914" w:type="dxa"/>
            <w:vMerge w:val="continue"/>
            <w:vAlign w:val="center"/>
          </w:tcPr>
          <w:p w14:paraId="0BE6A232">
            <w:pPr>
              <w:pStyle w:val="79"/>
              <w:rPr>
                <w:rFonts w:eastAsia="Times New Roman"/>
              </w:rPr>
            </w:pPr>
          </w:p>
        </w:tc>
        <w:tc>
          <w:tcPr>
            <w:tcW w:w="1703" w:type="dxa"/>
            <w:vAlign w:val="center"/>
          </w:tcPr>
          <w:p w14:paraId="29E90EA3">
            <w:pPr>
              <w:pStyle w:val="79"/>
              <w:rPr>
                <w:rFonts w:eastAsiaTheme="minorEastAsia"/>
              </w:rPr>
            </w:pPr>
            <w:r>
              <w:rPr>
                <w:rFonts w:hint="eastAsia" w:eastAsiaTheme="minorEastAsia"/>
              </w:rPr>
              <w:t>1</w:t>
            </w:r>
            <w:r>
              <w:rPr>
                <w:rFonts w:eastAsiaTheme="minorEastAsia"/>
              </w:rPr>
              <w:t>0</w:t>
            </w:r>
          </w:p>
        </w:tc>
        <w:tc>
          <w:tcPr>
            <w:tcW w:w="860" w:type="dxa"/>
            <w:vAlign w:val="center"/>
          </w:tcPr>
          <w:p w14:paraId="6CE35F13">
            <w:pPr>
              <w:pStyle w:val="79"/>
              <w:rPr>
                <w:rFonts w:eastAsiaTheme="minorEastAsia"/>
              </w:rPr>
            </w:pPr>
            <w:r>
              <w:rPr>
                <w:rFonts w:hint="eastAsia" w:eastAsiaTheme="minorEastAsia"/>
              </w:rPr>
              <w:t>52.7</w:t>
            </w:r>
          </w:p>
        </w:tc>
        <w:tc>
          <w:tcPr>
            <w:tcW w:w="1408" w:type="dxa"/>
            <w:vAlign w:val="center"/>
          </w:tcPr>
          <w:p w14:paraId="69C35044">
            <w:pPr>
              <w:pStyle w:val="79"/>
              <w:rPr>
                <w:rFonts w:eastAsiaTheme="minorEastAsia"/>
              </w:rPr>
            </w:pPr>
            <w:r>
              <w:rPr>
                <w:rFonts w:hint="eastAsia" w:eastAsiaTheme="minorEastAsia"/>
              </w:rPr>
              <w:t>1</w:t>
            </w:r>
            <w:r>
              <w:rPr>
                <w:rFonts w:eastAsiaTheme="minorEastAsia"/>
              </w:rPr>
              <w:t>.0</w:t>
            </w:r>
          </w:p>
        </w:tc>
      </w:tr>
      <w:tr w14:paraId="1ECA84F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4AEA5238">
            <w:pPr>
              <w:pStyle w:val="79"/>
              <w:rPr>
                <w:rFonts w:eastAsiaTheme="minorEastAsia"/>
              </w:rPr>
            </w:pPr>
            <w:r>
              <w:rPr>
                <w:rFonts w:eastAsia="Times New Roman"/>
                <w:szCs w:val="21"/>
              </w:rPr>
              <w:t>13</w:t>
            </w:r>
          </w:p>
        </w:tc>
        <w:tc>
          <w:tcPr>
            <w:tcW w:w="993" w:type="dxa"/>
            <w:tcBorders>
              <w:top w:val="single" w:color="000000" w:sz="4" w:space="0"/>
              <w:left w:val="single" w:color="000000" w:sz="4" w:space="0"/>
              <w:bottom w:val="single" w:color="000000" w:sz="4" w:space="0"/>
              <w:right w:val="single" w:color="000000" w:sz="4" w:space="0"/>
            </w:tcBorders>
            <w:vAlign w:val="center"/>
          </w:tcPr>
          <w:p w14:paraId="1A6109FC">
            <w:pPr>
              <w:pStyle w:val="79"/>
              <w:rPr>
                <w:rFonts w:eastAsia="Times New Roman"/>
              </w:rPr>
            </w:pPr>
            <w:r>
              <w:rPr>
                <w:rFonts w:hint="eastAsia" w:ascii="宋体" w:hAnsi="宋体" w:eastAsia="Times New Roman"/>
                <w:szCs w:val="21"/>
              </w:rPr>
              <w:t>螺杆空压机</w:t>
            </w:r>
          </w:p>
        </w:tc>
        <w:tc>
          <w:tcPr>
            <w:tcW w:w="1159" w:type="dxa"/>
            <w:tcBorders>
              <w:top w:val="single" w:color="000000" w:sz="4" w:space="0"/>
              <w:left w:val="single" w:color="000000" w:sz="4" w:space="0"/>
              <w:bottom w:val="single" w:color="000000" w:sz="4" w:space="0"/>
              <w:right w:val="single" w:color="000000" w:sz="4" w:space="0"/>
            </w:tcBorders>
            <w:vAlign w:val="center"/>
          </w:tcPr>
          <w:p w14:paraId="17C8C1A5">
            <w:pPr>
              <w:pStyle w:val="79"/>
              <w:rPr>
                <w:rFonts w:eastAsia="Times New Roman"/>
              </w:rPr>
            </w:pPr>
            <w:r>
              <w:rPr>
                <w:rFonts w:hint="eastAsia" w:eastAsiaTheme="minorEastAsia"/>
                <w:szCs w:val="21"/>
              </w:rPr>
              <w:t>/</w:t>
            </w:r>
          </w:p>
        </w:tc>
        <w:tc>
          <w:tcPr>
            <w:tcW w:w="1476" w:type="dxa"/>
            <w:vAlign w:val="center"/>
          </w:tcPr>
          <w:p w14:paraId="0BB99A28">
            <w:pPr>
              <w:pStyle w:val="79"/>
              <w:rPr>
                <w:rFonts w:eastAsiaTheme="minorEastAsia"/>
              </w:rPr>
            </w:pPr>
            <w:r>
              <w:rPr>
                <w:rFonts w:hint="eastAsia" w:eastAsiaTheme="minorEastAsia"/>
              </w:rPr>
              <w:t>6</w:t>
            </w:r>
            <w:r>
              <w:rPr>
                <w:rFonts w:eastAsiaTheme="minorEastAsia"/>
              </w:rPr>
              <w:t>5~75</w:t>
            </w:r>
          </w:p>
        </w:tc>
        <w:tc>
          <w:tcPr>
            <w:tcW w:w="2172" w:type="dxa"/>
            <w:vMerge w:val="continue"/>
            <w:vAlign w:val="center"/>
          </w:tcPr>
          <w:p w14:paraId="6A5BA162">
            <w:pPr>
              <w:pStyle w:val="79"/>
              <w:rPr>
                <w:rFonts w:eastAsiaTheme="minorEastAsia"/>
              </w:rPr>
            </w:pPr>
          </w:p>
        </w:tc>
        <w:tc>
          <w:tcPr>
            <w:tcW w:w="455" w:type="dxa"/>
            <w:vAlign w:val="center"/>
          </w:tcPr>
          <w:p w14:paraId="584B16EC">
            <w:pPr>
              <w:pStyle w:val="79"/>
              <w:rPr>
                <w:rFonts w:eastAsiaTheme="minorEastAsia"/>
              </w:rPr>
            </w:pPr>
            <w:r>
              <w:rPr>
                <w:rFonts w:hint="eastAsia" w:eastAsiaTheme="minorEastAsia"/>
              </w:rPr>
              <w:t>15</w:t>
            </w:r>
          </w:p>
        </w:tc>
        <w:tc>
          <w:tcPr>
            <w:tcW w:w="454" w:type="dxa"/>
            <w:vAlign w:val="center"/>
          </w:tcPr>
          <w:p w14:paraId="53BB5245">
            <w:pPr>
              <w:pStyle w:val="79"/>
              <w:rPr>
                <w:rFonts w:eastAsiaTheme="minorEastAsia"/>
              </w:rPr>
            </w:pPr>
            <w:r>
              <w:rPr>
                <w:rFonts w:hint="eastAsia" w:eastAsiaTheme="minorEastAsia"/>
              </w:rPr>
              <w:t>8</w:t>
            </w:r>
          </w:p>
        </w:tc>
        <w:tc>
          <w:tcPr>
            <w:tcW w:w="546" w:type="dxa"/>
            <w:vAlign w:val="center"/>
          </w:tcPr>
          <w:p w14:paraId="5450088B">
            <w:pPr>
              <w:pStyle w:val="79"/>
              <w:rPr>
                <w:rFonts w:eastAsiaTheme="minorEastAsia"/>
              </w:rPr>
            </w:pPr>
            <w:r>
              <w:rPr>
                <w:rFonts w:hint="eastAsia" w:eastAsiaTheme="minorEastAsia"/>
              </w:rPr>
              <w:t>1</w:t>
            </w:r>
          </w:p>
        </w:tc>
        <w:tc>
          <w:tcPr>
            <w:tcW w:w="1352" w:type="dxa"/>
            <w:vAlign w:val="center"/>
          </w:tcPr>
          <w:p w14:paraId="1D64906B">
            <w:pPr>
              <w:pStyle w:val="79"/>
              <w:rPr>
                <w:rFonts w:eastAsiaTheme="minorEastAsia"/>
              </w:rPr>
            </w:pPr>
            <w:r>
              <w:rPr>
                <w:rFonts w:hint="eastAsia" w:eastAsiaTheme="minorEastAsia"/>
              </w:rPr>
              <w:t>14</w:t>
            </w:r>
          </w:p>
        </w:tc>
        <w:tc>
          <w:tcPr>
            <w:tcW w:w="914" w:type="dxa"/>
            <w:vMerge w:val="continue"/>
            <w:vAlign w:val="center"/>
          </w:tcPr>
          <w:p w14:paraId="36051D22">
            <w:pPr>
              <w:pStyle w:val="79"/>
              <w:rPr>
                <w:rFonts w:eastAsia="Times New Roman"/>
              </w:rPr>
            </w:pPr>
          </w:p>
        </w:tc>
        <w:tc>
          <w:tcPr>
            <w:tcW w:w="1703" w:type="dxa"/>
            <w:vAlign w:val="center"/>
          </w:tcPr>
          <w:p w14:paraId="7D3B6708">
            <w:pPr>
              <w:pStyle w:val="79"/>
              <w:rPr>
                <w:rFonts w:eastAsiaTheme="minorEastAsia"/>
              </w:rPr>
            </w:pPr>
            <w:r>
              <w:rPr>
                <w:rFonts w:hint="eastAsia" w:eastAsiaTheme="minorEastAsia"/>
              </w:rPr>
              <w:t>1</w:t>
            </w:r>
            <w:r>
              <w:rPr>
                <w:rFonts w:eastAsiaTheme="minorEastAsia"/>
              </w:rPr>
              <w:t>0</w:t>
            </w:r>
          </w:p>
        </w:tc>
        <w:tc>
          <w:tcPr>
            <w:tcW w:w="860" w:type="dxa"/>
            <w:vAlign w:val="center"/>
          </w:tcPr>
          <w:p w14:paraId="6AEC9B42">
            <w:pPr>
              <w:pStyle w:val="79"/>
              <w:rPr>
                <w:rFonts w:eastAsiaTheme="minorEastAsia"/>
              </w:rPr>
            </w:pPr>
            <w:r>
              <w:rPr>
                <w:rFonts w:hint="eastAsia" w:eastAsiaTheme="minorEastAsia"/>
              </w:rPr>
              <w:t>43.3</w:t>
            </w:r>
          </w:p>
        </w:tc>
        <w:tc>
          <w:tcPr>
            <w:tcW w:w="1408" w:type="dxa"/>
            <w:vAlign w:val="center"/>
          </w:tcPr>
          <w:p w14:paraId="120D2ED6">
            <w:pPr>
              <w:pStyle w:val="79"/>
              <w:rPr>
                <w:rFonts w:eastAsiaTheme="minorEastAsia"/>
              </w:rPr>
            </w:pPr>
            <w:r>
              <w:rPr>
                <w:rFonts w:hint="eastAsia" w:eastAsiaTheme="minorEastAsia"/>
              </w:rPr>
              <w:t>1</w:t>
            </w:r>
            <w:r>
              <w:rPr>
                <w:rFonts w:eastAsiaTheme="minorEastAsia"/>
              </w:rPr>
              <w:t>.0</w:t>
            </w:r>
          </w:p>
        </w:tc>
      </w:tr>
      <w:tr w14:paraId="2B7D026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400" w:type="dxa"/>
            <w:vAlign w:val="center"/>
          </w:tcPr>
          <w:p w14:paraId="5A5B9434">
            <w:pPr>
              <w:pStyle w:val="79"/>
              <w:rPr>
                <w:rFonts w:eastAsiaTheme="minorEastAsia"/>
              </w:rPr>
            </w:pPr>
            <w:r>
              <w:rPr>
                <w:rFonts w:hint="eastAsia" w:eastAsiaTheme="minorEastAsia"/>
              </w:rPr>
              <w:t>14</w:t>
            </w:r>
          </w:p>
        </w:tc>
        <w:tc>
          <w:tcPr>
            <w:tcW w:w="993" w:type="dxa"/>
            <w:vAlign w:val="center"/>
          </w:tcPr>
          <w:p w14:paraId="065169A2">
            <w:pPr>
              <w:pStyle w:val="79"/>
              <w:rPr>
                <w:rFonts w:ascii="宋体" w:hAnsi="宋体" w:eastAsia="Times New Roman" w:cs="宋体"/>
              </w:rPr>
            </w:pPr>
            <w:r>
              <w:rPr>
                <w:rFonts w:hint="eastAsia" w:ascii="宋体" w:hAnsi="宋体" w:eastAsia="Times New Roman" w:cs="宋体"/>
              </w:rPr>
              <w:t>二级活性炭</w:t>
            </w:r>
          </w:p>
        </w:tc>
        <w:tc>
          <w:tcPr>
            <w:tcW w:w="1159" w:type="dxa"/>
            <w:vAlign w:val="center"/>
          </w:tcPr>
          <w:p w14:paraId="7C4E1E0D">
            <w:pPr>
              <w:pStyle w:val="79"/>
              <w:rPr>
                <w:rFonts w:eastAsiaTheme="minorEastAsia"/>
              </w:rPr>
            </w:pPr>
            <w:r>
              <w:rPr>
                <w:rFonts w:hint="eastAsia" w:eastAsiaTheme="minorEastAsia"/>
              </w:rPr>
              <w:t>10000m</w:t>
            </w:r>
            <w:r>
              <w:rPr>
                <w:rFonts w:hint="eastAsia" w:eastAsiaTheme="minorEastAsia"/>
                <w:vertAlign w:val="superscript"/>
              </w:rPr>
              <w:t>3</w:t>
            </w:r>
            <w:r>
              <w:rPr>
                <w:rFonts w:hint="eastAsia" w:eastAsiaTheme="minorEastAsia"/>
              </w:rPr>
              <w:t>/h</w:t>
            </w:r>
          </w:p>
        </w:tc>
        <w:tc>
          <w:tcPr>
            <w:tcW w:w="1476" w:type="dxa"/>
            <w:vAlign w:val="center"/>
          </w:tcPr>
          <w:p w14:paraId="5BE3CD62">
            <w:pPr>
              <w:pStyle w:val="79"/>
              <w:rPr>
                <w:rFonts w:eastAsiaTheme="minorEastAsia"/>
              </w:rPr>
            </w:pPr>
            <w:r>
              <w:rPr>
                <w:rFonts w:hint="eastAsia" w:eastAsiaTheme="minorEastAsia"/>
              </w:rPr>
              <w:t>6</w:t>
            </w:r>
            <w:r>
              <w:rPr>
                <w:rFonts w:eastAsiaTheme="minorEastAsia"/>
              </w:rPr>
              <w:t>5~75</w:t>
            </w:r>
          </w:p>
        </w:tc>
        <w:tc>
          <w:tcPr>
            <w:tcW w:w="2172" w:type="dxa"/>
            <w:vMerge w:val="continue"/>
            <w:vAlign w:val="center"/>
          </w:tcPr>
          <w:p w14:paraId="4D4B21C3">
            <w:pPr>
              <w:pStyle w:val="79"/>
              <w:rPr>
                <w:rFonts w:eastAsiaTheme="minorEastAsia"/>
              </w:rPr>
            </w:pPr>
          </w:p>
        </w:tc>
        <w:tc>
          <w:tcPr>
            <w:tcW w:w="455" w:type="dxa"/>
            <w:vAlign w:val="center"/>
          </w:tcPr>
          <w:p w14:paraId="565B04AA">
            <w:pPr>
              <w:pStyle w:val="79"/>
              <w:rPr>
                <w:rFonts w:eastAsiaTheme="minorEastAsia"/>
              </w:rPr>
            </w:pPr>
            <w:r>
              <w:rPr>
                <w:rFonts w:hint="eastAsia" w:eastAsiaTheme="minorEastAsia"/>
              </w:rPr>
              <w:t>15</w:t>
            </w:r>
          </w:p>
        </w:tc>
        <w:tc>
          <w:tcPr>
            <w:tcW w:w="454" w:type="dxa"/>
            <w:vAlign w:val="center"/>
          </w:tcPr>
          <w:p w14:paraId="7CCECAE4">
            <w:pPr>
              <w:pStyle w:val="79"/>
              <w:rPr>
                <w:rFonts w:eastAsiaTheme="minorEastAsia"/>
              </w:rPr>
            </w:pPr>
            <w:r>
              <w:rPr>
                <w:rFonts w:hint="eastAsia" w:eastAsiaTheme="minorEastAsia"/>
              </w:rPr>
              <w:t>5</w:t>
            </w:r>
          </w:p>
        </w:tc>
        <w:tc>
          <w:tcPr>
            <w:tcW w:w="546" w:type="dxa"/>
            <w:vAlign w:val="center"/>
          </w:tcPr>
          <w:p w14:paraId="244A8491">
            <w:pPr>
              <w:pStyle w:val="79"/>
              <w:rPr>
                <w:rFonts w:eastAsiaTheme="minorEastAsia"/>
              </w:rPr>
            </w:pPr>
            <w:r>
              <w:rPr>
                <w:rFonts w:hint="eastAsia" w:eastAsiaTheme="minorEastAsia"/>
              </w:rPr>
              <w:t>1</w:t>
            </w:r>
          </w:p>
        </w:tc>
        <w:tc>
          <w:tcPr>
            <w:tcW w:w="1352" w:type="dxa"/>
            <w:vAlign w:val="center"/>
          </w:tcPr>
          <w:p w14:paraId="59CC6C57">
            <w:pPr>
              <w:pStyle w:val="79"/>
              <w:rPr>
                <w:rFonts w:eastAsiaTheme="minorEastAsia"/>
              </w:rPr>
            </w:pPr>
            <w:r>
              <w:rPr>
                <w:rFonts w:hint="eastAsia" w:eastAsiaTheme="minorEastAsia"/>
              </w:rPr>
              <w:t>5</w:t>
            </w:r>
          </w:p>
        </w:tc>
        <w:tc>
          <w:tcPr>
            <w:tcW w:w="914" w:type="dxa"/>
            <w:vMerge w:val="continue"/>
            <w:vAlign w:val="center"/>
          </w:tcPr>
          <w:p w14:paraId="12653241">
            <w:pPr>
              <w:pStyle w:val="79"/>
              <w:rPr>
                <w:rFonts w:eastAsia="Times New Roman"/>
              </w:rPr>
            </w:pPr>
          </w:p>
        </w:tc>
        <w:tc>
          <w:tcPr>
            <w:tcW w:w="1703" w:type="dxa"/>
            <w:vAlign w:val="center"/>
          </w:tcPr>
          <w:p w14:paraId="4F45A9A0">
            <w:pPr>
              <w:pStyle w:val="79"/>
              <w:rPr>
                <w:rFonts w:eastAsiaTheme="minorEastAsia"/>
              </w:rPr>
            </w:pPr>
            <w:r>
              <w:rPr>
                <w:rFonts w:hint="eastAsia" w:eastAsiaTheme="minorEastAsia"/>
              </w:rPr>
              <w:t>1</w:t>
            </w:r>
            <w:r>
              <w:rPr>
                <w:rFonts w:eastAsiaTheme="minorEastAsia"/>
              </w:rPr>
              <w:t>0</w:t>
            </w:r>
          </w:p>
        </w:tc>
        <w:tc>
          <w:tcPr>
            <w:tcW w:w="860" w:type="dxa"/>
            <w:vAlign w:val="center"/>
          </w:tcPr>
          <w:p w14:paraId="3E8939F0">
            <w:pPr>
              <w:pStyle w:val="79"/>
              <w:rPr>
                <w:rFonts w:eastAsiaTheme="minorEastAsia"/>
              </w:rPr>
            </w:pPr>
            <w:r>
              <w:rPr>
                <w:rFonts w:hint="eastAsia" w:eastAsiaTheme="minorEastAsia"/>
              </w:rPr>
              <w:t>51.6</w:t>
            </w:r>
          </w:p>
        </w:tc>
        <w:tc>
          <w:tcPr>
            <w:tcW w:w="1408" w:type="dxa"/>
            <w:vAlign w:val="center"/>
          </w:tcPr>
          <w:p w14:paraId="31808BB9">
            <w:pPr>
              <w:pStyle w:val="79"/>
              <w:rPr>
                <w:rFonts w:eastAsiaTheme="minorEastAsia"/>
              </w:rPr>
            </w:pPr>
            <w:r>
              <w:rPr>
                <w:rFonts w:hint="eastAsia" w:eastAsiaTheme="minorEastAsia"/>
              </w:rPr>
              <w:t>1</w:t>
            </w:r>
            <w:r>
              <w:rPr>
                <w:rFonts w:eastAsiaTheme="minorEastAsia"/>
              </w:rPr>
              <w:t>.0</w:t>
            </w:r>
          </w:p>
        </w:tc>
      </w:tr>
    </w:tbl>
    <w:p w14:paraId="75D1630F">
      <w:pPr>
        <w:ind w:firstLine="0" w:firstLineChars="0"/>
        <w:rPr>
          <w:rFonts w:ascii="宋体" w:cs="宋体"/>
          <w:sz w:val="28"/>
          <w:szCs w:val="28"/>
        </w:rPr>
        <w:sectPr>
          <w:pgSz w:w="16840" w:h="11907" w:orient="landscape"/>
          <w:pgMar w:top="1531" w:right="1474" w:bottom="1247" w:left="1474" w:header="851" w:footer="851" w:gutter="0"/>
          <w:cols w:space="720" w:num="1"/>
          <w:docGrid w:linePitch="326" w:charSpace="0"/>
        </w:sectPr>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8557"/>
      </w:tblGrid>
      <w:tr w14:paraId="23C3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8" w:hRule="atLeast"/>
        </w:trPr>
        <w:tc>
          <w:tcPr>
            <w:tcW w:w="562" w:type="dxa"/>
          </w:tcPr>
          <w:p w14:paraId="7CD22125">
            <w:pPr>
              <w:ind w:firstLine="0" w:firstLineChars="0"/>
              <w:rPr>
                <w:rFonts w:ascii="宋体" w:cs="宋体"/>
                <w:b/>
                <w:kern w:val="0"/>
                <w:sz w:val="28"/>
                <w:szCs w:val="28"/>
              </w:rPr>
            </w:pPr>
          </w:p>
        </w:tc>
        <w:tc>
          <w:tcPr>
            <w:tcW w:w="8557" w:type="dxa"/>
          </w:tcPr>
          <w:p w14:paraId="244E7B75">
            <w:pPr>
              <w:pStyle w:val="28"/>
              <w:ind w:firstLine="482"/>
            </w:pPr>
            <w:r>
              <w:rPr>
                <w:rFonts w:hint="eastAsia"/>
              </w:rPr>
              <w:t>2、四面厂界噪声贡献值</w:t>
            </w:r>
          </w:p>
          <w:p w14:paraId="71E30A72">
            <w:pPr>
              <w:pStyle w:val="164"/>
              <w:ind w:firstLine="480"/>
            </w:pPr>
            <w:r>
              <w:rPr>
                <w:rFonts w:hint="eastAsia"/>
              </w:rPr>
              <w:t>预测模式采用《环境影响评价技术导则 声环境》(HJ2.4-2021)推荐的模式。工业声源分室内和室外两种声源计算。</w:t>
            </w:r>
          </w:p>
          <w:p w14:paraId="2E14BA8A">
            <w:pPr>
              <w:pStyle w:val="164"/>
              <w:ind w:firstLine="480"/>
            </w:pPr>
            <w:r>
              <w:rPr>
                <w:rFonts w:hint="eastAsia" w:ascii="宋体" w:hAnsi="宋体" w:cs="宋体"/>
              </w:rPr>
              <w:t>（1）</w:t>
            </w:r>
            <w:r>
              <w:rPr>
                <w:rFonts w:hint="eastAsia"/>
              </w:rPr>
              <w:t>室内声源</w:t>
            </w:r>
          </w:p>
          <w:p w14:paraId="6C45152D">
            <w:pPr>
              <w:pStyle w:val="164"/>
              <w:ind w:firstLine="480"/>
            </w:pPr>
            <w:r>
              <w:rPr>
                <w:rFonts w:hint="eastAsia"/>
              </w:rPr>
              <w:t>A、计算出某个室内靠近围护结构处的倍频带声压级：</w:t>
            </w:r>
          </w:p>
          <w:p w14:paraId="314A3F68">
            <w:pPr>
              <w:pStyle w:val="164"/>
              <w:ind w:firstLine="482"/>
              <w:jc w:val="center"/>
            </w:pPr>
            <w:r>
              <w:rPr>
                <w:rFonts w:cs="Times New Roman"/>
                <w:b/>
                <w:kern w:val="0"/>
                <w:szCs w:val="20"/>
              </w:rPr>
              <w:drawing>
                <wp:inline distT="0" distB="0" distL="0" distR="0">
                  <wp:extent cx="2247900" cy="588010"/>
                  <wp:effectExtent l="0" t="0" r="0" b="254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0"/>
                          <a:stretch>
                            <a:fillRect/>
                          </a:stretch>
                        </pic:blipFill>
                        <pic:spPr>
                          <a:xfrm>
                            <a:off x="0" y="0"/>
                            <a:ext cx="2331897" cy="610159"/>
                          </a:xfrm>
                          <a:prstGeom prst="rect">
                            <a:avLst/>
                          </a:prstGeom>
                        </pic:spPr>
                      </pic:pic>
                    </a:graphicData>
                  </a:graphic>
                </wp:inline>
              </w:drawing>
            </w:r>
          </w:p>
          <w:p w14:paraId="086F4D87">
            <w:pPr>
              <w:pStyle w:val="164"/>
              <w:ind w:firstLine="480"/>
            </w:pPr>
            <w:r>
              <w:rPr>
                <w:rFonts w:hint="eastAsia"/>
              </w:rPr>
              <w:t>式中：L</w:t>
            </w:r>
            <w:r>
              <w:rPr>
                <w:rFonts w:hint="eastAsia"/>
                <w:vertAlign w:val="subscript"/>
              </w:rPr>
              <w:t>oct，1</w:t>
            </w:r>
            <w:r>
              <w:rPr>
                <w:rFonts w:hint="eastAsia"/>
              </w:rPr>
              <w:t>为某个室内声源在靠近围护结构处产生的倍频带声压级，L</w:t>
            </w:r>
            <w:r>
              <w:rPr>
                <w:rFonts w:hint="eastAsia"/>
                <w:vertAlign w:val="subscript"/>
              </w:rPr>
              <w:t>wcot</w:t>
            </w:r>
            <w:r>
              <w:rPr>
                <w:rFonts w:hint="eastAsia"/>
              </w:rPr>
              <w:t>为某个声源的倍频带声功率级，r1为室内某个声源与靠近围护结构处的距离，R为房间常数，Q为方向因子。</w:t>
            </w:r>
          </w:p>
          <w:p w14:paraId="30FDF83B">
            <w:pPr>
              <w:pStyle w:val="164"/>
              <w:ind w:firstLine="480"/>
            </w:pPr>
            <w:r>
              <w:rPr>
                <w:rFonts w:hint="eastAsia"/>
              </w:rPr>
              <w:t>B、计算出所有室内声源在靠近围护结构处产生的总倍频带声压级：</w:t>
            </w:r>
          </w:p>
          <w:p w14:paraId="1A28AE27">
            <w:pPr>
              <w:spacing w:before="72" w:after="72"/>
              <w:ind w:left="480" w:leftChars="200" w:firstLine="0" w:firstLineChars="0"/>
              <w:jc w:val="center"/>
            </w:pPr>
            <w:r>
              <w:drawing>
                <wp:inline distT="0" distB="0" distL="0" distR="0">
                  <wp:extent cx="2190750" cy="681990"/>
                  <wp:effectExtent l="0" t="0" r="0" b="381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pic:cNvPicPr>
                        </pic:nvPicPr>
                        <pic:blipFill>
                          <a:blip r:embed="rId21"/>
                          <a:stretch>
                            <a:fillRect/>
                          </a:stretch>
                        </pic:blipFill>
                        <pic:spPr>
                          <a:xfrm>
                            <a:off x="0" y="0"/>
                            <a:ext cx="2236445" cy="696598"/>
                          </a:xfrm>
                          <a:prstGeom prst="rect">
                            <a:avLst/>
                          </a:prstGeom>
                        </pic:spPr>
                      </pic:pic>
                    </a:graphicData>
                  </a:graphic>
                </wp:inline>
              </w:drawing>
            </w:r>
          </w:p>
          <w:p w14:paraId="25ADC2EB">
            <w:pPr>
              <w:pStyle w:val="164"/>
              <w:ind w:firstLine="480"/>
            </w:pPr>
            <w:r>
              <w:rPr>
                <w:rFonts w:hint="eastAsia"/>
              </w:rPr>
              <w:t>（2）室外声源</w:t>
            </w:r>
          </w:p>
          <w:p w14:paraId="161B866B">
            <w:pPr>
              <w:pStyle w:val="164"/>
              <w:ind w:firstLine="480"/>
            </w:pPr>
            <w:r>
              <w:rPr>
                <w:rFonts w:hint="eastAsia"/>
              </w:rPr>
              <w:t>计算某个声源在预测点的倍频带声压级：</w:t>
            </w:r>
          </w:p>
          <w:p w14:paraId="39007091">
            <w:pPr>
              <w:pStyle w:val="164"/>
              <w:ind w:firstLine="0" w:firstLineChars="0"/>
              <w:jc w:val="center"/>
            </w:pPr>
            <w:r>
              <w:drawing>
                <wp:inline distT="0" distB="0" distL="0" distR="0">
                  <wp:extent cx="2371725" cy="534035"/>
                  <wp:effectExtent l="0" t="0" r="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pic:cNvPicPr>
                        </pic:nvPicPr>
                        <pic:blipFill>
                          <a:blip r:embed="rId22"/>
                          <a:stretch>
                            <a:fillRect/>
                          </a:stretch>
                        </pic:blipFill>
                        <pic:spPr>
                          <a:xfrm>
                            <a:off x="0" y="0"/>
                            <a:ext cx="2457941" cy="553645"/>
                          </a:xfrm>
                          <a:prstGeom prst="rect">
                            <a:avLst/>
                          </a:prstGeom>
                        </pic:spPr>
                      </pic:pic>
                    </a:graphicData>
                  </a:graphic>
                </wp:inline>
              </w:drawing>
            </w:r>
          </w:p>
          <w:p w14:paraId="60EB3F45">
            <w:pPr>
              <w:pStyle w:val="164"/>
              <w:ind w:firstLine="480"/>
            </w:pPr>
            <w:r>
              <w:rPr>
                <w:rFonts w:hint="eastAsia"/>
              </w:rPr>
              <w:t>式中：L</w:t>
            </w:r>
            <w:r>
              <w:rPr>
                <w:rFonts w:hint="eastAsia"/>
                <w:vertAlign w:val="subscript"/>
              </w:rPr>
              <w:t>oct(r)</w:t>
            </w:r>
            <w:r>
              <w:rPr>
                <w:rFonts w:hint="eastAsia"/>
              </w:rPr>
              <w:t>一一点声源在预测点产生的倍频带声压级；</w:t>
            </w:r>
          </w:p>
          <w:p w14:paraId="3BE716AE">
            <w:pPr>
              <w:pStyle w:val="164"/>
              <w:ind w:firstLine="480"/>
            </w:pPr>
            <w:r>
              <w:rPr>
                <w:rFonts w:hint="eastAsia"/>
              </w:rPr>
              <w:t>L</w:t>
            </w:r>
            <w:r>
              <w:rPr>
                <w:rFonts w:hint="eastAsia"/>
                <w:vertAlign w:val="subscript"/>
              </w:rPr>
              <w:t>oct(r</w:t>
            </w:r>
            <w:r>
              <w:rPr>
                <w:vertAlign w:val="subscript"/>
              </w:rPr>
              <w:t>0</w:t>
            </w:r>
            <w:r>
              <w:rPr>
                <w:rFonts w:hint="eastAsia"/>
                <w:vertAlign w:val="subscript"/>
              </w:rPr>
              <w:t>)</w:t>
            </w:r>
            <w:r>
              <w:rPr>
                <w:rFonts w:hint="eastAsia"/>
              </w:rPr>
              <w:t>一一参考位置r0处的倍频带声压级；</w:t>
            </w:r>
          </w:p>
          <w:p w14:paraId="2B5DD82B">
            <w:pPr>
              <w:pStyle w:val="164"/>
              <w:ind w:firstLine="480"/>
            </w:pPr>
            <w:r>
              <w:rPr>
                <w:rFonts w:hint="eastAsia"/>
              </w:rPr>
              <w:t>r一一预测点距声源的距离，m；</w:t>
            </w:r>
          </w:p>
          <w:p w14:paraId="4A3AC3FC">
            <w:pPr>
              <w:pStyle w:val="164"/>
              <w:ind w:firstLine="480"/>
            </w:pPr>
            <w:r>
              <w:rPr>
                <w:rFonts w:hint="eastAsia"/>
              </w:rPr>
              <w:t>r.一一参考位置距声源的距离，m；</w:t>
            </w:r>
          </w:p>
          <w:p w14:paraId="4B7D76A2">
            <w:pPr>
              <w:pStyle w:val="164"/>
              <w:ind w:firstLine="480"/>
            </w:pPr>
            <w:r>
              <w:rPr>
                <w:rFonts w:hint="eastAsia"/>
              </w:rPr>
              <w:t>△Loct一一各种因素引起的衰减量。</w:t>
            </w:r>
          </w:p>
          <w:p w14:paraId="273D07C2">
            <w:pPr>
              <w:pStyle w:val="164"/>
              <w:ind w:firstLine="480"/>
            </w:pPr>
            <w:r>
              <w:rPr>
                <w:rFonts w:hint="eastAsia"/>
              </w:rPr>
              <w:t>（3）贡献值</w:t>
            </w:r>
          </w:p>
          <w:p w14:paraId="6B5F6E52">
            <w:pPr>
              <w:pStyle w:val="164"/>
              <w:ind w:firstLine="480"/>
            </w:pPr>
            <w:r>
              <w:rPr>
                <w:rFonts w:hint="eastAsia"/>
              </w:rPr>
              <w:t>计算某个声源在预测点产生的等效声级贡献值：</w:t>
            </w:r>
          </w:p>
          <w:p w14:paraId="47183F9E">
            <w:pPr>
              <w:pStyle w:val="164"/>
              <w:ind w:firstLine="0" w:firstLineChars="0"/>
              <w:jc w:val="center"/>
            </w:pPr>
            <w:r>
              <w:drawing>
                <wp:inline distT="0" distB="0" distL="0" distR="0">
                  <wp:extent cx="2062480" cy="624205"/>
                  <wp:effectExtent l="0" t="0" r="0" b="444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pic:cNvPicPr>
                        </pic:nvPicPr>
                        <pic:blipFill>
                          <a:blip r:embed="rId23"/>
                          <a:stretch>
                            <a:fillRect/>
                          </a:stretch>
                        </pic:blipFill>
                        <pic:spPr>
                          <a:xfrm>
                            <a:off x="0" y="0"/>
                            <a:ext cx="2109434" cy="638635"/>
                          </a:xfrm>
                          <a:prstGeom prst="rect">
                            <a:avLst/>
                          </a:prstGeom>
                        </pic:spPr>
                      </pic:pic>
                    </a:graphicData>
                  </a:graphic>
                </wp:inline>
              </w:drawing>
            </w:r>
          </w:p>
          <w:p w14:paraId="084D65BF">
            <w:pPr>
              <w:pStyle w:val="164"/>
              <w:ind w:firstLine="480"/>
            </w:pPr>
            <w:r>
              <w:rPr>
                <w:rFonts w:hint="eastAsia"/>
              </w:rPr>
              <w:t>式中：L</w:t>
            </w:r>
            <w:r>
              <w:rPr>
                <w:rFonts w:hint="eastAsia"/>
                <w:vertAlign w:val="subscript"/>
              </w:rPr>
              <w:t>eqg</w:t>
            </w:r>
            <w:r>
              <w:rPr>
                <w:rFonts w:hint="eastAsia"/>
              </w:rPr>
              <w:t>一一建设项目声源在预测点的等效声级贡献值，dB(A)；</w:t>
            </w:r>
          </w:p>
          <w:p w14:paraId="1C44FF98">
            <w:pPr>
              <w:pStyle w:val="164"/>
              <w:ind w:firstLine="480"/>
            </w:pPr>
            <w:r>
              <w:rPr>
                <w:rFonts w:hint="eastAsia"/>
              </w:rPr>
              <w:t>L</w:t>
            </w:r>
            <w:r>
              <w:rPr>
                <w:rFonts w:hint="eastAsia"/>
                <w:vertAlign w:val="subscript"/>
              </w:rPr>
              <w:t>Ai</w:t>
            </w:r>
            <w:r>
              <w:rPr>
                <w:rFonts w:hint="eastAsia"/>
              </w:rPr>
              <w:t>一一声源在预测点产生的A声级，dB(A)；</w:t>
            </w:r>
          </w:p>
          <w:p w14:paraId="1E0E2E55">
            <w:pPr>
              <w:pStyle w:val="164"/>
              <w:ind w:firstLine="480"/>
            </w:pPr>
            <w:r>
              <w:rPr>
                <w:rFonts w:hint="eastAsia"/>
              </w:rPr>
              <w:t>T一一预测计算的时间段，s；</w:t>
            </w:r>
          </w:p>
          <w:p w14:paraId="21142AA1">
            <w:pPr>
              <w:pStyle w:val="164"/>
              <w:ind w:firstLine="480"/>
            </w:pPr>
            <w:r>
              <w:rPr>
                <w:rFonts w:hint="eastAsia"/>
              </w:rPr>
              <w:t>t</w:t>
            </w:r>
            <w:r>
              <w:rPr>
                <w:rFonts w:hint="eastAsia"/>
                <w:vertAlign w:val="subscript"/>
              </w:rPr>
              <w:t>i</w:t>
            </w:r>
            <w:r>
              <w:rPr>
                <w:rFonts w:hint="eastAsia"/>
              </w:rPr>
              <w:t>一一i声源T时段内的运行时间，s。</w:t>
            </w:r>
          </w:p>
          <w:p w14:paraId="1DB41B5C">
            <w:pPr>
              <w:ind w:firstLine="480"/>
            </w:pPr>
            <w:r>
              <w:rPr>
                <w:rFonts w:hint="eastAsia"/>
              </w:rPr>
              <w:t>本次评价通过距离衰减和噪声叠加对厂界噪声贡献值进行预测，预测结果见下表。</w:t>
            </w:r>
          </w:p>
          <w:p w14:paraId="218A6D18">
            <w:pPr>
              <w:pStyle w:val="87"/>
            </w:pPr>
            <w:r>
              <w:rPr>
                <w:rFonts w:hint="eastAsia"/>
              </w:rPr>
              <w:t>表</w:t>
            </w:r>
            <w:r>
              <w:t>4-</w:t>
            </w:r>
            <w:r>
              <w:rPr>
                <w:rFonts w:hint="eastAsia"/>
              </w:rPr>
              <w:t xml:space="preserve">8 </w:t>
            </w:r>
            <w:r>
              <w:t xml:space="preserve"> </w:t>
            </w:r>
            <w:r>
              <w:rPr>
                <w:rFonts w:hint="eastAsia"/>
              </w:rPr>
              <w:t>采取措施后项目营运期噪声一览表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654"/>
              <w:gridCol w:w="1310"/>
              <w:gridCol w:w="1675"/>
              <w:gridCol w:w="1703"/>
              <w:gridCol w:w="1703"/>
              <w:gridCol w:w="1296"/>
            </w:tblGrid>
            <w:tr w14:paraId="74D49E3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2" w:type="pct"/>
                  <w:vAlign w:val="center"/>
                </w:tcPr>
                <w:p w14:paraId="5687EEEF">
                  <w:pPr>
                    <w:pStyle w:val="79"/>
                    <w:rPr>
                      <w:rFonts w:eastAsia="Times New Roman"/>
                      <w:b/>
                    </w:rPr>
                  </w:pPr>
                  <w:r>
                    <w:rPr>
                      <w:rFonts w:hint="eastAsia" w:eastAsia="Times New Roman"/>
                      <w:b/>
                    </w:rPr>
                    <w:t>序号</w:t>
                  </w:r>
                </w:p>
              </w:tc>
              <w:tc>
                <w:tcPr>
                  <w:tcW w:w="785" w:type="pct"/>
                  <w:vAlign w:val="center"/>
                </w:tcPr>
                <w:p w14:paraId="37E63006">
                  <w:pPr>
                    <w:pStyle w:val="79"/>
                    <w:rPr>
                      <w:rFonts w:eastAsia="Times New Roman"/>
                      <w:b/>
                    </w:rPr>
                  </w:pPr>
                  <w:r>
                    <w:rPr>
                      <w:rFonts w:hint="eastAsia" w:eastAsia="Times New Roman"/>
                      <w:b/>
                    </w:rPr>
                    <w:t>预测位置</w:t>
                  </w:r>
                </w:p>
              </w:tc>
              <w:tc>
                <w:tcPr>
                  <w:tcW w:w="1004" w:type="pct"/>
                  <w:vAlign w:val="center"/>
                </w:tcPr>
                <w:p w14:paraId="14CD30EC">
                  <w:pPr>
                    <w:pStyle w:val="79"/>
                    <w:rPr>
                      <w:rFonts w:eastAsia="Times New Roman"/>
                      <w:b/>
                    </w:rPr>
                  </w:pPr>
                  <w:r>
                    <w:rPr>
                      <w:rFonts w:hint="eastAsia" w:eastAsia="Times New Roman"/>
                      <w:b/>
                    </w:rPr>
                    <w:t>昼间噪声预测值/ dB(A)</w:t>
                  </w:r>
                </w:p>
              </w:tc>
              <w:tc>
                <w:tcPr>
                  <w:tcW w:w="1021" w:type="pct"/>
                  <w:vAlign w:val="center"/>
                </w:tcPr>
                <w:p w14:paraId="1EDA7FF0">
                  <w:pPr>
                    <w:pStyle w:val="79"/>
                    <w:rPr>
                      <w:rFonts w:eastAsia="Times New Roman"/>
                      <w:b/>
                    </w:rPr>
                  </w:pPr>
                  <w:r>
                    <w:rPr>
                      <w:rFonts w:hint="eastAsia" w:ascii="宋体" w:hAnsi="宋体" w:eastAsia="Times New Roman" w:cs="宋体"/>
                      <w:b/>
                    </w:rPr>
                    <w:t>夜间</w:t>
                  </w:r>
                  <w:r>
                    <w:rPr>
                      <w:rFonts w:hint="eastAsia" w:eastAsia="Times New Roman"/>
                      <w:b/>
                    </w:rPr>
                    <w:t>噪声预测值/ dB(A)</w:t>
                  </w:r>
                </w:p>
              </w:tc>
              <w:tc>
                <w:tcPr>
                  <w:tcW w:w="1021" w:type="pct"/>
                  <w:vAlign w:val="center"/>
                </w:tcPr>
                <w:p w14:paraId="3F6AE87D">
                  <w:pPr>
                    <w:pStyle w:val="79"/>
                    <w:rPr>
                      <w:rFonts w:eastAsia="Times New Roman"/>
                      <w:b/>
                    </w:rPr>
                  </w:pPr>
                  <w:r>
                    <w:rPr>
                      <w:rFonts w:hint="eastAsia" w:eastAsia="Times New Roman"/>
                      <w:b/>
                    </w:rPr>
                    <w:t>噪声标准/ dB(A)</w:t>
                  </w:r>
                </w:p>
              </w:tc>
              <w:tc>
                <w:tcPr>
                  <w:tcW w:w="777" w:type="pct"/>
                  <w:vAlign w:val="center"/>
                </w:tcPr>
                <w:p w14:paraId="0365D623">
                  <w:pPr>
                    <w:pStyle w:val="79"/>
                    <w:rPr>
                      <w:rFonts w:eastAsia="Times New Roman"/>
                      <w:b/>
                    </w:rPr>
                  </w:pPr>
                  <w:r>
                    <w:rPr>
                      <w:rFonts w:hint="eastAsia" w:eastAsia="Times New Roman"/>
                      <w:b/>
                    </w:rPr>
                    <w:t>达标情况</w:t>
                  </w:r>
                </w:p>
              </w:tc>
            </w:tr>
            <w:tr w14:paraId="2B91FC1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2" w:type="pct"/>
                  <w:vAlign w:val="center"/>
                </w:tcPr>
                <w:p w14:paraId="1BC63883">
                  <w:pPr>
                    <w:pStyle w:val="79"/>
                    <w:rPr>
                      <w:rFonts w:eastAsia="Times New Roman"/>
                    </w:rPr>
                  </w:pPr>
                  <w:r>
                    <w:rPr>
                      <w:rFonts w:hint="eastAsia" w:eastAsiaTheme="minorEastAsia"/>
                    </w:rPr>
                    <w:t>1</w:t>
                  </w:r>
                </w:p>
              </w:tc>
              <w:tc>
                <w:tcPr>
                  <w:tcW w:w="785" w:type="pct"/>
                  <w:vAlign w:val="center"/>
                </w:tcPr>
                <w:p w14:paraId="1E72CABD">
                  <w:pPr>
                    <w:pStyle w:val="79"/>
                    <w:rPr>
                      <w:rFonts w:eastAsia="Times New Roman"/>
                    </w:rPr>
                  </w:pPr>
                  <w:r>
                    <w:rPr>
                      <w:rFonts w:hint="eastAsia" w:eastAsia="Times New Roman"/>
                    </w:rPr>
                    <w:t>东面厂界</w:t>
                  </w:r>
                </w:p>
              </w:tc>
              <w:tc>
                <w:tcPr>
                  <w:tcW w:w="1004" w:type="pct"/>
                  <w:vAlign w:val="center"/>
                </w:tcPr>
                <w:p w14:paraId="34D883A3">
                  <w:pPr>
                    <w:pStyle w:val="79"/>
                    <w:rPr>
                      <w:rFonts w:eastAsia="Times New Roman"/>
                    </w:rPr>
                  </w:pPr>
                  <w:r>
                    <w:rPr>
                      <w:rFonts w:hint="eastAsia" w:eastAsiaTheme="minorEastAsia"/>
                    </w:rPr>
                    <w:t>53.5</w:t>
                  </w:r>
                </w:p>
              </w:tc>
              <w:tc>
                <w:tcPr>
                  <w:tcW w:w="1021" w:type="pct"/>
                  <w:vAlign w:val="center"/>
                </w:tcPr>
                <w:p w14:paraId="713EC8EC">
                  <w:pPr>
                    <w:pStyle w:val="79"/>
                    <w:rPr>
                      <w:rFonts w:eastAsiaTheme="minorEastAsia"/>
                    </w:rPr>
                  </w:pPr>
                  <w:r>
                    <w:rPr>
                      <w:rFonts w:hint="eastAsia" w:eastAsiaTheme="minorEastAsia"/>
                    </w:rPr>
                    <w:t>47.8</w:t>
                  </w:r>
                </w:p>
              </w:tc>
              <w:tc>
                <w:tcPr>
                  <w:tcW w:w="1021" w:type="pct"/>
                  <w:vMerge w:val="restart"/>
                  <w:vAlign w:val="center"/>
                </w:tcPr>
                <w:p w14:paraId="10AEF53B">
                  <w:pPr>
                    <w:pStyle w:val="79"/>
                    <w:rPr>
                      <w:rFonts w:eastAsia="Times New Roman"/>
                    </w:rPr>
                  </w:pPr>
                  <w:r>
                    <w:rPr>
                      <w:rFonts w:hint="eastAsia" w:ascii="宋体" w:hAnsi="宋体" w:eastAsia="Times New Roman" w:cs="宋体"/>
                    </w:rPr>
                    <w:t>昼间</w:t>
                  </w:r>
                  <w:r>
                    <w:rPr>
                      <w:rFonts w:hint="eastAsia" w:eastAsia="Times New Roman"/>
                    </w:rPr>
                    <w:t>：60</w:t>
                  </w:r>
                </w:p>
                <w:p w14:paraId="230296B3">
                  <w:pPr>
                    <w:pStyle w:val="79"/>
                    <w:rPr>
                      <w:rFonts w:eastAsia="Times New Roman"/>
                    </w:rPr>
                  </w:pPr>
                  <w:r>
                    <w:rPr>
                      <w:rFonts w:hint="eastAsia" w:eastAsia="Times New Roman"/>
                    </w:rPr>
                    <w:t>夜间：50</w:t>
                  </w:r>
                </w:p>
              </w:tc>
              <w:tc>
                <w:tcPr>
                  <w:tcW w:w="777" w:type="pct"/>
                  <w:vAlign w:val="center"/>
                </w:tcPr>
                <w:p w14:paraId="355C28B2">
                  <w:pPr>
                    <w:pStyle w:val="79"/>
                    <w:rPr>
                      <w:rFonts w:eastAsia="Times New Roman"/>
                    </w:rPr>
                  </w:pPr>
                  <w:r>
                    <w:rPr>
                      <w:rFonts w:hint="eastAsia" w:eastAsia="Times New Roman"/>
                    </w:rPr>
                    <w:t>达标</w:t>
                  </w:r>
                </w:p>
              </w:tc>
            </w:tr>
            <w:tr w14:paraId="47D501E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2" w:type="pct"/>
                  <w:vAlign w:val="center"/>
                </w:tcPr>
                <w:p w14:paraId="1A801C5A">
                  <w:pPr>
                    <w:pStyle w:val="79"/>
                    <w:rPr>
                      <w:rFonts w:eastAsia="Times New Roman"/>
                    </w:rPr>
                  </w:pPr>
                  <w:r>
                    <w:rPr>
                      <w:rFonts w:hint="eastAsia" w:eastAsiaTheme="minorEastAsia"/>
                    </w:rPr>
                    <w:t>2</w:t>
                  </w:r>
                </w:p>
              </w:tc>
              <w:tc>
                <w:tcPr>
                  <w:tcW w:w="785" w:type="pct"/>
                  <w:vAlign w:val="center"/>
                </w:tcPr>
                <w:p w14:paraId="3FCC6C0E">
                  <w:pPr>
                    <w:pStyle w:val="79"/>
                    <w:rPr>
                      <w:rFonts w:eastAsia="Times New Roman"/>
                    </w:rPr>
                  </w:pPr>
                  <w:r>
                    <w:rPr>
                      <w:rFonts w:hint="eastAsia" w:eastAsia="Times New Roman"/>
                    </w:rPr>
                    <w:t>南面厂界</w:t>
                  </w:r>
                </w:p>
              </w:tc>
              <w:tc>
                <w:tcPr>
                  <w:tcW w:w="1004" w:type="pct"/>
                  <w:vAlign w:val="center"/>
                </w:tcPr>
                <w:p w14:paraId="205A3A3E">
                  <w:pPr>
                    <w:pStyle w:val="79"/>
                    <w:rPr>
                      <w:rFonts w:eastAsia="Times New Roman"/>
                    </w:rPr>
                  </w:pPr>
                  <w:r>
                    <w:rPr>
                      <w:rFonts w:hint="eastAsia" w:eastAsiaTheme="minorEastAsia"/>
                    </w:rPr>
                    <w:t>51.0</w:t>
                  </w:r>
                </w:p>
              </w:tc>
              <w:tc>
                <w:tcPr>
                  <w:tcW w:w="1021" w:type="pct"/>
                  <w:vAlign w:val="center"/>
                </w:tcPr>
                <w:p w14:paraId="4079183E">
                  <w:pPr>
                    <w:pStyle w:val="79"/>
                    <w:rPr>
                      <w:rFonts w:eastAsiaTheme="minorEastAsia"/>
                    </w:rPr>
                  </w:pPr>
                  <w:r>
                    <w:rPr>
                      <w:rFonts w:hint="eastAsia" w:eastAsiaTheme="minorEastAsia"/>
                    </w:rPr>
                    <w:t>45.2</w:t>
                  </w:r>
                </w:p>
              </w:tc>
              <w:tc>
                <w:tcPr>
                  <w:tcW w:w="1021" w:type="pct"/>
                  <w:vMerge w:val="continue"/>
                  <w:vAlign w:val="center"/>
                </w:tcPr>
                <w:p w14:paraId="00A3D373">
                  <w:pPr>
                    <w:pStyle w:val="79"/>
                    <w:rPr>
                      <w:rFonts w:eastAsia="Times New Roman"/>
                    </w:rPr>
                  </w:pPr>
                </w:p>
              </w:tc>
              <w:tc>
                <w:tcPr>
                  <w:tcW w:w="777" w:type="pct"/>
                  <w:vAlign w:val="center"/>
                </w:tcPr>
                <w:p w14:paraId="27F39CD9">
                  <w:pPr>
                    <w:pStyle w:val="79"/>
                    <w:rPr>
                      <w:rFonts w:eastAsia="Times New Roman"/>
                    </w:rPr>
                  </w:pPr>
                  <w:r>
                    <w:rPr>
                      <w:rFonts w:hint="eastAsia" w:eastAsia="Times New Roman"/>
                    </w:rPr>
                    <w:t>达标</w:t>
                  </w:r>
                </w:p>
              </w:tc>
            </w:tr>
            <w:tr w14:paraId="04FBC2E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2" w:type="pct"/>
                  <w:vAlign w:val="center"/>
                </w:tcPr>
                <w:p w14:paraId="51B6F4CA">
                  <w:pPr>
                    <w:pStyle w:val="79"/>
                    <w:rPr>
                      <w:rFonts w:eastAsia="Times New Roman"/>
                    </w:rPr>
                  </w:pPr>
                  <w:r>
                    <w:rPr>
                      <w:rFonts w:hint="eastAsia" w:eastAsiaTheme="minorEastAsia"/>
                    </w:rPr>
                    <w:t>3</w:t>
                  </w:r>
                </w:p>
              </w:tc>
              <w:tc>
                <w:tcPr>
                  <w:tcW w:w="785" w:type="pct"/>
                  <w:vAlign w:val="center"/>
                </w:tcPr>
                <w:p w14:paraId="72D9C0E5">
                  <w:pPr>
                    <w:pStyle w:val="79"/>
                    <w:rPr>
                      <w:rFonts w:eastAsia="Times New Roman"/>
                    </w:rPr>
                  </w:pPr>
                  <w:r>
                    <w:rPr>
                      <w:rFonts w:hint="eastAsia" w:eastAsia="Times New Roman"/>
                    </w:rPr>
                    <w:t>西面厂界</w:t>
                  </w:r>
                </w:p>
              </w:tc>
              <w:tc>
                <w:tcPr>
                  <w:tcW w:w="1004" w:type="pct"/>
                  <w:vAlign w:val="center"/>
                </w:tcPr>
                <w:p w14:paraId="26CA1764">
                  <w:pPr>
                    <w:pStyle w:val="79"/>
                    <w:rPr>
                      <w:rFonts w:eastAsia="Times New Roman"/>
                    </w:rPr>
                  </w:pPr>
                  <w:r>
                    <w:rPr>
                      <w:rFonts w:hint="eastAsia" w:eastAsiaTheme="minorEastAsia"/>
                    </w:rPr>
                    <w:t>5</w:t>
                  </w:r>
                  <w:r>
                    <w:rPr>
                      <w:rFonts w:eastAsiaTheme="minorEastAsia"/>
                    </w:rPr>
                    <w:t>3.6</w:t>
                  </w:r>
                </w:p>
              </w:tc>
              <w:tc>
                <w:tcPr>
                  <w:tcW w:w="1021" w:type="pct"/>
                  <w:vAlign w:val="center"/>
                </w:tcPr>
                <w:p w14:paraId="31F01718">
                  <w:pPr>
                    <w:pStyle w:val="79"/>
                    <w:rPr>
                      <w:rFonts w:eastAsiaTheme="minorEastAsia"/>
                    </w:rPr>
                  </w:pPr>
                  <w:r>
                    <w:rPr>
                      <w:rFonts w:hint="eastAsia" w:eastAsiaTheme="minorEastAsia"/>
                    </w:rPr>
                    <w:t>48.9</w:t>
                  </w:r>
                </w:p>
              </w:tc>
              <w:tc>
                <w:tcPr>
                  <w:tcW w:w="1021" w:type="pct"/>
                  <w:vMerge w:val="continue"/>
                  <w:vAlign w:val="center"/>
                </w:tcPr>
                <w:p w14:paraId="62B2BD4C">
                  <w:pPr>
                    <w:pStyle w:val="79"/>
                    <w:rPr>
                      <w:rFonts w:eastAsia="Times New Roman"/>
                    </w:rPr>
                  </w:pPr>
                </w:p>
              </w:tc>
              <w:tc>
                <w:tcPr>
                  <w:tcW w:w="777" w:type="pct"/>
                  <w:vAlign w:val="center"/>
                </w:tcPr>
                <w:p w14:paraId="7E14F4AE">
                  <w:pPr>
                    <w:pStyle w:val="79"/>
                    <w:rPr>
                      <w:rFonts w:eastAsia="Times New Roman"/>
                    </w:rPr>
                  </w:pPr>
                  <w:r>
                    <w:rPr>
                      <w:rFonts w:hint="eastAsia" w:eastAsia="Times New Roman"/>
                    </w:rPr>
                    <w:t>达标</w:t>
                  </w:r>
                </w:p>
              </w:tc>
            </w:tr>
            <w:tr w14:paraId="7B8E53D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392" w:type="pct"/>
                  <w:vAlign w:val="center"/>
                </w:tcPr>
                <w:p w14:paraId="496FFB64">
                  <w:pPr>
                    <w:pStyle w:val="79"/>
                    <w:rPr>
                      <w:rFonts w:eastAsiaTheme="minorEastAsia"/>
                    </w:rPr>
                  </w:pPr>
                  <w:r>
                    <w:rPr>
                      <w:rFonts w:eastAsiaTheme="minorEastAsia"/>
                    </w:rPr>
                    <w:t>4</w:t>
                  </w:r>
                </w:p>
              </w:tc>
              <w:tc>
                <w:tcPr>
                  <w:tcW w:w="785" w:type="pct"/>
                  <w:vAlign w:val="center"/>
                </w:tcPr>
                <w:p w14:paraId="680C1A5F">
                  <w:pPr>
                    <w:pStyle w:val="79"/>
                    <w:rPr>
                      <w:rFonts w:eastAsia="Times New Roman"/>
                    </w:rPr>
                  </w:pPr>
                  <w:r>
                    <w:rPr>
                      <w:rFonts w:hint="eastAsia" w:eastAsia="Times New Roman"/>
                    </w:rPr>
                    <w:t>北面厂界</w:t>
                  </w:r>
                </w:p>
              </w:tc>
              <w:tc>
                <w:tcPr>
                  <w:tcW w:w="1004" w:type="pct"/>
                  <w:vAlign w:val="center"/>
                </w:tcPr>
                <w:p w14:paraId="335C8FB2">
                  <w:pPr>
                    <w:pStyle w:val="79"/>
                    <w:rPr>
                      <w:rFonts w:eastAsia="Times New Roman"/>
                    </w:rPr>
                  </w:pPr>
                  <w:r>
                    <w:rPr>
                      <w:rFonts w:hint="eastAsia" w:eastAsiaTheme="minorEastAsia"/>
                    </w:rPr>
                    <w:t>54.4</w:t>
                  </w:r>
                </w:p>
              </w:tc>
              <w:tc>
                <w:tcPr>
                  <w:tcW w:w="1021" w:type="pct"/>
                  <w:vAlign w:val="center"/>
                </w:tcPr>
                <w:p w14:paraId="010169B3">
                  <w:pPr>
                    <w:pStyle w:val="79"/>
                    <w:rPr>
                      <w:rFonts w:eastAsiaTheme="minorEastAsia"/>
                    </w:rPr>
                  </w:pPr>
                  <w:r>
                    <w:rPr>
                      <w:rFonts w:hint="eastAsia" w:eastAsiaTheme="minorEastAsia"/>
                    </w:rPr>
                    <w:t>49.3</w:t>
                  </w:r>
                </w:p>
              </w:tc>
              <w:tc>
                <w:tcPr>
                  <w:tcW w:w="1021" w:type="pct"/>
                  <w:vMerge w:val="continue"/>
                  <w:vAlign w:val="center"/>
                </w:tcPr>
                <w:p w14:paraId="2E4096D3">
                  <w:pPr>
                    <w:pStyle w:val="79"/>
                    <w:rPr>
                      <w:rFonts w:eastAsia="Times New Roman"/>
                    </w:rPr>
                  </w:pPr>
                </w:p>
              </w:tc>
              <w:tc>
                <w:tcPr>
                  <w:tcW w:w="777" w:type="pct"/>
                  <w:vAlign w:val="center"/>
                </w:tcPr>
                <w:p w14:paraId="7EE6E93A">
                  <w:pPr>
                    <w:pStyle w:val="79"/>
                    <w:rPr>
                      <w:rFonts w:eastAsia="Times New Roman"/>
                    </w:rPr>
                  </w:pPr>
                  <w:r>
                    <w:rPr>
                      <w:rFonts w:hint="eastAsia" w:eastAsia="Times New Roman"/>
                    </w:rPr>
                    <w:t>达标</w:t>
                  </w:r>
                </w:p>
              </w:tc>
            </w:tr>
          </w:tbl>
          <w:p w14:paraId="1E33216B">
            <w:pPr>
              <w:ind w:firstLine="480"/>
            </w:pPr>
            <w:r>
              <w:rPr>
                <w:rFonts w:hint="eastAsia"/>
              </w:rPr>
              <w:t>由上表可知，项目运营期正常工况下厂界噪声贡献值能满足《工业企业厂界环境噪声排放标准》（GB12348-2008）2类标准限值的要求。</w:t>
            </w:r>
          </w:p>
          <w:p w14:paraId="2A95D645">
            <w:pPr>
              <w:pStyle w:val="9"/>
              <w:ind w:firstLine="482"/>
            </w:pPr>
            <w:r>
              <w:t>3、</w:t>
            </w:r>
            <w:r>
              <w:rPr>
                <w:rFonts w:hint="eastAsia"/>
              </w:rPr>
              <w:t>监测计划</w:t>
            </w:r>
          </w:p>
          <w:p w14:paraId="5149EB15">
            <w:pPr>
              <w:pStyle w:val="117"/>
              <w:ind w:firstLine="480"/>
            </w:pPr>
            <w:r>
              <w:t>根据《排污单位自行监测技术指南</w:t>
            </w:r>
            <w:r>
              <w:rPr>
                <w:rFonts w:hint="eastAsia"/>
              </w:rPr>
              <w:t xml:space="preserve"> </w:t>
            </w:r>
            <w:r>
              <w:t>总则》（HJ819-2017）、</w:t>
            </w:r>
            <w:r>
              <w:rPr>
                <w:rFonts w:hint="eastAsia"/>
              </w:rPr>
              <w:t>《排污许可证申请与核发技术规范 工业噪声》（HJ 1301-2023）</w:t>
            </w:r>
            <w:r>
              <w:t>等技术规范制定如下表</w:t>
            </w:r>
            <w:r>
              <w:rPr>
                <w:rFonts w:hint="eastAsia"/>
              </w:rPr>
              <w:t>。</w:t>
            </w:r>
          </w:p>
          <w:p w14:paraId="1BCC728D">
            <w:pPr>
              <w:pStyle w:val="87"/>
            </w:pPr>
            <w:r>
              <w:rPr>
                <w:rFonts w:hint="eastAsia"/>
              </w:rPr>
              <w:t>表4</w:t>
            </w:r>
            <w:r>
              <w:t>-</w:t>
            </w:r>
            <w:r>
              <w:rPr>
                <w:rFonts w:hint="eastAsia"/>
              </w:rPr>
              <w:t>9</w:t>
            </w:r>
            <w:r>
              <w:t xml:space="preserve">  </w:t>
            </w:r>
            <w:r>
              <w:rPr>
                <w:rFonts w:hint="eastAsia"/>
              </w:rPr>
              <w:t>噪声监测计划表</w:t>
            </w:r>
          </w:p>
          <w:tbl>
            <w:tblPr>
              <w:tblStyle w:val="39"/>
              <w:tblW w:w="0" w:type="auto"/>
              <w:tblInd w:w="5"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48"/>
              <w:gridCol w:w="1652"/>
              <w:gridCol w:w="1496"/>
              <w:gridCol w:w="1542"/>
              <w:gridCol w:w="1998"/>
            </w:tblGrid>
            <w:tr w14:paraId="7D9DCB3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PrEx>
              <w:trPr>
                <w:trHeight w:val="340" w:hRule="atLeast"/>
              </w:trPr>
              <w:tc>
                <w:tcPr>
                  <w:tcW w:w="1667" w:type="dxa"/>
                  <w:vAlign w:val="center"/>
                </w:tcPr>
                <w:p w14:paraId="0D53509C">
                  <w:pPr>
                    <w:pStyle w:val="79"/>
                    <w:rPr>
                      <w:b/>
                    </w:rPr>
                  </w:pPr>
                  <w:r>
                    <w:rPr>
                      <w:rFonts w:hint="eastAsia"/>
                      <w:b/>
                    </w:rPr>
                    <w:t>监测点位</w:t>
                  </w:r>
                </w:p>
              </w:tc>
              <w:tc>
                <w:tcPr>
                  <w:tcW w:w="1670" w:type="dxa"/>
                  <w:vAlign w:val="center"/>
                </w:tcPr>
                <w:p w14:paraId="50482BCA">
                  <w:pPr>
                    <w:pStyle w:val="79"/>
                    <w:rPr>
                      <w:b/>
                    </w:rPr>
                  </w:pPr>
                  <w:r>
                    <w:rPr>
                      <w:rFonts w:hint="eastAsia"/>
                      <w:b/>
                    </w:rPr>
                    <w:t>监测项目</w:t>
                  </w:r>
                </w:p>
              </w:tc>
              <w:tc>
                <w:tcPr>
                  <w:tcW w:w="1512" w:type="dxa"/>
                  <w:vAlign w:val="center"/>
                </w:tcPr>
                <w:p w14:paraId="7BC4CA48">
                  <w:pPr>
                    <w:pStyle w:val="79"/>
                    <w:rPr>
                      <w:b/>
                    </w:rPr>
                  </w:pPr>
                  <w:r>
                    <w:rPr>
                      <w:rFonts w:hint="eastAsia"/>
                      <w:b/>
                    </w:rPr>
                    <w:t>监测频率</w:t>
                  </w:r>
                </w:p>
              </w:tc>
              <w:tc>
                <w:tcPr>
                  <w:tcW w:w="1559" w:type="dxa"/>
                  <w:vAlign w:val="center"/>
                </w:tcPr>
                <w:p w14:paraId="47912D8F">
                  <w:pPr>
                    <w:pStyle w:val="79"/>
                    <w:rPr>
                      <w:b/>
                    </w:rPr>
                  </w:pPr>
                  <w:r>
                    <w:rPr>
                      <w:rFonts w:hint="eastAsia"/>
                      <w:b/>
                    </w:rPr>
                    <w:t>监测时段</w:t>
                  </w:r>
                </w:p>
              </w:tc>
              <w:tc>
                <w:tcPr>
                  <w:tcW w:w="2001" w:type="dxa"/>
                  <w:vAlign w:val="center"/>
                </w:tcPr>
                <w:p w14:paraId="278D951A">
                  <w:pPr>
                    <w:pStyle w:val="79"/>
                    <w:rPr>
                      <w:b/>
                    </w:rPr>
                  </w:pPr>
                  <w:r>
                    <w:rPr>
                      <w:rFonts w:hint="eastAsia"/>
                      <w:b/>
                    </w:rPr>
                    <w:t>执行标准</w:t>
                  </w:r>
                </w:p>
              </w:tc>
            </w:tr>
            <w:tr w14:paraId="55402B57">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trPr>
              <w:tc>
                <w:tcPr>
                  <w:tcW w:w="1667" w:type="dxa"/>
                  <w:vAlign w:val="center"/>
                </w:tcPr>
                <w:p w14:paraId="298A6689">
                  <w:pPr>
                    <w:pStyle w:val="79"/>
                  </w:pPr>
                  <w:r>
                    <w:rPr>
                      <w:rFonts w:hint="eastAsia"/>
                    </w:rPr>
                    <w:t>四面厂界</w:t>
                  </w:r>
                </w:p>
              </w:tc>
              <w:tc>
                <w:tcPr>
                  <w:tcW w:w="1670" w:type="dxa"/>
                  <w:vAlign w:val="center"/>
                </w:tcPr>
                <w:p w14:paraId="3D8C4FFD">
                  <w:pPr>
                    <w:pStyle w:val="79"/>
                  </w:pPr>
                  <w:r>
                    <w:rPr>
                      <w:rFonts w:hint="eastAsia"/>
                    </w:rPr>
                    <w:t>等效连续A声级</w:t>
                  </w:r>
                </w:p>
              </w:tc>
              <w:tc>
                <w:tcPr>
                  <w:tcW w:w="1512" w:type="dxa"/>
                  <w:vAlign w:val="center"/>
                </w:tcPr>
                <w:p w14:paraId="4AE57BEB">
                  <w:pPr>
                    <w:pStyle w:val="79"/>
                  </w:pPr>
                  <w:r>
                    <w:rPr>
                      <w:rFonts w:hint="eastAsia"/>
                    </w:rPr>
                    <w:t>1次/季</w:t>
                  </w:r>
                </w:p>
              </w:tc>
              <w:tc>
                <w:tcPr>
                  <w:tcW w:w="1559" w:type="dxa"/>
                  <w:vAlign w:val="center"/>
                </w:tcPr>
                <w:p w14:paraId="60CFCC7F">
                  <w:pPr>
                    <w:pStyle w:val="79"/>
                  </w:pPr>
                  <w:r>
                    <w:rPr>
                      <w:rFonts w:hint="eastAsia"/>
                    </w:rPr>
                    <w:t>正常工况</w:t>
                  </w:r>
                </w:p>
              </w:tc>
              <w:tc>
                <w:tcPr>
                  <w:tcW w:w="2001" w:type="dxa"/>
                  <w:vAlign w:val="center"/>
                </w:tcPr>
                <w:p w14:paraId="1EE51415">
                  <w:pPr>
                    <w:pStyle w:val="79"/>
                  </w:pPr>
                  <w:r>
                    <w:rPr>
                      <w:rFonts w:hint="eastAsia"/>
                    </w:rPr>
                    <w:t>《工业企业厂界环境噪声排放标准》（GB12348-2008）</w:t>
                  </w:r>
                </w:p>
              </w:tc>
            </w:tr>
          </w:tbl>
          <w:p w14:paraId="19CB8DE9">
            <w:pPr>
              <w:pStyle w:val="9"/>
              <w:spacing w:line="348" w:lineRule="auto"/>
              <w:ind w:firstLine="482"/>
            </w:pPr>
            <w:r>
              <w:rPr>
                <w:rFonts w:hint="eastAsia"/>
              </w:rPr>
              <w:t>四、</w:t>
            </w:r>
            <w:r>
              <w:t>固体废物环境影响分析</w:t>
            </w:r>
          </w:p>
          <w:p w14:paraId="310FED4D">
            <w:pPr>
              <w:spacing w:line="348" w:lineRule="auto"/>
              <w:ind w:firstLine="480"/>
            </w:pPr>
            <w:r>
              <w:rPr>
                <w:rFonts w:hint="eastAsia"/>
              </w:rPr>
              <w:t>项目区固体废物主要为生产固废和生活垃圾。</w:t>
            </w:r>
          </w:p>
          <w:p w14:paraId="4B0F6BA7">
            <w:pPr>
              <w:spacing w:line="348" w:lineRule="auto"/>
              <w:ind w:firstLine="480"/>
            </w:pPr>
            <w:r>
              <w:rPr>
                <w:rFonts w:hint="eastAsia"/>
              </w:rPr>
              <w:t>（</w:t>
            </w:r>
            <w:r>
              <w:t>1</w:t>
            </w:r>
            <w:r>
              <w:rPr>
                <w:rFonts w:hint="eastAsia"/>
              </w:rPr>
              <w:t>）边角料、不合格品</w:t>
            </w:r>
          </w:p>
          <w:p w14:paraId="29A1C6DA">
            <w:pPr>
              <w:spacing w:line="348" w:lineRule="auto"/>
              <w:ind w:firstLine="480"/>
            </w:pPr>
            <w:r>
              <w:rPr>
                <w:rFonts w:hint="eastAsia"/>
              </w:rPr>
              <w:t>项目检查过程产生少量不合格品，部分塑料件需修剪多余边角。根据业主提供的资料，项目边角料、不合格品产生量为2</w:t>
            </w:r>
            <w:r>
              <w:t>0.0t/a，</w:t>
            </w:r>
            <w:r>
              <w:rPr>
                <w:rFonts w:hint="eastAsia"/>
              </w:rPr>
              <w:t>破碎后回用作生产原料</w:t>
            </w:r>
            <w:r>
              <w:t>。</w:t>
            </w:r>
          </w:p>
          <w:p w14:paraId="3E56633A">
            <w:pPr>
              <w:spacing w:line="348" w:lineRule="auto"/>
              <w:ind w:firstLine="480"/>
            </w:pPr>
            <w:r>
              <w:t>（2）</w:t>
            </w:r>
            <w:r>
              <w:rPr>
                <w:rFonts w:hint="eastAsia"/>
              </w:rPr>
              <w:t>废润滑油、含油抹布：项目</w:t>
            </w:r>
            <w:r>
              <w:t>设备维修产生的废润滑油约0.2t/a，产生的含油抹布约0.01t/a，</w:t>
            </w:r>
            <w:r>
              <w:rPr>
                <w:rFonts w:hint="eastAsia"/>
              </w:rPr>
              <w:t>根据</w:t>
            </w:r>
            <w:r>
              <w:t>《</w:t>
            </w:r>
            <w:bookmarkStart w:id="45" w:name="OLE_LINK16"/>
            <w:r>
              <w:t>国家危险废物名录</w:t>
            </w:r>
            <w:bookmarkEnd w:id="45"/>
            <w:r>
              <w:t>》（202</w:t>
            </w:r>
            <w:r>
              <w:rPr>
                <w:rFonts w:hint="eastAsia"/>
              </w:rPr>
              <w:t>5</w:t>
            </w:r>
            <w:r>
              <w:t>年），废润滑油属于危险废物（HW08，危废代码：900-214-08），废润滑油</w:t>
            </w:r>
            <w:r>
              <w:rPr>
                <w:rFonts w:hint="eastAsia"/>
              </w:rPr>
              <w:t>及含油抹布</w:t>
            </w:r>
            <w:r>
              <w:t>暂存于危废暂存间，定期委托有危险废物处置资质的单位回收处置。</w:t>
            </w:r>
          </w:p>
          <w:p w14:paraId="13296D3B">
            <w:pPr>
              <w:pStyle w:val="117"/>
              <w:ind w:firstLine="480"/>
            </w:pPr>
            <w:r>
              <w:rPr>
                <w:rFonts w:hint="eastAsia"/>
              </w:rPr>
              <w:t>（3）废活性炭</w:t>
            </w:r>
          </w:p>
          <w:p w14:paraId="37503D03">
            <w:pPr>
              <w:pStyle w:val="117"/>
              <w:ind w:firstLine="480"/>
            </w:pPr>
            <w:r>
              <w:rPr>
                <w:rFonts w:hint="eastAsia"/>
              </w:rPr>
              <w:t>项目采用活性炭吸附生产过程中产生的喷涂废气，非活性炭产生量按4t/t</w:t>
            </w:r>
            <w:r>
              <w:t>-</w:t>
            </w:r>
            <w:r>
              <w:rPr>
                <w:rFonts w:hint="eastAsia"/>
              </w:rPr>
              <w:t>废气计，项目废气经活性炭吸收量为0.1331t</w:t>
            </w:r>
            <w:r>
              <w:t>/</w:t>
            </w:r>
            <w:r>
              <w:rPr>
                <w:rFonts w:hint="eastAsia"/>
              </w:rPr>
              <w:t>a，则项目活性炭产生量为0.5324t/a。废活性炭属于</w:t>
            </w:r>
            <w:r>
              <w:t>《国家危险废物名录》（202</w:t>
            </w:r>
            <w:r>
              <w:rPr>
                <w:rFonts w:hint="eastAsia"/>
              </w:rPr>
              <w:t>5</w:t>
            </w:r>
            <w:r>
              <w:t>年）</w:t>
            </w:r>
            <w:r>
              <w:rPr>
                <w:rFonts w:hint="eastAsia"/>
              </w:rPr>
              <w:t>中的“</w:t>
            </w:r>
            <w:r>
              <w:t>HW49其他废物—</w:t>
            </w:r>
            <w:r>
              <w:rPr>
                <w:rFonts w:hint="eastAsia"/>
              </w:rPr>
              <w:t>非特定行业—含有或沾染毒性、感染性危险废物的废弃包装物、容器、过滤吸附介质（代码为</w:t>
            </w:r>
            <w:r>
              <w:t>900-041-49</w:t>
            </w:r>
            <w:r>
              <w:rPr>
                <w:rFonts w:hint="eastAsia"/>
              </w:rPr>
              <w:t>）”，需按危废处置。需暂存在危废暂存间内，并定期委托有资质的危废处置单位安全处置。</w:t>
            </w:r>
          </w:p>
          <w:p w14:paraId="1C4167FF">
            <w:pPr>
              <w:spacing w:line="336" w:lineRule="auto"/>
              <w:ind w:firstLine="480"/>
            </w:pPr>
            <w:r>
              <w:rPr>
                <w:rFonts w:hint="eastAsia"/>
              </w:rPr>
              <w:t>（4）生活垃圾</w:t>
            </w:r>
          </w:p>
          <w:p w14:paraId="143F5531">
            <w:pPr>
              <w:spacing w:line="336" w:lineRule="auto"/>
              <w:ind w:firstLine="480"/>
            </w:pPr>
            <w:r>
              <w:rPr>
                <w:rFonts w:hint="eastAsia"/>
              </w:rPr>
              <w:t>项目员工1</w:t>
            </w:r>
            <w:r>
              <w:t>0</w:t>
            </w:r>
            <w:r>
              <w:rPr>
                <w:rFonts w:hint="eastAsia"/>
              </w:rPr>
              <w:t>人，均不住在厂内，项目年生产天数为30</w:t>
            </w:r>
            <w:r>
              <w:t>0</w:t>
            </w:r>
            <w:r>
              <w:rPr>
                <w:rFonts w:hint="eastAsia"/>
              </w:rPr>
              <w:t>天，不</w:t>
            </w:r>
            <w:bookmarkStart w:id="46" w:name="OLE_LINK17"/>
            <w:r>
              <w:rPr>
                <w:rFonts w:hint="eastAsia"/>
              </w:rPr>
              <w:t>住厂员工生活垃圾产生系数为</w:t>
            </w:r>
            <w:r>
              <w:t>0.5kg/</w:t>
            </w:r>
            <w:r>
              <w:rPr>
                <w:rFonts w:hint="eastAsia"/>
              </w:rPr>
              <w:t>（人</w:t>
            </w:r>
            <w:r>
              <w:t>·d</w:t>
            </w:r>
            <w:r>
              <w:rPr>
                <w:rFonts w:hint="eastAsia"/>
              </w:rPr>
              <w:t>）</w:t>
            </w:r>
            <w:bookmarkEnd w:id="46"/>
            <w:r>
              <w:rPr>
                <w:rFonts w:hint="eastAsia"/>
              </w:rPr>
              <w:t>，则本项目产生的生活垃圾量5</w:t>
            </w:r>
            <w:r>
              <w:t>kg/d</w:t>
            </w:r>
            <w:r>
              <w:rPr>
                <w:rFonts w:hint="eastAsia"/>
              </w:rPr>
              <w:t>，1.5</w:t>
            </w:r>
            <w:r>
              <w:t>t/a</w:t>
            </w:r>
            <w:r>
              <w:rPr>
                <w:rFonts w:hint="eastAsia"/>
              </w:rPr>
              <w:t>。生活垃圾收集后委托环卫部门统一清运处理。</w:t>
            </w:r>
          </w:p>
          <w:p w14:paraId="5CB3EB14">
            <w:pPr>
              <w:spacing w:line="336" w:lineRule="auto"/>
              <w:ind w:firstLine="480"/>
            </w:pPr>
            <w:r>
              <w:rPr>
                <w:rFonts w:hint="eastAsia"/>
              </w:rPr>
              <w:t>综上所述，项目产生的固体废物均得到了合理处置，因此，本项目的固体废物对周围环境不会产生不利影响。</w:t>
            </w:r>
          </w:p>
          <w:p w14:paraId="7D4E3388">
            <w:pPr>
              <w:spacing w:line="336" w:lineRule="auto"/>
              <w:ind w:firstLine="480"/>
              <w:rPr>
                <w:bCs/>
              </w:rPr>
            </w:pPr>
            <w:r>
              <w:rPr>
                <w:bCs/>
              </w:rPr>
              <w:t>项目固体废物产生情况见</w:t>
            </w:r>
            <w:r>
              <w:rPr>
                <w:rFonts w:hint="eastAsia"/>
                <w:bCs/>
              </w:rPr>
              <w:t>下</w:t>
            </w:r>
            <w:r>
              <w:rPr>
                <w:bCs/>
              </w:rPr>
              <w:t>表。</w:t>
            </w:r>
          </w:p>
          <w:p w14:paraId="3C1BDD5F">
            <w:pPr>
              <w:pStyle w:val="87"/>
              <w:spacing w:line="336" w:lineRule="auto"/>
            </w:pPr>
            <w:r>
              <w:t>表4-</w:t>
            </w:r>
            <w:r>
              <w:rPr>
                <w:rFonts w:hint="eastAsia"/>
              </w:rPr>
              <w:t>10</w:t>
            </w:r>
            <w:r>
              <w:t xml:space="preserve">  项目固体废物产生情况</w:t>
            </w:r>
            <w:r>
              <w:rPr>
                <w:rFonts w:hint="eastAsia"/>
              </w:rPr>
              <w:t>一览表</w:t>
            </w:r>
          </w:p>
          <w:tbl>
            <w:tblPr>
              <w:tblStyle w:val="39"/>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42"/>
              <w:gridCol w:w="884"/>
              <w:gridCol w:w="884"/>
              <w:gridCol w:w="447"/>
              <w:gridCol w:w="904"/>
              <w:gridCol w:w="1103"/>
              <w:gridCol w:w="1315"/>
              <w:gridCol w:w="1024"/>
              <w:gridCol w:w="1338"/>
            </w:tblGrid>
            <w:tr w14:paraId="4E476C60">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5" w:type="pct"/>
                  <w:vAlign w:val="center"/>
                </w:tcPr>
                <w:p w14:paraId="14084DD2">
                  <w:pPr>
                    <w:pStyle w:val="79"/>
                  </w:pPr>
                  <w:r>
                    <w:rPr>
                      <w:b/>
                    </w:rPr>
                    <w:t>序号</w:t>
                  </w:r>
                </w:p>
              </w:tc>
              <w:tc>
                <w:tcPr>
                  <w:tcW w:w="530" w:type="pct"/>
                  <w:vAlign w:val="center"/>
                </w:tcPr>
                <w:p w14:paraId="1D9E2FA2">
                  <w:pPr>
                    <w:pStyle w:val="79"/>
                  </w:pPr>
                  <w:r>
                    <w:rPr>
                      <w:b/>
                    </w:rPr>
                    <w:t>固废名称</w:t>
                  </w:r>
                </w:p>
              </w:tc>
              <w:tc>
                <w:tcPr>
                  <w:tcW w:w="530" w:type="pct"/>
                  <w:vAlign w:val="center"/>
                </w:tcPr>
                <w:p w14:paraId="5896121F">
                  <w:pPr>
                    <w:pStyle w:val="79"/>
                  </w:pPr>
                  <w:r>
                    <w:rPr>
                      <w:b/>
                    </w:rPr>
                    <w:t>产生工</w:t>
                  </w:r>
                  <w:r>
                    <w:rPr>
                      <w:b/>
                      <w:lang w:val="en-US"/>
                    </w:rPr>
                    <w:t>序</w:t>
                  </w:r>
                </w:p>
              </w:tc>
              <w:tc>
                <w:tcPr>
                  <w:tcW w:w="268" w:type="pct"/>
                  <w:vAlign w:val="center"/>
                </w:tcPr>
                <w:p w14:paraId="104218EA">
                  <w:pPr>
                    <w:pStyle w:val="79"/>
                  </w:pPr>
                  <w:r>
                    <w:rPr>
                      <w:b/>
                    </w:rPr>
                    <w:t>形态</w:t>
                  </w:r>
                </w:p>
              </w:tc>
              <w:tc>
                <w:tcPr>
                  <w:tcW w:w="542" w:type="pct"/>
                  <w:vAlign w:val="center"/>
                </w:tcPr>
                <w:p w14:paraId="52C280D4">
                  <w:pPr>
                    <w:pStyle w:val="79"/>
                  </w:pPr>
                  <w:r>
                    <w:rPr>
                      <w:b/>
                    </w:rPr>
                    <w:t>主要成分</w:t>
                  </w:r>
                </w:p>
              </w:tc>
              <w:tc>
                <w:tcPr>
                  <w:tcW w:w="661" w:type="pct"/>
                  <w:vAlign w:val="center"/>
                </w:tcPr>
                <w:p w14:paraId="0AD52B39">
                  <w:pPr>
                    <w:pStyle w:val="79"/>
                  </w:pPr>
                  <w:r>
                    <w:rPr>
                      <w:b/>
                    </w:rPr>
                    <w:t>是否属危废</w:t>
                  </w:r>
                </w:p>
              </w:tc>
              <w:tc>
                <w:tcPr>
                  <w:tcW w:w="788" w:type="pct"/>
                  <w:vAlign w:val="center"/>
                </w:tcPr>
                <w:p w14:paraId="2EE7D3E5">
                  <w:pPr>
                    <w:pStyle w:val="79"/>
                  </w:pPr>
                  <w:r>
                    <w:rPr>
                      <w:b/>
                    </w:rPr>
                    <w:t>废物类别</w:t>
                  </w:r>
                </w:p>
              </w:tc>
              <w:tc>
                <w:tcPr>
                  <w:tcW w:w="614" w:type="pct"/>
                  <w:vAlign w:val="center"/>
                </w:tcPr>
                <w:p w14:paraId="0EB8B5C9">
                  <w:pPr>
                    <w:pStyle w:val="79"/>
                  </w:pPr>
                  <w:r>
                    <w:rPr>
                      <w:b/>
                    </w:rPr>
                    <w:t>废物代码</w:t>
                  </w:r>
                </w:p>
              </w:tc>
              <w:tc>
                <w:tcPr>
                  <w:tcW w:w="802" w:type="pct"/>
                  <w:vAlign w:val="center"/>
                </w:tcPr>
                <w:p w14:paraId="5F229F55">
                  <w:pPr>
                    <w:pStyle w:val="79"/>
                  </w:pPr>
                  <w:r>
                    <w:rPr>
                      <w:b/>
                    </w:rPr>
                    <w:t>产生量（t/a）</w:t>
                  </w:r>
                </w:p>
              </w:tc>
            </w:tr>
            <w:tr w14:paraId="14C6801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5" w:type="pct"/>
                  <w:vAlign w:val="center"/>
                </w:tcPr>
                <w:p w14:paraId="25157951">
                  <w:pPr>
                    <w:pStyle w:val="79"/>
                  </w:pPr>
                  <w:r>
                    <w:t>1</w:t>
                  </w:r>
                </w:p>
              </w:tc>
              <w:tc>
                <w:tcPr>
                  <w:tcW w:w="530" w:type="pct"/>
                  <w:vAlign w:val="center"/>
                </w:tcPr>
                <w:p w14:paraId="43DBD51E">
                  <w:pPr>
                    <w:pStyle w:val="79"/>
                  </w:pPr>
                  <w:r>
                    <w:rPr>
                      <w:rFonts w:hint="eastAsia"/>
                    </w:rPr>
                    <w:t>不合格品</w:t>
                  </w:r>
                </w:p>
              </w:tc>
              <w:tc>
                <w:tcPr>
                  <w:tcW w:w="530" w:type="pct"/>
                  <w:vAlign w:val="center"/>
                </w:tcPr>
                <w:p w14:paraId="638BBEAE">
                  <w:pPr>
                    <w:pStyle w:val="79"/>
                  </w:pPr>
                  <w:r>
                    <w:rPr>
                      <w:rFonts w:hint="eastAsia"/>
                    </w:rPr>
                    <w:t>质检</w:t>
                  </w:r>
                </w:p>
              </w:tc>
              <w:tc>
                <w:tcPr>
                  <w:tcW w:w="268" w:type="pct"/>
                  <w:vAlign w:val="center"/>
                </w:tcPr>
                <w:p w14:paraId="031F10CD">
                  <w:pPr>
                    <w:pStyle w:val="79"/>
                  </w:pPr>
                  <w:r>
                    <w:t>固态</w:t>
                  </w:r>
                </w:p>
              </w:tc>
              <w:tc>
                <w:tcPr>
                  <w:tcW w:w="542" w:type="pct"/>
                  <w:vAlign w:val="center"/>
                </w:tcPr>
                <w:p w14:paraId="59D4380D">
                  <w:pPr>
                    <w:pStyle w:val="79"/>
                  </w:pPr>
                  <w:r>
                    <w:rPr>
                      <w:rFonts w:hint="eastAsia"/>
                    </w:rPr>
                    <w:t>PVC、PE</w:t>
                  </w:r>
                </w:p>
              </w:tc>
              <w:tc>
                <w:tcPr>
                  <w:tcW w:w="661" w:type="pct"/>
                  <w:vAlign w:val="center"/>
                </w:tcPr>
                <w:p w14:paraId="3D7731AD">
                  <w:pPr>
                    <w:pStyle w:val="79"/>
                  </w:pPr>
                  <w:r>
                    <w:t>否</w:t>
                  </w:r>
                </w:p>
              </w:tc>
              <w:tc>
                <w:tcPr>
                  <w:tcW w:w="788" w:type="pct"/>
                  <w:vAlign w:val="center"/>
                </w:tcPr>
                <w:p w14:paraId="20B99A5C">
                  <w:pPr>
                    <w:pStyle w:val="79"/>
                  </w:pPr>
                  <w:r>
                    <w:rPr>
                      <w:rFonts w:hint="eastAsia"/>
                      <w:lang w:val="en-US"/>
                    </w:rPr>
                    <w:t>一般工业固废</w:t>
                  </w:r>
                </w:p>
              </w:tc>
              <w:tc>
                <w:tcPr>
                  <w:tcW w:w="614" w:type="pct"/>
                  <w:vAlign w:val="center"/>
                </w:tcPr>
                <w:p w14:paraId="0B636D1A">
                  <w:pPr>
                    <w:pStyle w:val="79"/>
                  </w:pPr>
                  <w:r>
                    <w:rPr>
                      <w:lang w:val="en-US"/>
                    </w:rPr>
                    <w:t>99</w:t>
                  </w:r>
                </w:p>
              </w:tc>
              <w:tc>
                <w:tcPr>
                  <w:tcW w:w="802" w:type="pct"/>
                  <w:vAlign w:val="center"/>
                </w:tcPr>
                <w:p w14:paraId="005D4256">
                  <w:pPr>
                    <w:pStyle w:val="79"/>
                  </w:pPr>
                  <w:r>
                    <w:rPr>
                      <w:rFonts w:hint="eastAsia"/>
                      <w:lang w:val="en-US"/>
                    </w:rPr>
                    <w:t>2</w:t>
                  </w:r>
                  <w:r>
                    <w:rPr>
                      <w:lang w:val="en-US"/>
                    </w:rPr>
                    <w:t>0</w:t>
                  </w:r>
                </w:p>
              </w:tc>
            </w:tr>
            <w:tr w14:paraId="4598199C">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5" w:type="pct"/>
                  <w:vAlign w:val="center"/>
                </w:tcPr>
                <w:p w14:paraId="1E2C913B">
                  <w:pPr>
                    <w:pStyle w:val="79"/>
                  </w:pPr>
                  <w:r>
                    <w:t>2</w:t>
                  </w:r>
                </w:p>
              </w:tc>
              <w:tc>
                <w:tcPr>
                  <w:tcW w:w="530" w:type="pct"/>
                  <w:vAlign w:val="center"/>
                </w:tcPr>
                <w:p w14:paraId="2ECC3FFC">
                  <w:pPr>
                    <w:pStyle w:val="79"/>
                  </w:pPr>
                  <w:r>
                    <w:t>废润滑油</w:t>
                  </w:r>
                </w:p>
              </w:tc>
              <w:tc>
                <w:tcPr>
                  <w:tcW w:w="530" w:type="pct"/>
                  <w:vAlign w:val="center"/>
                </w:tcPr>
                <w:p w14:paraId="6CBF7166">
                  <w:pPr>
                    <w:pStyle w:val="79"/>
                  </w:pPr>
                  <w:r>
                    <w:t>设备维修</w:t>
                  </w:r>
                </w:p>
              </w:tc>
              <w:tc>
                <w:tcPr>
                  <w:tcW w:w="268" w:type="pct"/>
                  <w:vAlign w:val="center"/>
                </w:tcPr>
                <w:p w14:paraId="076E4181">
                  <w:pPr>
                    <w:pStyle w:val="79"/>
                  </w:pPr>
                  <w:r>
                    <w:t>液态</w:t>
                  </w:r>
                </w:p>
              </w:tc>
              <w:tc>
                <w:tcPr>
                  <w:tcW w:w="542" w:type="pct"/>
                  <w:vAlign w:val="center"/>
                </w:tcPr>
                <w:p w14:paraId="2BD3B7A0">
                  <w:pPr>
                    <w:pStyle w:val="79"/>
                  </w:pPr>
                  <w:r>
                    <w:rPr>
                      <w:kern w:val="0"/>
                      <w:szCs w:val="21"/>
                    </w:rPr>
                    <w:t>废润滑油</w:t>
                  </w:r>
                </w:p>
              </w:tc>
              <w:tc>
                <w:tcPr>
                  <w:tcW w:w="661" w:type="pct"/>
                  <w:vAlign w:val="center"/>
                </w:tcPr>
                <w:p w14:paraId="74382CB8">
                  <w:pPr>
                    <w:pStyle w:val="79"/>
                  </w:pPr>
                  <w:r>
                    <w:rPr>
                      <w:szCs w:val="21"/>
                    </w:rPr>
                    <w:t>是</w:t>
                  </w:r>
                </w:p>
              </w:tc>
              <w:tc>
                <w:tcPr>
                  <w:tcW w:w="788" w:type="pct"/>
                  <w:vAlign w:val="center"/>
                </w:tcPr>
                <w:p w14:paraId="2A188682">
                  <w:pPr>
                    <w:pStyle w:val="79"/>
                    <w:rPr>
                      <w:lang w:val="en-US"/>
                    </w:rPr>
                  </w:pPr>
                  <w:r>
                    <w:t>HW08</w:t>
                  </w:r>
                </w:p>
              </w:tc>
              <w:tc>
                <w:tcPr>
                  <w:tcW w:w="614" w:type="pct"/>
                  <w:vAlign w:val="center"/>
                </w:tcPr>
                <w:p w14:paraId="09ECDFDA">
                  <w:pPr>
                    <w:pStyle w:val="79"/>
                    <w:rPr>
                      <w:lang w:val="en-US"/>
                    </w:rPr>
                  </w:pPr>
                  <w:r>
                    <w:t>900-214-08</w:t>
                  </w:r>
                </w:p>
              </w:tc>
              <w:tc>
                <w:tcPr>
                  <w:tcW w:w="802" w:type="pct"/>
                  <w:vAlign w:val="center"/>
                </w:tcPr>
                <w:p w14:paraId="5F5471A1">
                  <w:pPr>
                    <w:pStyle w:val="79"/>
                  </w:pPr>
                  <w:r>
                    <w:t>0.2</w:t>
                  </w:r>
                </w:p>
              </w:tc>
            </w:tr>
            <w:tr w14:paraId="1C751EA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5" w:type="pct"/>
                  <w:vAlign w:val="center"/>
                </w:tcPr>
                <w:p w14:paraId="771B53A1">
                  <w:pPr>
                    <w:pStyle w:val="79"/>
                  </w:pPr>
                  <w:r>
                    <w:t>3</w:t>
                  </w:r>
                </w:p>
              </w:tc>
              <w:tc>
                <w:tcPr>
                  <w:tcW w:w="530" w:type="pct"/>
                  <w:vAlign w:val="center"/>
                </w:tcPr>
                <w:p w14:paraId="6E643F25">
                  <w:pPr>
                    <w:pStyle w:val="79"/>
                  </w:pPr>
                  <w:r>
                    <w:t>含油抹布</w:t>
                  </w:r>
                </w:p>
              </w:tc>
              <w:tc>
                <w:tcPr>
                  <w:tcW w:w="530" w:type="pct"/>
                  <w:vAlign w:val="center"/>
                </w:tcPr>
                <w:p w14:paraId="16D771CB">
                  <w:pPr>
                    <w:pStyle w:val="79"/>
                  </w:pPr>
                  <w:r>
                    <w:t>设备维修</w:t>
                  </w:r>
                </w:p>
              </w:tc>
              <w:tc>
                <w:tcPr>
                  <w:tcW w:w="268" w:type="pct"/>
                  <w:vAlign w:val="center"/>
                </w:tcPr>
                <w:p w14:paraId="62353C41">
                  <w:pPr>
                    <w:pStyle w:val="79"/>
                  </w:pPr>
                  <w:r>
                    <w:t>固态</w:t>
                  </w:r>
                </w:p>
              </w:tc>
              <w:tc>
                <w:tcPr>
                  <w:tcW w:w="542" w:type="pct"/>
                  <w:vAlign w:val="center"/>
                </w:tcPr>
                <w:p w14:paraId="2F557CB4">
                  <w:pPr>
                    <w:pStyle w:val="79"/>
                  </w:pPr>
                  <w:r>
                    <w:rPr>
                      <w:kern w:val="0"/>
                      <w:szCs w:val="21"/>
                    </w:rPr>
                    <w:t>废润滑油</w:t>
                  </w:r>
                </w:p>
              </w:tc>
              <w:tc>
                <w:tcPr>
                  <w:tcW w:w="661" w:type="pct"/>
                  <w:vAlign w:val="center"/>
                </w:tcPr>
                <w:p w14:paraId="7D9DDF3A">
                  <w:pPr>
                    <w:pStyle w:val="79"/>
                  </w:pPr>
                  <w:r>
                    <w:rPr>
                      <w:szCs w:val="21"/>
                    </w:rPr>
                    <w:t>是</w:t>
                  </w:r>
                </w:p>
              </w:tc>
              <w:tc>
                <w:tcPr>
                  <w:tcW w:w="788" w:type="pct"/>
                  <w:vAlign w:val="center"/>
                </w:tcPr>
                <w:p w14:paraId="2C89AC1B">
                  <w:pPr>
                    <w:pStyle w:val="79"/>
                    <w:rPr>
                      <w:lang w:val="en-US"/>
                    </w:rPr>
                  </w:pPr>
                  <w:r>
                    <w:t>HW49</w:t>
                  </w:r>
                </w:p>
              </w:tc>
              <w:tc>
                <w:tcPr>
                  <w:tcW w:w="614" w:type="pct"/>
                  <w:vAlign w:val="center"/>
                </w:tcPr>
                <w:p w14:paraId="389C6159">
                  <w:pPr>
                    <w:pStyle w:val="79"/>
                    <w:rPr>
                      <w:lang w:val="en-US"/>
                    </w:rPr>
                  </w:pPr>
                  <w:r>
                    <w:t>900-041-49</w:t>
                  </w:r>
                </w:p>
              </w:tc>
              <w:tc>
                <w:tcPr>
                  <w:tcW w:w="802" w:type="pct"/>
                  <w:vAlign w:val="center"/>
                </w:tcPr>
                <w:p w14:paraId="624F6F7E">
                  <w:pPr>
                    <w:pStyle w:val="79"/>
                  </w:pPr>
                  <w:r>
                    <w:t>0.01</w:t>
                  </w:r>
                </w:p>
              </w:tc>
            </w:tr>
            <w:tr w14:paraId="48CA6F14">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5" w:type="pct"/>
                  <w:vAlign w:val="center"/>
                </w:tcPr>
                <w:p w14:paraId="54259308">
                  <w:pPr>
                    <w:pStyle w:val="79"/>
                  </w:pPr>
                  <w:r>
                    <w:rPr>
                      <w:rFonts w:hint="eastAsia"/>
                    </w:rPr>
                    <w:t>4</w:t>
                  </w:r>
                </w:p>
              </w:tc>
              <w:tc>
                <w:tcPr>
                  <w:tcW w:w="530" w:type="pct"/>
                  <w:vAlign w:val="center"/>
                </w:tcPr>
                <w:p w14:paraId="408673BF">
                  <w:pPr>
                    <w:pStyle w:val="79"/>
                  </w:pPr>
                  <w:r>
                    <w:rPr>
                      <w:rFonts w:hint="eastAsia"/>
                    </w:rPr>
                    <w:t>废活性炭</w:t>
                  </w:r>
                </w:p>
              </w:tc>
              <w:tc>
                <w:tcPr>
                  <w:tcW w:w="530" w:type="pct"/>
                  <w:vAlign w:val="center"/>
                </w:tcPr>
                <w:p w14:paraId="01133810">
                  <w:pPr>
                    <w:pStyle w:val="79"/>
                  </w:pPr>
                  <w:r>
                    <w:rPr>
                      <w:rFonts w:hint="eastAsia"/>
                    </w:rPr>
                    <w:t>废气处理</w:t>
                  </w:r>
                </w:p>
              </w:tc>
              <w:tc>
                <w:tcPr>
                  <w:tcW w:w="268" w:type="pct"/>
                  <w:vAlign w:val="center"/>
                </w:tcPr>
                <w:p w14:paraId="595A70D6">
                  <w:pPr>
                    <w:pStyle w:val="79"/>
                  </w:pPr>
                  <w:r>
                    <w:rPr>
                      <w:rFonts w:hint="eastAsia"/>
                    </w:rPr>
                    <w:t>固态</w:t>
                  </w:r>
                </w:p>
              </w:tc>
              <w:tc>
                <w:tcPr>
                  <w:tcW w:w="542" w:type="pct"/>
                  <w:vAlign w:val="center"/>
                </w:tcPr>
                <w:p w14:paraId="7DA7B654">
                  <w:pPr>
                    <w:pStyle w:val="79"/>
                    <w:rPr>
                      <w:kern w:val="0"/>
                      <w:szCs w:val="21"/>
                    </w:rPr>
                  </w:pPr>
                  <w:r>
                    <w:rPr>
                      <w:rFonts w:hint="eastAsia"/>
                      <w:kern w:val="0"/>
                      <w:szCs w:val="21"/>
                    </w:rPr>
                    <w:t>废活性炭</w:t>
                  </w:r>
                </w:p>
              </w:tc>
              <w:tc>
                <w:tcPr>
                  <w:tcW w:w="661" w:type="pct"/>
                  <w:vAlign w:val="center"/>
                </w:tcPr>
                <w:p w14:paraId="260AB219">
                  <w:pPr>
                    <w:pStyle w:val="79"/>
                    <w:rPr>
                      <w:szCs w:val="21"/>
                    </w:rPr>
                  </w:pPr>
                  <w:r>
                    <w:rPr>
                      <w:rFonts w:hint="eastAsia"/>
                      <w:szCs w:val="21"/>
                    </w:rPr>
                    <w:t>是</w:t>
                  </w:r>
                </w:p>
              </w:tc>
              <w:tc>
                <w:tcPr>
                  <w:tcW w:w="788" w:type="pct"/>
                  <w:vAlign w:val="center"/>
                </w:tcPr>
                <w:p w14:paraId="035F2D0C">
                  <w:pPr>
                    <w:pStyle w:val="79"/>
                  </w:pPr>
                  <w:r>
                    <w:t>HW49</w:t>
                  </w:r>
                </w:p>
              </w:tc>
              <w:tc>
                <w:tcPr>
                  <w:tcW w:w="614" w:type="pct"/>
                  <w:vAlign w:val="center"/>
                </w:tcPr>
                <w:p w14:paraId="754FCF2B">
                  <w:pPr>
                    <w:pStyle w:val="79"/>
                  </w:pPr>
                  <w:r>
                    <w:t>900-041-49</w:t>
                  </w:r>
                </w:p>
              </w:tc>
              <w:tc>
                <w:tcPr>
                  <w:tcW w:w="802" w:type="pct"/>
                  <w:vAlign w:val="center"/>
                </w:tcPr>
                <w:p w14:paraId="11CB8C1A">
                  <w:pPr>
                    <w:pStyle w:val="79"/>
                  </w:pPr>
                  <w:r>
                    <w:rPr>
                      <w:rFonts w:hint="eastAsia"/>
                    </w:rPr>
                    <w:t>0.5324</w:t>
                  </w:r>
                </w:p>
              </w:tc>
            </w:tr>
            <w:tr w14:paraId="1324252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5" w:type="pct"/>
                  <w:vAlign w:val="center"/>
                </w:tcPr>
                <w:p w14:paraId="19141D7F">
                  <w:pPr>
                    <w:pStyle w:val="79"/>
                  </w:pPr>
                  <w:r>
                    <w:rPr>
                      <w:rFonts w:hint="eastAsia"/>
                    </w:rPr>
                    <w:t>5</w:t>
                  </w:r>
                </w:p>
              </w:tc>
              <w:tc>
                <w:tcPr>
                  <w:tcW w:w="530" w:type="pct"/>
                  <w:vAlign w:val="center"/>
                </w:tcPr>
                <w:p w14:paraId="33BC52B3">
                  <w:pPr>
                    <w:pStyle w:val="79"/>
                  </w:pPr>
                  <w:r>
                    <w:t>生活垃圾</w:t>
                  </w:r>
                </w:p>
              </w:tc>
              <w:tc>
                <w:tcPr>
                  <w:tcW w:w="530" w:type="pct"/>
                  <w:vAlign w:val="center"/>
                </w:tcPr>
                <w:p w14:paraId="5ABD7464">
                  <w:pPr>
                    <w:pStyle w:val="79"/>
                  </w:pPr>
                  <w:r>
                    <w:t>员工生活</w:t>
                  </w:r>
                </w:p>
              </w:tc>
              <w:tc>
                <w:tcPr>
                  <w:tcW w:w="268" w:type="pct"/>
                  <w:vAlign w:val="center"/>
                </w:tcPr>
                <w:p w14:paraId="31271897">
                  <w:pPr>
                    <w:pStyle w:val="79"/>
                  </w:pPr>
                  <w:r>
                    <w:t>固态</w:t>
                  </w:r>
                </w:p>
              </w:tc>
              <w:tc>
                <w:tcPr>
                  <w:tcW w:w="542" w:type="pct"/>
                  <w:vAlign w:val="center"/>
                </w:tcPr>
                <w:p w14:paraId="43E720C9">
                  <w:pPr>
                    <w:pStyle w:val="79"/>
                  </w:pPr>
                  <w:r>
                    <w:t>生活垃圾</w:t>
                  </w:r>
                </w:p>
              </w:tc>
              <w:tc>
                <w:tcPr>
                  <w:tcW w:w="661" w:type="pct"/>
                  <w:vAlign w:val="center"/>
                </w:tcPr>
                <w:p w14:paraId="14E1A73F">
                  <w:pPr>
                    <w:pStyle w:val="79"/>
                  </w:pPr>
                  <w:r>
                    <w:t>否</w:t>
                  </w:r>
                </w:p>
              </w:tc>
              <w:tc>
                <w:tcPr>
                  <w:tcW w:w="788" w:type="pct"/>
                  <w:vAlign w:val="center"/>
                </w:tcPr>
                <w:p w14:paraId="2FD9E8C4">
                  <w:pPr>
                    <w:pStyle w:val="79"/>
                  </w:pPr>
                  <w:r>
                    <w:rPr>
                      <w:rFonts w:hint="eastAsia"/>
                    </w:rPr>
                    <w:t>生活垃圾</w:t>
                  </w:r>
                </w:p>
              </w:tc>
              <w:tc>
                <w:tcPr>
                  <w:tcW w:w="614" w:type="pct"/>
                  <w:vAlign w:val="center"/>
                </w:tcPr>
                <w:p w14:paraId="55C3689D">
                  <w:pPr>
                    <w:pStyle w:val="79"/>
                  </w:pPr>
                  <w:r>
                    <w:t>99</w:t>
                  </w:r>
                </w:p>
              </w:tc>
              <w:tc>
                <w:tcPr>
                  <w:tcW w:w="802" w:type="pct"/>
                  <w:vAlign w:val="center"/>
                </w:tcPr>
                <w:p w14:paraId="44913ED4">
                  <w:pPr>
                    <w:pStyle w:val="79"/>
                  </w:pPr>
                  <w:r>
                    <w:rPr>
                      <w:rFonts w:hint="eastAsia"/>
                      <w:lang w:val="en-US"/>
                    </w:rPr>
                    <w:t>4.95</w:t>
                  </w:r>
                </w:p>
              </w:tc>
            </w:tr>
          </w:tbl>
          <w:p w14:paraId="6CB236B6">
            <w:pPr>
              <w:ind w:firstLine="480"/>
            </w:pPr>
            <w:r>
              <w:t>根据《建设项目危险废物环境评价指南》，本项目各类危险废物的污染防治措施内容汇总</w:t>
            </w:r>
            <w:r>
              <w:rPr>
                <w:bCs/>
              </w:rPr>
              <w:t>见</w:t>
            </w:r>
            <w:r>
              <w:rPr>
                <w:rFonts w:hint="eastAsia"/>
                <w:bCs/>
              </w:rPr>
              <w:t>下</w:t>
            </w:r>
            <w:r>
              <w:rPr>
                <w:bCs/>
              </w:rPr>
              <w:t>表</w:t>
            </w:r>
            <w:r>
              <w:t>。</w:t>
            </w:r>
          </w:p>
          <w:p w14:paraId="0BE9D364">
            <w:pPr>
              <w:pStyle w:val="87"/>
            </w:pPr>
            <w:r>
              <w:t>表4-</w:t>
            </w:r>
            <w:r>
              <w:rPr>
                <w:rFonts w:hint="eastAsia"/>
              </w:rPr>
              <w:t>11</w:t>
            </w:r>
            <w:r>
              <w:t xml:space="preserve">  项目危险废物产生量及特性一览表</w:t>
            </w:r>
          </w:p>
          <w:tbl>
            <w:tblPr>
              <w:tblStyle w:val="39"/>
              <w:tblW w:w="0" w:type="auto"/>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98"/>
              <w:gridCol w:w="633"/>
              <w:gridCol w:w="845"/>
              <w:gridCol w:w="1101"/>
              <w:gridCol w:w="794"/>
              <w:gridCol w:w="922"/>
              <w:gridCol w:w="303"/>
              <w:gridCol w:w="468"/>
              <w:gridCol w:w="468"/>
              <w:gridCol w:w="364"/>
              <w:gridCol w:w="560"/>
              <w:gridCol w:w="631"/>
              <w:gridCol w:w="954"/>
            </w:tblGrid>
            <w:tr w14:paraId="693AE878">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61" w:hRule="atLeast"/>
              </w:trPr>
              <w:tc>
                <w:tcPr>
                  <w:tcW w:w="0" w:type="auto"/>
                  <w:vMerge w:val="restart"/>
                  <w:vAlign w:val="center"/>
                </w:tcPr>
                <w:p w14:paraId="245F4CC4">
                  <w:pPr>
                    <w:pStyle w:val="79"/>
                  </w:pPr>
                  <w:r>
                    <w:rPr>
                      <w:b/>
                    </w:rPr>
                    <w:t>序号</w:t>
                  </w:r>
                </w:p>
              </w:tc>
              <w:tc>
                <w:tcPr>
                  <w:tcW w:w="0" w:type="auto"/>
                  <w:vMerge w:val="restart"/>
                  <w:vAlign w:val="center"/>
                </w:tcPr>
                <w:p w14:paraId="7710BFD6">
                  <w:pPr>
                    <w:pStyle w:val="79"/>
                  </w:pPr>
                  <w:r>
                    <w:rPr>
                      <w:b/>
                    </w:rPr>
                    <w:t>危险废物名称</w:t>
                  </w:r>
                </w:p>
              </w:tc>
              <w:tc>
                <w:tcPr>
                  <w:tcW w:w="0" w:type="auto"/>
                  <w:vMerge w:val="restart"/>
                  <w:vAlign w:val="center"/>
                </w:tcPr>
                <w:p w14:paraId="589C5D44">
                  <w:pPr>
                    <w:pStyle w:val="79"/>
                  </w:pPr>
                  <w:r>
                    <w:rPr>
                      <w:b/>
                    </w:rPr>
                    <w:t>危险废物类别</w:t>
                  </w:r>
                </w:p>
              </w:tc>
              <w:tc>
                <w:tcPr>
                  <w:tcW w:w="0" w:type="auto"/>
                  <w:vMerge w:val="restart"/>
                  <w:vAlign w:val="center"/>
                </w:tcPr>
                <w:p w14:paraId="01B2E288">
                  <w:pPr>
                    <w:pStyle w:val="79"/>
                  </w:pPr>
                  <w:r>
                    <w:rPr>
                      <w:b/>
                    </w:rPr>
                    <w:t>危险废物代码</w:t>
                  </w:r>
                </w:p>
              </w:tc>
              <w:tc>
                <w:tcPr>
                  <w:tcW w:w="793" w:type="dxa"/>
                  <w:vMerge w:val="restart"/>
                  <w:vAlign w:val="center"/>
                </w:tcPr>
                <w:p w14:paraId="46A9334D">
                  <w:pPr>
                    <w:pStyle w:val="79"/>
                  </w:pPr>
                  <w:r>
                    <w:rPr>
                      <w:b/>
                    </w:rPr>
                    <w:t>产生量（t/a）</w:t>
                  </w:r>
                </w:p>
              </w:tc>
              <w:tc>
                <w:tcPr>
                  <w:tcW w:w="920" w:type="dxa"/>
                  <w:vMerge w:val="restart"/>
                  <w:vAlign w:val="center"/>
                </w:tcPr>
                <w:p w14:paraId="6421FE25">
                  <w:pPr>
                    <w:pStyle w:val="79"/>
                  </w:pPr>
                  <w:r>
                    <w:rPr>
                      <w:b/>
                    </w:rPr>
                    <w:t>产生工序及装置</w:t>
                  </w:r>
                </w:p>
              </w:tc>
              <w:tc>
                <w:tcPr>
                  <w:tcW w:w="0" w:type="auto"/>
                  <w:vMerge w:val="restart"/>
                  <w:vAlign w:val="center"/>
                </w:tcPr>
                <w:p w14:paraId="071FB4E0">
                  <w:pPr>
                    <w:pStyle w:val="79"/>
                  </w:pPr>
                  <w:r>
                    <w:rPr>
                      <w:b/>
                    </w:rPr>
                    <w:t>形态</w:t>
                  </w:r>
                </w:p>
              </w:tc>
              <w:tc>
                <w:tcPr>
                  <w:tcW w:w="0" w:type="auto"/>
                  <w:vMerge w:val="restart"/>
                  <w:vAlign w:val="center"/>
                </w:tcPr>
                <w:p w14:paraId="666AAA46">
                  <w:pPr>
                    <w:pStyle w:val="79"/>
                  </w:pPr>
                  <w:r>
                    <w:rPr>
                      <w:b/>
                    </w:rPr>
                    <w:t>主要成分</w:t>
                  </w:r>
                </w:p>
              </w:tc>
              <w:tc>
                <w:tcPr>
                  <w:tcW w:w="0" w:type="auto"/>
                  <w:vMerge w:val="restart"/>
                  <w:vAlign w:val="center"/>
                </w:tcPr>
                <w:p w14:paraId="25132269">
                  <w:pPr>
                    <w:pStyle w:val="79"/>
                  </w:pPr>
                  <w:r>
                    <w:rPr>
                      <w:b/>
                    </w:rPr>
                    <w:t>有害成分</w:t>
                  </w:r>
                </w:p>
              </w:tc>
              <w:tc>
                <w:tcPr>
                  <w:tcW w:w="0" w:type="auto"/>
                  <w:vMerge w:val="restart"/>
                  <w:vAlign w:val="center"/>
                </w:tcPr>
                <w:p w14:paraId="6A1BEDF5">
                  <w:pPr>
                    <w:pStyle w:val="79"/>
                  </w:pPr>
                  <w:r>
                    <w:rPr>
                      <w:b/>
                    </w:rPr>
                    <w:t>产废</w:t>
                  </w:r>
                </w:p>
                <w:p w14:paraId="4C84CBB6">
                  <w:pPr>
                    <w:pStyle w:val="79"/>
                  </w:pPr>
                  <w:r>
                    <w:rPr>
                      <w:b/>
                    </w:rPr>
                    <w:t>周期</w:t>
                  </w:r>
                </w:p>
              </w:tc>
              <w:tc>
                <w:tcPr>
                  <w:tcW w:w="0" w:type="auto"/>
                  <w:vMerge w:val="restart"/>
                  <w:vAlign w:val="center"/>
                </w:tcPr>
                <w:p w14:paraId="1D87DAB0">
                  <w:pPr>
                    <w:pStyle w:val="79"/>
                  </w:pPr>
                  <w:r>
                    <w:rPr>
                      <w:b/>
                    </w:rPr>
                    <w:t>危险特性</w:t>
                  </w:r>
                </w:p>
              </w:tc>
              <w:tc>
                <w:tcPr>
                  <w:tcW w:w="0" w:type="auto"/>
                  <w:gridSpan w:val="2"/>
                  <w:vAlign w:val="center"/>
                </w:tcPr>
                <w:p w14:paraId="7FDD560B">
                  <w:pPr>
                    <w:pStyle w:val="79"/>
                  </w:pPr>
                  <w:r>
                    <w:rPr>
                      <w:b/>
                    </w:rPr>
                    <w:t>污染防治措施</w:t>
                  </w:r>
                </w:p>
              </w:tc>
            </w:tr>
            <w:tr w14:paraId="4C38EDEA">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0" w:type="auto"/>
                  <w:vMerge w:val="continue"/>
                  <w:vAlign w:val="center"/>
                </w:tcPr>
                <w:p w14:paraId="13F522D5">
                  <w:pPr>
                    <w:pStyle w:val="79"/>
                  </w:pPr>
                </w:p>
              </w:tc>
              <w:tc>
                <w:tcPr>
                  <w:tcW w:w="0" w:type="auto"/>
                  <w:vMerge w:val="continue"/>
                  <w:vAlign w:val="center"/>
                </w:tcPr>
                <w:p w14:paraId="3E45F3AF">
                  <w:pPr>
                    <w:pStyle w:val="79"/>
                  </w:pPr>
                </w:p>
              </w:tc>
              <w:tc>
                <w:tcPr>
                  <w:tcW w:w="0" w:type="auto"/>
                  <w:vMerge w:val="continue"/>
                  <w:vAlign w:val="center"/>
                </w:tcPr>
                <w:p w14:paraId="1CA26428">
                  <w:pPr>
                    <w:pStyle w:val="79"/>
                  </w:pPr>
                </w:p>
              </w:tc>
              <w:tc>
                <w:tcPr>
                  <w:tcW w:w="0" w:type="auto"/>
                  <w:vMerge w:val="continue"/>
                  <w:vAlign w:val="center"/>
                </w:tcPr>
                <w:p w14:paraId="1CE9155F">
                  <w:pPr>
                    <w:pStyle w:val="79"/>
                  </w:pPr>
                </w:p>
              </w:tc>
              <w:tc>
                <w:tcPr>
                  <w:tcW w:w="793" w:type="dxa"/>
                  <w:vMerge w:val="continue"/>
                  <w:vAlign w:val="center"/>
                </w:tcPr>
                <w:p w14:paraId="34E591E3">
                  <w:pPr>
                    <w:pStyle w:val="79"/>
                  </w:pPr>
                </w:p>
              </w:tc>
              <w:tc>
                <w:tcPr>
                  <w:tcW w:w="920" w:type="dxa"/>
                  <w:vMerge w:val="continue"/>
                  <w:vAlign w:val="center"/>
                </w:tcPr>
                <w:p w14:paraId="661A8A07">
                  <w:pPr>
                    <w:pStyle w:val="79"/>
                  </w:pPr>
                </w:p>
              </w:tc>
              <w:tc>
                <w:tcPr>
                  <w:tcW w:w="0" w:type="auto"/>
                  <w:vMerge w:val="continue"/>
                  <w:vAlign w:val="center"/>
                </w:tcPr>
                <w:p w14:paraId="232E2335">
                  <w:pPr>
                    <w:pStyle w:val="79"/>
                  </w:pPr>
                </w:p>
              </w:tc>
              <w:tc>
                <w:tcPr>
                  <w:tcW w:w="0" w:type="auto"/>
                  <w:vMerge w:val="continue"/>
                  <w:vAlign w:val="center"/>
                </w:tcPr>
                <w:p w14:paraId="3C097AFA">
                  <w:pPr>
                    <w:pStyle w:val="79"/>
                  </w:pPr>
                </w:p>
              </w:tc>
              <w:tc>
                <w:tcPr>
                  <w:tcW w:w="0" w:type="auto"/>
                  <w:vMerge w:val="continue"/>
                  <w:vAlign w:val="center"/>
                </w:tcPr>
                <w:p w14:paraId="52BF90AD">
                  <w:pPr>
                    <w:pStyle w:val="79"/>
                  </w:pPr>
                </w:p>
              </w:tc>
              <w:tc>
                <w:tcPr>
                  <w:tcW w:w="0" w:type="auto"/>
                  <w:vMerge w:val="continue"/>
                  <w:vAlign w:val="center"/>
                </w:tcPr>
                <w:p w14:paraId="1A1E1E1B">
                  <w:pPr>
                    <w:pStyle w:val="79"/>
                  </w:pPr>
                </w:p>
              </w:tc>
              <w:tc>
                <w:tcPr>
                  <w:tcW w:w="0" w:type="auto"/>
                  <w:vMerge w:val="continue"/>
                  <w:vAlign w:val="center"/>
                </w:tcPr>
                <w:p w14:paraId="1075C2CF">
                  <w:pPr>
                    <w:pStyle w:val="79"/>
                  </w:pPr>
                </w:p>
              </w:tc>
              <w:tc>
                <w:tcPr>
                  <w:tcW w:w="0" w:type="auto"/>
                  <w:vAlign w:val="center"/>
                </w:tcPr>
                <w:p w14:paraId="10BF403D">
                  <w:pPr>
                    <w:pStyle w:val="79"/>
                    <w:rPr>
                      <w:b/>
                      <w:bCs/>
                    </w:rPr>
                  </w:pPr>
                  <w:r>
                    <w:rPr>
                      <w:b/>
                      <w:bCs/>
                    </w:rPr>
                    <w:t>贮存</w:t>
                  </w:r>
                </w:p>
              </w:tc>
              <w:tc>
                <w:tcPr>
                  <w:tcW w:w="0" w:type="auto"/>
                  <w:vAlign w:val="center"/>
                </w:tcPr>
                <w:p w14:paraId="1410311D">
                  <w:pPr>
                    <w:pStyle w:val="79"/>
                    <w:rPr>
                      <w:b/>
                      <w:bCs/>
                    </w:rPr>
                  </w:pPr>
                  <w:r>
                    <w:rPr>
                      <w:b/>
                      <w:bCs/>
                    </w:rPr>
                    <w:t>处置</w:t>
                  </w:r>
                </w:p>
              </w:tc>
            </w:tr>
            <w:tr w14:paraId="2C03A8D6">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0" w:type="auto"/>
                  <w:vAlign w:val="center"/>
                </w:tcPr>
                <w:p w14:paraId="3F0C15AE">
                  <w:pPr>
                    <w:pStyle w:val="79"/>
                  </w:pPr>
                  <w:r>
                    <w:t>1</w:t>
                  </w:r>
                </w:p>
              </w:tc>
              <w:tc>
                <w:tcPr>
                  <w:tcW w:w="0" w:type="auto"/>
                  <w:vAlign w:val="center"/>
                </w:tcPr>
                <w:p w14:paraId="4DA88EB9">
                  <w:pPr>
                    <w:pStyle w:val="79"/>
                  </w:pPr>
                  <w:r>
                    <w:t>废润滑油</w:t>
                  </w:r>
                </w:p>
              </w:tc>
              <w:tc>
                <w:tcPr>
                  <w:tcW w:w="0" w:type="auto"/>
                  <w:vAlign w:val="center"/>
                </w:tcPr>
                <w:p w14:paraId="5678393B">
                  <w:pPr>
                    <w:pStyle w:val="79"/>
                  </w:pPr>
                  <w:r>
                    <w:t>HW08</w:t>
                  </w:r>
                </w:p>
              </w:tc>
              <w:tc>
                <w:tcPr>
                  <w:tcW w:w="0" w:type="auto"/>
                  <w:vAlign w:val="center"/>
                </w:tcPr>
                <w:p w14:paraId="5D386718">
                  <w:pPr>
                    <w:pStyle w:val="79"/>
                  </w:pPr>
                  <w:r>
                    <w:t>900-214-08</w:t>
                  </w:r>
                </w:p>
              </w:tc>
              <w:tc>
                <w:tcPr>
                  <w:tcW w:w="793" w:type="dxa"/>
                  <w:vAlign w:val="center"/>
                </w:tcPr>
                <w:p w14:paraId="57D7FBAE">
                  <w:pPr>
                    <w:pStyle w:val="79"/>
                  </w:pPr>
                  <w:r>
                    <w:t>0.</w:t>
                  </w:r>
                  <w:r>
                    <w:rPr>
                      <w:lang w:val="en-US"/>
                    </w:rPr>
                    <w:t>2</w:t>
                  </w:r>
                </w:p>
              </w:tc>
              <w:tc>
                <w:tcPr>
                  <w:tcW w:w="920" w:type="dxa"/>
                  <w:vAlign w:val="center"/>
                </w:tcPr>
                <w:p w14:paraId="13DF14A3">
                  <w:pPr>
                    <w:pStyle w:val="79"/>
                  </w:pPr>
                  <w:r>
                    <w:t>机械维修</w:t>
                  </w:r>
                </w:p>
              </w:tc>
              <w:tc>
                <w:tcPr>
                  <w:tcW w:w="0" w:type="auto"/>
                  <w:vAlign w:val="center"/>
                </w:tcPr>
                <w:p w14:paraId="70275D32">
                  <w:pPr>
                    <w:pStyle w:val="79"/>
                  </w:pPr>
                  <w:r>
                    <w:t>液态</w:t>
                  </w:r>
                </w:p>
              </w:tc>
              <w:tc>
                <w:tcPr>
                  <w:tcW w:w="0" w:type="auto"/>
                  <w:vAlign w:val="center"/>
                </w:tcPr>
                <w:p w14:paraId="312F38E8">
                  <w:pPr>
                    <w:pStyle w:val="79"/>
                  </w:pPr>
                  <w:r>
                    <w:t>废润滑油</w:t>
                  </w:r>
                </w:p>
              </w:tc>
              <w:tc>
                <w:tcPr>
                  <w:tcW w:w="0" w:type="auto"/>
                  <w:vAlign w:val="center"/>
                </w:tcPr>
                <w:p w14:paraId="7BA6EBED">
                  <w:pPr>
                    <w:pStyle w:val="79"/>
                  </w:pPr>
                  <w:r>
                    <w:rPr>
                      <w:szCs w:val="21"/>
                    </w:rPr>
                    <w:t>矿物油</w:t>
                  </w:r>
                </w:p>
              </w:tc>
              <w:tc>
                <w:tcPr>
                  <w:tcW w:w="0" w:type="auto"/>
                  <w:vAlign w:val="center"/>
                </w:tcPr>
                <w:p w14:paraId="4DB5E685">
                  <w:pPr>
                    <w:pStyle w:val="79"/>
                  </w:pPr>
                  <w:r>
                    <w:t>半年</w:t>
                  </w:r>
                </w:p>
              </w:tc>
              <w:tc>
                <w:tcPr>
                  <w:tcW w:w="0" w:type="auto"/>
                  <w:vAlign w:val="center"/>
                </w:tcPr>
                <w:p w14:paraId="56596D3B">
                  <w:pPr>
                    <w:pStyle w:val="79"/>
                  </w:pPr>
                  <w:r>
                    <w:t>T/In</w:t>
                  </w:r>
                </w:p>
              </w:tc>
              <w:tc>
                <w:tcPr>
                  <w:tcW w:w="0" w:type="auto"/>
                  <w:vMerge w:val="restart"/>
                  <w:vAlign w:val="center"/>
                </w:tcPr>
                <w:p w14:paraId="3FC0665F">
                  <w:pPr>
                    <w:pStyle w:val="79"/>
                  </w:pPr>
                  <w:r>
                    <w:t>专用容器存放</w:t>
                  </w:r>
                </w:p>
              </w:tc>
              <w:tc>
                <w:tcPr>
                  <w:tcW w:w="0" w:type="auto"/>
                  <w:vMerge w:val="restart"/>
                  <w:vAlign w:val="center"/>
                </w:tcPr>
                <w:p w14:paraId="5324209A">
                  <w:pPr>
                    <w:pStyle w:val="79"/>
                  </w:pPr>
                  <w:r>
                    <w:t>委托有资质的单位处置</w:t>
                  </w:r>
                </w:p>
              </w:tc>
            </w:tr>
            <w:tr w14:paraId="7C652433">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0" w:type="auto"/>
                  <w:vAlign w:val="center"/>
                </w:tcPr>
                <w:p w14:paraId="2370DB02">
                  <w:pPr>
                    <w:pStyle w:val="79"/>
                  </w:pPr>
                  <w:r>
                    <w:t>2</w:t>
                  </w:r>
                </w:p>
              </w:tc>
              <w:tc>
                <w:tcPr>
                  <w:tcW w:w="0" w:type="auto"/>
                  <w:vAlign w:val="center"/>
                </w:tcPr>
                <w:p w14:paraId="3B8E9738">
                  <w:pPr>
                    <w:pStyle w:val="79"/>
                  </w:pPr>
                  <w:r>
                    <w:t>废含油抹布</w:t>
                  </w:r>
                </w:p>
              </w:tc>
              <w:tc>
                <w:tcPr>
                  <w:tcW w:w="0" w:type="auto"/>
                  <w:vAlign w:val="center"/>
                </w:tcPr>
                <w:p w14:paraId="684C21B9">
                  <w:pPr>
                    <w:pStyle w:val="79"/>
                  </w:pPr>
                  <w:r>
                    <w:t>HW49</w:t>
                  </w:r>
                </w:p>
              </w:tc>
              <w:tc>
                <w:tcPr>
                  <w:tcW w:w="0" w:type="auto"/>
                  <w:vAlign w:val="center"/>
                </w:tcPr>
                <w:p w14:paraId="4BB6A301">
                  <w:pPr>
                    <w:pStyle w:val="79"/>
                  </w:pPr>
                  <w:r>
                    <w:t>900-041-49</w:t>
                  </w:r>
                </w:p>
              </w:tc>
              <w:tc>
                <w:tcPr>
                  <w:tcW w:w="793" w:type="dxa"/>
                  <w:vAlign w:val="center"/>
                </w:tcPr>
                <w:p w14:paraId="38982D50">
                  <w:pPr>
                    <w:pStyle w:val="79"/>
                  </w:pPr>
                  <w:r>
                    <w:t>0.01</w:t>
                  </w:r>
                </w:p>
              </w:tc>
              <w:tc>
                <w:tcPr>
                  <w:tcW w:w="920" w:type="dxa"/>
                  <w:vAlign w:val="center"/>
                </w:tcPr>
                <w:p w14:paraId="410F28A2">
                  <w:pPr>
                    <w:pStyle w:val="79"/>
                  </w:pPr>
                  <w:r>
                    <w:t>机械维修</w:t>
                  </w:r>
                </w:p>
              </w:tc>
              <w:tc>
                <w:tcPr>
                  <w:tcW w:w="0" w:type="auto"/>
                  <w:vAlign w:val="center"/>
                </w:tcPr>
                <w:p w14:paraId="7D96AF22">
                  <w:pPr>
                    <w:pStyle w:val="79"/>
                  </w:pPr>
                  <w:r>
                    <w:t>固态</w:t>
                  </w:r>
                </w:p>
              </w:tc>
              <w:tc>
                <w:tcPr>
                  <w:tcW w:w="0" w:type="auto"/>
                  <w:vAlign w:val="center"/>
                </w:tcPr>
                <w:p w14:paraId="18C994DA">
                  <w:pPr>
                    <w:pStyle w:val="79"/>
                  </w:pPr>
                  <w:r>
                    <w:t>废润滑油</w:t>
                  </w:r>
                </w:p>
              </w:tc>
              <w:tc>
                <w:tcPr>
                  <w:tcW w:w="0" w:type="auto"/>
                  <w:vAlign w:val="center"/>
                </w:tcPr>
                <w:p w14:paraId="08603F72">
                  <w:pPr>
                    <w:pStyle w:val="79"/>
                    <w:rPr>
                      <w:szCs w:val="21"/>
                    </w:rPr>
                  </w:pPr>
                  <w:r>
                    <w:rPr>
                      <w:szCs w:val="21"/>
                    </w:rPr>
                    <w:t>矿物油</w:t>
                  </w:r>
                </w:p>
              </w:tc>
              <w:tc>
                <w:tcPr>
                  <w:tcW w:w="0" w:type="auto"/>
                  <w:vAlign w:val="center"/>
                </w:tcPr>
                <w:p w14:paraId="6F6EC07E">
                  <w:pPr>
                    <w:pStyle w:val="79"/>
                  </w:pPr>
                  <w:r>
                    <w:t>半年</w:t>
                  </w:r>
                </w:p>
              </w:tc>
              <w:tc>
                <w:tcPr>
                  <w:tcW w:w="0" w:type="auto"/>
                  <w:vAlign w:val="center"/>
                </w:tcPr>
                <w:p w14:paraId="06DB97F0">
                  <w:pPr>
                    <w:pStyle w:val="79"/>
                  </w:pPr>
                  <w:r>
                    <w:t>T/In</w:t>
                  </w:r>
                </w:p>
              </w:tc>
              <w:tc>
                <w:tcPr>
                  <w:tcW w:w="0" w:type="auto"/>
                  <w:vMerge w:val="continue"/>
                  <w:vAlign w:val="center"/>
                </w:tcPr>
                <w:p w14:paraId="316096E6">
                  <w:pPr>
                    <w:pStyle w:val="79"/>
                  </w:pPr>
                </w:p>
              </w:tc>
              <w:tc>
                <w:tcPr>
                  <w:tcW w:w="0" w:type="auto"/>
                  <w:vMerge w:val="continue"/>
                  <w:vAlign w:val="center"/>
                </w:tcPr>
                <w:p w14:paraId="6189BEAF">
                  <w:pPr>
                    <w:pStyle w:val="79"/>
                  </w:pPr>
                </w:p>
              </w:tc>
            </w:tr>
            <w:tr w14:paraId="36DACDB5">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6" w:hRule="atLeast"/>
              </w:trPr>
              <w:tc>
                <w:tcPr>
                  <w:tcW w:w="0" w:type="auto"/>
                  <w:vAlign w:val="center"/>
                </w:tcPr>
                <w:p w14:paraId="4F2AB68E">
                  <w:pPr>
                    <w:pStyle w:val="79"/>
                  </w:pPr>
                  <w:r>
                    <w:rPr>
                      <w:rFonts w:hint="eastAsia"/>
                    </w:rPr>
                    <w:t>3</w:t>
                  </w:r>
                </w:p>
              </w:tc>
              <w:tc>
                <w:tcPr>
                  <w:tcW w:w="0" w:type="auto"/>
                  <w:vAlign w:val="center"/>
                </w:tcPr>
                <w:p w14:paraId="34AA5382">
                  <w:pPr>
                    <w:pStyle w:val="79"/>
                  </w:pPr>
                  <w:r>
                    <w:rPr>
                      <w:rFonts w:hint="eastAsia"/>
                    </w:rPr>
                    <w:t>废活性炭</w:t>
                  </w:r>
                </w:p>
              </w:tc>
              <w:tc>
                <w:tcPr>
                  <w:tcW w:w="0" w:type="auto"/>
                  <w:vAlign w:val="center"/>
                </w:tcPr>
                <w:p w14:paraId="0552679D">
                  <w:pPr>
                    <w:pStyle w:val="79"/>
                  </w:pPr>
                  <w:r>
                    <w:t>HW49</w:t>
                  </w:r>
                </w:p>
              </w:tc>
              <w:tc>
                <w:tcPr>
                  <w:tcW w:w="0" w:type="auto"/>
                  <w:vAlign w:val="center"/>
                </w:tcPr>
                <w:p w14:paraId="455DAD27">
                  <w:pPr>
                    <w:pStyle w:val="79"/>
                  </w:pPr>
                  <w:r>
                    <w:t>900-041-49</w:t>
                  </w:r>
                </w:p>
              </w:tc>
              <w:tc>
                <w:tcPr>
                  <w:tcW w:w="793" w:type="dxa"/>
                  <w:vAlign w:val="center"/>
                </w:tcPr>
                <w:p w14:paraId="35C89712">
                  <w:pPr>
                    <w:pStyle w:val="79"/>
                  </w:pPr>
                  <w:r>
                    <w:rPr>
                      <w:rFonts w:hint="eastAsia"/>
                    </w:rPr>
                    <w:t>0.5324</w:t>
                  </w:r>
                </w:p>
              </w:tc>
              <w:tc>
                <w:tcPr>
                  <w:tcW w:w="920" w:type="dxa"/>
                  <w:vAlign w:val="center"/>
                </w:tcPr>
                <w:p w14:paraId="6B586893">
                  <w:pPr>
                    <w:pStyle w:val="79"/>
                  </w:pPr>
                  <w:r>
                    <w:rPr>
                      <w:rFonts w:hint="eastAsia"/>
                    </w:rPr>
                    <w:t>废气处置</w:t>
                  </w:r>
                </w:p>
              </w:tc>
              <w:tc>
                <w:tcPr>
                  <w:tcW w:w="0" w:type="auto"/>
                  <w:vAlign w:val="center"/>
                </w:tcPr>
                <w:p w14:paraId="39B0C3D7">
                  <w:pPr>
                    <w:pStyle w:val="79"/>
                  </w:pPr>
                  <w:r>
                    <w:t>固态</w:t>
                  </w:r>
                </w:p>
              </w:tc>
              <w:tc>
                <w:tcPr>
                  <w:tcW w:w="0" w:type="auto"/>
                  <w:vAlign w:val="center"/>
                </w:tcPr>
                <w:p w14:paraId="4D55F36F">
                  <w:pPr>
                    <w:pStyle w:val="79"/>
                  </w:pPr>
                  <w:r>
                    <w:t>废活性炭</w:t>
                  </w:r>
                </w:p>
              </w:tc>
              <w:tc>
                <w:tcPr>
                  <w:tcW w:w="0" w:type="auto"/>
                  <w:vAlign w:val="center"/>
                </w:tcPr>
                <w:p w14:paraId="7568CB7A">
                  <w:pPr>
                    <w:pStyle w:val="79"/>
                    <w:rPr>
                      <w:szCs w:val="21"/>
                    </w:rPr>
                  </w:pPr>
                  <w:r>
                    <w:t>废活性炭</w:t>
                  </w:r>
                </w:p>
              </w:tc>
              <w:tc>
                <w:tcPr>
                  <w:tcW w:w="0" w:type="auto"/>
                  <w:vAlign w:val="center"/>
                </w:tcPr>
                <w:p w14:paraId="50530593">
                  <w:pPr>
                    <w:pStyle w:val="79"/>
                  </w:pPr>
                  <w:r>
                    <w:t>2个月</w:t>
                  </w:r>
                </w:p>
              </w:tc>
              <w:tc>
                <w:tcPr>
                  <w:tcW w:w="0" w:type="auto"/>
                  <w:vAlign w:val="center"/>
                </w:tcPr>
                <w:p w14:paraId="1C09B4CB">
                  <w:pPr>
                    <w:pStyle w:val="79"/>
                  </w:pPr>
                  <w:r>
                    <w:t>T/In</w:t>
                  </w:r>
                </w:p>
              </w:tc>
              <w:tc>
                <w:tcPr>
                  <w:tcW w:w="0" w:type="auto"/>
                  <w:vMerge w:val="continue"/>
                  <w:vAlign w:val="center"/>
                </w:tcPr>
                <w:p w14:paraId="3B6981CC">
                  <w:pPr>
                    <w:pStyle w:val="79"/>
                  </w:pPr>
                </w:p>
              </w:tc>
              <w:tc>
                <w:tcPr>
                  <w:tcW w:w="0" w:type="auto"/>
                  <w:vMerge w:val="continue"/>
                  <w:vAlign w:val="center"/>
                </w:tcPr>
                <w:p w14:paraId="59A555D6">
                  <w:pPr>
                    <w:pStyle w:val="79"/>
                  </w:pPr>
                </w:p>
              </w:tc>
            </w:tr>
          </w:tbl>
          <w:p w14:paraId="03125FDD">
            <w:pPr>
              <w:pStyle w:val="117"/>
              <w:ind w:firstLine="480"/>
            </w:pPr>
            <w:r>
              <w:rPr>
                <w:rFonts w:hint="eastAsia"/>
              </w:rPr>
              <w:t>1）一般工业固废废物</w:t>
            </w:r>
          </w:p>
          <w:p w14:paraId="72F46338">
            <w:pPr>
              <w:pStyle w:val="117"/>
              <w:ind w:firstLine="480"/>
            </w:pPr>
            <w:r>
              <w:rPr>
                <w:rFonts w:hint="eastAsia"/>
              </w:rPr>
              <w:t>项目在厂区北部设置一处占地面积10m</w:t>
            </w:r>
            <w:r>
              <w:rPr>
                <w:rFonts w:hint="eastAsia"/>
                <w:vertAlign w:val="superscript"/>
              </w:rPr>
              <w:t>2</w:t>
            </w:r>
            <w:r>
              <w:rPr>
                <w:rFonts w:hint="eastAsia"/>
              </w:rPr>
              <w:t>的一般固废储存区，一般工业固体废物按照《一般工业固体废物贮存和填埋控制标准》（GB18599-2020）要求分类暂存于储存内，地面水泥硬化，满足防风、防雨、防晒的要求。建设单位应建立档案制度，将入场的一般工业固体废物的种类和数量等资料记录在案，长期保存。禁止危险废物和生活垃圾混入一般工业固废中。</w:t>
            </w:r>
          </w:p>
          <w:p w14:paraId="248F558E">
            <w:pPr>
              <w:pStyle w:val="117"/>
              <w:ind w:firstLine="480"/>
            </w:pPr>
            <w:r>
              <w:rPr>
                <w:rFonts w:hint="eastAsia"/>
              </w:rPr>
              <w:t>一般固体废物贮存场设置要求包括：</w:t>
            </w:r>
          </w:p>
          <w:p w14:paraId="29D1FCE2">
            <w:pPr>
              <w:pStyle w:val="117"/>
              <w:ind w:firstLine="480"/>
            </w:pPr>
            <w:r>
              <w:rPr>
                <w:rFonts w:hint="eastAsia"/>
              </w:rPr>
              <w:t>①选址要求：贮存场选址需避开自然保护区、风景名胜区、饮用水水源保护区、基本农田保护区等生态敏感区域，且符合当地国土空间规划及环境保护规划，不占用永久基本农田，远离居民集中区及重要公共设施。</w:t>
            </w:r>
          </w:p>
          <w:p w14:paraId="77DF2AD6">
            <w:pPr>
              <w:pStyle w:val="117"/>
              <w:ind w:firstLine="480"/>
            </w:pPr>
            <w:r>
              <w:rPr>
                <w:rFonts w:hint="eastAsia"/>
              </w:rPr>
              <w:t>②防渗要求：根据贮存的一般工业固体废物类别采取对应防渗措施——贮存第Ⅰ类一般工业固体废物时，防渗层应采用至少</w:t>
            </w:r>
            <w:r>
              <w:t>1.5mm</w:t>
            </w:r>
            <w:r>
              <w:rPr>
                <w:rFonts w:hint="eastAsia"/>
              </w:rPr>
              <w:t>厚高密度聚乙烯膜或其他等效材料，渗透系数≤</w:t>
            </w:r>
            <w:r>
              <w:t>10⁻⁷cm/s</w:t>
            </w:r>
            <w:r>
              <w:rPr>
                <w:rFonts w:hint="eastAsia"/>
              </w:rPr>
              <w:t>；贮存第Ⅱ类一般工业固体废物时，防渗层渗透系数≤</w:t>
            </w:r>
            <w:r>
              <w:t>10⁻⁵cm/s</w:t>
            </w:r>
            <w:r>
              <w:rPr>
                <w:rFonts w:hint="eastAsia"/>
              </w:rPr>
              <w:t>，且需避免固废与渗滤液直接接触土壤。</w:t>
            </w:r>
          </w:p>
          <w:p w14:paraId="477B518C">
            <w:pPr>
              <w:pStyle w:val="117"/>
              <w:ind w:firstLine="480"/>
            </w:pPr>
            <w:r>
              <w:rPr>
                <w:rFonts w:hint="eastAsia"/>
              </w:rPr>
              <w:t>③设施建设：贮存场应设置不低于1.2m的硬质围挡或围墙，配备防雨、防晒、防风设施（如加盖顶棚、设置防风抑尘网）；场内需划分不同类别固废的贮存区域，设置清晰的标识牌（注明固废名称、类别、产生单位、贮存期限等）；同时配套建设渗滤液收集导排系统（如渗滤液收集沟、集水池）及雨水分流系统，防止雨水混入渗滤液或固废流失。</w:t>
            </w:r>
          </w:p>
          <w:p w14:paraId="60F440CC">
            <w:pPr>
              <w:pStyle w:val="117"/>
              <w:ind w:firstLine="480"/>
            </w:pPr>
            <w:r>
              <w:rPr>
                <w:rFonts w:hint="eastAsia"/>
              </w:rPr>
              <w:t>④运行管理：固废应按类别分类贮存，禁止不同类别、不相容的一般工业固体废物混合贮存；建立贮存台账，记录固废的产生量、贮存量、转移量及去向，贮存期限不得超过1年（确需延长的需报当地生态环境部门备案）；定期对贮存场设施（防渗层、导排系统、围挡等）进行检查维护，发现破损或渗漏时及时修复。</w:t>
            </w:r>
          </w:p>
          <w:p w14:paraId="1566C341">
            <w:pPr>
              <w:pStyle w:val="117"/>
              <w:ind w:firstLine="480"/>
            </w:pPr>
            <w:r>
              <w:rPr>
                <w:rFonts w:hint="eastAsia"/>
              </w:rPr>
              <w:t>⑤封场与监测：若贮存场停止使用，需按标准要求进行封场——铺设至少</w:t>
            </w:r>
            <w:r>
              <w:t>60cm</w:t>
            </w:r>
            <w:r>
              <w:rPr>
                <w:rFonts w:hint="eastAsia"/>
              </w:rPr>
              <w:t>厚的压实黏土覆盖层（渗透系数≤</w:t>
            </w:r>
            <w:r>
              <w:t>10⁻⁵cm/s</w:t>
            </w:r>
            <w:r>
              <w:rPr>
                <w:rFonts w:hint="eastAsia"/>
              </w:rPr>
              <w:t>），其上再铺设植被恢复层；封场后需持续开展渗滤液水质、地下水水质监测，监测周期不少于</w:t>
            </w:r>
            <w:r>
              <w:t>3</w:t>
            </w:r>
            <w:r>
              <w:rPr>
                <w:rFonts w:hint="eastAsia"/>
              </w:rPr>
              <w:t>年，确保无环境污染风险。</w:t>
            </w:r>
          </w:p>
          <w:p w14:paraId="225D52BB">
            <w:pPr>
              <w:pStyle w:val="117"/>
              <w:ind w:firstLine="480"/>
            </w:pPr>
            <w:r>
              <w:rPr>
                <w:rFonts w:hint="eastAsia"/>
              </w:rPr>
              <w:t>⑥应急措施：配备防扬散、防流失、防渗漏的应急物资（如防雨布、吸油棉、防渗补丁材料等），若发生固废扬散、渗滤液泄漏等情况，应立即启动应急处理措施，控制污染扩散并及时报告当地生态环境部门。</w:t>
            </w:r>
          </w:p>
          <w:p w14:paraId="713B99A9">
            <w:pPr>
              <w:pStyle w:val="117"/>
              <w:ind w:firstLine="480"/>
            </w:pPr>
            <w:r>
              <w:rPr>
                <w:rFonts w:hint="eastAsia"/>
              </w:rPr>
              <w:t>2）危险废物</w:t>
            </w:r>
          </w:p>
          <w:p w14:paraId="1682DE69">
            <w:pPr>
              <w:pStyle w:val="117"/>
              <w:ind w:firstLine="480"/>
            </w:pPr>
            <w:r>
              <w:rPr>
                <w:rFonts w:hint="eastAsia"/>
              </w:rPr>
              <w:t>项目在厂区北部设置一座占地面积10m</w:t>
            </w:r>
            <w:r>
              <w:rPr>
                <w:rFonts w:hint="eastAsia"/>
                <w:vertAlign w:val="superscript"/>
              </w:rPr>
              <w:t>2</w:t>
            </w:r>
            <w:r>
              <w:rPr>
                <w:rFonts w:hint="eastAsia"/>
              </w:rPr>
              <w:t>的危废暂存间，暂存间严格按照《危险废物贮存污染控制标准》（GB18597-2</w:t>
            </w:r>
            <w:r>
              <w:t>023</w:t>
            </w:r>
            <w:r>
              <w:rPr>
                <w:rFonts w:hint="eastAsia"/>
              </w:rPr>
              <w:t>）的要求进行设计，贮存场设置警示标志，设施周围设置围挡，应满足防风、防雨、防晒要求，能防止雨水径流进入贮存场所；地面进行防渗硬化处理，满足防渗要求。危险废物容器满足强度要求，保证完好无损，不与危险废物反应。危险废物必须按危险固废管理办法，按危险固废处置程序，纳入“五联单”管理制度。危险废物在贮存、转运前进行检查，并登记注册，作好废物名称、来源、数量、入库日期、存放位置、出库日期、接收单位等记录。企业应按《危险废物贮存污染控制标准》（GB18597-2001）及其修改单的相关要求建设危废暂存间。</w:t>
            </w:r>
          </w:p>
          <w:p w14:paraId="359B18EB">
            <w:pPr>
              <w:pStyle w:val="117"/>
              <w:ind w:firstLine="480"/>
            </w:pPr>
            <w:r>
              <w:rPr>
                <w:rFonts w:hint="eastAsia"/>
              </w:rPr>
              <w:t>危废暂存间的建设要求包括：</w:t>
            </w:r>
          </w:p>
          <w:p w14:paraId="1A17C0BF">
            <w:pPr>
              <w:pStyle w:val="117"/>
              <w:ind w:firstLine="480"/>
            </w:pPr>
            <w:r>
              <w:rPr>
                <w:rFonts w:hint="eastAsia"/>
              </w:rPr>
              <w:t>①地面与裙脚要用坚固、防渗的材料建造，建筑材料必须与危险废物相容。</w:t>
            </w:r>
          </w:p>
          <w:p w14:paraId="1C4A1CE8">
            <w:pPr>
              <w:pStyle w:val="117"/>
              <w:ind w:firstLine="480"/>
            </w:pPr>
            <w:r>
              <w:rPr>
                <w:rFonts w:hint="eastAsia"/>
              </w:rPr>
              <w:t>②必须有泄漏液体收集装置、气体导出口。</w:t>
            </w:r>
          </w:p>
          <w:p w14:paraId="6243A8A0">
            <w:pPr>
              <w:pStyle w:val="117"/>
              <w:ind w:firstLine="480"/>
            </w:pPr>
            <w:r>
              <w:rPr>
                <w:rFonts w:hint="eastAsia"/>
              </w:rPr>
              <w:t>③设施内要有安全照明设施和观察窗口。</w:t>
            </w:r>
          </w:p>
          <w:p w14:paraId="58A8F2BE">
            <w:pPr>
              <w:pStyle w:val="117"/>
              <w:ind w:firstLine="480"/>
            </w:pPr>
            <w:r>
              <w:rPr>
                <w:rFonts w:hint="eastAsia"/>
              </w:rPr>
              <w:t>④用以存放装载液态、半固体危险废物容器的地方，必须有耐腐蚀的硬化地面，且表面无裂隙。</w:t>
            </w:r>
          </w:p>
          <w:p w14:paraId="64753D16">
            <w:pPr>
              <w:pStyle w:val="117"/>
              <w:ind w:firstLine="480"/>
            </w:pPr>
            <w:r>
              <w:rPr>
                <w:rFonts w:hint="eastAsia"/>
              </w:rPr>
              <w:t>⑤应设计堵截泄漏的裙脚，地面与裙脚所围建的容积不低于堵截最大容器的最大储量或总储量的五分之一。</w:t>
            </w:r>
          </w:p>
          <w:p w14:paraId="00B55B93">
            <w:pPr>
              <w:pStyle w:val="117"/>
              <w:ind w:firstLine="480"/>
            </w:pPr>
            <w:r>
              <w:rPr>
                <w:rFonts w:hint="eastAsia"/>
              </w:rPr>
              <w:t>⑥不相容的危险废物必须分开存放，并设有隔离间隔。</w:t>
            </w:r>
          </w:p>
          <w:p w14:paraId="4886BD11">
            <w:pPr>
              <w:pStyle w:val="117"/>
              <w:ind w:firstLine="480"/>
            </w:pPr>
            <w:r>
              <w:rPr>
                <w:rFonts w:hint="eastAsia"/>
              </w:rPr>
              <w:t>⑦基础必须防渗，防渗层为2毫米厚高密度聚乙烯，或至少2毫米厚的其他人工材料，渗透系数≤10</w:t>
            </w:r>
            <w:r>
              <w:rPr>
                <w:rFonts w:hint="eastAsia"/>
                <w:vertAlign w:val="superscript"/>
              </w:rPr>
              <w:t>-10</w:t>
            </w:r>
            <w:r>
              <w:rPr>
                <w:rFonts w:hint="eastAsia"/>
              </w:rPr>
              <w:t>厘米/秒。</w:t>
            </w:r>
          </w:p>
          <w:p w14:paraId="74100486">
            <w:pPr>
              <w:pStyle w:val="117"/>
              <w:ind w:firstLine="480"/>
            </w:pPr>
            <w:r>
              <w:rPr>
                <w:rFonts w:hint="eastAsia"/>
              </w:rPr>
              <w:t>危险废物应按照《危险废物贮存污染控制标准》（GB18597-2023）的相关要求进行贮存，做好警示标识，而且要定期检查储存容器是否有损坏，防止泄漏，然后定期交由有危险废物资质单位回收处理，运输转移时装载危险废物的车辆必须做好防渗、防漏的措施，按《危险废物转移联单管理办法》做好申报转移记录。</w:t>
            </w:r>
          </w:p>
          <w:p w14:paraId="258A7BB2">
            <w:pPr>
              <w:pStyle w:val="117"/>
              <w:ind w:firstLine="480"/>
            </w:pPr>
            <w:r>
              <w:rPr>
                <w:rFonts w:hint="eastAsia"/>
              </w:rPr>
              <w:t>另外，根据《建设项目危险废物环境影响评价指南》，企业须根据管理台账和近年生产计划，制订危险废物管理计划，并报当地环保部门备案。台账应如实记载产生危险废物的种类、数量、利用、贮存、处置、流向等信息，以此作为向当地环保部门申报危险废物管理计划的编制依据。产生的危险废物实行分类收集后置于贮存设施内，贮存时限一般不得超过一年，并设专人管理。盛装危险废物的容器和包装物以及产生、收集、贮存、运输、处置危险废物的场所，必须依法设置相应标识、警示标志和标签，标签上应注明贮存的废物类别、危害性以及开始贮存时间等内容。企业必须严格执行危险废物转移计划报批和依法运行危险废物转移联单，并通过信息系统登记转移计划和电子转移联单。企业还需健全生产单位内部管理制度，包括落实危险废物产生信息公开制度，建立员工培训和固体废物管理员制度，完善危险废物相关档案管理制度。</w:t>
            </w:r>
          </w:p>
          <w:p w14:paraId="4CB82E9C">
            <w:pPr>
              <w:pStyle w:val="117"/>
              <w:ind w:firstLine="480"/>
            </w:pPr>
            <w:r>
              <w:rPr>
                <w:rFonts w:hint="eastAsia"/>
              </w:rPr>
              <w:t>环境管理台账记录要求</w:t>
            </w:r>
          </w:p>
          <w:p w14:paraId="50E0F36F">
            <w:pPr>
              <w:pStyle w:val="117"/>
              <w:ind w:firstLine="480"/>
            </w:pPr>
            <w:r>
              <w:rPr>
                <w:rFonts w:hint="eastAsia"/>
              </w:rPr>
              <w:t>①记录内容：“排污单位应建立工业固体废物环境管理台账，危险废物环境管理台账记录应符合《危险废物产生单位管理计划制定指南》《危险废物管理计划和管理台账制定技术导则》（HJ 1259-2022）等标准及管理文件的相关要求，一般工业固体废物环境管理台账记录应符合《一般工业固体废物管理台账制定指南》要求。”</w:t>
            </w:r>
          </w:p>
          <w:p w14:paraId="60E7BE37">
            <w:pPr>
              <w:pStyle w:val="117"/>
              <w:ind w:firstLine="480"/>
            </w:pPr>
            <w:r>
              <w:rPr>
                <w:rFonts w:hint="eastAsia"/>
              </w:rPr>
              <w:t>②记录频次：“危险废物和一般工业固体废物需分别符合《危险废物产生单位管理计划制定指南》和《一般工业固体废物管理台账制定指南》要求。”</w:t>
            </w:r>
          </w:p>
          <w:p w14:paraId="35793C77">
            <w:pPr>
              <w:pStyle w:val="117"/>
              <w:ind w:firstLine="480"/>
            </w:pPr>
            <w:r>
              <w:rPr>
                <w:rFonts w:hint="eastAsia"/>
              </w:rPr>
              <w:t>③记录形式：一般固废台账保存期限不少于5年，危废台账保存期限不少于10年。</w:t>
            </w:r>
          </w:p>
          <w:p w14:paraId="07117E12">
            <w:pPr>
              <w:pStyle w:val="117"/>
              <w:ind w:firstLine="480"/>
            </w:pPr>
            <w:r>
              <w:rPr>
                <w:rFonts w:hint="eastAsia"/>
              </w:rPr>
              <w:t>综上所述，项目产生的固体废物均按规定采取措施妥善处置，符合有关环保要求，污染防治措施可行。</w:t>
            </w:r>
          </w:p>
          <w:p w14:paraId="451E2E0A">
            <w:pPr>
              <w:pStyle w:val="117"/>
              <w:ind w:firstLine="482"/>
              <w:rPr>
                <w:b/>
                <w:bCs w:val="0"/>
              </w:rPr>
            </w:pPr>
            <w:r>
              <w:rPr>
                <w:rFonts w:hint="eastAsia" w:ascii="宋体" w:hAnsi="宋体" w:cs="宋体"/>
                <w:b/>
                <w:bCs w:val="0"/>
              </w:rPr>
              <w:t>五</w:t>
            </w:r>
            <w:r>
              <w:rPr>
                <w:b/>
                <w:bCs w:val="0"/>
                <w:spacing w:val="2"/>
              </w:rPr>
              <w:t>、</w:t>
            </w:r>
            <w:r>
              <w:rPr>
                <w:b/>
                <w:bCs w:val="0"/>
              </w:rPr>
              <w:t>环</w:t>
            </w:r>
            <w:r>
              <w:rPr>
                <w:b/>
                <w:bCs w:val="0"/>
                <w:spacing w:val="2"/>
              </w:rPr>
              <w:t>境</w:t>
            </w:r>
            <w:r>
              <w:rPr>
                <w:b/>
                <w:bCs w:val="0"/>
              </w:rPr>
              <w:t>风险</w:t>
            </w:r>
            <w:r>
              <w:rPr>
                <w:b/>
                <w:bCs w:val="0"/>
                <w:spacing w:val="2"/>
              </w:rPr>
              <w:t>分</w:t>
            </w:r>
            <w:r>
              <w:rPr>
                <w:b/>
                <w:bCs w:val="0"/>
              </w:rPr>
              <w:t>析</w:t>
            </w:r>
          </w:p>
          <w:p w14:paraId="31D903A2">
            <w:pPr>
              <w:ind w:firstLine="480"/>
              <w:rPr>
                <w:bCs/>
                <w:kern w:val="44"/>
              </w:rPr>
            </w:pPr>
            <w:r>
              <w:rPr>
                <w:rFonts w:hint="eastAsia"/>
                <w:bCs/>
                <w:kern w:val="44"/>
              </w:rPr>
              <w:t>根据《建设项目环境风险评价技术导则》（</w:t>
            </w:r>
            <w:r>
              <w:rPr>
                <w:bCs/>
                <w:kern w:val="44"/>
              </w:rPr>
              <w:t>HJ169-2018</w:t>
            </w:r>
            <w:r>
              <w:rPr>
                <w:rFonts w:hint="eastAsia"/>
                <w:bCs/>
                <w:kern w:val="44"/>
              </w:rPr>
              <w:t>），</w:t>
            </w:r>
            <w:r>
              <w:rPr>
                <w:bCs/>
                <w:kern w:val="44"/>
              </w:rPr>
              <w:t>计算所涉及的每种危险物质在厂界内的最大存在总量与其在附录B中对应临界量的比值Q。</w:t>
            </w:r>
          </w:p>
          <w:p w14:paraId="6D6D3B0F">
            <w:pPr>
              <w:ind w:firstLine="480"/>
              <w:rPr>
                <w:bCs/>
                <w:kern w:val="44"/>
              </w:rPr>
            </w:pPr>
            <w:r>
              <w:rPr>
                <w:bCs/>
                <w:kern w:val="44"/>
              </w:rPr>
              <w:t>当只涉及一种危险物质时，计算该物质的总量与其临界量比值，即为 Q；</w:t>
            </w:r>
          </w:p>
          <w:p w14:paraId="127FAD28">
            <w:pPr>
              <w:ind w:firstLine="480"/>
              <w:rPr>
                <w:bCs/>
                <w:kern w:val="44"/>
                <w:lang w:val="en-GB"/>
              </w:rPr>
            </w:pPr>
            <w:r>
              <w:rPr>
                <w:bCs/>
                <w:kern w:val="44"/>
              </w:rPr>
              <w:t>当存在多种</w:t>
            </w:r>
            <w:r>
              <w:rPr>
                <w:bCs/>
                <w:kern w:val="44"/>
                <w:lang w:val="en-GB"/>
              </w:rPr>
              <w:t>危险物质时，则按式（C.1）计算物质总量与其临界量比值（Q）：</w:t>
            </w:r>
          </w:p>
          <w:p w14:paraId="47229100">
            <w:pPr>
              <w:ind w:firstLine="0" w:firstLineChars="0"/>
              <w:jc w:val="center"/>
              <w:rPr>
                <w:bCs/>
                <w:kern w:val="44"/>
                <w:lang w:val="en-GB"/>
              </w:rPr>
            </w:pPr>
            <w:r>
              <w:rPr>
                <w:bCs/>
                <w:kern w:val="44"/>
              </w:rPr>
              <w:drawing>
                <wp:inline distT="0" distB="0" distL="0" distR="0">
                  <wp:extent cx="4533900" cy="590550"/>
                  <wp:effectExtent l="0" t="0" r="0" b="0"/>
                  <wp:docPr id="19395897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589723" name="图片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533900" cy="590550"/>
                          </a:xfrm>
                          <a:prstGeom prst="rect">
                            <a:avLst/>
                          </a:prstGeom>
                          <a:noFill/>
                          <a:ln>
                            <a:noFill/>
                          </a:ln>
                        </pic:spPr>
                      </pic:pic>
                    </a:graphicData>
                  </a:graphic>
                </wp:inline>
              </w:drawing>
            </w:r>
          </w:p>
          <w:p w14:paraId="1421930E">
            <w:pPr>
              <w:ind w:firstLine="480"/>
              <w:rPr>
                <w:bCs/>
                <w:kern w:val="44"/>
                <w:lang w:val="en-GB"/>
              </w:rPr>
            </w:pPr>
            <w:r>
              <w:rPr>
                <w:bCs/>
                <w:kern w:val="44"/>
                <w:lang w:val="en-GB"/>
              </w:rPr>
              <w:t>式中：q</w:t>
            </w:r>
            <w:r>
              <w:rPr>
                <w:bCs/>
                <w:kern w:val="44"/>
                <w:vertAlign w:val="subscript"/>
                <w:lang w:val="en-GB"/>
              </w:rPr>
              <w:t>1</w:t>
            </w:r>
            <w:r>
              <w:rPr>
                <w:bCs/>
                <w:kern w:val="44"/>
                <w:lang w:val="en-GB"/>
              </w:rPr>
              <w:t xml:space="preserve"> ，q</w:t>
            </w:r>
            <w:r>
              <w:rPr>
                <w:bCs/>
                <w:kern w:val="44"/>
                <w:vertAlign w:val="subscript"/>
                <w:lang w:val="en-GB"/>
              </w:rPr>
              <w:t>2</w:t>
            </w:r>
            <w:r>
              <w:rPr>
                <w:bCs/>
                <w:kern w:val="44"/>
                <w:lang w:val="en-GB"/>
              </w:rPr>
              <w:t>，...，qn ——每种危险物质的最大存在总量，t；</w:t>
            </w:r>
          </w:p>
          <w:p w14:paraId="671342B2">
            <w:pPr>
              <w:ind w:firstLine="480"/>
              <w:rPr>
                <w:bCs/>
                <w:kern w:val="44"/>
                <w:lang w:val="en-GB"/>
              </w:rPr>
            </w:pPr>
            <w:r>
              <w:rPr>
                <w:bCs/>
                <w:kern w:val="44"/>
                <w:lang w:val="en-GB"/>
              </w:rPr>
              <w:t>Q</w:t>
            </w:r>
            <w:r>
              <w:rPr>
                <w:bCs/>
                <w:kern w:val="44"/>
                <w:vertAlign w:val="subscript"/>
                <w:lang w:val="en-GB"/>
              </w:rPr>
              <w:t>1</w:t>
            </w:r>
            <w:r>
              <w:rPr>
                <w:bCs/>
                <w:kern w:val="44"/>
                <w:lang w:val="en-GB"/>
              </w:rPr>
              <w:t xml:space="preserve"> ，Q</w:t>
            </w:r>
            <w:r>
              <w:rPr>
                <w:bCs/>
                <w:kern w:val="44"/>
                <w:vertAlign w:val="subscript"/>
                <w:lang w:val="en-GB"/>
              </w:rPr>
              <w:t>2</w:t>
            </w:r>
            <w:r>
              <w:rPr>
                <w:bCs/>
                <w:kern w:val="44"/>
                <w:lang w:val="en-GB"/>
              </w:rPr>
              <w:t>， ..., Qn ——每种危险物质的临界量，t。</w:t>
            </w:r>
          </w:p>
          <w:p w14:paraId="68F292DC">
            <w:pPr>
              <w:ind w:firstLine="480"/>
              <w:rPr>
                <w:bCs/>
                <w:kern w:val="44"/>
                <w:lang w:val="en-GB"/>
              </w:rPr>
            </w:pPr>
            <w:r>
              <w:rPr>
                <w:bCs/>
                <w:kern w:val="44"/>
                <w:lang w:val="en-GB"/>
              </w:rPr>
              <w:t>当 Q＜1 时，该项目环境风险潜势为Ⅰ。</w:t>
            </w:r>
          </w:p>
          <w:p w14:paraId="3CF8E6DA">
            <w:pPr>
              <w:ind w:firstLine="480"/>
              <w:rPr>
                <w:bCs/>
                <w:kern w:val="44"/>
                <w:lang w:val="en-GB"/>
              </w:rPr>
            </w:pPr>
            <w:r>
              <w:rPr>
                <w:bCs/>
                <w:kern w:val="44"/>
                <w:lang w:val="en-GB"/>
              </w:rPr>
              <w:t>当 Q≥1 时，将Q值划分为：（1）1≤Q＜10；（2）10≤Q＜100；（3）Q≥100。</w:t>
            </w:r>
          </w:p>
          <w:p w14:paraId="33BD065F">
            <w:pPr>
              <w:ind w:firstLine="480"/>
            </w:pPr>
            <w:r>
              <w:rPr>
                <w:bCs/>
                <w:kern w:val="44"/>
              </w:rPr>
              <w:t>针对企业的生产情况，经查阅《建设项目环境风险评价技术导则》（HJ169-2018）附录B，项目涉及的环境风险物质</w:t>
            </w:r>
            <w:r>
              <w:rPr>
                <w:rFonts w:hint="eastAsia"/>
                <w:bCs/>
                <w:kern w:val="44"/>
              </w:rPr>
              <w:t>为</w:t>
            </w:r>
            <w:r>
              <w:rPr>
                <w:rFonts w:hint="eastAsia"/>
              </w:rPr>
              <w:t>废润滑油</w:t>
            </w:r>
            <w:r>
              <w:rPr>
                <w:bCs/>
                <w:kern w:val="44"/>
              </w:rPr>
              <w:t>储存情况</w:t>
            </w:r>
            <w:r>
              <w:rPr>
                <w:rFonts w:hint="eastAsia"/>
                <w:bCs/>
                <w:kern w:val="44"/>
              </w:rPr>
              <w:t>见下表。</w:t>
            </w:r>
          </w:p>
          <w:p w14:paraId="75AA47CB">
            <w:pPr>
              <w:adjustRightInd w:val="0"/>
              <w:ind w:firstLine="360" w:firstLineChars="0"/>
              <w:jc w:val="center"/>
              <w:rPr>
                <w:b/>
                <w:szCs w:val="22"/>
                <w:lang w:val="zh-CN"/>
              </w:rPr>
            </w:pPr>
            <w:r>
              <w:rPr>
                <w:b/>
                <w:szCs w:val="22"/>
                <w:lang w:val="zh-CN"/>
              </w:rPr>
              <w:t>表4-1</w:t>
            </w:r>
            <w:r>
              <w:rPr>
                <w:rFonts w:hint="eastAsia"/>
                <w:b/>
                <w:szCs w:val="22"/>
                <w:lang w:val="zh-CN"/>
              </w:rPr>
              <w:t>2</w:t>
            </w:r>
            <w:r>
              <w:rPr>
                <w:b/>
                <w:szCs w:val="22"/>
                <w:lang w:val="zh-CN"/>
              </w:rPr>
              <w:t xml:space="preserve">  环境风险物质与临界量</w:t>
            </w:r>
          </w:p>
          <w:tbl>
            <w:tblPr>
              <w:tblStyle w:val="3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224"/>
              <w:gridCol w:w="2144"/>
              <w:gridCol w:w="2609"/>
              <w:gridCol w:w="1283"/>
              <w:gridCol w:w="1081"/>
            </w:tblGrid>
            <w:tr w14:paraId="36062F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734" w:type="pct"/>
                  <w:vAlign w:val="center"/>
                </w:tcPr>
                <w:p w14:paraId="20913C6C">
                  <w:pPr>
                    <w:adjustRightInd w:val="0"/>
                    <w:spacing w:line="240" w:lineRule="auto"/>
                    <w:ind w:firstLine="0" w:firstLineChars="0"/>
                    <w:jc w:val="center"/>
                    <w:rPr>
                      <w:sz w:val="21"/>
                      <w:szCs w:val="20"/>
                      <w:lang w:val="zh-CN"/>
                    </w:rPr>
                  </w:pPr>
                  <w:r>
                    <w:rPr>
                      <w:sz w:val="21"/>
                      <w:szCs w:val="20"/>
                      <w:lang w:val="zh-CN"/>
                    </w:rPr>
                    <w:t>物质名称</w:t>
                  </w:r>
                </w:p>
              </w:tc>
              <w:tc>
                <w:tcPr>
                  <w:tcW w:w="1285" w:type="pct"/>
                  <w:vAlign w:val="center"/>
                </w:tcPr>
                <w:p w14:paraId="7EC7B081">
                  <w:pPr>
                    <w:adjustRightInd w:val="0"/>
                    <w:spacing w:line="240" w:lineRule="auto"/>
                    <w:ind w:firstLine="0" w:firstLineChars="0"/>
                    <w:jc w:val="center"/>
                    <w:rPr>
                      <w:sz w:val="21"/>
                      <w:szCs w:val="20"/>
                      <w:lang w:val="zh-CN"/>
                    </w:rPr>
                  </w:pPr>
                  <w:r>
                    <w:rPr>
                      <w:sz w:val="21"/>
                      <w:szCs w:val="20"/>
                      <w:lang w:val="zh-CN"/>
                    </w:rPr>
                    <w:t>存储方式与地点</w:t>
                  </w:r>
                </w:p>
              </w:tc>
              <w:tc>
                <w:tcPr>
                  <w:tcW w:w="1564" w:type="pct"/>
                  <w:vAlign w:val="center"/>
                </w:tcPr>
                <w:p w14:paraId="4DCB4AAF">
                  <w:pPr>
                    <w:adjustRightInd w:val="0"/>
                    <w:spacing w:line="240" w:lineRule="auto"/>
                    <w:ind w:firstLine="0" w:firstLineChars="0"/>
                    <w:jc w:val="center"/>
                    <w:rPr>
                      <w:sz w:val="21"/>
                      <w:szCs w:val="20"/>
                      <w:lang w:val="zh-CN"/>
                    </w:rPr>
                  </w:pPr>
                  <w:r>
                    <w:rPr>
                      <w:sz w:val="21"/>
                      <w:szCs w:val="20"/>
                      <w:lang w:val="zh-CN"/>
                    </w:rPr>
                    <w:t>实际最大储存量（q）</w:t>
                  </w:r>
                </w:p>
              </w:tc>
              <w:tc>
                <w:tcPr>
                  <w:tcW w:w="769" w:type="pct"/>
                  <w:vAlign w:val="center"/>
                </w:tcPr>
                <w:p w14:paraId="0AFD054D">
                  <w:pPr>
                    <w:adjustRightInd w:val="0"/>
                    <w:spacing w:line="240" w:lineRule="auto"/>
                    <w:ind w:firstLine="0" w:firstLineChars="0"/>
                    <w:jc w:val="center"/>
                    <w:rPr>
                      <w:sz w:val="21"/>
                      <w:szCs w:val="20"/>
                      <w:lang w:val="zh-CN"/>
                    </w:rPr>
                  </w:pPr>
                  <w:r>
                    <w:rPr>
                      <w:sz w:val="21"/>
                      <w:szCs w:val="20"/>
                      <w:lang w:val="zh-CN"/>
                    </w:rPr>
                    <w:t>临界量（Q）</w:t>
                  </w:r>
                </w:p>
              </w:tc>
              <w:tc>
                <w:tcPr>
                  <w:tcW w:w="648" w:type="pct"/>
                  <w:vAlign w:val="center"/>
                </w:tcPr>
                <w:p w14:paraId="27C119C4">
                  <w:pPr>
                    <w:adjustRightInd w:val="0"/>
                    <w:spacing w:line="240" w:lineRule="auto"/>
                    <w:ind w:firstLine="0" w:firstLineChars="0"/>
                    <w:jc w:val="center"/>
                    <w:rPr>
                      <w:sz w:val="21"/>
                      <w:szCs w:val="20"/>
                      <w:lang w:val="zh-CN"/>
                    </w:rPr>
                  </w:pPr>
                  <w:r>
                    <w:rPr>
                      <w:sz w:val="21"/>
                      <w:szCs w:val="20"/>
                      <w:lang w:val="zh-CN"/>
                    </w:rPr>
                    <w:t>q/Q</w:t>
                  </w:r>
                </w:p>
              </w:tc>
            </w:tr>
            <w:tr w14:paraId="1AFDB9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734" w:type="pct"/>
                  <w:vAlign w:val="center"/>
                </w:tcPr>
                <w:p w14:paraId="266941A9">
                  <w:pPr>
                    <w:adjustRightInd w:val="0"/>
                    <w:spacing w:line="240" w:lineRule="auto"/>
                    <w:ind w:firstLine="0" w:firstLineChars="0"/>
                    <w:jc w:val="center"/>
                    <w:rPr>
                      <w:sz w:val="21"/>
                      <w:szCs w:val="20"/>
                      <w:lang w:val="zh-CN"/>
                    </w:rPr>
                  </w:pPr>
                  <w:r>
                    <w:rPr>
                      <w:rFonts w:hint="eastAsia"/>
                      <w:sz w:val="21"/>
                      <w:szCs w:val="20"/>
                      <w:lang w:val="zh-CN"/>
                    </w:rPr>
                    <w:t>废润滑油</w:t>
                  </w:r>
                </w:p>
              </w:tc>
              <w:tc>
                <w:tcPr>
                  <w:tcW w:w="1285" w:type="pct"/>
                  <w:vAlign w:val="center"/>
                </w:tcPr>
                <w:p w14:paraId="2F08AA77">
                  <w:pPr>
                    <w:adjustRightInd w:val="0"/>
                    <w:spacing w:line="240" w:lineRule="auto"/>
                    <w:ind w:firstLine="0" w:firstLineChars="0"/>
                    <w:jc w:val="center"/>
                    <w:rPr>
                      <w:sz w:val="21"/>
                      <w:szCs w:val="20"/>
                      <w:lang w:val="zh-CN"/>
                    </w:rPr>
                  </w:pPr>
                  <w:r>
                    <w:rPr>
                      <w:rFonts w:hint="eastAsia"/>
                      <w:sz w:val="21"/>
                      <w:szCs w:val="20"/>
                      <w:lang w:val="zh-CN"/>
                    </w:rPr>
                    <w:t>危废暂存间，桶装。</w:t>
                  </w:r>
                </w:p>
              </w:tc>
              <w:tc>
                <w:tcPr>
                  <w:tcW w:w="1564" w:type="pct"/>
                  <w:vAlign w:val="center"/>
                </w:tcPr>
                <w:p w14:paraId="7A80684D">
                  <w:pPr>
                    <w:adjustRightInd w:val="0"/>
                    <w:spacing w:line="240" w:lineRule="auto"/>
                    <w:ind w:firstLine="0" w:firstLineChars="0"/>
                    <w:jc w:val="center"/>
                    <w:rPr>
                      <w:sz w:val="21"/>
                      <w:szCs w:val="20"/>
                      <w:lang w:val="zh-CN"/>
                    </w:rPr>
                  </w:pPr>
                  <w:r>
                    <w:rPr>
                      <w:rFonts w:hint="eastAsia"/>
                      <w:sz w:val="21"/>
                      <w:szCs w:val="20"/>
                      <w:lang w:val="zh-CN"/>
                    </w:rPr>
                    <w:t>0.2t</w:t>
                  </w:r>
                </w:p>
              </w:tc>
              <w:tc>
                <w:tcPr>
                  <w:tcW w:w="769" w:type="pct"/>
                  <w:vAlign w:val="center"/>
                </w:tcPr>
                <w:p w14:paraId="2B2E4058">
                  <w:pPr>
                    <w:adjustRightInd w:val="0"/>
                    <w:spacing w:line="240" w:lineRule="auto"/>
                    <w:ind w:firstLine="420"/>
                    <w:rPr>
                      <w:sz w:val="21"/>
                      <w:szCs w:val="20"/>
                      <w:lang w:val="zh-CN"/>
                    </w:rPr>
                  </w:pPr>
                  <w:r>
                    <w:rPr>
                      <w:sz w:val="21"/>
                      <w:szCs w:val="20"/>
                      <w:lang w:val="zh-CN"/>
                    </w:rPr>
                    <w:t>2500t</w:t>
                  </w:r>
                </w:p>
              </w:tc>
              <w:tc>
                <w:tcPr>
                  <w:tcW w:w="648" w:type="pct"/>
                  <w:vAlign w:val="center"/>
                </w:tcPr>
                <w:p w14:paraId="286738E0">
                  <w:pPr>
                    <w:adjustRightInd w:val="0"/>
                    <w:spacing w:line="240" w:lineRule="auto"/>
                    <w:ind w:firstLine="0" w:firstLineChars="0"/>
                    <w:jc w:val="center"/>
                    <w:rPr>
                      <w:sz w:val="21"/>
                      <w:szCs w:val="20"/>
                      <w:lang w:val="zh-CN"/>
                    </w:rPr>
                  </w:pPr>
                  <w:r>
                    <w:rPr>
                      <w:rFonts w:hint="eastAsia"/>
                      <w:sz w:val="21"/>
                      <w:szCs w:val="20"/>
                      <w:lang w:val="zh-CN"/>
                    </w:rPr>
                    <w:t>0</w:t>
                  </w:r>
                  <w:r>
                    <w:rPr>
                      <w:sz w:val="21"/>
                      <w:szCs w:val="20"/>
                      <w:lang w:val="zh-CN"/>
                    </w:rPr>
                    <w:t>.</w:t>
                  </w:r>
                  <w:r>
                    <w:rPr>
                      <w:rFonts w:hint="eastAsia"/>
                      <w:sz w:val="21"/>
                      <w:szCs w:val="20"/>
                      <w:lang w:val="zh-CN"/>
                    </w:rPr>
                    <w:t>00008</w:t>
                  </w:r>
                </w:p>
              </w:tc>
            </w:tr>
            <w:tr w14:paraId="5ABBB8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4352" w:type="pct"/>
                  <w:gridSpan w:val="4"/>
                  <w:vAlign w:val="center"/>
                </w:tcPr>
                <w:p w14:paraId="12B2D81D">
                  <w:pPr>
                    <w:adjustRightInd w:val="0"/>
                    <w:spacing w:line="240" w:lineRule="auto"/>
                    <w:ind w:firstLine="0" w:firstLineChars="0"/>
                    <w:jc w:val="center"/>
                    <w:rPr>
                      <w:sz w:val="21"/>
                      <w:szCs w:val="20"/>
                      <w:lang w:val="zh-CN"/>
                    </w:rPr>
                  </w:pPr>
                  <w:r>
                    <w:rPr>
                      <w:sz w:val="21"/>
                      <w:szCs w:val="20"/>
                      <w:lang w:val="zh-CN"/>
                    </w:rPr>
                    <w:t>∑Q</w:t>
                  </w:r>
                </w:p>
              </w:tc>
              <w:tc>
                <w:tcPr>
                  <w:tcW w:w="648" w:type="pct"/>
                  <w:vAlign w:val="center"/>
                </w:tcPr>
                <w:p w14:paraId="721996D1">
                  <w:pPr>
                    <w:adjustRightInd w:val="0"/>
                    <w:spacing w:line="240" w:lineRule="auto"/>
                    <w:ind w:firstLine="0" w:firstLineChars="0"/>
                    <w:jc w:val="center"/>
                    <w:rPr>
                      <w:sz w:val="21"/>
                      <w:szCs w:val="20"/>
                      <w:lang w:val="zh-CN"/>
                    </w:rPr>
                  </w:pPr>
                  <w:r>
                    <w:rPr>
                      <w:sz w:val="21"/>
                      <w:szCs w:val="20"/>
                      <w:lang w:val="zh-CN"/>
                    </w:rPr>
                    <w:t>0.000</w:t>
                  </w:r>
                  <w:r>
                    <w:rPr>
                      <w:rFonts w:hint="eastAsia"/>
                      <w:sz w:val="21"/>
                      <w:szCs w:val="20"/>
                      <w:lang w:val="zh-CN"/>
                    </w:rPr>
                    <w:t>08</w:t>
                  </w:r>
                </w:p>
              </w:tc>
            </w:tr>
          </w:tbl>
          <w:p w14:paraId="6E9A3CDC">
            <w:pPr>
              <w:ind w:firstLine="480"/>
              <w:rPr>
                <w:bCs/>
                <w:kern w:val="44"/>
              </w:rPr>
            </w:pPr>
            <w:r>
              <w:rPr>
                <w:bCs/>
                <w:kern w:val="44"/>
                <w:lang w:val="en-GB"/>
              </w:rPr>
              <w:t>经上表计算可知，项目</w:t>
            </w:r>
            <w:r>
              <w:rPr>
                <w:bCs/>
                <w:kern w:val="44"/>
              </w:rPr>
              <w:t>∑Q=0.000</w:t>
            </w:r>
            <w:r>
              <w:rPr>
                <w:rFonts w:hint="eastAsia"/>
                <w:bCs/>
                <w:kern w:val="44"/>
              </w:rPr>
              <w:t>08</w:t>
            </w:r>
            <w:r>
              <w:rPr>
                <w:bCs/>
                <w:kern w:val="44"/>
              </w:rPr>
              <w:t>，属于</w:t>
            </w:r>
            <w:r>
              <w:rPr>
                <w:bCs/>
                <w:kern w:val="44"/>
                <w:lang w:val="en-GB"/>
              </w:rPr>
              <w:t>Q＜1</w:t>
            </w:r>
            <w:r>
              <w:rPr>
                <w:bCs/>
                <w:kern w:val="44"/>
              </w:rPr>
              <w:t>。</w:t>
            </w:r>
          </w:p>
          <w:p w14:paraId="2E1DAA6D">
            <w:pPr>
              <w:pStyle w:val="117"/>
              <w:ind w:firstLine="480"/>
            </w:pPr>
            <w:r>
              <w:rPr>
                <w:rFonts w:hint="eastAsia"/>
              </w:rPr>
              <w:t>根据《建设项目环境风险评价技术导则》（</w:t>
            </w:r>
            <w:r>
              <w:t>HJ169-2018</w:t>
            </w:r>
            <w:r>
              <w:rPr>
                <w:rFonts w:hint="eastAsia"/>
              </w:rPr>
              <w:t>）中的相关规定，当Q＜1时，该项目环境风险潜势为</w:t>
            </w:r>
            <w:r>
              <w:t>Ⅰ</w:t>
            </w:r>
            <w:r>
              <w:rPr>
                <w:rFonts w:hint="eastAsia"/>
              </w:rPr>
              <w:t>。根据建设项目涉及的物质及工艺系统危险性和所在地的环境敏感性确定环境风险潜势，按照下表确定评价工作等级。</w:t>
            </w:r>
          </w:p>
          <w:p w14:paraId="431FDDA8">
            <w:pPr>
              <w:adjustRightInd w:val="0"/>
              <w:ind w:firstLine="0" w:firstLineChars="0"/>
              <w:jc w:val="center"/>
              <w:rPr>
                <w:b/>
                <w:szCs w:val="22"/>
                <w:lang w:val="zh-CN"/>
              </w:rPr>
            </w:pPr>
            <w:r>
              <w:rPr>
                <w:rFonts w:hint="eastAsia"/>
                <w:b/>
                <w:szCs w:val="22"/>
                <w:lang w:val="zh-CN"/>
              </w:rPr>
              <w:t>表</w:t>
            </w:r>
            <w:r>
              <w:rPr>
                <w:b/>
                <w:szCs w:val="22"/>
                <w:lang w:val="zh-CN"/>
              </w:rPr>
              <w:t>4-1</w:t>
            </w:r>
            <w:r>
              <w:rPr>
                <w:rFonts w:hint="eastAsia"/>
                <w:b/>
                <w:szCs w:val="22"/>
                <w:lang w:val="zh-CN"/>
              </w:rPr>
              <w:t>3</w:t>
            </w:r>
            <w:r>
              <w:rPr>
                <w:b/>
                <w:szCs w:val="22"/>
                <w:lang w:val="zh-CN"/>
              </w:rPr>
              <w:t xml:space="preserve">  </w:t>
            </w:r>
            <w:r>
              <w:rPr>
                <w:rFonts w:hint="eastAsia"/>
                <w:b/>
                <w:szCs w:val="22"/>
                <w:lang w:val="zh-CN"/>
              </w:rPr>
              <w:t>评价工作等级划分</w:t>
            </w:r>
          </w:p>
          <w:tbl>
            <w:tblPr>
              <w:tblStyle w:val="3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668"/>
              <w:gridCol w:w="1668"/>
              <w:gridCol w:w="1668"/>
              <w:gridCol w:w="1668"/>
              <w:gridCol w:w="1669"/>
            </w:tblGrid>
            <w:tr w14:paraId="6FE953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000" w:type="pct"/>
                  <w:vAlign w:val="center"/>
                </w:tcPr>
                <w:p w14:paraId="38874981">
                  <w:pPr>
                    <w:adjustRightInd w:val="0"/>
                    <w:spacing w:line="240" w:lineRule="auto"/>
                    <w:ind w:firstLine="0" w:firstLineChars="0"/>
                    <w:jc w:val="center"/>
                    <w:rPr>
                      <w:b/>
                      <w:sz w:val="21"/>
                      <w:szCs w:val="20"/>
                      <w:lang w:val="zh-CN"/>
                    </w:rPr>
                  </w:pPr>
                  <w:r>
                    <w:rPr>
                      <w:rFonts w:hint="eastAsia"/>
                      <w:b/>
                      <w:sz w:val="21"/>
                      <w:szCs w:val="20"/>
                      <w:lang w:val="zh-CN"/>
                    </w:rPr>
                    <w:t>环境风险潜势</w:t>
                  </w:r>
                </w:p>
              </w:tc>
              <w:tc>
                <w:tcPr>
                  <w:tcW w:w="1000" w:type="pct"/>
                  <w:vAlign w:val="center"/>
                </w:tcPr>
                <w:p w14:paraId="391B9AAD">
                  <w:pPr>
                    <w:adjustRightInd w:val="0"/>
                    <w:spacing w:line="240" w:lineRule="auto"/>
                    <w:ind w:firstLine="0" w:firstLineChars="0"/>
                    <w:jc w:val="center"/>
                    <w:rPr>
                      <w:b/>
                      <w:sz w:val="21"/>
                      <w:szCs w:val="20"/>
                      <w:lang w:val="zh-CN"/>
                    </w:rPr>
                  </w:pPr>
                  <w:r>
                    <w:rPr>
                      <w:b/>
                      <w:sz w:val="21"/>
                      <w:szCs w:val="20"/>
                      <w:lang w:val="zh-CN"/>
                    </w:rPr>
                    <w:t>Ⅳ</w:t>
                  </w:r>
                  <w:r>
                    <w:rPr>
                      <w:rFonts w:hint="eastAsia"/>
                      <w:b/>
                      <w:sz w:val="21"/>
                      <w:szCs w:val="20"/>
                      <w:lang w:val="zh-CN"/>
                    </w:rPr>
                    <w:t>、</w:t>
                  </w:r>
                  <w:r>
                    <w:rPr>
                      <w:b/>
                      <w:sz w:val="21"/>
                      <w:szCs w:val="20"/>
                      <w:lang w:val="zh-CN"/>
                    </w:rPr>
                    <w:t>Ⅳ+</w:t>
                  </w:r>
                </w:p>
              </w:tc>
              <w:tc>
                <w:tcPr>
                  <w:tcW w:w="1000" w:type="pct"/>
                  <w:vAlign w:val="center"/>
                </w:tcPr>
                <w:p w14:paraId="7309BD41">
                  <w:pPr>
                    <w:adjustRightInd w:val="0"/>
                    <w:spacing w:line="240" w:lineRule="auto"/>
                    <w:ind w:firstLine="0" w:firstLineChars="0"/>
                    <w:jc w:val="center"/>
                    <w:rPr>
                      <w:b/>
                      <w:sz w:val="21"/>
                      <w:szCs w:val="20"/>
                      <w:lang w:val="zh-CN"/>
                    </w:rPr>
                  </w:pPr>
                  <w:r>
                    <w:rPr>
                      <w:b/>
                      <w:sz w:val="21"/>
                      <w:szCs w:val="20"/>
                      <w:lang w:val="zh-CN"/>
                    </w:rPr>
                    <w:t>Ⅲ</w:t>
                  </w:r>
                </w:p>
              </w:tc>
              <w:tc>
                <w:tcPr>
                  <w:tcW w:w="1000" w:type="pct"/>
                  <w:vAlign w:val="center"/>
                </w:tcPr>
                <w:p w14:paraId="57AE61B8">
                  <w:pPr>
                    <w:adjustRightInd w:val="0"/>
                    <w:spacing w:line="240" w:lineRule="auto"/>
                    <w:ind w:firstLine="0" w:firstLineChars="0"/>
                    <w:jc w:val="center"/>
                    <w:rPr>
                      <w:b/>
                      <w:sz w:val="21"/>
                      <w:szCs w:val="20"/>
                      <w:lang w:val="zh-CN"/>
                    </w:rPr>
                  </w:pPr>
                  <w:r>
                    <w:rPr>
                      <w:b/>
                      <w:sz w:val="21"/>
                      <w:szCs w:val="20"/>
                      <w:lang w:val="zh-CN"/>
                    </w:rPr>
                    <w:t>Ⅱ</w:t>
                  </w:r>
                </w:p>
              </w:tc>
              <w:tc>
                <w:tcPr>
                  <w:tcW w:w="1001" w:type="pct"/>
                  <w:vAlign w:val="center"/>
                </w:tcPr>
                <w:p w14:paraId="57E7BA77">
                  <w:pPr>
                    <w:adjustRightInd w:val="0"/>
                    <w:spacing w:line="240" w:lineRule="auto"/>
                    <w:ind w:firstLine="0" w:firstLineChars="0"/>
                    <w:jc w:val="center"/>
                    <w:rPr>
                      <w:b/>
                      <w:sz w:val="21"/>
                      <w:szCs w:val="20"/>
                      <w:lang w:val="zh-CN"/>
                    </w:rPr>
                  </w:pPr>
                  <w:r>
                    <w:rPr>
                      <w:b/>
                      <w:sz w:val="21"/>
                      <w:szCs w:val="20"/>
                      <w:lang w:val="zh-CN"/>
                    </w:rPr>
                    <w:t>Ⅰ</w:t>
                  </w:r>
                </w:p>
              </w:tc>
            </w:tr>
            <w:tr w14:paraId="202640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000" w:type="pct"/>
                  <w:vAlign w:val="center"/>
                </w:tcPr>
                <w:p w14:paraId="652CA1C8">
                  <w:pPr>
                    <w:adjustRightInd w:val="0"/>
                    <w:spacing w:line="240" w:lineRule="auto"/>
                    <w:ind w:firstLine="0" w:firstLineChars="0"/>
                    <w:jc w:val="center"/>
                    <w:rPr>
                      <w:sz w:val="21"/>
                      <w:szCs w:val="20"/>
                      <w:lang w:val="zh-CN"/>
                    </w:rPr>
                  </w:pPr>
                  <w:r>
                    <w:rPr>
                      <w:rFonts w:hint="eastAsia"/>
                      <w:sz w:val="21"/>
                      <w:szCs w:val="20"/>
                      <w:lang w:val="zh-CN"/>
                    </w:rPr>
                    <w:t>评价工作等级</w:t>
                  </w:r>
                </w:p>
              </w:tc>
              <w:tc>
                <w:tcPr>
                  <w:tcW w:w="1000" w:type="pct"/>
                  <w:vAlign w:val="center"/>
                </w:tcPr>
                <w:p w14:paraId="7C477182">
                  <w:pPr>
                    <w:adjustRightInd w:val="0"/>
                    <w:spacing w:line="240" w:lineRule="auto"/>
                    <w:ind w:firstLine="0" w:firstLineChars="0"/>
                    <w:jc w:val="center"/>
                    <w:rPr>
                      <w:sz w:val="21"/>
                      <w:szCs w:val="20"/>
                      <w:lang w:val="zh-CN"/>
                    </w:rPr>
                  </w:pPr>
                  <w:r>
                    <w:rPr>
                      <w:rFonts w:hint="eastAsia"/>
                      <w:sz w:val="21"/>
                      <w:szCs w:val="20"/>
                      <w:lang w:val="zh-CN"/>
                    </w:rPr>
                    <w:t>一</w:t>
                  </w:r>
                </w:p>
              </w:tc>
              <w:tc>
                <w:tcPr>
                  <w:tcW w:w="1000" w:type="pct"/>
                  <w:vAlign w:val="center"/>
                </w:tcPr>
                <w:p w14:paraId="5BDA9218">
                  <w:pPr>
                    <w:adjustRightInd w:val="0"/>
                    <w:spacing w:line="240" w:lineRule="auto"/>
                    <w:ind w:firstLine="0" w:firstLineChars="0"/>
                    <w:jc w:val="center"/>
                    <w:rPr>
                      <w:sz w:val="21"/>
                      <w:szCs w:val="20"/>
                      <w:lang w:val="zh-CN"/>
                    </w:rPr>
                  </w:pPr>
                  <w:r>
                    <w:rPr>
                      <w:rFonts w:hint="eastAsia"/>
                      <w:sz w:val="21"/>
                      <w:szCs w:val="20"/>
                      <w:lang w:val="zh-CN"/>
                    </w:rPr>
                    <w:t>二</w:t>
                  </w:r>
                </w:p>
              </w:tc>
              <w:tc>
                <w:tcPr>
                  <w:tcW w:w="1000" w:type="pct"/>
                  <w:vAlign w:val="center"/>
                </w:tcPr>
                <w:p w14:paraId="6B2384F3">
                  <w:pPr>
                    <w:adjustRightInd w:val="0"/>
                    <w:spacing w:line="240" w:lineRule="auto"/>
                    <w:ind w:firstLine="0" w:firstLineChars="0"/>
                    <w:jc w:val="center"/>
                    <w:rPr>
                      <w:sz w:val="21"/>
                      <w:szCs w:val="20"/>
                      <w:lang w:val="zh-CN"/>
                    </w:rPr>
                  </w:pPr>
                  <w:r>
                    <w:rPr>
                      <w:rFonts w:hint="eastAsia"/>
                      <w:sz w:val="21"/>
                      <w:szCs w:val="20"/>
                      <w:lang w:val="zh-CN"/>
                    </w:rPr>
                    <w:t>三</w:t>
                  </w:r>
                </w:p>
              </w:tc>
              <w:tc>
                <w:tcPr>
                  <w:tcW w:w="1001" w:type="pct"/>
                  <w:vAlign w:val="center"/>
                </w:tcPr>
                <w:p w14:paraId="4CB03D23">
                  <w:pPr>
                    <w:adjustRightInd w:val="0"/>
                    <w:spacing w:line="240" w:lineRule="auto"/>
                    <w:ind w:firstLine="0" w:firstLineChars="0"/>
                    <w:jc w:val="center"/>
                    <w:rPr>
                      <w:sz w:val="21"/>
                      <w:szCs w:val="20"/>
                      <w:lang w:val="zh-CN"/>
                    </w:rPr>
                  </w:pPr>
                  <w:r>
                    <w:rPr>
                      <w:rFonts w:hint="eastAsia"/>
                      <w:sz w:val="21"/>
                      <w:szCs w:val="20"/>
                      <w:lang w:val="zh-CN"/>
                    </w:rPr>
                    <w:t>简单分析</w:t>
                  </w:r>
                  <w:r>
                    <w:rPr>
                      <w:sz w:val="21"/>
                      <w:szCs w:val="20"/>
                      <w:lang w:val="zh-CN"/>
                    </w:rPr>
                    <w:t>a</w:t>
                  </w:r>
                </w:p>
              </w:tc>
            </w:tr>
            <w:tr w14:paraId="63B59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5"/>
                  <w:vAlign w:val="center"/>
                </w:tcPr>
                <w:p w14:paraId="767438D7">
                  <w:pPr>
                    <w:adjustRightInd w:val="0"/>
                    <w:spacing w:line="240" w:lineRule="auto"/>
                    <w:ind w:firstLine="0" w:firstLineChars="0"/>
                    <w:jc w:val="left"/>
                    <w:rPr>
                      <w:sz w:val="21"/>
                      <w:szCs w:val="20"/>
                      <w:lang w:val="zh-CN"/>
                    </w:rPr>
                  </w:pPr>
                  <w:r>
                    <w:rPr>
                      <w:sz w:val="21"/>
                      <w:szCs w:val="20"/>
                      <w:lang w:val="zh-CN"/>
                    </w:rPr>
                    <w:t>a</w:t>
                  </w:r>
                  <w:r>
                    <w:rPr>
                      <w:rFonts w:hint="eastAsia"/>
                      <w:sz w:val="21"/>
                      <w:szCs w:val="20"/>
                      <w:lang w:val="zh-CN"/>
                    </w:rPr>
                    <w:t>是相对于详细评价工作内容而言，在描述危险物质、环境影响途径、环境危害后果、风险防范措施等方面给出定性的说明。</w:t>
                  </w:r>
                </w:p>
              </w:tc>
            </w:tr>
          </w:tbl>
          <w:p w14:paraId="48372F65">
            <w:pPr>
              <w:pStyle w:val="117"/>
              <w:ind w:firstLine="480"/>
            </w:pPr>
            <w:r>
              <w:rPr>
                <w:rFonts w:hint="eastAsia"/>
              </w:rPr>
              <w:t>根据上表，本项目环境风险潜势为</w:t>
            </w:r>
            <w:r>
              <w:t>Ⅰ</w:t>
            </w:r>
            <w:r>
              <w:rPr>
                <w:rFonts w:hint="eastAsia"/>
              </w:rPr>
              <w:t>，因此项目评价工作等级为简单分析。</w:t>
            </w:r>
          </w:p>
          <w:p w14:paraId="0822021F">
            <w:pPr>
              <w:pStyle w:val="117"/>
              <w:ind w:firstLine="480"/>
            </w:pPr>
            <w:r>
              <w:t>（1）环境敏感目标概况</w:t>
            </w:r>
          </w:p>
          <w:p w14:paraId="1BB81D3B">
            <w:pPr>
              <w:pStyle w:val="117"/>
              <w:ind w:firstLine="480"/>
            </w:pPr>
            <w:r>
              <w:t>根据危险物质可能的影响途径，项目主要敏感目标详见</w:t>
            </w:r>
            <w:r>
              <w:rPr>
                <w:rFonts w:hint="eastAsia"/>
              </w:rPr>
              <w:t>“表3-</w:t>
            </w:r>
            <w:r>
              <w:t>2</w:t>
            </w:r>
            <w:r>
              <w:rPr>
                <w:rFonts w:hint="eastAsia"/>
              </w:rPr>
              <w:t xml:space="preserve"> 项目主要保护目标表”</w:t>
            </w:r>
            <w:r>
              <w:t>。</w:t>
            </w:r>
          </w:p>
          <w:p w14:paraId="01461C3B">
            <w:pPr>
              <w:pStyle w:val="117"/>
              <w:ind w:firstLine="480"/>
            </w:pPr>
            <w:r>
              <w:t>（2）</w:t>
            </w:r>
            <w:r>
              <w:rPr>
                <w:rFonts w:hint="eastAsia"/>
              </w:rPr>
              <w:t>风险源分布情况及可能影响途径</w:t>
            </w:r>
          </w:p>
          <w:p w14:paraId="79B5B4F5">
            <w:pPr>
              <w:pStyle w:val="117"/>
              <w:ind w:firstLine="480"/>
            </w:pPr>
            <w:r>
              <w:rPr>
                <w:rFonts w:hint="eastAsia"/>
              </w:rPr>
              <w:t>废机油、废活性炭暂存在危废暂存间</w:t>
            </w:r>
            <w:r>
              <w:t>，在使用过程可能会因泄漏、火灾等因素，通过地表径流和大气扩散的方式，影响附近地表水、土壤和</w:t>
            </w:r>
            <w:r>
              <w:rPr>
                <w:rFonts w:hint="eastAsia"/>
              </w:rPr>
              <w:t>人员</w:t>
            </w:r>
            <w:r>
              <w:t>，详细内容见下表。</w:t>
            </w:r>
          </w:p>
          <w:p w14:paraId="4AEC1DAE">
            <w:pPr>
              <w:pStyle w:val="87"/>
            </w:pPr>
            <w:r>
              <w:t>表4</w:t>
            </w:r>
            <w:r>
              <w:rPr>
                <w:rFonts w:hint="eastAsia"/>
              </w:rPr>
              <w:t xml:space="preserve">-14  </w:t>
            </w:r>
            <w:r>
              <w:t>风险分析内容表</w:t>
            </w:r>
          </w:p>
          <w:tbl>
            <w:tblPr>
              <w:tblStyle w:val="154"/>
              <w:tblW w:w="5000" w:type="pct"/>
              <w:tblInd w:w="0" w:type="dxa"/>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197"/>
              <w:gridCol w:w="1169"/>
              <w:gridCol w:w="1367"/>
              <w:gridCol w:w="774"/>
              <w:gridCol w:w="2212"/>
              <w:gridCol w:w="1622"/>
            </w:tblGrid>
            <w:tr w14:paraId="280F5CD9">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83" w:type="dxa"/>
                  <w:vAlign w:val="center"/>
                </w:tcPr>
                <w:p w14:paraId="5F3B7932">
                  <w:pPr>
                    <w:pStyle w:val="79"/>
                    <w:rPr>
                      <w:rFonts w:eastAsia="Times New Roman"/>
                      <w:b w:val="0"/>
                    </w:rPr>
                  </w:pPr>
                  <w:r>
                    <w:rPr>
                      <w:rFonts w:hint="eastAsia" w:ascii="宋体" w:hAnsi="宋体" w:eastAsia="Times New Roman" w:cs="宋体"/>
                      <w:b/>
                    </w:rPr>
                    <w:t>风险源</w:t>
                  </w:r>
                </w:p>
              </w:tc>
              <w:tc>
                <w:tcPr>
                  <w:tcW w:w="1155" w:type="dxa"/>
                  <w:vAlign w:val="center"/>
                </w:tcPr>
                <w:p w14:paraId="07A55CF7">
                  <w:pPr>
                    <w:pStyle w:val="79"/>
                    <w:rPr>
                      <w:rFonts w:eastAsia="Times New Roman"/>
                      <w:b w:val="0"/>
                    </w:rPr>
                  </w:pPr>
                  <w:r>
                    <w:rPr>
                      <w:rFonts w:hint="eastAsia" w:ascii="宋体" w:hAnsi="宋体" w:eastAsia="Times New Roman" w:cs="宋体"/>
                      <w:b/>
                    </w:rPr>
                    <w:t>主要危</w:t>
                  </w:r>
                </w:p>
                <w:p w14:paraId="6DEC357C">
                  <w:pPr>
                    <w:pStyle w:val="79"/>
                    <w:rPr>
                      <w:rFonts w:eastAsia="Times New Roman"/>
                      <w:b w:val="0"/>
                    </w:rPr>
                  </w:pPr>
                  <w:r>
                    <w:rPr>
                      <w:rFonts w:hint="eastAsia" w:ascii="宋体" w:hAnsi="宋体" w:eastAsia="Times New Roman" w:cs="宋体"/>
                      <w:b/>
                    </w:rPr>
                    <w:t>险物质</w:t>
                  </w:r>
                </w:p>
              </w:tc>
              <w:tc>
                <w:tcPr>
                  <w:tcW w:w="1350" w:type="dxa"/>
                  <w:vAlign w:val="center"/>
                </w:tcPr>
                <w:p w14:paraId="19CCDA5F">
                  <w:pPr>
                    <w:pStyle w:val="79"/>
                    <w:rPr>
                      <w:rFonts w:eastAsia="Times New Roman"/>
                      <w:b w:val="0"/>
                    </w:rPr>
                  </w:pPr>
                  <w:r>
                    <w:rPr>
                      <w:rFonts w:hint="eastAsia" w:ascii="宋体" w:hAnsi="宋体" w:eastAsia="Times New Roman" w:cs="宋体"/>
                      <w:b/>
                    </w:rPr>
                    <w:t>涉及污染物</w:t>
                  </w:r>
                </w:p>
              </w:tc>
              <w:tc>
                <w:tcPr>
                  <w:tcW w:w="765" w:type="dxa"/>
                  <w:vAlign w:val="center"/>
                </w:tcPr>
                <w:p w14:paraId="62E23FF5">
                  <w:pPr>
                    <w:pStyle w:val="79"/>
                    <w:rPr>
                      <w:rFonts w:eastAsia="Times New Roman"/>
                      <w:b w:val="0"/>
                    </w:rPr>
                  </w:pPr>
                  <w:r>
                    <w:rPr>
                      <w:rFonts w:hint="eastAsia" w:ascii="宋体" w:hAnsi="宋体" w:eastAsia="Times New Roman" w:cs="宋体"/>
                      <w:b/>
                    </w:rPr>
                    <w:t>风险</w:t>
                  </w:r>
                </w:p>
                <w:p w14:paraId="1CBC84DB">
                  <w:pPr>
                    <w:pStyle w:val="79"/>
                    <w:rPr>
                      <w:rFonts w:eastAsia="Times New Roman"/>
                      <w:b w:val="0"/>
                    </w:rPr>
                  </w:pPr>
                  <w:r>
                    <w:rPr>
                      <w:rFonts w:hint="eastAsia" w:ascii="宋体" w:hAnsi="宋体" w:eastAsia="Times New Roman" w:cs="宋体"/>
                      <w:b/>
                    </w:rPr>
                    <w:t>类别</w:t>
                  </w:r>
                </w:p>
              </w:tc>
              <w:tc>
                <w:tcPr>
                  <w:tcW w:w="2185" w:type="dxa"/>
                  <w:vAlign w:val="center"/>
                </w:tcPr>
                <w:p w14:paraId="074179CA">
                  <w:pPr>
                    <w:pStyle w:val="79"/>
                    <w:rPr>
                      <w:rFonts w:eastAsia="Times New Roman"/>
                      <w:b w:val="0"/>
                    </w:rPr>
                  </w:pPr>
                  <w:r>
                    <w:rPr>
                      <w:rFonts w:hint="eastAsia" w:ascii="宋体" w:hAnsi="宋体" w:eastAsia="Times New Roman" w:cs="宋体"/>
                      <w:b/>
                    </w:rPr>
                    <w:t>可能影响途径及后果</w:t>
                  </w:r>
                </w:p>
              </w:tc>
              <w:tc>
                <w:tcPr>
                  <w:tcW w:w="1602" w:type="dxa"/>
                  <w:vAlign w:val="center"/>
                </w:tcPr>
                <w:p w14:paraId="75E9DEA5">
                  <w:pPr>
                    <w:pStyle w:val="79"/>
                    <w:rPr>
                      <w:rFonts w:eastAsia="Times New Roman"/>
                      <w:b w:val="0"/>
                    </w:rPr>
                  </w:pPr>
                  <w:r>
                    <w:rPr>
                      <w:rFonts w:hint="eastAsia" w:ascii="宋体" w:hAnsi="宋体" w:eastAsia="Times New Roman" w:cs="宋体"/>
                      <w:b/>
                    </w:rPr>
                    <w:t>可能受影响的敏感目标</w:t>
                  </w:r>
                </w:p>
              </w:tc>
            </w:tr>
            <w:tr w14:paraId="2179117F">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283" w:hRule="atLeast"/>
              </w:trPr>
              <w:tc>
                <w:tcPr>
                  <w:tcW w:w="1183" w:type="dxa"/>
                  <w:vAlign w:val="center"/>
                </w:tcPr>
                <w:p w14:paraId="7069C2E0">
                  <w:pPr>
                    <w:pStyle w:val="79"/>
                    <w:rPr>
                      <w:rFonts w:eastAsia="Times New Roman"/>
                    </w:rPr>
                  </w:pPr>
                  <w:r>
                    <w:rPr>
                      <w:rFonts w:hint="eastAsia" w:ascii="宋体" w:hAnsi="宋体" w:eastAsia="Times New Roman" w:cs="宋体"/>
                    </w:rPr>
                    <w:t>危废暂</w:t>
                  </w:r>
                </w:p>
                <w:p w14:paraId="2466079C">
                  <w:pPr>
                    <w:pStyle w:val="79"/>
                    <w:rPr>
                      <w:rFonts w:eastAsia="Times New Roman"/>
                    </w:rPr>
                  </w:pPr>
                  <w:r>
                    <w:rPr>
                      <w:rFonts w:hint="eastAsia" w:ascii="宋体" w:hAnsi="宋体" w:eastAsia="Times New Roman" w:cs="宋体"/>
                    </w:rPr>
                    <w:t>存区</w:t>
                  </w:r>
                </w:p>
              </w:tc>
              <w:tc>
                <w:tcPr>
                  <w:tcW w:w="1155" w:type="dxa"/>
                  <w:vAlign w:val="center"/>
                </w:tcPr>
                <w:p w14:paraId="793EA570">
                  <w:pPr>
                    <w:pStyle w:val="79"/>
                    <w:rPr>
                      <w:rFonts w:eastAsia="Times New Roman"/>
                    </w:rPr>
                  </w:pPr>
                  <w:r>
                    <w:rPr>
                      <w:rFonts w:hint="eastAsia" w:ascii="宋体" w:hAnsi="宋体" w:eastAsia="Times New Roman" w:cs="宋体"/>
                    </w:rPr>
                    <w:t>废机油、废活性炭</w:t>
                  </w:r>
                </w:p>
              </w:tc>
              <w:tc>
                <w:tcPr>
                  <w:tcW w:w="1350" w:type="dxa"/>
                  <w:vAlign w:val="center"/>
                </w:tcPr>
                <w:p w14:paraId="735DBB9C">
                  <w:pPr>
                    <w:pStyle w:val="79"/>
                    <w:rPr>
                      <w:rFonts w:eastAsia="Times New Roman"/>
                    </w:rPr>
                  </w:pPr>
                  <w:r>
                    <w:rPr>
                      <w:rFonts w:hint="eastAsia" w:ascii="宋体" w:hAnsi="宋体" w:eastAsia="Times New Roman" w:cs="宋体"/>
                    </w:rPr>
                    <w:t>废机油、废活性炭</w:t>
                  </w:r>
                </w:p>
              </w:tc>
              <w:tc>
                <w:tcPr>
                  <w:tcW w:w="765" w:type="dxa"/>
                  <w:vAlign w:val="center"/>
                </w:tcPr>
                <w:p w14:paraId="6DF34EAC">
                  <w:pPr>
                    <w:pStyle w:val="79"/>
                    <w:rPr>
                      <w:rFonts w:eastAsia="Times New Roman"/>
                    </w:rPr>
                  </w:pPr>
                  <w:r>
                    <w:rPr>
                      <w:rFonts w:hint="eastAsia" w:ascii="宋体" w:hAnsi="宋体" w:eastAsia="Times New Roman" w:cs="宋体"/>
                    </w:rPr>
                    <w:t>泄漏、火灾</w:t>
                  </w:r>
                </w:p>
              </w:tc>
              <w:tc>
                <w:tcPr>
                  <w:tcW w:w="2185" w:type="dxa"/>
                  <w:vAlign w:val="center"/>
                </w:tcPr>
                <w:p w14:paraId="2A1E1831">
                  <w:pPr>
                    <w:pStyle w:val="79"/>
                    <w:jc w:val="both"/>
                    <w:rPr>
                      <w:rFonts w:eastAsia="Times New Roman"/>
                    </w:rPr>
                  </w:pPr>
                  <w:r>
                    <w:rPr>
                      <w:rFonts w:hint="eastAsia" w:eastAsia="Times New Roman"/>
                    </w:rPr>
                    <w:t>泄漏物经地表径流进入雨水管网，污染地表水；燃烧产生有毒烟气污染大气</w:t>
                  </w:r>
                </w:p>
              </w:tc>
              <w:tc>
                <w:tcPr>
                  <w:tcW w:w="1602" w:type="dxa"/>
                  <w:vAlign w:val="center"/>
                </w:tcPr>
                <w:p w14:paraId="5F92E571">
                  <w:pPr>
                    <w:pStyle w:val="79"/>
                    <w:rPr>
                      <w:rFonts w:eastAsia="Times New Roman"/>
                    </w:rPr>
                  </w:pPr>
                  <w:r>
                    <w:rPr>
                      <w:rFonts w:hint="eastAsia" w:ascii="宋体" w:hAnsi="宋体" w:eastAsia="Times New Roman" w:cs="宋体"/>
                    </w:rPr>
                    <w:t>周边居民区、地表水体</w:t>
                  </w:r>
                </w:p>
              </w:tc>
            </w:tr>
          </w:tbl>
          <w:p w14:paraId="3CA0E8C3">
            <w:pPr>
              <w:pStyle w:val="117"/>
              <w:ind w:firstLine="480"/>
            </w:pPr>
            <w:r>
              <w:t>（3）环境风险分析</w:t>
            </w:r>
          </w:p>
          <w:p w14:paraId="040E6074">
            <w:pPr>
              <w:pStyle w:val="117"/>
              <w:ind w:firstLine="480"/>
            </w:pPr>
            <w:r>
              <w:rPr>
                <w:rFonts w:hint="eastAsia"/>
              </w:rPr>
              <w:t>1）事故类型</w:t>
            </w:r>
          </w:p>
          <w:p w14:paraId="3696ECED">
            <w:pPr>
              <w:pStyle w:val="117"/>
              <w:ind w:firstLine="480"/>
            </w:pPr>
            <w:r>
              <w:rPr>
                <w:rFonts w:hint="eastAsia"/>
              </w:rPr>
              <w:t>通过前面物质风险识别和重大危险源识别，本项目主要的事故类型为危险物质泄漏、故障引起次生污染以及火灾引发的伴生/次生污染物排放。</w:t>
            </w:r>
          </w:p>
          <w:p w14:paraId="570C0F12">
            <w:pPr>
              <w:pStyle w:val="117"/>
              <w:ind w:firstLine="480"/>
            </w:pPr>
            <w:r>
              <w:rPr>
                <w:rFonts w:hint="eastAsia"/>
              </w:rPr>
              <w:t>2）危险物质泄漏引起次生污染分析</w:t>
            </w:r>
          </w:p>
          <w:p w14:paraId="04AB109E">
            <w:pPr>
              <w:pStyle w:val="117"/>
              <w:ind w:firstLine="480"/>
            </w:pPr>
            <w:r>
              <w:rPr>
                <w:rFonts w:hint="eastAsia"/>
              </w:rPr>
              <w:t>本项原辅材料暂存在仓库当中，清洗机由于操作失误等运输、存储、使用过程出现泄漏情况，会渗漏、泄漏至地表，会对该区域大气质量、地表水水质、土壤造成污染。发生火灾事故时，清洗废水可能随消防废水直接溢流入雨水或污水管网，从而对水环境产生不利影响。</w:t>
            </w:r>
          </w:p>
          <w:p w14:paraId="31A9202B">
            <w:pPr>
              <w:pStyle w:val="117"/>
              <w:ind w:firstLine="480"/>
            </w:pPr>
            <w:r>
              <w:rPr>
                <w:rFonts w:hint="eastAsia"/>
              </w:rPr>
              <w:t>3</w:t>
            </w:r>
            <w:r>
              <w:t>）环境风险防范措施及应急要求</w:t>
            </w:r>
          </w:p>
          <w:p w14:paraId="4043CFE3">
            <w:pPr>
              <w:pStyle w:val="117"/>
              <w:ind w:firstLine="480"/>
            </w:pPr>
            <w:r>
              <w:t>为减少项目风险事故对周边环境的影响，建设单位应做好如下防范措施：</w:t>
            </w:r>
          </w:p>
          <w:p w14:paraId="048B0F23">
            <w:pPr>
              <w:pStyle w:val="117"/>
              <w:ind w:firstLine="480"/>
            </w:pPr>
            <w:r>
              <w:rPr>
                <w:rFonts w:hint="eastAsia"/>
              </w:rPr>
              <w:t>①</w:t>
            </w:r>
            <w:r>
              <w:t>健全各项制度，强化安全管理意识，加强用电设备及线路的检修和管理；</w:t>
            </w:r>
          </w:p>
          <w:p w14:paraId="65D052C2">
            <w:pPr>
              <w:pStyle w:val="117"/>
              <w:ind w:firstLine="480"/>
            </w:pPr>
            <w:r>
              <w:rPr>
                <w:rFonts w:hint="eastAsia"/>
              </w:rPr>
              <w:t>②</w:t>
            </w:r>
            <w:r>
              <w:t>在车间、仓库配备消防栓、灭火器等火灾消防器材；</w:t>
            </w:r>
          </w:p>
          <w:p w14:paraId="0403BA4A">
            <w:pPr>
              <w:pStyle w:val="117"/>
              <w:ind w:firstLine="480"/>
            </w:pPr>
            <w:r>
              <w:rPr>
                <w:rFonts w:hint="eastAsia"/>
              </w:rPr>
              <w:t>③</w:t>
            </w:r>
            <w:r>
              <w:t>车间及仓库内禁止明火，设置严禁烟火标志；</w:t>
            </w:r>
          </w:p>
          <w:p w14:paraId="1E0E6C3F">
            <w:pPr>
              <w:pStyle w:val="117"/>
              <w:ind w:firstLine="480"/>
            </w:pPr>
            <w:r>
              <w:rPr>
                <w:rFonts w:hint="eastAsia"/>
              </w:rPr>
              <w:t>④</w:t>
            </w:r>
            <w:r>
              <w:t>企业应定期对车间和设备进行巡查和安全检测，加强对员工日常防范和事故培训。在采取以上措施后，可有效降低风险发生的概率。</w:t>
            </w:r>
          </w:p>
          <w:p w14:paraId="2A5B6BAE">
            <w:pPr>
              <w:pStyle w:val="117"/>
              <w:ind w:firstLine="480"/>
            </w:pPr>
            <w:r>
              <w:t>应急要求：</w:t>
            </w:r>
          </w:p>
          <w:p w14:paraId="103EADEF">
            <w:pPr>
              <w:pStyle w:val="117"/>
              <w:ind w:firstLine="480"/>
            </w:pPr>
            <w:r>
              <w:t>一旦发生事故，则要根据具体情况采取应急预案，切断火源，控制事故扩大，立即报警，组织人员进行抢险救灾，并立即向社会求援。</w:t>
            </w:r>
          </w:p>
          <w:p w14:paraId="4FA35462">
            <w:pPr>
              <w:pStyle w:val="117"/>
              <w:ind w:firstLine="480"/>
            </w:pPr>
            <w:r>
              <w:rPr>
                <w:rFonts w:hint="eastAsia"/>
              </w:rPr>
              <w:t>①</w:t>
            </w:r>
            <w:r>
              <w:t>发生事故后，首先确保人员安全，同时采取防止事故蔓延或扩大的措施，险情严重时，必须组织抢险队和救护队。</w:t>
            </w:r>
          </w:p>
          <w:p w14:paraId="47E91409">
            <w:pPr>
              <w:pStyle w:val="117"/>
              <w:ind w:firstLine="480"/>
            </w:pPr>
            <w:r>
              <w:rPr>
                <w:rFonts w:hint="eastAsia"/>
              </w:rPr>
              <w:t>②</w:t>
            </w:r>
            <w:r>
              <w:t>防止第二次灾害事故发生，采取措施防止事故扩大。</w:t>
            </w:r>
          </w:p>
          <w:p w14:paraId="53B26E57">
            <w:pPr>
              <w:pStyle w:val="117"/>
              <w:ind w:firstLine="480"/>
            </w:pPr>
            <w:r>
              <w:rPr>
                <w:rFonts w:hint="eastAsia"/>
              </w:rPr>
              <w:t>③</w:t>
            </w:r>
            <w:r>
              <w:t>建立警戒区、警戒线，撤离无关人员，禁止非抢救人员入内，切断电源、火种和断绝交通。</w:t>
            </w:r>
          </w:p>
          <w:p w14:paraId="7F3FEDF9">
            <w:pPr>
              <w:pStyle w:val="117"/>
              <w:ind w:firstLine="480"/>
            </w:pPr>
            <w:r>
              <w:rPr>
                <w:rFonts w:hint="eastAsia"/>
              </w:rPr>
              <w:t>（4）风险事故预防和处理措施</w:t>
            </w:r>
          </w:p>
          <w:p w14:paraId="529958A6">
            <w:pPr>
              <w:pStyle w:val="117"/>
              <w:ind w:firstLine="480"/>
            </w:pPr>
            <w:r>
              <w:rPr>
                <w:rFonts w:hint="eastAsia"/>
              </w:rPr>
              <w:t>1）风险事故防范措施</w:t>
            </w:r>
          </w:p>
          <w:p w14:paraId="5FEAC76C">
            <w:pPr>
              <w:pStyle w:val="117"/>
              <w:ind w:firstLine="480"/>
            </w:pPr>
            <w:r>
              <w:rPr>
                <w:rFonts w:hint="eastAsia"/>
              </w:rPr>
              <w:t>①危险物质泄漏防范措施：</w:t>
            </w:r>
          </w:p>
          <w:p w14:paraId="4CF16262">
            <w:pPr>
              <w:pStyle w:val="117"/>
              <w:ind w:firstLine="480"/>
            </w:pPr>
            <w:r>
              <w:rPr>
                <w:rFonts w:hint="eastAsia"/>
              </w:rPr>
              <w:t>A.事故第一发现者应立即向当班负责人汇报，当班负责人确认险情后将事故情况汇报给应急指挥中心，启动应急预案并组织应急救援；</w:t>
            </w:r>
          </w:p>
          <w:p w14:paraId="635835DF">
            <w:pPr>
              <w:pStyle w:val="117"/>
              <w:ind w:firstLine="480"/>
            </w:pPr>
            <w:r>
              <w:rPr>
                <w:rFonts w:hint="eastAsia"/>
              </w:rPr>
              <w:t>B.现场人员需迅速判断泄漏物质的性质以及可能扩散的范围，采取有效措施防止进一步扩散，例如切断电源、停止工作等，减少影响范围；</w:t>
            </w:r>
          </w:p>
          <w:p w14:paraId="4A1797E8">
            <w:pPr>
              <w:pStyle w:val="117"/>
              <w:ind w:firstLine="480"/>
            </w:pPr>
            <w:r>
              <w:rPr>
                <w:rFonts w:hint="eastAsia"/>
              </w:rPr>
              <w:t>C.针对危险物质的液态物料，应利用瓢等转移容器，将危险物质的液态物料转移至对应的废空桶，密封存放，确保密封完好，防止二次污染；</w:t>
            </w:r>
          </w:p>
          <w:p w14:paraId="062B8EB4">
            <w:pPr>
              <w:pStyle w:val="117"/>
              <w:ind w:firstLine="480"/>
            </w:pPr>
            <w:r>
              <w:rPr>
                <w:rFonts w:hint="eastAsia"/>
              </w:rPr>
              <w:t>D.若泄漏物质可能引发火灾或爆炸，应立即熄灭明火，切断所有火源和电源，防止次生灾害发生；</w:t>
            </w:r>
          </w:p>
          <w:p w14:paraId="500E46B0">
            <w:pPr>
              <w:pStyle w:val="117"/>
              <w:ind w:firstLine="480"/>
            </w:pPr>
            <w:r>
              <w:rPr>
                <w:rFonts w:hint="eastAsia"/>
              </w:rPr>
              <w:t>E.应急人员必须佩戴符合要求的防护用品，做好个人防护，避免直接接触泄漏物质；遇到泄漏时，应立即疏散无关人员，设置警戒区，禁止人员进入危险区域，确保人员安全；</w:t>
            </w:r>
          </w:p>
          <w:p w14:paraId="4EBAA9B9">
            <w:pPr>
              <w:pStyle w:val="117"/>
              <w:ind w:firstLine="480"/>
            </w:pPr>
            <w:r>
              <w:rPr>
                <w:rFonts w:hint="eastAsia"/>
              </w:rPr>
              <w:t>F.在处理过程中，应避免用水直接冲洗，以免污染扩散，需采取适当的稀释或中和措施；</w:t>
            </w:r>
          </w:p>
          <w:p w14:paraId="6A0E0B9A">
            <w:pPr>
              <w:pStyle w:val="117"/>
              <w:ind w:firstLine="480"/>
            </w:pPr>
            <w:r>
              <w:rPr>
                <w:rFonts w:hint="eastAsia"/>
              </w:rPr>
              <w:t>G.定期检查危险废物暂存间、存储设施及周边环境，确保其符合防渗、防雨、防漏等安全要求，避免因设施老化或管理不当导致泄漏。</w:t>
            </w:r>
          </w:p>
          <w:p w14:paraId="37DFF447">
            <w:pPr>
              <w:pStyle w:val="117"/>
              <w:ind w:firstLine="480"/>
            </w:pPr>
            <w:r>
              <w:rPr>
                <w:rFonts w:hint="eastAsia"/>
              </w:rPr>
              <w:t>②火灾、爆炸等引起的伴生/次生污染物排放情况风险防范措施</w:t>
            </w:r>
          </w:p>
          <w:p w14:paraId="25AB1FC3">
            <w:pPr>
              <w:pStyle w:val="117"/>
              <w:ind w:firstLine="480"/>
            </w:pPr>
            <w:r>
              <w:rPr>
                <w:rFonts w:hint="eastAsia"/>
              </w:rPr>
              <w:t>本项目发生燃烧后主要次生污染物为燃烧废气、消防废水等，建议采取如下措施：</w:t>
            </w:r>
          </w:p>
          <w:p w14:paraId="30EE38C2">
            <w:pPr>
              <w:pStyle w:val="117"/>
              <w:ind w:firstLine="480"/>
            </w:pPr>
            <w:r>
              <w:rPr>
                <w:rFonts w:hint="eastAsia"/>
              </w:rPr>
              <w:t>A.在厂区周围及各附属建筑物内配置一定数量的手提式干粉灭火器等消防设施，以扑灭初期零星火灾；</w:t>
            </w:r>
          </w:p>
          <w:p w14:paraId="3E0437CE">
            <w:pPr>
              <w:pStyle w:val="117"/>
              <w:ind w:firstLine="480"/>
            </w:pPr>
            <w:r>
              <w:rPr>
                <w:rFonts w:hint="eastAsia"/>
              </w:rPr>
              <w:t>B.在生产车间和仓库的明显位置张贴禁用明火的告示，仓库和生产车间内应设置移动式泡沫灭火器；</w:t>
            </w:r>
          </w:p>
          <w:p w14:paraId="42DD9EB2">
            <w:pPr>
              <w:pStyle w:val="117"/>
              <w:ind w:firstLine="480"/>
            </w:pPr>
            <w:r>
              <w:rPr>
                <w:rFonts w:hint="eastAsia"/>
              </w:rPr>
              <w:t>C.严格防火管理，禁止在危险物品存放区设置明火，并在车间内禁止明火操作。确保消防通道畅通，建筑物耐火等级符合要求，并定期检查消防设施的完好性。</w:t>
            </w:r>
          </w:p>
          <w:p w14:paraId="4B1DE9BB">
            <w:pPr>
              <w:pStyle w:val="117"/>
              <w:ind w:firstLine="480"/>
            </w:pPr>
            <w:r>
              <w:rPr>
                <w:rFonts w:hint="eastAsia"/>
              </w:rPr>
              <w:t>D.日常管理中，要通过加强管理、规范操作、编制应急预案、设置应急池等方式降低环境风险。企业内部需强化安全生产管理体系，监督质量管理，对工人进行安全培训并制定严格规章制度预防事故。</w:t>
            </w:r>
          </w:p>
          <w:p w14:paraId="559C8752">
            <w:pPr>
              <w:pStyle w:val="117"/>
              <w:ind w:firstLine="480"/>
            </w:pPr>
            <w:r>
              <w:rPr>
                <w:rFonts w:hint="eastAsia"/>
              </w:rPr>
              <w:t>2）处理措施</w:t>
            </w:r>
          </w:p>
          <w:p w14:paraId="71002D34">
            <w:pPr>
              <w:pStyle w:val="117"/>
              <w:ind w:firstLine="480"/>
            </w:pPr>
            <w:r>
              <w:rPr>
                <w:rFonts w:hint="eastAsia"/>
              </w:rPr>
              <w:t>①风险事故发生时的危险物质应急处理措施：</w:t>
            </w:r>
          </w:p>
          <w:p w14:paraId="2ED30A9E">
            <w:pPr>
              <w:pStyle w:val="117"/>
              <w:ind w:firstLine="480"/>
            </w:pPr>
            <w:r>
              <w:rPr>
                <w:rFonts w:hint="eastAsia"/>
              </w:rPr>
              <w:t>A.事故发生后，及时转移、撤离或者疏散可能受到危害的人员，并进行妥善安置；</w:t>
            </w:r>
          </w:p>
          <w:p w14:paraId="714B2A6F">
            <w:pPr>
              <w:pStyle w:val="117"/>
              <w:ind w:firstLine="480"/>
            </w:pPr>
            <w:r>
              <w:rPr>
                <w:rFonts w:hint="eastAsia"/>
              </w:rPr>
              <w:t>B.有外泄可能时，立即安排相关工作人员堵塞公司雨水总口，防止经雨水排放口外排。在没有专门应急储存设施的局部区域，可以利用临时的收集工具，如沙袋围成临时围堰等方式，将废水限制在一定范围内，等待进一步处理；</w:t>
            </w:r>
          </w:p>
          <w:p w14:paraId="6BA7D8C3">
            <w:pPr>
              <w:pStyle w:val="117"/>
              <w:ind w:firstLine="480"/>
            </w:pPr>
            <w:r>
              <w:rPr>
                <w:rFonts w:hint="eastAsia"/>
              </w:rPr>
              <w:t>C.当有火灾发生时，应利用相应的灭火器灭火，避免事态扩大；</w:t>
            </w:r>
          </w:p>
          <w:p w14:paraId="2133952C">
            <w:pPr>
              <w:pStyle w:val="117"/>
              <w:ind w:firstLine="480"/>
            </w:pPr>
            <w:r>
              <w:rPr>
                <w:rFonts w:hint="eastAsia"/>
              </w:rPr>
              <w:t>D.如发生风险事故产生事故废水泄漏到地面，要将事故废水收集到应急储存桶中，防止流入雨水管网或下渗污染地下水。在没有专门应急储存设施的局部区域，可以利用临时的收集工具，如沙袋围成临时围堰等方式，将废水限制在一定范围内，等待进一步处理；</w:t>
            </w:r>
          </w:p>
          <w:p w14:paraId="52EE74DA">
            <w:pPr>
              <w:pStyle w:val="117"/>
              <w:ind w:firstLine="480"/>
            </w:pPr>
            <w:r>
              <w:rPr>
                <w:rFonts w:hint="eastAsia"/>
              </w:rPr>
              <w:t>E.发现泄漏应避免烟火。切断区域内所有火源、电源、供气管道，防止发生火灾爆炸；转移或保护管道周围设备和物品，防止泄漏物引发次生事故。抢险过程应根据形势做好个人防护。</w:t>
            </w:r>
          </w:p>
          <w:p w14:paraId="2105AE0F">
            <w:pPr>
              <w:pStyle w:val="117"/>
              <w:ind w:firstLine="480"/>
            </w:pPr>
            <w:r>
              <w:rPr>
                <w:rFonts w:hint="eastAsia"/>
              </w:rPr>
              <w:t>②风险事故发生时的火灾、爆炸等引起的伴生/次生污染物应急处理措施：</w:t>
            </w:r>
          </w:p>
          <w:p w14:paraId="71F32746">
            <w:pPr>
              <w:pStyle w:val="117"/>
              <w:ind w:firstLine="480"/>
            </w:pPr>
            <w:r>
              <w:rPr>
                <w:rFonts w:hint="eastAsia"/>
              </w:rPr>
              <w:t>A.在风险事故发生时，针对火灾、爆炸等引发的伴生/次生污染物，需采取有效的应急处理措施，确保环境安全和人员健康；</w:t>
            </w:r>
          </w:p>
          <w:p w14:paraId="1836A09E">
            <w:pPr>
              <w:pStyle w:val="117"/>
              <w:ind w:firstLine="480"/>
            </w:pPr>
            <w:r>
              <w:rPr>
                <w:rFonts w:hint="eastAsia"/>
              </w:rPr>
              <w:t>B.事故发生后，及时转移、撤离或者疏散可能受到危害的人员，并进行妥善安置，确保人员安全；</w:t>
            </w:r>
          </w:p>
          <w:p w14:paraId="02BC8E5E">
            <w:pPr>
              <w:pStyle w:val="117"/>
              <w:ind w:firstLine="480"/>
            </w:pPr>
            <w:r>
              <w:rPr>
                <w:rFonts w:hint="eastAsia"/>
              </w:rPr>
              <w:t>C.火灾爆炸初期污染小的情况，发现后报告车间领导，安全人员灭火，车间领导监控，事后收集残留物按危废处理；</w:t>
            </w:r>
          </w:p>
          <w:p w14:paraId="16AE4BC5">
            <w:pPr>
              <w:pStyle w:val="117"/>
              <w:ind w:firstLine="480"/>
            </w:pPr>
            <w:r>
              <w:rPr>
                <w:rFonts w:hint="eastAsia"/>
              </w:rPr>
              <w:t>D.若火情较大，启动二级响应。公司应急指挥中心介入，关闭雨水排口，抽消防废水到事故池，后勤保障物资；</w:t>
            </w:r>
          </w:p>
          <w:p w14:paraId="379D9112">
            <w:pPr>
              <w:pStyle w:val="117"/>
              <w:ind w:firstLine="480"/>
            </w:pPr>
            <w:r>
              <w:rPr>
                <w:rFonts w:hint="eastAsia"/>
              </w:rPr>
              <w:t>E.火情非常严重时启动一级响应，请求开发区外部救援力量。在其到达前，公司采取全厂警报、人员撤离等应急措施；</w:t>
            </w:r>
          </w:p>
          <w:p w14:paraId="32D33B7A">
            <w:pPr>
              <w:pStyle w:val="117"/>
              <w:ind w:firstLine="480"/>
            </w:pPr>
            <w:r>
              <w:rPr>
                <w:rFonts w:hint="eastAsia"/>
              </w:rPr>
              <w:t>F.发生火灾时，应及时采取相应的灭火措施并疏散厂内员工，必要时启动突发事故应急预案，及时疏散周围的居民，应急救援后产生的废物委托有资质的单位处理；</w:t>
            </w:r>
          </w:p>
          <w:p w14:paraId="6C9D8C49">
            <w:pPr>
              <w:pStyle w:val="117"/>
              <w:ind w:firstLine="480"/>
            </w:pPr>
            <w:r>
              <w:rPr>
                <w:rFonts w:hint="eastAsia"/>
              </w:rPr>
              <w:t>G.事故发生后，相关部门要制定污染监测计划，对可能污染进行监测，根据现场监测结果，确定被转移、疏散群众返回时间，直至无异常方可停止监测工作。</w:t>
            </w:r>
          </w:p>
          <w:p w14:paraId="731BCBF8">
            <w:pPr>
              <w:pStyle w:val="117"/>
              <w:ind w:firstLine="480"/>
            </w:pPr>
            <w:r>
              <w:t>（5）</w:t>
            </w:r>
            <w:r>
              <w:rPr>
                <w:rFonts w:hint="eastAsia"/>
              </w:rPr>
              <w:t>风险评价结论</w:t>
            </w:r>
          </w:p>
          <w:p w14:paraId="0C6CE840">
            <w:pPr>
              <w:pStyle w:val="117"/>
              <w:ind w:firstLine="480"/>
            </w:pPr>
            <w:r>
              <w:t>项目采取有效的预防、应急措施，避免火灾事故的发生，并从各方面积极采取防护</w:t>
            </w:r>
            <w:r>
              <w:rPr>
                <w:rFonts w:hint="eastAsia"/>
              </w:rPr>
              <w:t>措施</w:t>
            </w:r>
            <w:r>
              <w:rPr>
                <w:rFonts w:hint="eastAsia"/>
                <w:b/>
              </w:rPr>
              <w:t>，</w:t>
            </w:r>
            <w:r>
              <w:t>落实本项目的环境风险防范措施，制定环境风险应急预案，保证应急响应系统在事故状态下立即启动，加强管理，同时定期检验风险事故应急预案，当出现事故时要采取紧急的工程应急措施，可以控制事故和减少对环境造成的危害。详见</w:t>
            </w:r>
            <w:r>
              <w:rPr>
                <w:rFonts w:hint="eastAsia"/>
              </w:rPr>
              <w:t>下表</w:t>
            </w:r>
            <w:r>
              <w:t>。</w:t>
            </w:r>
          </w:p>
          <w:p w14:paraId="49169C2B">
            <w:pPr>
              <w:pStyle w:val="87"/>
            </w:pPr>
            <w:r>
              <w:t>表4-1</w:t>
            </w:r>
            <w:r>
              <w:rPr>
                <w:rFonts w:hint="eastAsia"/>
              </w:rPr>
              <w:t>5</w:t>
            </w:r>
            <w:r>
              <w:t xml:space="preserve">  建设项目环境风险简单分析内容表</w:t>
            </w:r>
          </w:p>
          <w:tbl>
            <w:tblPr>
              <w:tblStyle w:val="39"/>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2592"/>
              <w:gridCol w:w="5749"/>
            </w:tblGrid>
            <w:tr w14:paraId="2D1CE2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54" w:type="pct"/>
                  <w:vAlign w:val="center"/>
                </w:tcPr>
                <w:p w14:paraId="0371EAF3">
                  <w:pPr>
                    <w:adjustRightInd w:val="0"/>
                    <w:spacing w:line="240" w:lineRule="auto"/>
                    <w:ind w:firstLine="0" w:firstLineChars="0"/>
                    <w:jc w:val="center"/>
                    <w:rPr>
                      <w:sz w:val="21"/>
                      <w:szCs w:val="20"/>
                      <w:lang w:val="zh-CN"/>
                    </w:rPr>
                  </w:pPr>
                  <w:r>
                    <w:rPr>
                      <w:sz w:val="21"/>
                      <w:szCs w:val="20"/>
                      <w:lang w:val="zh-CN"/>
                    </w:rPr>
                    <w:t>建设项目名称</w:t>
                  </w:r>
                </w:p>
              </w:tc>
              <w:tc>
                <w:tcPr>
                  <w:tcW w:w="3446" w:type="pct"/>
                  <w:vAlign w:val="center"/>
                </w:tcPr>
                <w:p w14:paraId="444F3123">
                  <w:pPr>
                    <w:adjustRightInd w:val="0"/>
                    <w:spacing w:line="240" w:lineRule="auto"/>
                    <w:ind w:firstLine="0" w:firstLineChars="0"/>
                    <w:jc w:val="center"/>
                    <w:rPr>
                      <w:sz w:val="21"/>
                      <w:szCs w:val="20"/>
                      <w:lang w:val="zh-CN"/>
                    </w:rPr>
                  </w:pPr>
                  <w:r>
                    <w:rPr>
                      <w:rFonts w:hint="eastAsia"/>
                      <w:sz w:val="21"/>
                      <w:szCs w:val="20"/>
                      <w:lang w:val="zh-CN"/>
                    </w:rPr>
                    <w:t>汽车内外饰件及模具制造项目</w:t>
                  </w:r>
                </w:p>
              </w:tc>
            </w:tr>
            <w:tr w14:paraId="2D170FD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54" w:type="pct"/>
                  <w:vAlign w:val="center"/>
                </w:tcPr>
                <w:p w14:paraId="4834EF0B">
                  <w:pPr>
                    <w:adjustRightInd w:val="0"/>
                    <w:spacing w:line="240" w:lineRule="auto"/>
                    <w:ind w:firstLine="0" w:firstLineChars="0"/>
                    <w:jc w:val="center"/>
                    <w:rPr>
                      <w:sz w:val="21"/>
                      <w:szCs w:val="20"/>
                      <w:lang w:val="zh-CN"/>
                    </w:rPr>
                  </w:pPr>
                  <w:r>
                    <w:rPr>
                      <w:sz w:val="21"/>
                      <w:szCs w:val="20"/>
                      <w:lang w:val="zh-CN"/>
                    </w:rPr>
                    <w:t>建设地点</w:t>
                  </w:r>
                </w:p>
              </w:tc>
              <w:tc>
                <w:tcPr>
                  <w:tcW w:w="3446" w:type="pct"/>
                  <w:vAlign w:val="center"/>
                </w:tcPr>
                <w:p w14:paraId="31C3516A">
                  <w:pPr>
                    <w:adjustRightInd w:val="0"/>
                    <w:spacing w:line="240" w:lineRule="auto"/>
                    <w:ind w:firstLine="0" w:firstLineChars="0"/>
                    <w:jc w:val="center"/>
                    <w:rPr>
                      <w:sz w:val="21"/>
                      <w:szCs w:val="20"/>
                      <w:lang w:val="zh-CN"/>
                    </w:rPr>
                  </w:pPr>
                  <w:r>
                    <w:rPr>
                      <w:rFonts w:hint="eastAsia"/>
                      <w:sz w:val="21"/>
                      <w:szCs w:val="20"/>
                      <w:lang w:val="zh-CN"/>
                    </w:rPr>
                    <w:t>柳州市远诚科技有限公司</w:t>
                  </w:r>
                </w:p>
              </w:tc>
            </w:tr>
            <w:tr w14:paraId="2EEF0D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54" w:type="pct"/>
                  <w:vAlign w:val="center"/>
                </w:tcPr>
                <w:p w14:paraId="68C8B8F9">
                  <w:pPr>
                    <w:adjustRightInd w:val="0"/>
                    <w:spacing w:line="240" w:lineRule="auto"/>
                    <w:ind w:firstLine="0" w:firstLineChars="0"/>
                    <w:jc w:val="center"/>
                    <w:rPr>
                      <w:sz w:val="21"/>
                      <w:szCs w:val="20"/>
                      <w:lang w:val="zh-CN"/>
                    </w:rPr>
                  </w:pPr>
                  <w:r>
                    <w:rPr>
                      <w:sz w:val="21"/>
                      <w:szCs w:val="20"/>
                      <w:lang w:val="zh-CN"/>
                    </w:rPr>
                    <w:t>地理位置</w:t>
                  </w:r>
                </w:p>
              </w:tc>
              <w:tc>
                <w:tcPr>
                  <w:tcW w:w="3446" w:type="pct"/>
                  <w:vAlign w:val="center"/>
                </w:tcPr>
                <w:p w14:paraId="776D15ED">
                  <w:pPr>
                    <w:adjustRightInd w:val="0"/>
                    <w:spacing w:line="240" w:lineRule="auto"/>
                    <w:ind w:firstLine="0" w:firstLineChars="0"/>
                    <w:jc w:val="center"/>
                    <w:rPr>
                      <w:sz w:val="21"/>
                      <w:szCs w:val="20"/>
                      <w:lang w:val="zh-CN"/>
                    </w:rPr>
                  </w:pPr>
                  <w:r>
                    <w:rPr>
                      <w:sz w:val="21"/>
                      <w:szCs w:val="20"/>
                      <w:lang w:val="zh-CN"/>
                    </w:rPr>
                    <w:t>东经109°40’43.960”，北纬24°25’32.815”</w:t>
                  </w:r>
                </w:p>
              </w:tc>
            </w:tr>
            <w:tr w14:paraId="545C2D6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54" w:type="pct"/>
                  <w:vAlign w:val="center"/>
                </w:tcPr>
                <w:p w14:paraId="23E1D5E7">
                  <w:pPr>
                    <w:adjustRightInd w:val="0"/>
                    <w:spacing w:line="240" w:lineRule="auto"/>
                    <w:ind w:firstLine="0" w:firstLineChars="0"/>
                    <w:jc w:val="center"/>
                    <w:rPr>
                      <w:sz w:val="21"/>
                      <w:szCs w:val="20"/>
                      <w:lang w:val="zh-CN"/>
                    </w:rPr>
                  </w:pPr>
                  <w:r>
                    <w:rPr>
                      <w:sz w:val="21"/>
                      <w:szCs w:val="20"/>
                      <w:lang w:val="zh-CN"/>
                    </w:rPr>
                    <w:t>主要危险物质及分布</w:t>
                  </w:r>
                </w:p>
              </w:tc>
              <w:tc>
                <w:tcPr>
                  <w:tcW w:w="3446" w:type="pct"/>
                  <w:vAlign w:val="center"/>
                </w:tcPr>
                <w:p w14:paraId="29D7BC36">
                  <w:pPr>
                    <w:adjustRightInd w:val="0"/>
                    <w:spacing w:line="240" w:lineRule="auto"/>
                    <w:ind w:firstLine="0" w:firstLineChars="0"/>
                    <w:jc w:val="center"/>
                    <w:rPr>
                      <w:sz w:val="21"/>
                      <w:szCs w:val="20"/>
                      <w:lang w:val="zh-CN"/>
                    </w:rPr>
                  </w:pPr>
                  <w:r>
                    <w:rPr>
                      <w:rFonts w:hint="eastAsia"/>
                      <w:sz w:val="21"/>
                      <w:szCs w:val="20"/>
                      <w:lang w:val="zh-CN"/>
                    </w:rPr>
                    <w:t>危废暂存间</w:t>
                  </w:r>
                </w:p>
              </w:tc>
            </w:tr>
            <w:tr w14:paraId="6DA1CB9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54" w:type="pct"/>
                  <w:vAlign w:val="center"/>
                </w:tcPr>
                <w:p w14:paraId="6F475ED9">
                  <w:pPr>
                    <w:adjustRightInd w:val="0"/>
                    <w:spacing w:line="240" w:lineRule="auto"/>
                    <w:ind w:firstLine="0" w:firstLineChars="0"/>
                    <w:jc w:val="center"/>
                    <w:rPr>
                      <w:sz w:val="21"/>
                      <w:szCs w:val="20"/>
                      <w:lang w:val="zh-CN"/>
                    </w:rPr>
                  </w:pPr>
                  <w:r>
                    <w:rPr>
                      <w:sz w:val="21"/>
                      <w:szCs w:val="20"/>
                      <w:lang w:val="zh-CN"/>
                    </w:rPr>
                    <w:t>环境影响途径及危害后果（大气、地表水、地下水等）</w:t>
                  </w:r>
                </w:p>
              </w:tc>
              <w:tc>
                <w:tcPr>
                  <w:tcW w:w="3446" w:type="pct"/>
                  <w:vAlign w:val="center"/>
                </w:tcPr>
                <w:p w14:paraId="200EAA23">
                  <w:pPr>
                    <w:adjustRightInd w:val="0"/>
                    <w:spacing w:line="240" w:lineRule="auto"/>
                    <w:ind w:firstLine="0" w:firstLineChars="0"/>
                    <w:jc w:val="left"/>
                    <w:rPr>
                      <w:sz w:val="21"/>
                      <w:szCs w:val="20"/>
                      <w:lang w:val="zh-CN"/>
                    </w:rPr>
                  </w:pPr>
                  <w:r>
                    <w:rPr>
                      <w:sz w:val="21"/>
                      <w:szCs w:val="20"/>
                      <w:lang w:val="zh-CN"/>
                    </w:rPr>
                    <w:t>火灾所产生的烟雾在短时间内会造成周围敏感点环境空气质量一定程度的恶化，对人体健康也有一定的损害，但由于持续时间短，随着火灾事故的结束其影响很快减轻直至消除，因此对周围环境及居民正常生活造成的影响不大</w:t>
                  </w:r>
                  <w:r>
                    <w:rPr>
                      <w:rFonts w:hint="eastAsia"/>
                      <w:sz w:val="21"/>
                      <w:szCs w:val="20"/>
                      <w:lang w:val="zh-CN"/>
                    </w:rPr>
                    <w:t>。</w:t>
                  </w:r>
                </w:p>
              </w:tc>
            </w:tr>
            <w:tr w14:paraId="7E52A0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1554" w:type="pct"/>
                  <w:vAlign w:val="center"/>
                </w:tcPr>
                <w:p w14:paraId="730B651F">
                  <w:pPr>
                    <w:adjustRightInd w:val="0"/>
                    <w:spacing w:line="240" w:lineRule="auto"/>
                    <w:ind w:firstLine="0" w:firstLineChars="0"/>
                    <w:jc w:val="center"/>
                    <w:rPr>
                      <w:sz w:val="21"/>
                      <w:szCs w:val="20"/>
                      <w:lang w:val="zh-CN"/>
                    </w:rPr>
                  </w:pPr>
                  <w:r>
                    <w:rPr>
                      <w:sz w:val="21"/>
                      <w:szCs w:val="20"/>
                      <w:lang w:val="zh-CN"/>
                    </w:rPr>
                    <w:t>风险防范措施要求</w:t>
                  </w:r>
                </w:p>
              </w:tc>
              <w:tc>
                <w:tcPr>
                  <w:tcW w:w="3446" w:type="pct"/>
                  <w:vAlign w:val="center"/>
                </w:tcPr>
                <w:p w14:paraId="17334263">
                  <w:pPr>
                    <w:adjustRightInd w:val="0"/>
                    <w:spacing w:line="240" w:lineRule="auto"/>
                    <w:ind w:firstLine="0" w:firstLineChars="0"/>
                    <w:rPr>
                      <w:sz w:val="21"/>
                      <w:szCs w:val="20"/>
                      <w:lang w:val="zh-CN"/>
                    </w:rPr>
                  </w:pPr>
                  <w:r>
                    <w:rPr>
                      <w:rFonts w:hint="eastAsia"/>
                      <w:sz w:val="21"/>
                      <w:szCs w:val="20"/>
                      <w:lang w:val="zh-CN"/>
                    </w:rPr>
                    <w:t>①</w:t>
                  </w:r>
                  <w:r>
                    <w:rPr>
                      <w:sz w:val="21"/>
                      <w:szCs w:val="20"/>
                      <w:lang w:val="zh-CN"/>
                    </w:rPr>
                    <w:t>健全各项制度，强化安全管理意识，加强用电设备及线路的检修和管理；</w:t>
                  </w:r>
                </w:p>
                <w:p w14:paraId="248687A3">
                  <w:pPr>
                    <w:adjustRightInd w:val="0"/>
                    <w:spacing w:line="240" w:lineRule="auto"/>
                    <w:ind w:firstLine="0" w:firstLineChars="0"/>
                    <w:rPr>
                      <w:sz w:val="21"/>
                      <w:szCs w:val="20"/>
                      <w:lang w:val="zh-CN"/>
                    </w:rPr>
                  </w:pPr>
                  <w:r>
                    <w:rPr>
                      <w:rFonts w:hint="eastAsia"/>
                      <w:sz w:val="21"/>
                      <w:szCs w:val="20"/>
                      <w:lang w:val="zh-CN"/>
                    </w:rPr>
                    <w:t>②</w:t>
                  </w:r>
                  <w:r>
                    <w:rPr>
                      <w:sz w:val="21"/>
                      <w:szCs w:val="20"/>
                      <w:lang w:val="zh-CN"/>
                    </w:rPr>
                    <w:t>在车间、员工宿舍配备消防栓、灭火器等火灾消防器材；</w:t>
                  </w:r>
                </w:p>
                <w:p w14:paraId="580E507B">
                  <w:pPr>
                    <w:adjustRightInd w:val="0"/>
                    <w:spacing w:line="240" w:lineRule="auto"/>
                    <w:ind w:firstLine="0" w:firstLineChars="0"/>
                    <w:rPr>
                      <w:sz w:val="21"/>
                      <w:szCs w:val="20"/>
                      <w:lang w:val="zh-CN"/>
                    </w:rPr>
                  </w:pPr>
                  <w:r>
                    <w:rPr>
                      <w:rFonts w:hint="eastAsia"/>
                      <w:sz w:val="21"/>
                      <w:szCs w:val="20"/>
                      <w:lang w:val="zh-CN"/>
                    </w:rPr>
                    <w:t>③</w:t>
                  </w:r>
                  <w:r>
                    <w:rPr>
                      <w:sz w:val="21"/>
                      <w:szCs w:val="20"/>
                      <w:lang w:val="zh-CN"/>
                    </w:rPr>
                    <w:t>车间内禁止明火，设置严禁烟火标志；</w:t>
                  </w:r>
                </w:p>
                <w:p w14:paraId="38325779">
                  <w:pPr>
                    <w:adjustRightInd w:val="0"/>
                    <w:spacing w:line="240" w:lineRule="auto"/>
                    <w:ind w:firstLine="0" w:firstLineChars="0"/>
                    <w:rPr>
                      <w:sz w:val="21"/>
                      <w:szCs w:val="20"/>
                      <w:lang w:val="zh-CN"/>
                    </w:rPr>
                  </w:pPr>
                  <w:r>
                    <w:rPr>
                      <w:rFonts w:hint="eastAsia"/>
                      <w:sz w:val="21"/>
                      <w:szCs w:val="20"/>
                      <w:lang w:val="zh-CN"/>
                    </w:rPr>
                    <w:t>④</w:t>
                  </w:r>
                  <w:r>
                    <w:rPr>
                      <w:sz w:val="21"/>
                      <w:szCs w:val="20"/>
                      <w:lang w:val="zh-CN"/>
                    </w:rPr>
                    <w:t>企业应定期对车间和设备进行巡查和安全检测，加强对员工日常防范和事故培训。在采取以上措施后，可有效降低风险发生的概率。</w:t>
                  </w:r>
                </w:p>
              </w:tc>
            </w:tr>
            <w:tr w14:paraId="4A0396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5000" w:type="pct"/>
                  <w:gridSpan w:val="2"/>
                  <w:vAlign w:val="center"/>
                </w:tcPr>
                <w:p w14:paraId="42D7319E">
                  <w:pPr>
                    <w:adjustRightInd w:val="0"/>
                    <w:spacing w:line="240" w:lineRule="auto"/>
                    <w:ind w:firstLine="0" w:firstLineChars="0"/>
                    <w:rPr>
                      <w:sz w:val="21"/>
                      <w:szCs w:val="20"/>
                      <w:lang w:val="zh-CN"/>
                    </w:rPr>
                  </w:pPr>
                  <w:r>
                    <w:rPr>
                      <w:sz w:val="21"/>
                      <w:szCs w:val="20"/>
                      <w:lang w:val="zh-CN"/>
                    </w:rPr>
                    <w:t>填表说明（列出项目相关信息及评价说明）</w:t>
                  </w:r>
                  <w:r>
                    <w:rPr>
                      <w:rFonts w:hint="eastAsia"/>
                      <w:sz w:val="21"/>
                      <w:szCs w:val="20"/>
                      <w:lang w:val="zh-CN"/>
                    </w:rPr>
                    <w:t>：</w:t>
                  </w:r>
                </w:p>
                <w:p w14:paraId="54974374">
                  <w:pPr>
                    <w:adjustRightInd w:val="0"/>
                    <w:spacing w:line="240" w:lineRule="auto"/>
                    <w:ind w:firstLine="0" w:firstLineChars="0"/>
                    <w:rPr>
                      <w:sz w:val="21"/>
                      <w:szCs w:val="20"/>
                      <w:lang w:val="zh-CN"/>
                    </w:rPr>
                  </w:pPr>
                  <w:r>
                    <w:rPr>
                      <w:rFonts w:hint="eastAsia"/>
                      <w:sz w:val="21"/>
                      <w:szCs w:val="20"/>
                      <w:lang w:val="zh-CN"/>
                    </w:rPr>
                    <w:t>项目Q＜1</w:t>
                  </w:r>
                  <w:r>
                    <w:rPr>
                      <w:sz w:val="21"/>
                      <w:szCs w:val="20"/>
                      <w:lang w:val="zh-CN"/>
                    </w:rPr>
                    <w:t>，</w:t>
                  </w:r>
                  <w:r>
                    <w:rPr>
                      <w:rFonts w:hint="eastAsia"/>
                      <w:sz w:val="21"/>
                      <w:szCs w:val="20"/>
                      <w:lang w:val="zh-CN"/>
                    </w:rPr>
                    <w:t>环境风险评价等级为简单分析，项目环境风险可防可控</w:t>
                  </w:r>
                  <w:r>
                    <w:rPr>
                      <w:sz w:val="21"/>
                      <w:szCs w:val="20"/>
                      <w:lang w:val="zh-CN"/>
                    </w:rPr>
                    <w:t>。</w:t>
                  </w:r>
                </w:p>
              </w:tc>
            </w:tr>
          </w:tbl>
          <w:p w14:paraId="06BD1243">
            <w:pPr>
              <w:pStyle w:val="117"/>
              <w:ind w:firstLine="480"/>
            </w:pPr>
            <w:r>
              <w:t>本项目发生环境风险事故后，对周围环境的影响可控，</w:t>
            </w:r>
            <w:r>
              <w:rPr>
                <w:rFonts w:hint="eastAsia"/>
              </w:rPr>
              <w:t>环境风险可防可控</w:t>
            </w:r>
            <w:r>
              <w:t>。</w:t>
            </w:r>
          </w:p>
          <w:p w14:paraId="1E725B60">
            <w:pPr>
              <w:pStyle w:val="117"/>
              <w:ind w:firstLine="482"/>
              <w:rPr>
                <w:b/>
                <w:bCs w:val="0"/>
              </w:rPr>
            </w:pPr>
            <w:r>
              <w:rPr>
                <w:rFonts w:hint="eastAsia"/>
                <w:b/>
                <w:bCs w:val="0"/>
              </w:rPr>
              <w:t>六</w:t>
            </w:r>
            <w:r>
              <w:rPr>
                <w:b/>
                <w:bCs w:val="0"/>
              </w:rPr>
              <w:t>、</w:t>
            </w:r>
            <w:r>
              <w:rPr>
                <w:rFonts w:hint="eastAsia"/>
                <w:b/>
                <w:bCs w:val="0"/>
              </w:rPr>
              <w:t>地下水、土壤环境</w:t>
            </w:r>
            <w:r>
              <w:rPr>
                <w:b/>
                <w:bCs w:val="0"/>
              </w:rPr>
              <w:t>影响分析</w:t>
            </w:r>
          </w:p>
          <w:p w14:paraId="24282CD8">
            <w:pPr>
              <w:pStyle w:val="117"/>
              <w:ind w:firstLine="480"/>
            </w:pPr>
            <w:r>
              <w:rPr>
                <w:rFonts w:hint="eastAsia"/>
              </w:rPr>
              <w:t>项目地下水、土壤污染途径主要为废液压油存储过程中发生跑冒滴漏，渗入土壤对土壤及地下水环境产生影响。</w:t>
            </w:r>
          </w:p>
          <w:p w14:paraId="344D3270">
            <w:pPr>
              <w:pStyle w:val="117"/>
              <w:ind w:firstLine="480"/>
            </w:pPr>
            <w:r>
              <w:rPr>
                <w:rFonts w:hint="eastAsia"/>
              </w:rPr>
              <w:t>为防止项目运营期间产生的污染物以及含污介质的污水下渗对厂区地下水、土壤造成污染，应从原料产品的储存、装卸、运输、生产、污染处理措施等各个环节和过程进行有效控制，避免污染物泄/渗漏，同时对可能会泄漏到地表的区域采取一定的防渗措施。从源头到末端全方位采取有效控制。</w:t>
            </w:r>
          </w:p>
          <w:p w14:paraId="1094AF9C">
            <w:pPr>
              <w:pStyle w:val="117"/>
              <w:ind w:firstLine="480"/>
            </w:pPr>
            <w:r>
              <w:rPr>
                <w:rFonts w:hint="eastAsia"/>
              </w:rPr>
              <w:t>做好生产车间及管道防渗设施的维护和定期检测，保证各防渗设施的正常运行，定期检测防渗系统的完整性和有效性，当发现渗漏时，应及时采取补救措施。</w:t>
            </w:r>
          </w:p>
          <w:p w14:paraId="33219AA3">
            <w:pPr>
              <w:pStyle w:val="117"/>
              <w:ind w:firstLine="480"/>
            </w:pPr>
            <w:r>
              <w:rPr>
                <w:rFonts w:hint="eastAsia"/>
              </w:rPr>
              <w:t>（1）源头控制</w:t>
            </w:r>
          </w:p>
          <w:p w14:paraId="2B362413">
            <w:pPr>
              <w:pStyle w:val="117"/>
              <w:ind w:firstLine="480"/>
            </w:pPr>
            <w:r>
              <w:rPr>
                <w:rFonts w:hint="eastAsia"/>
              </w:rPr>
              <w:t>本项目应严格按照要求落实废水、废气、废液、固体废物的处置方式，确保达标排放；严格按照国家相关规范要求，对生产设备、危废暂存间等采取相应措施，以防止降低污染物的跑、冒、滴、漏，将污染物的环境风险事故降低到最低程度；加强巡视、设备检查工作，做到污染物“早发现、早处理”，避免泄漏造成地下水、土壤的污染。</w:t>
            </w:r>
          </w:p>
          <w:p w14:paraId="5712C3F8">
            <w:pPr>
              <w:pStyle w:val="117"/>
              <w:ind w:firstLine="480"/>
            </w:pPr>
            <w:r>
              <w:rPr>
                <w:rFonts w:hint="eastAsia"/>
              </w:rPr>
              <w:t>（2）分区防控措施</w:t>
            </w:r>
          </w:p>
          <w:p w14:paraId="05F4DD7C">
            <w:pPr>
              <w:pStyle w:val="117"/>
              <w:ind w:firstLine="480"/>
            </w:pPr>
            <w:r>
              <w:rPr>
                <w:rFonts w:hint="eastAsia"/>
              </w:rPr>
              <w:t>对可能泄漏污染物的污染区地面进行防渗处理，并及时地将泄漏/渗漏的污染物收集起来进行处理，可有效防止洒落地面的污染物渗入地下。</w:t>
            </w:r>
          </w:p>
          <w:p w14:paraId="1DE1901A">
            <w:pPr>
              <w:pStyle w:val="117"/>
              <w:ind w:firstLine="480"/>
            </w:pPr>
            <w:r>
              <w:rPr>
                <w:rFonts w:hint="eastAsia"/>
              </w:rPr>
              <w:t>根据本工程的特点，划分为一般防渗区及重点污染防渗区。项目重点防渗区主要为危废暂存间；一般防渗区为其他区域。</w:t>
            </w:r>
          </w:p>
          <w:p w14:paraId="7161F5CE">
            <w:pPr>
              <w:pStyle w:val="117"/>
              <w:ind w:firstLine="480"/>
            </w:pPr>
            <w:r>
              <w:rPr>
                <w:rFonts w:hint="eastAsia"/>
              </w:rPr>
              <w:t>根据国家相关标准和规范，结合施工过程的可操作性和技术水平，针对不同的防渗区域采用不同的防渗措施，防渗工艺及材料在具体施工中应根据实际情况在满足防渗标准的前提下可作必要调整。各分区防渗设计按照以下要求进行设计：</w:t>
            </w:r>
          </w:p>
          <w:p w14:paraId="561FE129">
            <w:pPr>
              <w:pStyle w:val="117"/>
              <w:ind w:firstLine="480"/>
            </w:pPr>
            <w:r>
              <w:rPr>
                <w:rFonts w:hint="eastAsia"/>
              </w:rPr>
              <w:t>①重点防渗区应设置防渗层：重点防渗区的防渗性能应与6.0m厚粘土层（渗透系数1.0×10</w:t>
            </w:r>
            <w:r>
              <w:rPr>
                <w:rFonts w:hint="eastAsia"/>
                <w:vertAlign w:val="superscript"/>
              </w:rPr>
              <w:t>-10</w:t>
            </w:r>
            <w:r>
              <w:rPr>
                <w:rFonts w:hint="eastAsia"/>
              </w:rPr>
              <w:t>cm/s）等效。</w:t>
            </w:r>
          </w:p>
          <w:p w14:paraId="200DCF84">
            <w:pPr>
              <w:pStyle w:val="117"/>
              <w:ind w:firstLine="480"/>
              <w:jc w:val="left"/>
            </w:pPr>
            <w:r>
              <w:rPr>
                <w:rFonts w:hint="eastAsia"/>
              </w:rPr>
              <w:t>②防渗措施：重点防渗区采用2mm厚高度聚乙烯防渗层，（渗透系数≦10</w:t>
            </w:r>
            <w:r>
              <w:rPr>
                <w:rFonts w:hint="eastAsia"/>
                <w:vertAlign w:val="superscript"/>
              </w:rPr>
              <w:t>-10</w:t>
            </w:r>
            <w:r>
              <w:rPr>
                <w:rFonts w:hint="eastAsia"/>
              </w:rPr>
              <w:t>cm/s）；面层采用防渗涂料面层或防渗钢筋钢纤维混凝土面层（渗透系数≦10</w:t>
            </w:r>
            <w:r>
              <w:rPr>
                <w:rFonts w:hint="eastAsia"/>
                <w:vertAlign w:val="superscript"/>
              </w:rPr>
              <w:t>-12</w:t>
            </w:r>
            <w:r>
              <w:rPr>
                <w:rFonts w:hint="eastAsia"/>
              </w:rPr>
              <w:t>cm/s）。</w:t>
            </w:r>
          </w:p>
          <w:p w14:paraId="4CDECAD4">
            <w:pPr>
              <w:pStyle w:val="117"/>
              <w:ind w:firstLine="480"/>
            </w:pPr>
            <w:r>
              <w:rPr>
                <w:rFonts w:hint="eastAsia"/>
              </w:rPr>
              <w:t>项目生活污水经三级化粪池处理后排入排入市政污水管网，项目废水不直接进入地表水或地下水。同时，在严格执行以上地下水污染预防措施的基础上，本项目的建设不会对项目所在场地及区域地下水水质、土壤产生明显影响。</w:t>
            </w:r>
          </w:p>
          <w:p w14:paraId="1A17F29F">
            <w:pPr>
              <w:ind w:firstLine="0" w:firstLineChars="0"/>
              <w:rPr>
                <w:rFonts w:ascii="宋体" w:cs="宋体"/>
                <w:b/>
                <w:kern w:val="0"/>
                <w:sz w:val="28"/>
                <w:szCs w:val="28"/>
              </w:rPr>
            </w:pPr>
          </w:p>
        </w:tc>
      </w:tr>
    </w:tbl>
    <w:p w14:paraId="1D715099">
      <w:pPr>
        <w:ind w:firstLine="560"/>
        <w:rPr>
          <w:rFonts w:ascii="宋体" w:cs="宋体"/>
          <w:sz w:val="28"/>
          <w:szCs w:val="28"/>
        </w:rPr>
        <w:sectPr>
          <w:pgSz w:w="11907" w:h="16840"/>
          <w:pgMar w:top="1474" w:right="1247" w:bottom="1474" w:left="1531" w:header="851" w:footer="851" w:gutter="0"/>
          <w:cols w:space="720" w:num="1"/>
          <w:docGrid w:linePitch="312" w:charSpace="0"/>
        </w:sectPr>
      </w:pPr>
    </w:p>
    <w:p w14:paraId="1F2DD15B">
      <w:pPr>
        <w:pStyle w:val="2"/>
        <w:rPr>
          <w:snapToGrid w:val="0"/>
          <w:color w:val="auto"/>
        </w:rPr>
      </w:pPr>
      <w:bookmarkStart w:id="47" w:name="_Toc106357937"/>
      <w:bookmarkStart w:id="48" w:name="_Toc109895246"/>
      <w:bookmarkStart w:id="49" w:name="_Toc68650492"/>
      <w:bookmarkStart w:id="50" w:name="_Toc106357851"/>
      <w:bookmarkStart w:id="51" w:name="_Toc106786252"/>
      <w:bookmarkStart w:id="52" w:name="_Toc106358054"/>
      <w:r>
        <w:rPr>
          <w:rFonts w:hint="eastAsia"/>
          <w:snapToGrid w:val="0"/>
          <w:color w:val="auto"/>
        </w:rPr>
        <w:t>五、</w:t>
      </w:r>
      <w:bookmarkStart w:id="53" w:name="_Hlk54167917"/>
      <w:r>
        <w:rPr>
          <w:rFonts w:hint="eastAsia"/>
          <w:snapToGrid w:val="0"/>
          <w:color w:val="auto"/>
        </w:rPr>
        <w:t>环境保护措施监督检查清单</w:t>
      </w:r>
      <w:bookmarkEnd w:id="47"/>
      <w:bookmarkEnd w:id="48"/>
      <w:bookmarkEnd w:id="49"/>
      <w:bookmarkEnd w:id="50"/>
      <w:bookmarkEnd w:id="51"/>
      <w:bookmarkEnd w:id="52"/>
      <w:bookmarkEnd w:id="53"/>
    </w:p>
    <w:tbl>
      <w:tblPr>
        <w:tblStyle w:val="3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92"/>
        <w:gridCol w:w="648"/>
        <w:gridCol w:w="947"/>
        <w:gridCol w:w="1497"/>
        <w:gridCol w:w="2732"/>
        <w:gridCol w:w="2328"/>
      </w:tblGrid>
      <w:tr w14:paraId="7AC9A9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8" w:type="pct"/>
            <w:tcBorders>
              <w:tl2br w:val="single" w:color="auto" w:sz="4" w:space="0"/>
            </w:tcBorders>
          </w:tcPr>
          <w:p w14:paraId="3BC54662">
            <w:pPr>
              <w:pStyle w:val="76"/>
              <w:jc w:val="right"/>
              <w:rPr>
                <w:b/>
                <w:bCs w:val="0"/>
              </w:rPr>
            </w:pPr>
            <w:r>
              <w:rPr>
                <w:rFonts w:hint="eastAsia"/>
                <w:b/>
                <w:bCs w:val="0"/>
              </w:rPr>
              <w:t>内容</w:t>
            </w:r>
          </w:p>
          <w:p w14:paraId="1A29EB88">
            <w:pPr>
              <w:pStyle w:val="76"/>
              <w:jc w:val="left"/>
              <w:rPr>
                <w:b/>
                <w:bCs w:val="0"/>
              </w:rPr>
            </w:pPr>
          </w:p>
          <w:p w14:paraId="553D7049">
            <w:pPr>
              <w:pStyle w:val="76"/>
              <w:jc w:val="left"/>
              <w:rPr>
                <w:b/>
                <w:bCs w:val="0"/>
              </w:rPr>
            </w:pPr>
            <w:r>
              <w:rPr>
                <w:rFonts w:hint="eastAsia"/>
                <w:b/>
                <w:bCs w:val="0"/>
              </w:rPr>
              <w:t>要素</w:t>
            </w:r>
          </w:p>
        </w:tc>
        <w:tc>
          <w:tcPr>
            <w:tcW w:w="854" w:type="pct"/>
            <w:gridSpan w:val="2"/>
            <w:vAlign w:val="center"/>
          </w:tcPr>
          <w:p w14:paraId="31097CFB">
            <w:pPr>
              <w:pStyle w:val="76"/>
              <w:rPr>
                <w:b/>
                <w:bCs w:val="0"/>
              </w:rPr>
            </w:pPr>
            <w:r>
              <w:rPr>
                <w:rFonts w:hint="eastAsia"/>
                <w:b/>
                <w:bCs w:val="0"/>
              </w:rPr>
              <w:t>排放口(编号、名称)/污染源</w:t>
            </w:r>
          </w:p>
        </w:tc>
        <w:tc>
          <w:tcPr>
            <w:tcW w:w="801" w:type="pct"/>
            <w:vAlign w:val="center"/>
          </w:tcPr>
          <w:p w14:paraId="540C8891">
            <w:pPr>
              <w:pStyle w:val="76"/>
              <w:rPr>
                <w:b/>
                <w:bCs w:val="0"/>
              </w:rPr>
            </w:pPr>
            <w:r>
              <w:rPr>
                <w:rFonts w:hint="eastAsia"/>
                <w:b/>
                <w:bCs w:val="0"/>
              </w:rPr>
              <w:t>污染物项目</w:t>
            </w:r>
          </w:p>
        </w:tc>
        <w:tc>
          <w:tcPr>
            <w:tcW w:w="1462" w:type="pct"/>
            <w:vAlign w:val="center"/>
          </w:tcPr>
          <w:p w14:paraId="7FE00547">
            <w:pPr>
              <w:pStyle w:val="76"/>
              <w:rPr>
                <w:b/>
                <w:bCs w:val="0"/>
              </w:rPr>
            </w:pPr>
            <w:r>
              <w:rPr>
                <w:rFonts w:hint="eastAsia"/>
                <w:b/>
                <w:bCs w:val="0"/>
              </w:rPr>
              <w:t>环境保护措施</w:t>
            </w:r>
          </w:p>
        </w:tc>
        <w:tc>
          <w:tcPr>
            <w:tcW w:w="1245" w:type="pct"/>
            <w:vAlign w:val="center"/>
          </w:tcPr>
          <w:p w14:paraId="5037767E">
            <w:pPr>
              <w:pStyle w:val="76"/>
              <w:rPr>
                <w:b/>
                <w:bCs w:val="0"/>
              </w:rPr>
            </w:pPr>
            <w:r>
              <w:rPr>
                <w:rFonts w:hint="eastAsia"/>
                <w:b/>
                <w:bCs w:val="0"/>
              </w:rPr>
              <w:t>执行标准</w:t>
            </w:r>
          </w:p>
        </w:tc>
      </w:tr>
      <w:tr w14:paraId="6AAE116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8" w:type="pct"/>
            <w:vMerge w:val="restart"/>
            <w:vAlign w:val="center"/>
          </w:tcPr>
          <w:p w14:paraId="2583D1C6">
            <w:pPr>
              <w:pStyle w:val="76"/>
              <w:rPr>
                <w:b/>
                <w:bCs w:val="0"/>
              </w:rPr>
            </w:pPr>
            <w:r>
              <w:rPr>
                <w:rFonts w:hint="eastAsia"/>
                <w:b/>
                <w:bCs w:val="0"/>
              </w:rPr>
              <w:t>大气环境</w:t>
            </w:r>
          </w:p>
        </w:tc>
        <w:tc>
          <w:tcPr>
            <w:tcW w:w="347" w:type="pct"/>
            <w:vAlign w:val="center"/>
          </w:tcPr>
          <w:p w14:paraId="4D136AAD">
            <w:pPr>
              <w:pStyle w:val="76"/>
            </w:pPr>
            <w:r>
              <w:rPr>
                <w:rFonts w:hint="eastAsia"/>
              </w:rPr>
              <w:t>有组织</w:t>
            </w:r>
          </w:p>
        </w:tc>
        <w:tc>
          <w:tcPr>
            <w:tcW w:w="507" w:type="pct"/>
            <w:vAlign w:val="center"/>
          </w:tcPr>
          <w:p w14:paraId="7CF04F34">
            <w:pPr>
              <w:pStyle w:val="76"/>
            </w:pPr>
            <w:r>
              <w:rPr>
                <w:rFonts w:hint="eastAsia"/>
              </w:rPr>
              <w:t>DA001排气筒</w:t>
            </w:r>
          </w:p>
        </w:tc>
        <w:tc>
          <w:tcPr>
            <w:tcW w:w="801" w:type="pct"/>
            <w:vAlign w:val="center"/>
          </w:tcPr>
          <w:p w14:paraId="2A1B6E5C">
            <w:pPr>
              <w:pStyle w:val="76"/>
            </w:pPr>
            <w:r>
              <w:rPr>
                <w:rFonts w:hint="eastAsia"/>
              </w:rPr>
              <w:t>非甲烷总烃</w:t>
            </w:r>
          </w:p>
        </w:tc>
        <w:tc>
          <w:tcPr>
            <w:tcW w:w="1462" w:type="pct"/>
            <w:vAlign w:val="center"/>
          </w:tcPr>
          <w:p w14:paraId="79658B9F">
            <w:pPr>
              <w:pStyle w:val="76"/>
            </w:pPr>
            <w:r>
              <w:rPr>
                <w:rFonts w:hint="eastAsia"/>
              </w:rPr>
              <w:t>二级活性炭+15m高排气筒</w:t>
            </w:r>
          </w:p>
        </w:tc>
        <w:tc>
          <w:tcPr>
            <w:tcW w:w="1245" w:type="pct"/>
            <w:vAlign w:val="center"/>
          </w:tcPr>
          <w:p w14:paraId="47AA488D">
            <w:pPr>
              <w:pStyle w:val="79"/>
              <w:jc w:val="both"/>
            </w:pPr>
            <w:r>
              <w:rPr>
                <w:rFonts w:hint="eastAsia"/>
              </w:rPr>
              <w:t>《合成树脂工业污染物排放标准》（GB31572-2015）</w:t>
            </w:r>
          </w:p>
        </w:tc>
      </w:tr>
      <w:tr w14:paraId="3C979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8" w:type="pct"/>
            <w:vMerge w:val="continue"/>
            <w:vAlign w:val="center"/>
          </w:tcPr>
          <w:p w14:paraId="32DD8D02">
            <w:pPr>
              <w:pStyle w:val="76"/>
              <w:rPr>
                <w:b/>
                <w:bCs w:val="0"/>
              </w:rPr>
            </w:pPr>
          </w:p>
        </w:tc>
        <w:tc>
          <w:tcPr>
            <w:tcW w:w="347" w:type="pct"/>
            <w:vAlign w:val="center"/>
          </w:tcPr>
          <w:p w14:paraId="7877463D">
            <w:pPr>
              <w:pStyle w:val="76"/>
            </w:pPr>
            <w:r>
              <w:rPr>
                <w:rFonts w:hint="eastAsia"/>
              </w:rPr>
              <w:t>无组织</w:t>
            </w:r>
          </w:p>
        </w:tc>
        <w:tc>
          <w:tcPr>
            <w:tcW w:w="507" w:type="pct"/>
            <w:vAlign w:val="center"/>
          </w:tcPr>
          <w:p w14:paraId="12CE7B10">
            <w:pPr>
              <w:pStyle w:val="76"/>
            </w:pPr>
            <w:r>
              <w:rPr>
                <w:rFonts w:hint="eastAsia"/>
              </w:rPr>
              <w:t>无组织废气</w:t>
            </w:r>
          </w:p>
        </w:tc>
        <w:tc>
          <w:tcPr>
            <w:tcW w:w="801" w:type="pct"/>
            <w:vAlign w:val="center"/>
          </w:tcPr>
          <w:p w14:paraId="1653D3AE">
            <w:pPr>
              <w:pStyle w:val="76"/>
            </w:pPr>
            <w:r>
              <w:rPr>
                <w:rFonts w:hint="eastAsia"/>
              </w:rPr>
              <w:t>颗粒物、非甲烷总烃</w:t>
            </w:r>
          </w:p>
        </w:tc>
        <w:tc>
          <w:tcPr>
            <w:tcW w:w="1462" w:type="pct"/>
            <w:vAlign w:val="center"/>
          </w:tcPr>
          <w:p w14:paraId="28EC7CE6">
            <w:pPr>
              <w:pStyle w:val="76"/>
            </w:pPr>
            <w:r>
              <w:rPr>
                <w:rFonts w:hint="eastAsia"/>
              </w:rPr>
              <w:t>厂房通风</w:t>
            </w:r>
          </w:p>
        </w:tc>
        <w:tc>
          <w:tcPr>
            <w:tcW w:w="1245" w:type="pct"/>
            <w:vAlign w:val="center"/>
          </w:tcPr>
          <w:p w14:paraId="1380505C">
            <w:pPr>
              <w:pStyle w:val="79"/>
              <w:jc w:val="both"/>
            </w:pPr>
            <w:r>
              <w:rPr>
                <w:rFonts w:hint="eastAsia"/>
              </w:rPr>
              <w:t>《大气污染物综合排放标准》（GB16297-1996）</w:t>
            </w:r>
          </w:p>
        </w:tc>
      </w:tr>
      <w:tr w14:paraId="5968E2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8" w:type="pct"/>
            <w:vAlign w:val="center"/>
          </w:tcPr>
          <w:p w14:paraId="1E107934">
            <w:pPr>
              <w:pStyle w:val="76"/>
              <w:rPr>
                <w:b/>
                <w:bCs w:val="0"/>
              </w:rPr>
            </w:pPr>
            <w:r>
              <w:rPr>
                <w:rFonts w:hint="eastAsia"/>
                <w:b/>
                <w:bCs w:val="0"/>
              </w:rPr>
              <w:t>地表水环境</w:t>
            </w:r>
          </w:p>
        </w:tc>
        <w:tc>
          <w:tcPr>
            <w:tcW w:w="854" w:type="pct"/>
            <w:gridSpan w:val="2"/>
            <w:vAlign w:val="center"/>
          </w:tcPr>
          <w:p w14:paraId="7906734A">
            <w:pPr>
              <w:pStyle w:val="76"/>
            </w:pPr>
            <w:r>
              <w:rPr>
                <w:rFonts w:hint="eastAsia"/>
              </w:rPr>
              <w:t>生活污水</w:t>
            </w:r>
          </w:p>
        </w:tc>
        <w:tc>
          <w:tcPr>
            <w:tcW w:w="801" w:type="pct"/>
            <w:vAlign w:val="center"/>
          </w:tcPr>
          <w:p w14:paraId="0781CEF4">
            <w:pPr>
              <w:pStyle w:val="76"/>
            </w:pPr>
            <w:r>
              <w:t>COD、BOD</w:t>
            </w:r>
            <w:r>
              <w:rPr>
                <w:vertAlign w:val="subscript"/>
              </w:rPr>
              <w:t>5</w:t>
            </w:r>
            <w:r>
              <w:t>、SS、</w:t>
            </w:r>
            <w:r>
              <w:rPr>
                <w:rFonts w:hint="eastAsia"/>
              </w:rPr>
              <w:t>NH</w:t>
            </w:r>
            <w:r>
              <w:rPr>
                <w:rFonts w:hint="eastAsia"/>
                <w:vertAlign w:val="subscript"/>
              </w:rPr>
              <w:t>3</w:t>
            </w:r>
            <w:r>
              <w:rPr>
                <w:rFonts w:hint="eastAsia"/>
              </w:rPr>
              <w:t>-N</w:t>
            </w:r>
          </w:p>
        </w:tc>
        <w:tc>
          <w:tcPr>
            <w:tcW w:w="1462" w:type="pct"/>
            <w:vAlign w:val="center"/>
          </w:tcPr>
          <w:p w14:paraId="19ED1DDE">
            <w:pPr>
              <w:pStyle w:val="76"/>
              <w:jc w:val="both"/>
            </w:pPr>
            <w:r>
              <w:rPr>
                <w:rFonts w:hint="eastAsia"/>
              </w:rPr>
              <w:t>经化粪池处理后排入鹿寨县第二污水处理厂进一步处理</w:t>
            </w:r>
          </w:p>
        </w:tc>
        <w:tc>
          <w:tcPr>
            <w:tcW w:w="1245" w:type="pct"/>
            <w:vAlign w:val="center"/>
          </w:tcPr>
          <w:p w14:paraId="389F7C1B">
            <w:pPr>
              <w:pStyle w:val="79"/>
              <w:jc w:val="both"/>
            </w:pPr>
            <w:r>
              <w:rPr>
                <w:rFonts w:hint="eastAsia"/>
              </w:rPr>
              <w:t>《污水综合排放标准》（GB16297-1996）</w:t>
            </w:r>
          </w:p>
        </w:tc>
      </w:tr>
      <w:tr w14:paraId="42C743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8" w:type="pct"/>
            <w:vAlign w:val="center"/>
          </w:tcPr>
          <w:p w14:paraId="27D7D854">
            <w:pPr>
              <w:pStyle w:val="76"/>
              <w:rPr>
                <w:b/>
                <w:bCs w:val="0"/>
              </w:rPr>
            </w:pPr>
            <w:r>
              <w:rPr>
                <w:rFonts w:hint="eastAsia"/>
                <w:b/>
                <w:bCs w:val="0"/>
              </w:rPr>
              <w:t>声环境</w:t>
            </w:r>
          </w:p>
        </w:tc>
        <w:tc>
          <w:tcPr>
            <w:tcW w:w="854" w:type="pct"/>
            <w:gridSpan w:val="2"/>
            <w:vAlign w:val="center"/>
          </w:tcPr>
          <w:p w14:paraId="1E92C3A4">
            <w:pPr>
              <w:pStyle w:val="76"/>
            </w:pPr>
            <w:r>
              <w:rPr>
                <w:rFonts w:hint="eastAsia"/>
              </w:rPr>
              <w:t>生产厂房</w:t>
            </w:r>
          </w:p>
        </w:tc>
        <w:tc>
          <w:tcPr>
            <w:tcW w:w="801" w:type="pct"/>
            <w:vAlign w:val="center"/>
          </w:tcPr>
          <w:p w14:paraId="7F683C19">
            <w:pPr>
              <w:pStyle w:val="76"/>
            </w:pPr>
            <w:r>
              <w:rPr>
                <w:rFonts w:hint="eastAsia"/>
              </w:rPr>
              <w:t>噪声</w:t>
            </w:r>
          </w:p>
        </w:tc>
        <w:tc>
          <w:tcPr>
            <w:tcW w:w="1462" w:type="pct"/>
            <w:vAlign w:val="center"/>
          </w:tcPr>
          <w:p w14:paraId="5CD67CE6">
            <w:pPr>
              <w:pStyle w:val="76"/>
              <w:jc w:val="both"/>
            </w:pPr>
            <w:r>
              <w:rPr>
                <w:rFonts w:hint="eastAsia"/>
              </w:rPr>
              <w:t>厂房隔声、设备合理布局、基础减振等</w:t>
            </w:r>
          </w:p>
        </w:tc>
        <w:tc>
          <w:tcPr>
            <w:tcW w:w="1245" w:type="pct"/>
            <w:vAlign w:val="center"/>
          </w:tcPr>
          <w:p w14:paraId="2B825A19">
            <w:pPr>
              <w:pStyle w:val="79"/>
              <w:jc w:val="both"/>
            </w:pPr>
            <w:r>
              <w:rPr>
                <w:rFonts w:hint="eastAsia" w:ascii="宋体" w:hAnsi="宋体"/>
              </w:rPr>
              <w:t>《</w:t>
            </w:r>
            <w:r>
              <w:rPr>
                <w:rFonts w:hint="eastAsia" w:hAnsi="宋体"/>
              </w:rPr>
              <w:t>工业企业厂界环境噪声排放标准》（</w:t>
            </w:r>
            <w:r>
              <w:t>GB12348-2008</w:t>
            </w:r>
            <w:r>
              <w:rPr>
                <w:rFonts w:hint="eastAsia" w:hAnsi="宋体"/>
              </w:rPr>
              <w:t>）</w:t>
            </w:r>
          </w:p>
        </w:tc>
      </w:tr>
      <w:tr w14:paraId="1F4249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8" w:type="pct"/>
            <w:vAlign w:val="center"/>
          </w:tcPr>
          <w:p w14:paraId="71643EFC">
            <w:pPr>
              <w:pStyle w:val="76"/>
              <w:rPr>
                <w:b/>
                <w:bCs w:val="0"/>
              </w:rPr>
            </w:pPr>
            <w:r>
              <w:rPr>
                <w:rFonts w:hint="eastAsia"/>
                <w:b/>
                <w:bCs w:val="0"/>
              </w:rPr>
              <w:t>电磁辐射</w:t>
            </w:r>
          </w:p>
        </w:tc>
        <w:tc>
          <w:tcPr>
            <w:tcW w:w="854" w:type="pct"/>
            <w:gridSpan w:val="2"/>
            <w:vAlign w:val="center"/>
          </w:tcPr>
          <w:p w14:paraId="2DD12DA7">
            <w:pPr>
              <w:pStyle w:val="76"/>
            </w:pPr>
            <w:r>
              <w:rPr>
                <w:rFonts w:hint="eastAsia"/>
              </w:rPr>
              <w:t>无</w:t>
            </w:r>
          </w:p>
        </w:tc>
        <w:tc>
          <w:tcPr>
            <w:tcW w:w="801" w:type="pct"/>
            <w:vAlign w:val="center"/>
          </w:tcPr>
          <w:p w14:paraId="4CD12CEB">
            <w:pPr>
              <w:pStyle w:val="76"/>
            </w:pPr>
            <w:r>
              <w:rPr>
                <w:rFonts w:hint="eastAsia"/>
              </w:rPr>
              <w:t>无</w:t>
            </w:r>
          </w:p>
        </w:tc>
        <w:tc>
          <w:tcPr>
            <w:tcW w:w="1462" w:type="pct"/>
            <w:vAlign w:val="center"/>
          </w:tcPr>
          <w:p w14:paraId="0FB517A1">
            <w:pPr>
              <w:pStyle w:val="76"/>
            </w:pPr>
            <w:r>
              <w:rPr>
                <w:rFonts w:hint="eastAsia"/>
              </w:rPr>
              <w:t>无</w:t>
            </w:r>
          </w:p>
        </w:tc>
        <w:tc>
          <w:tcPr>
            <w:tcW w:w="1245" w:type="pct"/>
            <w:vAlign w:val="center"/>
          </w:tcPr>
          <w:p w14:paraId="31583050">
            <w:pPr>
              <w:pStyle w:val="76"/>
            </w:pPr>
            <w:r>
              <w:rPr>
                <w:rFonts w:hint="eastAsia"/>
              </w:rPr>
              <w:t>/</w:t>
            </w:r>
          </w:p>
        </w:tc>
      </w:tr>
      <w:tr w14:paraId="6E4469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restart"/>
            <w:vAlign w:val="center"/>
          </w:tcPr>
          <w:p w14:paraId="4CFA39D7">
            <w:pPr>
              <w:pStyle w:val="76"/>
              <w:rPr>
                <w:b/>
                <w:bCs w:val="0"/>
              </w:rPr>
            </w:pPr>
            <w:r>
              <w:rPr>
                <w:rFonts w:hint="eastAsia"/>
                <w:b/>
                <w:bCs w:val="0"/>
              </w:rPr>
              <w:t>固体废物</w:t>
            </w:r>
          </w:p>
        </w:tc>
        <w:tc>
          <w:tcPr>
            <w:tcW w:w="854" w:type="pct"/>
            <w:gridSpan w:val="2"/>
            <w:vMerge w:val="restart"/>
            <w:vAlign w:val="center"/>
          </w:tcPr>
          <w:p w14:paraId="3689C213">
            <w:pPr>
              <w:pStyle w:val="76"/>
            </w:pPr>
            <w:r>
              <w:rPr>
                <w:rFonts w:hint="eastAsia"/>
              </w:rPr>
              <w:t>生产厂房</w:t>
            </w:r>
          </w:p>
        </w:tc>
        <w:tc>
          <w:tcPr>
            <w:tcW w:w="801" w:type="pct"/>
            <w:vAlign w:val="center"/>
          </w:tcPr>
          <w:p w14:paraId="5DE72BFE">
            <w:pPr>
              <w:pStyle w:val="76"/>
            </w:pPr>
            <w:r>
              <w:rPr>
                <w:rFonts w:hint="eastAsia"/>
              </w:rPr>
              <w:t>边角料、不合格品</w:t>
            </w:r>
          </w:p>
        </w:tc>
        <w:tc>
          <w:tcPr>
            <w:tcW w:w="1462" w:type="pct"/>
            <w:vAlign w:val="center"/>
          </w:tcPr>
          <w:p w14:paraId="088F87FE">
            <w:pPr>
              <w:pStyle w:val="76"/>
            </w:pPr>
            <w:r>
              <w:rPr>
                <w:rFonts w:hint="eastAsia"/>
              </w:rPr>
              <w:t>破碎后回用于生产</w:t>
            </w:r>
          </w:p>
        </w:tc>
        <w:tc>
          <w:tcPr>
            <w:tcW w:w="1245" w:type="pct"/>
            <w:vAlign w:val="center"/>
          </w:tcPr>
          <w:p w14:paraId="0560D127">
            <w:pPr>
              <w:pStyle w:val="76"/>
            </w:pPr>
            <w:r>
              <w:rPr>
                <w:rFonts w:hint="eastAsia"/>
              </w:rPr>
              <w:t>/</w:t>
            </w:r>
          </w:p>
        </w:tc>
      </w:tr>
      <w:tr w14:paraId="3344D8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5187DE20">
            <w:pPr>
              <w:pStyle w:val="76"/>
              <w:rPr>
                <w:b/>
                <w:bCs w:val="0"/>
              </w:rPr>
            </w:pPr>
          </w:p>
        </w:tc>
        <w:tc>
          <w:tcPr>
            <w:tcW w:w="854" w:type="pct"/>
            <w:gridSpan w:val="2"/>
            <w:vMerge w:val="continue"/>
            <w:vAlign w:val="center"/>
          </w:tcPr>
          <w:p w14:paraId="64614BE9">
            <w:pPr>
              <w:pStyle w:val="76"/>
            </w:pPr>
          </w:p>
        </w:tc>
        <w:tc>
          <w:tcPr>
            <w:tcW w:w="801" w:type="pct"/>
            <w:vAlign w:val="center"/>
          </w:tcPr>
          <w:p w14:paraId="03AA2521">
            <w:pPr>
              <w:pStyle w:val="76"/>
            </w:pPr>
            <w:r>
              <w:rPr>
                <w:rFonts w:hint="eastAsia"/>
              </w:rPr>
              <w:t>废润滑油</w:t>
            </w:r>
          </w:p>
        </w:tc>
        <w:tc>
          <w:tcPr>
            <w:tcW w:w="1462" w:type="pct"/>
            <w:vMerge w:val="restart"/>
            <w:vAlign w:val="center"/>
          </w:tcPr>
          <w:p w14:paraId="315F23A7">
            <w:pPr>
              <w:pStyle w:val="76"/>
            </w:pPr>
            <w:r>
              <w:t>暂存于危废暂存间，定期委托有危险废物处置资质的单位回收处置</w:t>
            </w:r>
          </w:p>
        </w:tc>
        <w:tc>
          <w:tcPr>
            <w:tcW w:w="1245" w:type="pct"/>
            <w:vMerge w:val="restart"/>
            <w:vAlign w:val="center"/>
          </w:tcPr>
          <w:p w14:paraId="29E78E25">
            <w:pPr>
              <w:pStyle w:val="76"/>
              <w:jc w:val="both"/>
            </w:pPr>
            <w:r>
              <w:rPr>
                <w:rFonts w:hint="eastAsia"/>
              </w:rPr>
              <w:t>《危险废物贮存污染控制标准》（GB18597-20</w:t>
            </w:r>
            <w:r>
              <w:t>23</w:t>
            </w:r>
            <w:r>
              <w:rPr>
                <w:rFonts w:hint="eastAsia"/>
              </w:rPr>
              <w:t>）</w:t>
            </w:r>
          </w:p>
        </w:tc>
      </w:tr>
      <w:tr w14:paraId="1F9C03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7321C79C">
            <w:pPr>
              <w:pStyle w:val="76"/>
              <w:rPr>
                <w:b/>
                <w:bCs w:val="0"/>
              </w:rPr>
            </w:pPr>
          </w:p>
        </w:tc>
        <w:tc>
          <w:tcPr>
            <w:tcW w:w="854" w:type="pct"/>
            <w:gridSpan w:val="2"/>
            <w:vMerge w:val="continue"/>
            <w:vAlign w:val="center"/>
          </w:tcPr>
          <w:p w14:paraId="71F397CA">
            <w:pPr>
              <w:pStyle w:val="76"/>
            </w:pPr>
          </w:p>
        </w:tc>
        <w:tc>
          <w:tcPr>
            <w:tcW w:w="801" w:type="pct"/>
            <w:vAlign w:val="center"/>
          </w:tcPr>
          <w:p w14:paraId="291324C8">
            <w:pPr>
              <w:pStyle w:val="76"/>
            </w:pPr>
            <w:r>
              <w:t>含油抹布</w:t>
            </w:r>
          </w:p>
        </w:tc>
        <w:tc>
          <w:tcPr>
            <w:tcW w:w="1462" w:type="pct"/>
            <w:vMerge w:val="continue"/>
            <w:vAlign w:val="center"/>
          </w:tcPr>
          <w:p w14:paraId="5E76E4FF">
            <w:pPr>
              <w:pStyle w:val="76"/>
            </w:pPr>
          </w:p>
        </w:tc>
        <w:tc>
          <w:tcPr>
            <w:tcW w:w="1245" w:type="pct"/>
            <w:vMerge w:val="continue"/>
            <w:vAlign w:val="center"/>
          </w:tcPr>
          <w:p w14:paraId="123BEA66">
            <w:pPr>
              <w:pStyle w:val="76"/>
            </w:pPr>
          </w:p>
        </w:tc>
      </w:tr>
      <w:tr w14:paraId="4531EE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3F49B007">
            <w:pPr>
              <w:pStyle w:val="76"/>
              <w:rPr>
                <w:b/>
                <w:bCs w:val="0"/>
              </w:rPr>
            </w:pPr>
          </w:p>
        </w:tc>
        <w:tc>
          <w:tcPr>
            <w:tcW w:w="854" w:type="pct"/>
            <w:gridSpan w:val="2"/>
            <w:vMerge w:val="continue"/>
            <w:vAlign w:val="center"/>
          </w:tcPr>
          <w:p w14:paraId="08F2C201">
            <w:pPr>
              <w:pStyle w:val="76"/>
            </w:pPr>
          </w:p>
        </w:tc>
        <w:tc>
          <w:tcPr>
            <w:tcW w:w="801" w:type="pct"/>
            <w:vAlign w:val="center"/>
          </w:tcPr>
          <w:p w14:paraId="64096273">
            <w:pPr>
              <w:pStyle w:val="76"/>
            </w:pPr>
            <w:r>
              <w:rPr>
                <w:rFonts w:hint="eastAsia"/>
              </w:rPr>
              <w:t>废活性炭</w:t>
            </w:r>
          </w:p>
        </w:tc>
        <w:tc>
          <w:tcPr>
            <w:tcW w:w="1462" w:type="pct"/>
            <w:vMerge w:val="continue"/>
            <w:vAlign w:val="center"/>
          </w:tcPr>
          <w:p w14:paraId="5712B78F">
            <w:pPr>
              <w:pStyle w:val="76"/>
            </w:pPr>
          </w:p>
        </w:tc>
        <w:tc>
          <w:tcPr>
            <w:tcW w:w="1245" w:type="pct"/>
            <w:vMerge w:val="continue"/>
            <w:vAlign w:val="center"/>
          </w:tcPr>
          <w:p w14:paraId="0418C45E">
            <w:pPr>
              <w:pStyle w:val="76"/>
            </w:pPr>
          </w:p>
        </w:tc>
      </w:tr>
      <w:tr w14:paraId="3B5DAD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38" w:type="pct"/>
            <w:vMerge w:val="continue"/>
            <w:vAlign w:val="center"/>
          </w:tcPr>
          <w:p w14:paraId="27914F2E">
            <w:pPr>
              <w:pStyle w:val="76"/>
              <w:rPr>
                <w:b/>
                <w:bCs w:val="0"/>
              </w:rPr>
            </w:pPr>
          </w:p>
        </w:tc>
        <w:tc>
          <w:tcPr>
            <w:tcW w:w="854" w:type="pct"/>
            <w:gridSpan w:val="2"/>
            <w:vAlign w:val="center"/>
          </w:tcPr>
          <w:p w14:paraId="0C976DCF">
            <w:pPr>
              <w:pStyle w:val="76"/>
            </w:pPr>
            <w:r>
              <w:rPr>
                <w:rFonts w:hint="eastAsia"/>
              </w:rPr>
              <w:t>员工生活</w:t>
            </w:r>
          </w:p>
        </w:tc>
        <w:tc>
          <w:tcPr>
            <w:tcW w:w="801" w:type="pct"/>
            <w:vAlign w:val="center"/>
          </w:tcPr>
          <w:p w14:paraId="285C465D">
            <w:pPr>
              <w:pStyle w:val="76"/>
            </w:pPr>
            <w:r>
              <w:t>生活垃圾</w:t>
            </w:r>
          </w:p>
        </w:tc>
        <w:tc>
          <w:tcPr>
            <w:tcW w:w="1462" w:type="pct"/>
            <w:vAlign w:val="center"/>
          </w:tcPr>
          <w:p w14:paraId="77041F0B">
            <w:pPr>
              <w:pStyle w:val="76"/>
            </w:pPr>
            <w:r>
              <w:rPr>
                <w:rFonts w:hint="eastAsia"/>
              </w:rPr>
              <w:t>委托环卫部门处理</w:t>
            </w:r>
          </w:p>
        </w:tc>
        <w:tc>
          <w:tcPr>
            <w:tcW w:w="1245" w:type="pct"/>
            <w:vAlign w:val="center"/>
          </w:tcPr>
          <w:p w14:paraId="7427F136">
            <w:pPr>
              <w:pStyle w:val="76"/>
            </w:pPr>
            <w:r>
              <w:rPr>
                <w:rFonts w:hint="eastAsia"/>
              </w:rPr>
              <w:t>/</w:t>
            </w:r>
          </w:p>
        </w:tc>
      </w:tr>
      <w:tr w14:paraId="45B645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8" w:type="pct"/>
            <w:vAlign w:val="center"/>
          </w:tcPr>
          <w:p w14:paraId="13D64F09">
            <w:pPr>
              <w:pStyle w:val="76"/>
              <w:rPr>
                <w:b/>
                <w:bCs w:val="0"/>
              </w:rPr>
            </w:pPr>
            <w:r>
              <w:rPr>
                <w:rFonts w:hint="eastAsia"/>
                <w:b/>
                <w:bCs w:val="0"/>
              </w:rPr>
              <w:t>土壤及地下水污染防治措施</w:t>
            </w:r>
          </w:p>
        </w:tc>
        <w:tc>
          <w:tcPr>
            <w:tcW w:w="4362" w:type="pct"/>
            <w:gridSpan w:val="5"/>
            <w:vAlign w:val="center"/>
          </w:tcPr>
          <w:p w14:paraId="1FA2DAF2">
            <w:pPr>
              <w:pStyle w:val="76"/>
            </w:pPr>
            <w:r>
              <w:rPr>
                <w:rFonts w:hint="eastAsia"/>
              </w:rPr>
              <w:t>无</w:t>
            </w:r>
          </w:p>
        </w:tc>
      </w:tr>
      <w:tr w14:paraId="14CA15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638" w:type="pct"/>
            <w:vAlign w:val="center"/>
          </w:tcPr>
          <w:p w14:paraId="7C864325">
            <w:pPr>
              <w:pStyle w:val="76"/>
              <w:rPr>
                <w:b/>
                <w:bCs w:val="0"/>
              </w:rPr>
            </w:pPr>
            <w:r>
              <w:rPr>
                <w:rFonts w:hint="eastAsia"/>
                <w:b/>
                <w:bCs w:val="0"/>
              </w:rPr>
              <w:t>生态保护措施</w:t>
            </w:r>
          </w:p>
        </w:tc>
        <w:tc>
          <w:tcPr>
            <w:tcW w:w="4362" w:type="pct"/>
            <w:gridSpan w:val="5"/>
            <w:vAlign w:val="center"/>
          </w:tcPr>
          <w:p w14:paraId="45CAEBEF">
            <w:pPr>
              <w:spacing w:line="240" w:lineRule="auto"/>
              <w:ind w:firstLine="0" w:firstLineChars="0"/>
            </w:pPr>
            <w:r>
              <w:rPr>
                <w:rFonts w:hint="eastAsia"/>
              </w:rPr>
              <w:t>建立并实施严格的管理措施，严禁各种污染物大量进入环境，尽量使污染物的影响达到最低程度。</w:t>
            </w:r>
          </w:p>
        </w:tc>
      </w:tr>
      <w:tr w14:paraId="147C5C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38" w:type="pct"/>
            <w:vAlign w:val="center"/>
          </w:tcPr>
          <w:p w14:paraId="27AD7BBD">
            <w:pPr>
              <w:pStyle w:val="76"/>
              <w:rPr>
                <w:b/>
                <w:bCs w:val="0"/>
                <w:spacing w:val="-8"/>
              </w:rPr>
            </w:pPr>
            <w:r>
              <w:rPr>
                <w:rFonts w:hint="eastAsia"/>
                <w:b/>
                <w:bCs w:val="0"/>
                <w:spacing w:val="-8"/>
              </w:rPr>
              <w:t>环境风险防范措施</w:t>
            </w:r>
          </w:p>
        </w:tc>
        <w:tc>
          <w:tcPr>
            <w:tcW w:w="4362" w:type="pct"/>
            <w:gridSpan w:val="5"/>
            <w:vAlign w:val="center"/>
          </w:tcPr>
          <w:p w14:paraId="4570D3DB">
            <w:pPr>
              <w:ind w:firstLine="480"/>
            </w:pPr>
            <w:r>
              <w:rPr>
                <w:rFonts w:hint="eastAsia"/>
              </w:rPr>
              <w:t>项目厂房车间设置灭火器等火灾处理设施，危废暂存间按照《危险废物贮存污染控制标准》（GB18597-2023）进行建设和管理；加强员工防火意识预防火灾风险，预防环境风险的发生。定期维护生产设施和环保设施，预防废气、废水、噪声等污染物的超标排放，预防对周边环境造成不利影响。控制污染事故的扩散，减少污染的产生，预防环境风险事故的发生。</w:t>
            </w:r>
          </w:p>
        </w:tc>
      </w:tr>
      <w:tr w14:paraId="03FCCE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748" w:hRule="atLeast"/>
          <w:jc w:val="center"/>
        </w:trPr>
        <w:tc>
          <w:tcPr>
            <w:tcW w:w="638" w:type="pct"/>
            <w:vAlign w:val="center"/>
          </w:tcPr>
          <w:p w14:paraId="01F03388">
            <w:pPr>
              <w:pStyle w:val="76"/>
              <w:rPr>
                <w:b/>
                <w:bCs w:val="0"/>
                <w:spacing w:val="-8"/>
              </w:rPr>
            </w:pPr>
            <w:r>
              <w:rPr>
                <w:rFonts w:hint="eastAsia"/>
                <w:b/>
                <w:bCs w:val="0"/>
                <w:spacing w:val="-8"/>
                <w:sz w:val="24"/>
                <w:szCs w:val="32"/>
              </w:rPr>
              <w:t>其他环境管理要求</w:t>
            </w:r>
          </w:p>
        </w:tc>
        <w:tc>
          <w:tcPr>
            <w:tcW w:w="4362" w:type="pct"/>
            <w:gridSpan w:val="5"/>
            <w:vAlign w:val="center"/>
          </w:tcPr>
          <w:p w14:paraId="76F5906A">
            <w:pPr>
              <w:pStyle w:val="117"/>
              <w:ind w:firstLine="482"/>
              <w:rPr>
                <w:b/>
                <w:bCs w:val="0"/>
              </w:rPr>
            </w:pPr>
            <w:r>
              <w:rPr>
                <w:b/>
                <w:bCs w:val="0"/>
              </w:rPr>
              <w:t>1</w:t>
            </w:r>
            <w:r>
              <w:rPr>
                <w:rFonts w:hint="eastAsia"/>
                <w:b/>
                <w:bCs w:val="0"/>
              </w:rPr>
              <w:t>、一、环境管理</w:t>
            </w:r>
          </w:p>
          <w:p w14:paraId="45B23290">
            <w:pPr>
              <w:pStyle w:val="117"/>
              <w:ind w:firstLine="480"/>
            </w:pPr>
            <w:r>
              <w:rPr>
                <w:rFonts w:hint="eastAsia"/>
              </w:rPr>
              <w:t>企业要完善环境管理制度，首先必须建立相应的环境管理机构，明确环境管理机构的职责。环境管理机构由法定代表人直接负责。应设置专职环境保护管理人员，将企业内部的环保工作落实到每个车间、工段、工序和操作岗位。确保企业能认真履行自己所承担的环境保护责任。该机构业务受当地环保行政主管部门指导。完善企业内部环保监测设施，部分监测工作可委托有资质单位外协完成。</w:t>
            </w:r>
          </w:p>
          <w:p w14:paraId="604A990D">
            <w:pPr>
              <w:pStyle w:val="117"/>
              <w:ind w:firstLine="482"/>
              <w:rPr>
                <w:b/>
                <w:bCs w:val="0"/>
              </w:rPr>
            </w:pPr>
            <w:r>
              <w:rPr>
                <w:rFonts w:hint="eastAsia"/>
                <w:b/>
                <w:bCs w:val="0"/>
              </w:rPr>
              <w:t>2、排污口规范化</w:t>
            </w:r>
          </w:p>
          <w:p w14:paraId="28DE604A">
            <w:pPr>
              <w:pStyle w:val="117"/>
              <w:ind w:firstLine="480"/>
            </w:pPr>
            <w:r>
              <w:rPr>
                <w:rFonts w:hint="eastAsia"/>
              </w:rPr>
              <w:t>①排污口规范化必要性</w:t>
            </w:r>
          </w:p>
          <w:p w14:paraId="7620C52E">
            <w:pPr>
              <w:pStyle w:val="117"/>
              <w:ind w:firstLine="480"/>
            </w:pPr>
            <w:r>
              <w:rPr>
                <w:rFonts w:hint="eastAsia"/>
              </w:rPr>
              <w:t>排污口规范化管理是实施污染物总量控制的基础性工作之一，也是总量控制不可缺少的一部分内容，此项工作可强化污染物的现场监督检查，促进企业加强管理和污染治理，实施污染物排放科学化、定量化管理。</w:t>
            </w:r>
          </w:p>
          <w:p w14:paraId="62396ECB">
            <w:pPr>
              <w:pStyle w:val="117"/>
              <w:ind w:firstLine="480"/>
            </w:pPr>
            <w:r>
              <w:rPr>
                <w:rFonts w:hint="eastAsia"/>
              </w:rPr>
              <w:t>②排污口规范化的范围和时间</w:t>
            </w:r>
          </w:p>
          <w:p w14:paraId="505C4FF7">
            <w:pPr>
              <w:pStyle w:val="117"/>
              <w:ind w:firstLine="480"/>
            </w:pPr>
            <w:r>
              <w:rPr>
                <w:rFonts w:hint="eastAsia"/>
              </w:rPr>
              <w:t>排污口规范化内容</w:t>
            </w:r>
          </w:p>
          <w:p w14:paraId="007497FE">
            <w:pPr>
              <w:pStyle w:val="117"/>
              <w:ind w:firstLine="480"/>
            </w:pPr>
            <w:r>
              <w:rPr>
                <w:rFonts w:hint="eastAsia"/>
              </w:rPr>
              <w:t>Ⅰ、需规范化排放口：排放口应预留监测口做到便于采样和测定流量，并设立标志。</w:t>
            </w:r>
          </w:p>
          <w:p w14:paraId="13F795E9">
            <w:pPr>
              <w:pStyle w:val="117"/>
              <w:ind w:firstLine="480"/>
            </w:pPr>
            <w:r>
              <w:rPr>
                <w:rFonts w:hint="eastAsia"/>
              </w:rPr>
              <w:t>Ⅱ、排污口的管理</w:t>
            </w:r>
          </w:p>
          <w:p w14:paraId="1C3ECCB0">
            <w:pPr>
              <w:pStyle w:val="117"/>
              <w:ind w:firstLine="480"/>
            </w:pPr>
            <w:r>
              <w:rPr>
                <w:rFonts w:hint="eastAsia"/>
              </w:rPr>
              <w:t>建设单位应在各排污口处设置较明显的排污口标志牌，其上应注明主要排污污染物的名称。污染治理措施的运行情况等进行建档管理，并报送环保主管部门备案。</w:t>
            </w:r>
          </w:p>
          <w:p w14:paraId="303F2E07">
            <w:pPr>
              <w:pStyle w:val="117"/>
              <w:ind w:firstLine="480"/>
            </w:pPr>
            <w:r>
              <w:rPr>
                <w:rFonts w:hint="eastAsia"/>
              </w:rPr>
              <w:t>③废气排放口采样位置与采样点</w:t>
            </w:r>
          </w:p>
          <w:p w14:paraId="02D59994">
            <w:pPr>
              <w:pStyle w:val="117"/>
              <w:ind w:firstLine="480"/>
            </w:pPr>
            <w:r>
              <w:rPr>
                <w:rFonts w:hint="eastAsia"/>
              </w:rPr>
              <w:t>根据《固定源废气监测技术规范》（HJ/T397-2007）要求，规范化废气排放口设置采样孔和采样平台。</w:t>
            </w:r>
          </w:p>
          <w:p w14:paraId="5771621F">
            <w:pPr>
              <w:pStyle w:val="117"/>
              <w:ind w:firstLine="482"/>
              <w:rPr>
                <w:b/>
                <w:bCs w:val="0"/>
              </w:rPr>
            </w:pPr>
            <w:r>
              <w:rPr>
                <w:rFonts w:hint="eastAsia"/>
                <w:b/>
                <w:bCs w:val="0"/>
              </w:rPr>
              <w:t>3、排污许可管理</w:t>
            </w:r>
          </w:p>
          <w:p w14:paraId="33CE2CEC">
            <w:pPr>
              <w:pStyle w:val="117"/>
              <w:ind w:firstLine="480"/>
            </w:pPr>
            <w:r>
              <w:rPr>
                <w:rFonts w:hint="eastAsia"/>
              </w:rPr>
              <w:t>项目建设完毕后，需按照《排污许可申请与核发技术规范总则》（HJ942-2018）、《排污许可管理办法（试行）》（环境保护部令第48号）、《环境保护部办公厅&lt;关于做好环境影响评价制度与排污许可制衔接相关工作的通知</w:t>
            </w:r>
            <w:r>
              <w:t>&gt;</w:t>
            </w:r>
            <w:r>
              <w:rPr>
                <w:rFonts w:hint="eastAsia"/>
              </w:rPr>
              <w:t>》（环办环评</w:t>
            </w:r>
            <w:r>
              <w:rPr>
                <w:rFonts w:hint="eastAsia" w:ascii="宋体" w:hAnsi="宋体"/>
              </w:rPr>
              <w:t>〔</w:t>
            </w:r>
            <w:r>
              <w:rPr>
                <w:rFonts w:hint="eastAsia"/>
              </w:rPr>
              <w:t>2017</w:t>
            </w:r>
            <w:r>
              <w:rPr>
                <w:rFonts w:hint="eastAsia" w:ascii="宋体" w:hAnsi="宋体"/>
              </w:rPr>
              <w:t>〕</w:t>
            </w:r>
            <w:r>
              <w:rPr>
                <w:rFonts w:hint="eastAsia"/>
              </w:rPr>
              <w:t>84号）等相关要求在实施时限内申请排污许可证登记。</w:t>
            </w:r>
          </w:p>
          <w:p w14:paraId="079E30E1">
            <w:pPr>
              <w:pStyle w:val="117"/>
              <w:ind w:firstLine="480"/>
            </w:pPr>
            <w:r>
              <w:rPr>
                <w:rFonts w:hint="eastAsia"/>
              </w:rPr>
              <w:t>对照《固定污染源排污许可分类管理名录》(2019年版)，本项日涉及</w:t>
            </w:r>
            <w:r>
              <w:rPr>
                <w:rFonts w:ascii="宋体" w:hAnsi="宋体"/>
              </w:rPr>
              <w:t>“</w:t>
            </w:r>
            <w:r>
              <w:t>三十一</w:t>
            </w:r>
            <w:r>
              <w:rPr>
                <w:spacing w:val="2"/>
              </w:rPr>
              <w:t>、</w:t>
            </w:r>
            <w:r>
              <w:t>汽车制造业</w:t>
            </w:r>
            <w:r>
              <w:rPr>
                <w:rFonts w:eastAsia="Times New Roman"/>
              </w:rPr>
              <w:t>36</w:t>
            </w:r>
            <w:r>
              <w:t>—</w:t>
            </w:r>
            <w:r>
              <w:rPr>
                <w:rFonts w:eastAsia="Times New Roman"/>
              </w:rPr>
              <w:t>85</w:t>
            </w:r>
            <w:r>
              <w:t>汽车零</w:t>
            </w:r>
            <w:r>
              <w:rPr>
                <w:spacing w:val="2"/>
              </w:rPr>
              <w:t>部</w:t>
            </w:r>
            <w:r>
              <w:t>件及配件制造</w:t>
            </w:r>
            <w:r>
              <w:rPr>
                <w:rFonts w:eastAsia="Times New Roman"/>
              </w:rPr>
              <w:t>367</w:t>
            </w:r>
            <w:r>
              <w:rPr>
                <w:rFonts w:ascii="宋体" w:hAnsi="宋体"/>
              </w:rPr>
              <w:t>”</w:t>
            </w:r>
            <w:r>
              <w:t>，</w:t>
            </w:r>
            <w:r>
              <w:rPr>
                <w:rFonts w:ascii="宋体" w:hAnsi="宋体"/>
                <w:spacing w:val="2"/>
              </w:rPr>
              <w:t>“</w:t>
            </w:r>
            <w:r>
              <w:rPr>
                <w:spacing w:val="2"/>
              </w:rPr>
              <w:t>其他</w:t>
            </w:r>
            <w:r>
              <w:rPr>
                <w:rFonts w:ascii="宋体" w:hAnsi="宋体"/>
                <w:spacing w:val="2"/>
              </w:rPr>
              <w:t>”</w:t>
            </w:r>
            <w:r>
              <w:rPr>
                <w:spacing w:val="2"/>
              </w:rPr>
              <w:t>情形，属于登记管理类别</w:t>
            </w:r>
            <w:r>
              <w:rPr>
                <w:rFonts w:hint="eastAsia"/>
                <w:spacing w:val="2"/>
              </w:rPr>
              <w:t>，实行登记管理的排污单位，不需要申请取得排污许可证，应当在本项目建成后，正式投产前20个工作日内，在全国排污许可证管理信息平台填报本企业的排污登记表，登记本企业的基本信息、污染物排放去向、执行的污染物排放标准以及采取的污染防治措施等信息。</w:t>
            </w:r>
          </w:p>
          <w:p w14:paraId="5AC5E4BB">
            <w:pPr>
              <w:pStyle w:val="117"/>
              <w:ind w:firstLine="482"/>
              <w:rPr>
                <w:b/>
                <w:bCs w:val="0"/>
              </w:rPr>
            </w:pPr>
            <w:r>
              <w:rPr>
                <w:b/>
                <w:bCs w:val="0"/>
              </w:rPr>
              <w:t>2</w:t>
            </w:r>
            <w:r>
              <w:rPr>
                <w:rFonts w:hint="eastAsia"/>
                <w:b/>
                <w:bCs w:val="0"/>
              </w:rPr>
              <w:t>、环保竣工验收内容</w:t>
            </w:r>
          </w:p>
          <w:p w14:paraId="74E4AE3A">
            <w:pPr>
              <w:pStyle w:val="117"/>
              <w:ind w:firstLine="480"/>
            </w:pPr>
            <w:r>
              <w:rPr>
                <w:rFonts w:hint="eastAsia"/>
              </w:rPr>
              <w:t>根据《建设项目竣工环境保护验收暂行办法》（国环规环评〔2017〕4号），建设单位自行验收。本项目自行验收要求如下：建设单位是建设项目竣工环境保护验收的责任主体，应当按照暂行办法规定的程序和标准，组织对配套建设的环境保护设施进行验收，编制验收报告，确保建设项目需要配套建设的环境保护设施与主体工程同时投产或者使用，并对验收内容、结论和所公开信息的真实性、准确性和完整性负责，不得在验收过程中弄虚作假。针对本项目，应参照《建设项目竣工环境保护验收技术指南污染影响类》编制验收监测报告。</w:t>
            </w:r>
          </w:p>
        </w:tc>
      </w:tr>
    </w:tbl>
    <w:p w14:paraId="147E456E">
      <w:pPr>
        <w:pStyle w:val="2"/>
        <w:rPr>
          <w:snapToGrid w:val="0"/>
          <w:color w:val="auto"/>
        </w:rPr>
      </w:pPr>
      <w:r>
        <w:rPr>
          <w:snapToGrid w:val="0"/>
          <w:color w:val="auto"/>
        </w:rPr>
        <w:br w:type="page"/>
      </w:r>
      <w:bookmarkStart w:id="54" w:name="_Toc68650493"/>
      <w:bookmarkStart w:id="55" w:name="_Toc106786253"/>
      <w:bookmarkStart w:id="56" w:name="_Toc109895247"/>
      <w:bookmarkStart w:id="57" w:name="_Toc106357938"/>
      <w:bookmarkStart w:id="58" w:name="_Toc106358055"/>
      <w:bookmarkStart w:id="59" w:name="_Toc106357852"/>
      <w:r>
        <w:rPr>
          <w:rFonts w:hint="eastAsia"/>
          <w:snapToGrid w:val="0"/>
          <w:color w:val="auto"/>
        </w:rPr>
        <w:t>六、结论</w:t>
      </w:r>
      <w:bookmarkEnd w:id="54"/>
      <w:bookmarkEnd w:id="55"/>
      <w:bookmarkEnd w:id="56"/>
      <w:bookmarkEnd w:id="57"/>
      <w:bookmarkEnd w:id="58"/>
      <w:bookmarkEnd w:id="59"/>
    </w:p>
    <w:tbl>
      <w:tblPr>
        <w:tblStyle w:val="39"/>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44"/>
      </w:tblGrid>
      <w:tr w14:paraId="14A17C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5000" w:type="pct"/>
          </w:tcPr>
          <w:p w14:paraId="4B3A3F76">
            <w:pPr>
              <w:ind w:firstLine="480"/>
            </w:pPr>
            <w:r>
              <w:rPr>
                <w:rFonts w:hint="eastAsia"/>
              </w:rPr>
              <w:t>柳州市远诚科技有限公司汽车内外饰件及模具制造项目拟建于广西壮族自治区柳州市鹿寨县鹿寨镇飞鹿大道505号 ，项目总投资50万元，总占地面积2673m</w:t>
            </w:r>
            <w:r>
              <w:rPr>
                <w:rFonts w:hint="eastAsia"/>
                <w:vertAlign w:val="superscript"/>
              </w:rPr>
              <w:t>2</w:t>
            </w:r>
            <w:r>
              <w:rPr>
                <w:rFonts w:hint="eastAsia"/>
              </w:rPr>
              <w:t>。项目主要建设1条注塑生产线，年产汽车空调组件600000件，门外把手总成500000件。项目建设符合产业政策，选址合理，项目在投入使用时，对周围环境将会产生一定的污染影响，只要项目认真落实本报告中提出的各项污染防治对策措施，保证环境保护措施的有效运行，确保污染物稳定达标排放、固体废物安全处置，则从环境角度考虑，本项目建设是可行的。</w:t>
            </w:r>
          </w:p>
        </w:tc>
      </w:tr>
    </w:tbl>
    <w:p w14:paraId="1220743C">
      <w:pPr>
        <w:ind w:firstLine="480"/>
        <w:rPr>
          <w:rFonts w:ascii="宋体"/>
        </w:rPr>
        <w:sectPr>
          <w:pgSz w:w="11906" w:h="16838"/>
          <w:pgMar w:top="1474" w:right="1247" w:bottom="1474" w:left="1531" w:header="851" w:footer="851" w:gutter="0"/>
          <w:cols w:space="720" w:num="1"/>
          <w:docGrid w:linePitch="312" w:charSpace="0"/>
        </w:sectPr>
      </w:pPr>
    </w:p>
    <w:p w14:paraId="0217EB28">
      <w:pPr>
        <w:pStyle w:val="2"/>
        <w:rPr>
          <w:snapToGrid w:val="0"/>
          <w:color w:val="auto"/>
        </w:rPr>
      </w:pPr>
      <w:bookmarkStart w:id="60" w:name="_Toc68650494"/>
      <w:bookmarkStart w:id="61" w:name="_Toc109895248"/>
      <w:bookmarkStart w:id="62" w:name="_Toc106358056"/>
      <w:bookmarkStart w:id="63" w:name="_Toc106786254"/>
      <w:bookmarkStart w:id="64" w:name="_Toc106357853"/>
      <w:bookmarkStart w:id="65" w:name="_Toc106357939"/>
      <w:r>
        <w:rPr>
          <w:rFonts w:hint="eastAsia"/>
          <w:snapToGrid w:val="0"/>
          <w:color w:val="auto"/>
        </w:rPr>
        <w:t>附表</w:t>
      </w:r>
      <w:bookmarkEnd w:id="60"/>
      <w:bookmarkEnd w:id="61"/>
      <w:bookmarkEnd w:id="62"/>
      <w:bookmarkEnd w:id="63"/>
      <w:bookmarkEnd w:id="64"/>
      <w:bookmarkEnd w:id="65"/>
    </w:p>
    <w:p w14:paraId="6AA50A56">
      <w:pPr>
        <w:pStyle w:val="35"/>
        <w:adjustRightInd w:val="0"/>
        <w:snapToGrid w:val="0"/>
        <w:spacing w:before="0" w:beforeAutospacing="0" w:after="0" w:afterAutospacing="0" w:line="240" w:lineRule="auto"/>
        <w:ind w:firstLine="643"/>
        <w:jc w:val="center"/>
        <w:rPr>
          <w:rFonts w:hint="eastAsia"/>
          <w:b/>
          <w:bCs/>
          <w:snapToGrid w:val="0"/>
          <w:sz w:val="32"/>
          <w:szCs w:val="32"/>
        </w:rPr>
      </w:pPr>
      <w:r>
        <w:rPr>
          <w:rFonts w:hint="eastAsia"/>
          <w:b/>
          <w:bCs/>
          <w:snapToGrid w:val="0"/>
          <w:sz w:val="32"/>
          <w:szCs w:val="32"/>
        </w:rPr>
        <w:t>建设项目污染物排放量汇总表</w:t>
      </w:r>
    </w:p>
    <w:tbl>
      <w:tblPr>
        <w:tblStyle w:val="39"/>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1701"/>
        <w:gridCol w:w="1701"/>
        <w:gridCol w:w="1276"/>
        <w:gridCol w:w="1701"/>
        <w:gridCol w:w="1559"/>
        <w:gridCol w:w="1559"/>
        <w:gridCol w:w="1843"/>
        <w:gridCol w:w="1144"/>
      </w:tblGrid>
      <w:tr w14:paraId="7478E76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tcBorders>
              <w:tl2br w:val="single" w:color="auto" w:sz="4" w:space="0"/>
            </w:tcBorders>
            <w:tcMar>
              <w:left w:w="28" w:type="dxa"/>
              <w:right w:w="28" w:type="dxa"/>
            </w:tcMar>
            <w:vAlign w:val="center"/>
          </w:tcPr>
          <w:p w14:paraId="588A76E9">
            <w:pPr>
              <w:pStyle w:val="66"/>
              <w:spacing w:beforeLines="0" w:afterLines="0" w:line="240" w:lineRule="auto"/>
              <w:ind w:firstLine="0" w:firstLineChars="0"/>
              <w:jc w:val="right"/>
              <w:rPr>
                <w:rFonts w:ascii="Times New Roman"/>
                <w:snapToGrid w:val="0"/>
                <w:kern w:val="21"/>
                <w:sz w:val="24"/>
                <w:szCs w:val="24"/>
              </w:rPr>
            </w:pPr>
            <w:r>
              <w:rPr>
                <w:rFonts w:ascii="Times New Roman"/>
                <w:snapToGrid w:val="0"/>
                <w:kern w:val="21"/>
                <w:sz w:val="24"/>
                <w:szCs w:val="24"/>
              </w:rPr>
              <w:t>项目</w:t>
            </w:r>
          </w:p>
          <w:p w14:paraId="5300A82D">
            <w:pPr>
              <w:pStyle w:val="66"/>
              <w:spacing w:beforeLines="0" w:afterLines="0" w:line="240" w:lineRule="auto"/>
              <w:ind w:firstLine="0" w:firstLineChars="0"/>
              <w:jc w:val="left"/>
              <w:rPr>
                <w:rFonts w:ascii="Times New Roman"/>
                <w:snapToGrid w:val="0"/>
                <w:kern w:val="21"/>
                <w:sz w:val="24"/>
                <w:szCs w:val="24"/>
              </w:rPr>
            </w:pPr>
            <w:r>
              <w:rPr>
                <w:rFonts w:ascii="Times New Roman"/>
                <w:snapToGrid w:val="0"/>
                <w:kern w:val="21"/>
                <w:sz w:val="24"/>
                <w:szCs w:val="24"/>
              </w:rPr>
              <w:t>分类</w:t>
            </w:r>
          </w:p>
        </w:tc>
        <w:tc>
          <w:tcPr>
            <w:tcW w:w="1701" w:type="dxa"/>
            <w:tcMar>
              <w:left w:w="28" w:type="dxa"/>
              <w:right w:w="28" w:type="dxa"/>
            </w:tcMar>
            <w:vAlign w:val="center"/>
          </w:tcPr>
          <w:p w14:paraId="5B40B6E3">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污染物名称</w:t>
            </w:r>
          </w:p>
        </w:tc>
        <w:tc>
          <w:tcPr>
            <w:tcW w:w="1701" w:type="dxa"/>
            <w:tcMar>
              <w:left w:w="28" w:type="dxa"/>
              <w:right w:w="28" w:type="dxa"/>
            </w:tcMar>
            <w:vAlign w:val="center"/>
          </w:tcPr>
          <w:p w14:paraId="5CB51BE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现有工程排放量（固体废物产生量）</w:t>
            </w:r>
            <w:r>
              <w:rPr>
                <w:rFonts w:hint="eastAsia" w:hAnsi="宋体" w:cs="宋体"/>
                <w:snapToGrid w:val="0"/>
                <w:kern w:val="21"/>
                <w:sz w:val="24"/>
                <w:szCs w:val="24"/>
              </w:rPr>
              <w:t>①</w:t>
            </w:r>
          </w:p>
        </w:tc>
        <w:tc>
          <w:tcPr>
            <w:tcW w:w="1276" w:type="dxa"/>
            <w:tcMar>
              <w:left w:w="28" w:type="dxa"/>
              <w:right w:w="28" w:type="dxa"/>
            </w:tcMar>
            <w:vAlign w:val="center"/>
          </w:tcPr>
          <w:p w14:paraId="2AFD176F">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现有工程许可排放量</w:t>
            </w:r>
          </w:p>
          <w:p w14:paraId="4A78C9FA">
            <w:pPr>
              <w:pStyle w:val="66"/>
              <w:spacing w:beforeLines="0" w:afterLines="0" w:line="240" w:lineRule="auto"/>
              <w:ind w:firstLine="0" w:firstLineChars="0"/>
              <w:rPr>
                <w:rFonts w:ascii="Times New Roman"/>
                <w:snapToGrid w:val="0"/>
                <w:kern w:val="21"/>
                <w:sz w:val="24"/>
                <w:szCs w:val="24"/>
              </w:rPr>
            </w:pPr>
            <w:r>
              <w:rPr>
                <w:rFonts w:hint="eastAsia" w:hAnsi="宋体" w:cs="宋体"/>
                <w:snapToGrid w:val="0"/>
                <w:kern w:val="21"/>
                <w:sz w:val="24"/>
                <w:szCs w:val="24"/>
              </w:rPr>
              <w:t>②</w:t>
            </w:r>
          </w:p>
        </w:tc>
        <w:tc>
          <w:tcPr>
            <w:tcW w:w="1701" w:type="dxa"/>
            <w:tcMar>
              <w:left w:w="28" w:type="dxa"/>
              <w:right w:w="28" w:type="dxa"/>
            </w:tcMar>
            <w:vAlign w:val="center"/>
          </w:tcPr>
          <w:p w14:paraId="16E94EB2">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在建工程排放量（固体废物产生量）</w:t>
            </w:r>
            <w:r>
              <w:rPr>
                <w:rFonts w:hint="eastAsia" w:hAnsi="宋体" w:cs="宋体"/>
                <w:snapToGrid w:val="0"/>
                <w:kern w:val="21"/>
                <w:sz w:val="24"/>
                <w:szCs w:val="24"/>
              </w:rPr>
              <w:t>③</w:t>
            </w:r>
          </w:p>
        </w:tc>
        <w:tc>
          <w:tcPr>
            <w:tcW w:w="1559" w:type="dxa"/>
            <w:tcMar>
              <w:left w:w="28" w:type="dxa"/>
              <w:right w:w="28" w:type="dxa"/>
            </w:tcMar>
            <w:vAlign w:val="center"/>
          </w:tcPr>
          <w:p w14:paraId="0F7CB219">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本项目排放量（固体废物产生量）</w:t>
            </w:r>
            <w:r>
              <w:rPr>
                <w:rFonts w:hint="eastAsia" w:hAnsi="宋体" w:cs="宋体"/>
                <w:snapToGrid w:val="0"/>
                <w:kern w:val="21"/>
                <w:sz w:val="24"/>
                <w:szCs w:val="24"/>
              </w:rPr>
              <w:t>④</w:t>
            </w:r>
          </w:p>
        </w:tc>
        <w:tc>
          <w:tcPr>
            <w:tcW w:w="1559" w:type="dxa"/>
            <w:tcMar>
              <w:left w:w="28" w:type="dxa"/>
              <w:right w:w="28" w:type="dxa"/>
            </w:tcMar>
            <w:vAlign w:val="center"/>
          </w:tcPr>
          <w:p w14:paraId="3DC91BB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以新带老削减量（新建项目不填）</w:t>
            </w:r>
            <w:r>
              <w:rPr>
                <w:rFonts w:hint="eastAsia" w:hAnsi="宋体" w:cs="宋体"/>
                <w:snapToGrid w:val="0"/>
                <w:kern w:val="21"/>
                <w:sz w:val="24"/>
                <w:szCs w:val="24"/>
              </w:rPr>
              <w:t>⑤</w:t>
            </w:r>
          </w:p>
        </w:tc>
        <w:tc>
          <w:tcPr>
            <w:tcW w:w="1843" w:type="dxa"/>
            <w:tcMar>
              <w:left w:w="28" w:type="dxa"/>
              <w:right w:w="28" w:type="dxa"/>
            </w:tcMar>
            <w:vAlign w:val="center"/>
          </w:tcPr>
          <w:p w14:paraId="6739CD0B">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本项目建成后全厂排放量（固体废物产生量）</w:t>
            </w:r>
            <w:r>
              <w:rPr>
                <w:rFonts w:ascii="Times New Roman"/>
                <w:snapToGrid w:val="0"/>
                <w:kern w:val="21"/>
                <w:sz w:val="24"/>
                <w:szCs w:val="24"/>
              </w:rPr>
              <w:fldChar w:fldCharType="begin"/>
            </w:r>
            <w:r>
              <w:rPr>
                <w:rFonts w:ascii="Times New Roman"/>
                <w:snapToGrid w:val="0"/>
                <w:kern w:val="21"/>
                <w:sz w:val="24"/>
                <w:szCs w:val="24"/>
              </w:rPr>
              <w:instrText xml:space="preserve"> = 6 \* GB3 \* MERGEFORMAT </w:instrText>
            </w:r>
            <w:r>
              <w:rPr>
                <w:rFonts w:ascii="Times New Roman"/>
                <w:snapToGrid w:val="0"/>
                <w:kern w:val="21"/>
                <w:sz w:val="24"/>
                <w:szCs w:val="24"/>
              </w:rPr>
              <w:fldChar w:fldCharType="separate"/>
            </w:r>
            <w:r>
              <w:rPr>
                <w:rFonts w:hint="eastAsia" w:hAnsi="宋体" w:cs="宋体"/>
                <w:kern w:val="2"/>
                <w:sz w:val="24"/>
                <w:szCs w:val="24"/>
              </w:rPr>
              <w:t>⑥</w:t>
            </w:r>
            <w:r>
              <w:rPr>
                <w:rFonts w:ascii="Times New Roman"/>
                <w:snapToGrid w:val="0"/>
                <w:kern w:val="21"/>
                <w:sz w:val="24"/>
                <w:szCs w:val="24"/>
              </w:rPr>
              <w:fldChar w:fldCharType="end"/>
            </w:r>
          </w:p>
        </w:tc>
        <w:tc>
          <w:tcPr>
            <w:tcW w:w="1144" w:type="dxa"/>
            <w:tcMar>
              <w:left w:w="28" w:type="dxa"/>
              <w:right w:w="28" w:type="dxa"/>
            </w:tcMar>
            <w:vAlign w:val="center"/>
          </w:tcPr>
          <w:p w14:paraId="2F7BFF5B">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变化量</w:t>
            </w:r>
          </w:p>
          <w:p w14:paraId="4300102A">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fldChar w:fldCharType="begin"/>
            </w:r>
            <w:r>
              <w:rPr>
                <w:rFonts w:ascii="Times New Roman"/>
                <w:snapToGrid w:val="0"/>
                <w:kern w:val="21"/>
                <w:sz w:val="24"/>
                <w:szCs w:val="24"/>
              </w:rPr>
              <w:instrText xml:space="preserve"> = 7 \* GB3 \* MERGEFORMAT </w:instrText>
            </w:r>
            <w:r>
              <w:rPr>
                <w:rFonts w:ascii="Times New Roman"/>
                <w:snapToGrid w:val="0"/>
                <w:kern w:val="21"/>
                <w:sz w:val="24"/>
                <w:szCs w:val="24"/>
              </w:rPr>
              <w:fldChar w:fldCharType="separate"/>
            </w:r>
            <w:r>
              <w:rPr>
                <w:rFonts w:hint="eastAsia" w:hAnsi="宋体" w:cs="宋体"/>
                <w:kern w:val="2"/>
                <w:sz w:val="24"/>
                <w:szCs w:val="24"/>
              </w:rPr>
              <w:t>⑦</w:t>
            </w:r>
            <w:r>
              <w:rPr>
                <w:rFonts w:ascii="Times New Roman"/>
                <w:snapToGrid w:val="0"/>
                <w:kern w:val="21"/>
                <w:sz w:val="24"/>
                <w:szCs w:val="24"/>
              </w:rPr>
              <w:fldChar w:fldCharType="end"/>
            </w:r>
          </w:p>
        </w:tc>
      </w:tr>
      <w:tr w14:paraId="33CD15A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restart"/>
            <w:vAlign w:val="center"/>
          </w:tcPr>
          <w:p w14:paraId="5D51896B">
            <w:pPr>
              <w:pStyle w:val="66"/>
              <w:spacing w:before="32" w:after="32" w:line="240" w:lineRule="auto"/>
              <w:ind w:firstLine="0" w:firstLineChars="0"/>
              <w:rPr>
                <w:rFonts w:ascii="Times New Roman"/>
                <w:snapToGrid w:val="0"/>
                <w:kern w:val="21"/>
                <w:sz w:val="24"/>
                <w:szCs w:val="24"/>
              </w:rPr>
            </w:pPr>
            <w:r>
              <w:rPr>
                <w:rFonts w:ascii="Times New Roman"/>
                <w:snapToGrid w:val="0"/>
                <w:kern w:val="21"/>
                <w:sz w:val="24"/>
                <w:szCs w:val="24"/>
              </w:rPr>
              <w:t>废气</w:t>
            </w:r>
          </w:p>
        </w:tc>
        <w:tc>
          <w:tcPr>
            <w:tcW w:w="1701" w:type="dxa"/>
            <w:vAlign w:val="center"/>
          </w:tcPr>
          <w:p w14:paraId="1C11C097">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颗粒物</w:t>
            </w:r>
          </w:p>
        </w:tc>
        <w:tc>
          <w:tcPr>
            <w:tcW w:w="1701" w:type="dxa"/>
            <w:vAlign w:val="center"/>
          </w:tcPr>
          <w:p w14:paraId="701617DA">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1A9DEC7A">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3785B58D">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1F92A2AA">
            <w:pPr>
              <w:pStyle w:val="66"/>
              <w:spacing w:beforeLines="0" w:afterLines="0" w:line="240" w:lineRule="auto"/>
              <w:ind w:firstLine="0" w:firstLineChars="0"/>
              <w:rPr>
                <w:rFonts w:ascii="Times New Roman"/>
                <w:snapToGrid w:val="0"/>
                <w:kern w:val="21"/>
                <w:sz w:val="24"/>
                <w:szCs w:val="24"/>
              </w:rPr>
            </w:pPr>
            <w:r>
              <w:rPr>
                <w:rFonts w:ascii="Times New Roman"/>
                <w:sz w:val="24"/>
                <w:szCs w:val="24"/>
              </w:rPr>
              <w:t>0.0</w:t>
            </w:r>
            <w:r>
              <w:rPr>
                <w:rFonts w:hint="eastAsia" w:ascii="Times New Roman"/>
                <w:sz w:val="24"/>
                <w:szCs w:val="24"/>
              </w:rPr>
              <w:t>078</w:t>
            </w:r>
            <w:r>
              <w:rPr>
                <w:rFonts w:ascii="Times New Roman"/>
                <w:sz w:val="24"/>
                <w:szCs w:val="24"/>
              </w:rPr>
              <w:t>t/a</w:t>
            </w:r>
          </w:p>
        </w:tc>
        <w:tc>
          <w:tcPr>
            <w:tcW w:w="1559" w:type="dxa"/>
            <w:vAlign w:val="center"/>
          </w:tcPr>
          <w:p w14:paraId="57770F53">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0D93CC81">
            <w:pPr>
              <w:pStyle w:val="66"/>
              <w:spacing w:beforeLines="0" w:afterLines="0" w:line="240" w:lineRule="auto"/>
              <w:ind w:firstLine="0" w:firstLineChars="0"/>
              <w:rPr>
                <w:rFonts w:ascii="Times New Roman"/>
                <w:snapToGrid w:val="0"/>
                <w:kern w:val="21"/>
                <w:sz w:val="24"/>
                <w:szCs w:val="24"/>
              </w:rPr>
            </w:pPr>
            <w:r>
              <w:rPr>
                <w:rFonts w:ascii="Times New Roman"/>
                <w:sz w:val="24"/>
                <w:szCs w:val="24"/>
              </w:rPr>
              <w:t>0.0</w:t>
            </w:r>
            <w:r>
              <w:rPr>
                <w:rFonts w:hint="eastAsia" w:ascii="Times New Roman"/>
                <w:sz w:val="24"/>
                <w:szCs w:val="24"/>
              </w:rPr>
              <w:t>078</w:t>
            </w:r>
            <w:r>
              <w:rPr>
                <w:rFonts w:ascii="Times New Roman"/>
                <w:sz w:val="24"/>
                <w:szCs w:val="24"/>
              </w:rPr>
              <w:t>t/a</w:t>
            </w:r>
          </w:p>
        </w:tc>
        <w:tc>
          <w:tcPr>
            <w:tcW w:w="1144" w:type="dxa"/>
            <w:vAlign w:val="center"/>
          </w:tcPr>
          <w:p w14:paraId="7A19332C">
            <w:pPr>
              <w:pStyle w:val="66"/>
              <w:spacing w:beforeLines="0" w:afterLines="0" w:line="240" w:lineRule="auto"/>
              <w:ind w:firstLine="0" w:firstLineChars="0"/>
              <w:rPr>
                <w:rFonts w:ascii="Times New Roman"/>
                <w:snapToGrid w:val="0"/>
                <w:kern w:val="21"/>
                <w:sz w:val="24"/>
                <w:szCs w:val="24"/>
              </w:rPr>
            </w:pPr>
            <w:r>
              <w:rPr>
                <w:rFonts w:ascii="Times New Roman"/>
                <w:sz w:val="24"/>
                <w:szCs w:val="24"/>
              </w:rPr>
              <w:t>0.0</w:t>
            </w:r>
            <w:r>
              <w:rPr>
                <w:rFonts w:hint="eastAsia" w:ascii="Times New Roman"/>
                <w:sz w:val="24"/>
                <w:szCs w:val="24"/>
              </w:rPr>
              <w:t>078</w:t>
            </w:r>
            <w:r>
              <w:rPr>
                <w:rFonts w:ascii="Times New Roman"/>
                <w:sz w:val="24"/>
                <w:szCs w:val="24"/>
              </w:rPr>
              <w:t>t/a</w:t>
            </w:r>
          </w:p>
        </w:tc>
      </w:tr>
      <w:tr w14:paraId="75E180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continue"/>
            <w:vAlign w:val="center"/>
          </w:tcPr>
          <w:p w14:paraId="5DC53688">
            <w:pPr>
              <w:pStyle w:val="66"/>
              <w:spacing w:before="32" w:after="32" w:line="240" w:lineRule="auto"/>
              <w:ind w:firstLine="0" w:firstLineChars="0"/>
              <w:rPr>
                <w:rFonts w:ascii="Times New Roman"/>
                <w:snapToGrid w:val="0"/>
                <w:kern w:val="21"/>
                <w:sz w:val="24"/>
                <w:szCs w:val="24"/>
              </w:rPr>
            </w:pPr>
          </w:p>
        </w:tc>
        <w:tc>
          <w:tcPr>
            <w:tcW w:w="1701" w:type="dxa"/>
            <w:vAlign w:val="center"/>
          </w:tcPr>
          <w:p w14:paraId="71C9F172">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非甲烷总烃</w:t>
            </w:r>
          </w:p>
        </w:tc>
        <w:tc>
          <w:tcPr>
            <w:tcW w:w="1701" w:type="dxa"/>
            <w:vAlign w:val="center"/>
          </w:tcPr>
          <w:p w14:paraId="6B408DC9">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268C3D1A">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6D10C344">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37200A14">
            <w:pPr>
              <w:pStyle w:val="66"/>
              <w:spacing w:beforeLines="0" w:afterLines="0" w:line="240" w:lineRule="auto"/>
              <w:ind w:firstLine="0" w:firstLineChars="0"/>
              <w:rPr>
                <w:rFonts w:ascii="Times New Roman"/>
                <w:sz w:val="24"/>
                <w:szCs w:val="24"/>
              </w:rPr>
            </w:pPr>
            <w:r>
              <w:rPr>
                <w:rFonts w:hint="eastAsia" w:ascii="Times New Roman"/>
                <w:sz w:val="24"/>
                <w:szCs w:val="24"/>
              </w:rPr>
              <w:t>0.436</w:t>
            </w:r>
            <w:r>
              <w:rPr>
                <w:rFonts w:ascii="Times New Roman"/>
                <w:sz w:val="24"/>
                <w:szCs w:val="24"/>
              </w:rPr>
              <w:t>t/a</w:t>
            </w:r>
          </w:p>
        </w:tc>
        <w:tc>
          <w:tcPr>
            <w:tcW w:w="1559" w:type="dxa"/>
            <w:vAlign w:val="center"/>
          </w:tcPr>
          <w:p w14:paraId="632F7D33">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2FE308DC">
            <w:pPr>
              <w:pStyle w:val="66"/>
              <w:spacing w:beforeLines="0" w:afterLines="0" w:line="240" w:lineRule="auto"/>
              <w:ind w:firstLine="0" w:firstLineChars="0"/>
              <w:rPr>
                <w:rFonts w:ascii="Times New Roman"/>
                <w:sz w:val="24"/>
                <w:szCs w:val="24"/>
              </w:rPr>
            </w:pPr>
            <w:r>
              <w:rPr>
                <w:rFonts w:hint="eastAsia" w:ascii="Times New Roman"/>
                <w:sz w:val="24"/>
                <w:szCs w:val="24"/>
              </w:rPr>
              <w:t>0.436</w:t>
            </w:r>
            <w:r>
              <w:rPr>
                <w:rFonts w:ascii="Times New Roman"/>
                <w:sz w:val="24"/>
                <w:szCs w:val="24"/>
              </w:rPr>
              <w:t>t/a</w:t>
            </w:r>
          </w:p>
        </w:tc>
        <w:tc>
          <w:tcPr>
            <w:tcW w:w="1144" w:type="dxa"/>
            <w:vAlign w:val="center"/>
          </w:tcPr>
          <w:p w14:paraId="33D7B903">
            <w:pPr>
              <w:pStyle w:val="66"/>
              <w:spacing w:beforeLines="0" w:afterLines="0" w:line="240" w:lineRule="auto"/>
              <w:ind w:firstLine="0" w:firstLineChars="0"/>
              <w:rPr>
                <w:rFonts w:ascii="Times New Roman"/>
                <w:sz w:val="24"/>
                <w:szCs w:val="24"/>
              </w:rPr>
            </w:pPr>
            <w:r>
              <w:rPr>
                <w:rFonts w:hint="eastAsia" w:ascii="Times New Roman"/>
                <w:sz w:val="24"/>
                <w:szCs w:val="24"/>
              </w:rPr>
              <w:t>0.436</w:t>
            </w:r>
            <w:r>
              <w:rPr>
                <w:rFonts w:ascii="Times New Roman"/>
                <w:sz w:val="24"/>
                <w:szCs w:val="24"/>
              </w:rPr>
              <w:t>t/a</w:t>
            </w:r>
          </w:p>
        </w:tc>
      </w:tr>
      <w:tr w14:paraId="1D44EA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restart"/>
            <w:vAlign w:val="center"/>
          </w:tcPr>
          <w:p w14:paraId="67173B12">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废水</w:t>
            </w:r>
          </w:p>
        </w:tc>
        <w:tc>
          <w:tcPr>
            <w:tcW w:w="1701" w:type="dxa"/>
            <w:vAlign w:val="center"/>
          </w:tcPr>
          <w:p w14:paraId="01421276">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COD</w:t>
            </w:r>
          </w:p>
        </w:tc>
        <w:tc>
          <w:tcPr>
            <w:tcW w:w="1701" w:type="dxa"/>
            <w:vAlign w:val="center"/>
          </w:tcPr>
          <w:p w14:paraId="5ECAE214">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284FEF5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1D9E766A">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633179C0">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0.084</w:t>
            </w:r>
            <w:r>
              <w:rPr>
                <w:rFonts w:ascii="Times New Roman"/>
                <w:snapToGrid w:val="0"/>
                <w:kern w:val="21"/>
                <w:sz w:val="24"/>
                <w:szCs w:val="24"/>
              </w:rPr>
              <w:t>t/a</w:t>
            </w:r>
          </w:p>
        </w:tc>
        <w:tc>
          <w:tcPr>
            <w:tcW w:w="1559" w:type="dxa"/>
            <w:vAlign w:val="center"/>
          </w:tcPr>
          <w:p w14:paraId="7C18B242">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5A7B8350">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0.084</w:t>
            </w:r>
            <w:r>
              <w:rPr>
                <w:rFonts w:ascii="Times New Roman"/>
                <w:snapToGrid w:val="0"/>
                <w:kern w:val="21"/>
                <w:sz w:val="24"/>
                <w:szCs w:val="24"/>
              </w:rPr>
              <w:t>t/a</w:t>
            </w:r>
          </w:p>
        </w:tc>
        <w:tc>
          <w:tcPr>
            <w:tcW w:w="1144" w:type="dxa"/>
            <w:vAlign w:val="center"/>
          </w:tcPr>
          <w:p w14:paraId="4F697F49">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0.084</w:t>
            </w:r>
            <w:r>
              <w:rPr>
                <w:rFonts w:ascii="Times New Roman"/>
                <w:snapToGrid w:val="0"/>
                <w:kern w:val="21"/>
                <w:sz w:val="24"/>
                <w:szCs w:val="24"/>
              </w:rPr>
              <w:t>t/a</w:t>
            </w:r>
          </w:p>
        </w:tc>
      </w:tr>
      <w:tr w14:paraId="536B1C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continue"/>
            <w:vAlign w:val="center"/>
          </w:tcPr>
          <w:p w14:paraId="77E858E0">
            <w:pPr>
              <w:pStyle w:val="66"/>
              <w:spacing w:beforeLines="0" w:afterLines="0" w:line="240" w:lineRule="auto"/>
              <w:ind w:firstLine="0" w:firstLineChars="0"/>
              <w:rPr>
                <w:rFonts w:ascii="Times New Roman"/>
                <w:snapToGrid w:val="0"/>
                <w:kern w:val="21"/>
                <w:sz w:val="24"/>
                <w:szCs w:val="24"/>
              </w:rPr>
            </w:pPr>
          </w:p>
        </w:tc>
        <w:tc>
          <w:tcPr>
            <w:tcW w:w="1701" w:type="dxa"/>
            <w:vAlign w:val="center"/>
          </w:tcPr>
          <w:p w14:paraId="27A68828">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BOD</w:t>
            </w:r>
            <w:r>
              <w:rPr>
                <w:rFonts w:ascii="Times New Roman"/>
                <w:snapToGrid w:val="0"/>
                <w:kern w:val="21"/>
                <w:sz w:val="24"/>
                <w:szCs w:val="24"/>
                <w:vertAlign w:val="subscript"/>
              </w:rPr>
              <w:t>5</w:t>
            </w:r>
          </w:p>
        </w:tc>
        <w:tc>
          <w:tcPr>
            <w:tcW w:w="1701" w:type="dxa"/>
            <w:vAlign w:val="center"/>
          </w:tcPr>
          <w:p w14:paraId="3AC226E5">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455AFA28">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4E3B97A3">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5F353083">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r>
              <w:rPr>
                <w:rFonts w:hint="eastAsia" w:ascii="Times New Roman"/>
                <w:snapToGrid w:val="0"/>
                <w:kern w:val="21"/>
                <w:sz w:val="24"/>
                <w:szCs w:val="24"/>
              </w:rPr>
              <w:t>060</w:t>
            </w:r>
            <w:r>
              <w:rPr>
                <w:rFonts w:ascii="Times New Roman"/>
                <w:snapToGrid w:val="0"/>
                <w:kern w:val="21"/>
                <w:sz w:val="24"/>
                <w:szCs w:val="24"/>
              </w:rPr>
              <w:t>t/a</w:t>
            </w:r>
          </w:p>
        </w:tc>
        <w:tc>
          <w:tcPr>
            <w:tcW w:w="1559" w:type="dxa"/>
            <w:vAlign w:val="center"/>
          </w:tcPr>
          <w:p w14:paraId="16930BCD">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223874C4">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r>
              <w:rPr>
                <w:rFonts w:hint="eastAsia" w:ascii="Times New Roman"/>
                <w:snapToGrid w:val="0"/>
                <w:kern w:val="21"/>
                <w:sz w:val="24"/>
                <w:szCs w:val="24"/>
              </w:rPr>
              <w:t>060</w:t>
            </w:r>
            <w:r>
              <w:rPr>
                <w:rFonts w:ascii="Times New Roman"/>
                <w:snapToGrid w:val="0"/>
                <w:kern w:val="21"/>
                <w:sz w:val="24"/>
                <w:szCs w:val="24"/>
              </w:rPr>
              <w:t>t/a</w:t>
            </w:r>
          </w:p>
        </w:tc>
        <w:tc>
          <w:tcPr>
            <w:tcW w:w="1144" w:type="dxa"/>
            <w:vAlign w:val="center"/>
          </w:tcPr>
          <w:p w14:paraId="6AE44D01">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r>
              <w:rPr>
                <w:rFonts w:hint="eastAsia" w:ascii="Times New Roman"/>
                <w:snapToGrid w:val="0"/>
                <w:kern w:val="21"/>
                <w:sz w:val="24"/>
                <w:szCs w:val="24"/>
              </w:rPr>
              <w:t>060</w:t>
            </w:r>
            <w:r>
              <w:rPr>
                <w:rFonts w:ascii="Times New Roman"/>
                <w:snapToGrid w:val="0"/>
                <w:kern w:val="21"/>
                <w:sz w:val="24"/>
                <w:szCs w:val="24"/>
              </w:rPr>
              <w:t>t/a</w:t>
            </w:r>
          </w:p>
        </w:tc>
      </w:tr>
      <w:tr w14:paraId="1201ED0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continue"/>
            <w:vAlign w:val="center"/>
          </w:tcPr>
          <w:p w14:paraId="4F2B34E8">
            <w:pPr>
              <w:pStyle w:val="66"/>
              <w:spacing w:beforeLines="0" w:afterLines="0" w:line="240" w:lineRule="auto"/>
              <w:ind w:firstLine="0" w:firstLineChars="0"/>
              <w:rPr>
                <w:rFonts w:ascii="Times New Roman"/>
                <w:snapToGrid w:val="0"/>
                <w:kern w:val="21"/>
                <w:sz w:val="24"/>
                <w:szCs w:val="24"/>
              </w:rPr>
            </w:pPr>
          </w:p>
        </w:tc>
        <w:tc>
          <w:tcPr>
            <w:tcW w:w="1701" w:type="dxa"/>
            <w:vAlign w:val="center"/>
          </w:tcPr>
          <w:p w14:paraId="4799996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SS</w:t>
            </w:r>
          </w:p>
        </w:tc>
        <w:tc>
          <w:tcPr>
            <w:tcW w:w="1701" w:type="dxa"/>
            <w:vAlign w:val="center"/>
          </w:tcPr>
          <w:p w14:paraId="6A9FA8B6">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0A183E37">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5F176D44">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20C7A6C4">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r>
              <w:rPr>
                <w:rFonts w:hint="eastAsia" w:ascii="Times New Roman"/>
                <w:snapToGrid w:val="0"/>
                <w:kern w:val="21"/>
                <w:sz w:val="24"/>
                <w:szCs w:val="24"/>
              </w:rPr>
              <w:t>060</w:t>
            </w:r>
            <w:r>
              <w:rPr>
                <w:rFonts w:ascii="Times New Roman"/>
                <w:snapToGrid w:val="0"/>
                <w:kern w:val="21"/>
                <w:sz w:val="24"/>
                <w:szCs w:val="24"/>
              </w:rPr>
              <w:t>t/a</w:t>
            </w:r>
          </w:p>
        </w:tc>
        <w:tc>
          <w:tcPr>
            <w:tcW w:w="1559" w:type="dxa"/>
            <w:vAlign w:val="center"/>
          </w:tcPr>
          <w:p w14:paraId="2655779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37DA5D4F">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r>
              <w:rPr>
                <w:rFonts w:hint="eastAsia" w:ascii="Times New Roman"/>
                <w:snapToGrid w:val="0"/>
                <w:kern w:val="21"/>
                <w:sz w:val="24"/>
                <w:szCs w:val="24"/>
              </w:rPr>
              <w:t>060</w:t>
            </w:r>
            <w:r>
              <w:rPr>
                <w:rFonts w:ascii="Times New Roman"/>
                <w:snapToGrid w:val="0"/>
                <w:kern w:val="21"/>
                <w:sz w:val="24"/>
                <w:szCs w:val="24"/>
              </w:rPr>
              <w:t>t/a</w:t>
            </w:r>
          </w:p>
        </w:tc>
        <w:tc>
          <w:tcPr>
            <w:tcW w:w="1144" w:type="dxa"/>
            <w:vAlign w:val="center"/>
          </w:tcPr>
          <w:p w14:paraId="4F3A7E09">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r>
              <w:rPr>
                <w:rFonts w:hint="eastAsia" w:ascii="Times New Roman"/>
                <w:snapToGrid w:val="0"/>
                <w:kern w:val="21"/>
                <w:sz w:val="24"/>
                <w:szCs w:val="24"/>
              </w:rPr>
              <w:t>060</w:t>
            </w:r>
            <w:r>
              <w:rPr>
                <w:rFonts w:ascii="Times New Roman"/>
                <w:snapToGrid w:val="0"/>
                <w:kern w:val="21"/>
                <w:sz w:val="24"/>
                <w:szCs w:val="24"/>
              </w:rPr>
              <w:t>t/a</w:t>
            </w:r>
          </w:p>
        </w:tc>
      </w:tr>
      <w:tr w14:paraId="5F51D1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continue"/>
            <w:vAlign w:val="center"/>
          </w:tcPr>
          <w:p w14:paraId="6EEFADAA">
            <w:pPr>
              <w:pStyle w:val="66"/>
              <w:spacing w:beforeLines="0" w:afterLines="0" w:line="240" w:lineRule="auto"/>
              <w:ind w:firstLine="0" w:firstLineChars="0"/>
              <w:rPr>
                <w:rFonts w:ascii="Times New Roman"/>
                <w:snapToGrid w:val="0"/>
                <w:kern w:val="21"/>
                <w:sz w:val="24"/>
                <w:szCs w:val="24"/>
              </w:rPr>
            </w:pPr>
          </w:p>
        </w:tc>
        <w:tc>
          <w:tcPr>
            <w:tcW w:w="1701" w:type="dxa"/>
            <w:vAlign w:val="center"/>
          </w:tcPr>
          <w:p w14:paraId="7BE63775">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NH</w:t>
            </w:r>
            <w:r>
              <w:rPr>
                <w:rFonts w:ascii="Times New Roman"/>
                <w:snapToGrid w:val="0"/>
                <w:kern w:val="21"/>
                <w:sz w:val="24"/>
                <w:szCs w:val="24"/>
                <w:vertAlign w:val="subscript"/>
              </w:rPr>
              <w:t>3</w:t>
            </w:r>
            <w:r>
              <w:rPr>
                <w:rFonts w:ascii="Times New Roman"/>
                <w:snapToGrid w:val="0"/>
                <w:kern w:val="21"/>
                <w:sz w:val="24"/>
                <w:szCs w:val="24"/>
              </w:rPr>
              <w:t>-N</w:t>
            </w:r>
          </w:p>
        </w:tc>
        <w:tc>
          <w:tcPr>
            <w:tcW w:w="1701" w:type="dxa"/>
            <w:vAlign w:val="center"/>
          </w:tcPr>
          <w:p w14:paraId="49EA8880">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45838039">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60DAEFD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4A30AD01">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0.0</w:t>
            </w:r>
            <w:r>
              <w:rPr>
                <w:rFonts w:hint="eastAsia" w:ascii="Times New Roman"/>
                <w:snapToGrid w:val="0"/>
                <w:kern w:val="21"/>
                <w:sz w:val="24"/>
                <w:szCs w:val="24"/>
              </w:rPr>
              <w:t>07</w:t>
            </w:r>
            <w:r>
              <w:rPr>
                <w:rFonts w:ascii="Times New Roman"/>
                <w:snapToGrid w:val="0"/>
                <w:kern w:val="21"/>
                <w:sz w:val="24"/>
                <w:szCs w:val="24"/>
              </w:rPr>
              <w:t>t/a</w:t>
            </w:r>
          </w:p>
        </w:tc>
        <w:tc>
          <w:tcPr>
            <w:tcW w:w="1559" w:type="dxa"/>
            <w:vAlign w:val="center"/>
          </w:tcPr>
          <w:p w14:paraId="4869D049">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1E6860F4">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0.0</w:t>
            </w:r>
            <w:r>
              <w:rPr>
                <w:rFonts w:hint="eastAsia" w:ascii="Times New Roman"/>
                <w:snapToGrid w:val="0"/>
                <w:kern w:val="21"/>
                <w:sz w:val="24"/>
                <w:szCs w:val="24"/>
              </w:rPr>
              <w:t>07</w:t>
            </w:r>
            <w:r>
              <w:rPr>
                <w:rFonts w:ascii="Times New Roman"/>
                <w:snapToGrid w:val="0"/>
                <w:kern w:val="21"/>
                <w:sz w:val="24"/>
                <w:szCs w:val="24"/>
              </w:rPr>
              <w:t>t/a</w:t>
            </w:r>
          </w:p>
        </w:tc>
        <w:tc>
          <w:tcPr>
            <w:tcW w:w="1144" w:type="dxa"/>
            <w:vAlign w:val="center"/>
          </w:tcPr>
          <w:p w14:paraId="255C41B7">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0.0</w:t>
            </w:r>
            <w:r>
              <w:rPr>
                <w:rFonts w:hint="eastAsia" w:ascii="Times New Roman"/>
                <w:snapToGrid w:val="0"/>
                <w:kern w:val="21"/>
                <w:sz w:val="24"/>
                <w:szCs w:val="24"/>
              </w:rPr>
              <w:t>07</w:t>
            </w:r>
            <w:r>
              <w:rPr>
                <w:rFonts w:ascii="Times New Roman"/>
                <w:snapToGrid w:val="0"/>
                <w:kern w:val="21"/>
                <w:sz w:val="24"/>
                <w:szCs w:val="24"/>
              </w:rPr>
              <w:t>t/a</w:t>
            </w:r>
          </w:p>
        </w:tc>
      </w:tr>
      <w:tr w14:paraId="0F47F4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restart"/>
            <w:vAlign w:val="center"/>
          </w:tcPr>
          <w:p w14:paraId="60DE713D">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一般工业</w:t>
            </w:r>
          </w:p>
          <w:p w14:paraId="50AB2047">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固体废物</w:t>
            </w:r>
          </w:p>
        </w:tc>
        <w:tc>
          <w:tcPr>
            <w:tcW w:w="1701" w:type="dxa"/>
            <w:vAlign w:val="center"/>
          </w:tcPr>
          <w:p w14:paraId="50022BF1">
            <w:pPr>
              <w:pStyle w:val="66"/>
              <w:spacing w:beforeLines="0" w:afterLines="0" w:line="240" w:lineRule="auto"/>
              <w:ind w:firstLine="0" w:firstLineChars="0"/>
              <w:rPr>
                <w:rFonts w:ascii="Times New Roman"/>
                <w:snapToGrid w:val="0"/>
                <w:kern w:val="21"/>
                <w:sz w:val="24"/>
                <w:szCs w:val="24"/>
              </w:rPr>
            </w:pPr>
            <w:r>
              <w:rPr>
                <w:rFonts w:hint="eastAsia" w:ascii="Times New Roman"/>
                <w:sz w:val="24"/>
                <w:szCs w:val="24"/>
              </w:rPr>
              <w:t>不合格品</w:t>
            </w:r>
          </w:p>
        </w:tc>
        <w:tc>
          <w:tcPr>
            <w:tcW w:w="1701" w:type="dxa"/>
            <w:vAlign w:val="center"/>
          </w:tcPr>
          <w:p w14:paraId="7E5CA8D2">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43C56C30">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07D4367F">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733B5D6E">
            <w:pPr>
              <w:pStyle w:val="66"/>
              <w:spacing w:beforeLines="0" w:afterLines="0" w:line="240" w:lineRule="auto"/>
              <w:ind w:firstLine="0" w:firstLineChars="0"/>
              <w:rPr>
                <w:rFonts w:ascii="Times New Roman"/>
                <w:snapToGrid w:val="0"/>
                <w:kern w:val="21"/>
                <w:sz w:val="24"/>
                <w:szCs w:val="24"/>
              </w:rPr>
            </w:pPr>
            <w:r>
              <w:rPr>
                <w:rFonts w:hint="eastAsia" w:ascii="Times New Roman"/>
                <w:sz w:val="24"/>
                <w:szCs w:val="24"/>
              </w:rPr>
              <w:t>2</w:t>
            </w:r>
            <w:r>
              <w:rPr>
                <w:rFonts w:ascii="Times New Roman"/>
                <w:sz w:val="24"/>
                <w:szCs w:val="24"/>
              </w:rPr>
              <w:t>0.0</w:t>
            </w:r>
            <w:r>
              <w:rPr>
                <w:rFonts w:ascii="Times New Roman"/>
                <w:snapToGrid w:val="0"/>
                <w:kern w:val="21"/>
                <w:sz w:val="24"/>
                <w:szCs w:val="24"/>
              </w:rPr>
              <w:t>t/a</w:t>
            </w:r>
          </w:p>
        </w:tc>
        <w:tc>
          <w:tcPr>
            <w:tcW w:w="1559" w:type="dxa"/>
            <w:vAlign w:val="center"/>
          </w:tcPr>
          <w:p w14:paraId="477C471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05C0EAA5">
            <w:pPr>
              <w:pStyle w:val="66"/>
              <w:spacing w:beforeLines="0" w:afterLines="0" w:line="240" w:lineRule="auto"/>
              <w:ind w:firstLine="0" w:firstLineChars="0"/>
              <w:rPr>
                <w:rFonts w:ascii="Times New Roman"/>
                <w:snapToGrid w:val="0"/>
                <w:kern w:val="21"/>
                <w:sz w:val="24"/>
                <w:szCs w:val="24"/>
              </w:rPr>
            </w:pPr>
            <w:r>
              <w:rPr>
                <w:rFonts w:hint="eastAsia" w:ascii="Times New Roman"/>
                <w:sz w:val="24"/>
                <w:szCs w:val="24"/>
              </w:rPr>
              <w:t>2</w:t>
            </w:r>
            <w:r>
              <w:rPr>
                <w:rFonts w:ascii="Times New Roman"/>
                <w:sz w:val="24"/>
                <w:szCs w:val="24"/>
              </w:rPr>
              <w:t>0.0</w:t>
            </w:r>
            <w:r>
              <w:rPr>
                <w:rFonts w:ascii="Times New Roman"/>
                <w:snapToGrid w:val="0"/>
                <w:kern w:val="21"/>
                <w:sz w:val="24"/>
                <w:szCs w:val="24"/>
              </w:rPr>
              <w:t>t/a</w:t>
            </w:r>
          </w:p>
        </w:tc>
        <w:tc>
          <w:tcPr>
            <w:tcW w:w="1144" w:type="dxa"/>
            <w:vAlign w:val="center"/>
          </w:tcPr>
          <w:p w14:paraId="54F67DE1">
            <w:pPr>
              <w:pStyle w:val="66"/>
              <w:spacing w:beforeLines="0" w:afterLines="0" w:line="240" w:lineRule="auto"/>
              <w:ind w:firstLine="0" w:firstLineChars="0"/>
              <w:rPr>
                <w:rFonts w:ascii="Times New Roman"/>
                <w:snapToGrid w:val="0"/>
                <w:kern w:val="21"/>
                <w:sz w:val="24"/>
                <w:szCs w:val="24"/>
              </w:rPr>
            </w:pPr>
            <w:r>
              <w:rPr>
                <w:rFonts w:hint="eastAsia" w:ascii="Times New Roman"/>
                <w:sz w:val="24"/>
                <w:szCs w:val="24"/>
              </w:rPr>
              <w:t>2</w:t>
            </w:r>
            <w:r>
              <w:rPr>
                <w:rFonts w:ascii="Times New Roman"/>
                <w:sz w:val="24"/>
                <w:szCs w:val="24"/>
              </w:rPr>
              <w:t>0.0</w:t>
            </w:r>
            <w:r>
              <w:rPr>
                <w:rFonts w:ascii="Times New Roman"/>
                <w:snapToGrid w:val="0"/>
                <w:kern w:val="21"/>
                <w:sz w:val="24"/>
                <w:szCs w:val="24"/>
              </w:rPr>
              <w:t>t/a</w:t>
            </w:r>
          </w:p>
        </w:tc>
      </w:tr>
      <w:tr w14:paraId="55196B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continue"/>
            <w:vAlign w:val="center"/>
          </w:tcPr>
          <w:p w14:paraId="567EDBC8">
            <w:pPr>
              <w:pStyle w:val="66"/>
              <w:spacing w:beforeLines="0" w:afterLines="0" w:line="240" w:lineRule="auto"/>
              <w:ind w:firstLine="0" w:firstLineChars="0"/>
              <w:rPr>
                <w:rFonts w:ascii="Times New Roman"/>
                <w:snapToGrid w:val="0"/>
                <w:kern w:val="21"/>
                <w:sz w:val="24"/>
                <w:szCs w:val="24"/>
              </w:rPr>
            </w:pPr>
          </w:p>
        </w:tc>
        <w:tc>
          <w:tcPr>
            <w:tcW w:w="1701" w:type="dxa"/>
            <w:vAlign w:val="center"/>
          </w:tcPr>
          <w:p w14:paraId="5BC277D3">
            <w:pPr>
              <w:pStyle w:val="66"/>
              <w:spacing w:beforeLines="0" w:afterLines="0" w:line="240" w:lineRule="auto"/>
              <w:ind w:firstLine="0" w:firstLineChars="0"/>
              <w:rPr>
                <w:rFonts w:ascii="Times New Roman"/>
                <w:sz w:val="24"/>
                <w:szCs w:val="24"/>
              </w:rPr>
            </w:pPr>
            <w:r>
              <w:rPr>
                <w:rFonts w:ascii="Times New Roman"/>
                <w:sz w:val="24"/>
                <w:szCs w:val="24"/>
              </w:rPr>
              <w:t>生活垃圾</w:t>
            </w:r>
          </w:p>
        </w:tc>
        <w:tc>
          <w:tcPr>
            <w:tcW w:w="1701" w:type="dxa"/>
            <w:vAlign w:val="center"/>
          </w:tcPr>
          <w:p w14:paraId="4E7BB045">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7A262001">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23A6B782">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4DDAB47E">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1.5</w:t>
            </w:r>
            <w:r>
              <w:rPr>
                <w:rFonts w:ascii="Times New Roman"/>
                <w:snapToGrid w:val="0"/>
                <w:kern w:val="21"/>
                <w:sz w:val="24"/>
                <w:szCs w:val="24"/>
              </w:rPr>
              <w:t>t/a</w:t>
            </w:r>
          </w:p>
        </w:tc>
        <w:tc>
          <w:tcPr>
            <w:tcW w:w="1559" w:type="dxa"/>
            <w:vAlign w:val="center"/>
          </w:tcPr>
          <w:p w14:paraId="5A4B1D70">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0EB53F76">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1.5</w:t>
            </w:r>
            <w:r>
              <w:rPr>
                <w:rFonts w:ascii="Times New Roman"/>
                <w:snapToGrid w:val="0"/>
                <w:kern w:val="21"/>
                <w:sz w:val="24"/>
                <w:szCs w:val="24"/>
              </w:rPr>
              <w:t>t/a</w:t>
            </w:r>
          </w:p>
        </w:tc>
        <w:tc>
          <w:tcPr>
            <w:tcW w:w="1144" w:type="dxa"/>
            <w:vAlign w:val="center"/>
          </w:tcPr>
          <w:p w14:paraId="5A504950">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1.5</w:t>
            </w:r>
            <w:r>
              <w:rPr>
                <w:rFonts w:ascii="Times New Roman"/>
                <w:snapToGrid w:val="0"/>
                <w:kern w:val="21"/>
                <w:sz w:val="24"/>
                <w:szCs w:val="24"/>
              </w:rPr>
              <w:t>t/a</w:t>
            </w:r>
          </w:p>
        </w:tc>
      </w:tr>
      <w:tr w14:paraId="7EF3F7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restart"/>
            <w:vAlign w:val="center"/>
          </w:tcPr>
          <w:p w14:paraId="4B48E32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危险废物</w:t>
            </w:r>
          </w:p>
        </w:tc>
        <w:tc>
          <w:tcPr>
            <w:tcW w:w="1701" w:type="dxa"/>
            <w:vAlign w:val="center"/>
          </w:tcPr>
          <w:p w14:paraId="463FF111">
            <w:pPr>
              <w:pStyle w:val="66"/>
              <w:spacing w:beforeLines="0" w:afterLines="0" w:line="240" w:lineRule="auto"/>
              <w:ind w:firstLine="0" w:firstLineChars="0"/>
              <w:rPr>
                <w:rFonts w:ascii="Times New Roman"/>
                <w:sz w:val="24"/>
                <w:szCs w:val="24"/>
              </w:rPr>
            </w:pPr>
            <w:r>
              <w:rPr>
                <w:rFonts w:ascii="Times New Roman"/>
                <w:sz w:val="24"/>
                <w:szCs w:val="24"/>
              </w:rPr>
              <w:t>废润滑油</w:t>
            </w:r>
          </w:p>
        </w:tc>
        <w:tc>
          <w:tcPr>
            <w:tcW w:w="1701" w:type="dxa"/>
            <w:vAlign w:val="center"/>
          </w:tcPr>
          <w:p w14:paraId="1E0FEA1A">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276" w:type="dxa"/>
            <w:vAlign w:val="center"/>
          </w:tcPr>
          <w:p w14:paraId="6394A183">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701" w:type="dxa"/>
            <w:vAlign w:val="center"/>
          </w:tcPr>
          <w:p w14:paraId="58051606">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559" w:type="dxa"/>
            <w:vAlign w:val="center"/>
          </w:tcPr>
          <w:p w14:paraId="562AD28C">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0.2t/a</w:t>
            </w:r>
          </w:p>
        </w:tc>
        <w:tc>
          <w:tcPr>
            <w:tcW w:w="1559" w:type="dxa"/>
            <w:vAlign w:val="center"/>
          </w:tcPr>
          <w:p w14:paraId="43DC340E">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w:t>
            </w:r>
          </w:p>
        </w:tc>
        <w:tc>
          <w:tcPr>
            <w:tcW w:w="1843" w:type="dxa"/>
            <w:vAlign w:val="center"/>
          </w:tcPr>
          <w:p w14:paraId="71C5C5D7">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0.2t/a</w:t>
            </w:r>
          </w:p>
        </w:tc>
        <w:tc>
          <w:tcPr>
            <w:tcW w:w="1144" w:type="dxa"/>
            <w:vAlign w:val="center"/>
          </w:tcPr>
          <w:p w14:paraId="4B43B141">
            <w:pPr>
              <w:pStyle w:val="66"/>
              <w:spacing w:beforeLines="0" w:afterLines="0" w:line="240" w:lineRule="auto"/>
              <w:ind w:firstLine="0" w:firstLineChars="0"/>
              <w:rPr>
                <w:rFonts w:ascii="Times New Roman"/>
                <w:snapToGrid w:val="0"/>
                <w:kern w:val="21"/>
                <w:sz w:val="24"/>
                <w:szCs w:val="24"/>
              </w:rPr>
            </w:pPr>
            <w:r>
              <w:rPr>
                <w:rFonts w:ascii="Times New Roman"/>
                <w:snapToGrid w:val="0"/>
                <w:kern w:val="21"/>
                <w:sz w:val="24"/>
                <w:szCs w:val="24"/>
              </w:rPr>
              <w:t>0.2t/a</w:t>
            </w:r>
          </w:p>
        </w:tc>
      </w:tr>
      <w:tr w14:paraId="76EDCC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continue"/>
            <w:vAlign w:val="center"/>
          </w:tcPr>
          <w:p w14:paraId="7058E7BD">
            <w:pPr>
              <w:pStyle w:val="66"/>
              <w:spacing w:beforeLines="0" w:afterLines="0" w:line="240" w:lineRule="auto"/>
              <w:ind w:firstLine="0" w:firstLineChars="0"/>
              <w:rPr>
                <w:rFonts w:ascii="Times New Roman"/>
                <w:snapToGrid w:val="0"/>
                <w:kern w:val="21"/>
                <w:sz w:val="24"/>
                <w:szCs w:val="24"/>
              </w:rPr>
            </w:pPr>
          </w:p>
        </w:tc>
        <w:tc>
          <w:tcPr>
            <w:tcW w:w="1701" w:type="dxa"/>
            <w:vAlign w:val="center"/>
          </w:tcPr>
          <w:p w14:paraId="1DBF24FD">
            <w:pPr>
              <w:pStyle w:val="66"/>
              <w:spacing w:beforeLines="0" w:afterLines="0" w:line="240" w:lineRule="auto"/>
              <w:ind w:firstLine="0" w:firstLineChars="0"/>
              <w:rPr>
                <w:rFonts w:ascii="Times New Roman"/>
                <w:sz w:val="24"/>
                <w:szCs w:val="24"/>
              </w:rPr>
            </w:pPr>
            <w:r>
              <w:rPr>
                <w:rFonts w:hint="eastAsia" w:ascii="Times New Roman"/>
                <w:sz w:val="24"/>
                <w:szCs w:val="24"/>
              </w:rPr>
              <w:t>含油抹布</w:t>
            </w:r>
          </w:p>
        </w:tc>
        <w:tc>
          <w:tcPr>
            <w:tcW w:w="1701" w:type="dxa"/>
            <w:vAlign w:val="center"/>
          </w:tcPr>
          <w:p w14:paraId="48FAC3F8">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p>
        </w:tc>
        <w:tc>
          <w:tcPr>
            <w:tcW w:w="1276" w:type="dxa"/>
            <w:vAlign w:val="center"/>
          </w:tcPr>
          <w:p w14:paraId="573CD490">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p>
        </w:tc>
        <w:tc>
          <w:tcPr>
            <w:tcW w:w="1701" w:type="dxa"/>
            <w:vAlign w:val="center"/>
          </w:tcPr>
          <w:p w14:paraId="53B37F7D">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p>
        </w:tc>
        <w:tc>
          <w:tcPr>
            <w:tcW w:w="1559" w:type="dxa"/>
            <w:vAlign w:val="center"/>
          </w:tcPr>
          <w:p w14:paraId="282EBCD2">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r>
              <w:rPr>
                <w:rFonts w:ascii="Times New Roman"/>
                <w:snapToGrid w:val="0"/>
                <w:kern w:val="21"/>
                <w:sz w:val="24"/>
                <w:szCs w:val="24"/>
              </w:rPr>
              <w:t>.01t/a</w:t>
            </w:r>
          </w:p>
        </w:tc>
        <w:tc>
          <w:tcPr>
            <w:tcW w:w="1559" w:type="dxa"/>
            <w:vAlign w:val="center"/>
          </w:tcPr>
          <w:p w14:paraId="240E9909">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p>
        </w:tc>
        <w:tc>
          <w:tcPr>
            <w:tcW w:w="1843" w:type="dxa"/>
            <w:vAlign w:val="center"/>
          </w:tcPr>
          <w:p w14:paraId="5F11B274">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r>
              <w:rPr>
                <w:rFonts w:ascii="Times New Roman"/>
                <w:snapToGrid w:val="0"/>
                <w:kern w:val="21"/>
                <w:sz w:val="24"/>
                <w:szCs w:val="24"/>
              </w:rPr>
              <w:t>.01t/a</w:t>
            </w:r>
          </w:p>
        </w:tc>
        <w:tc>
          <w:tcPr>
            <w:tcW w:w="1144" w:type="dxa"/>
            <w:vAlign w:val="center"/>
          </w:tcPr>
          <w:p w14:paraId="44F7F138">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r>
              <w:rPr>
                <w:rFonts w:ascii="Times New Roman"/>
                <w:snapToGrid w:val="0"/>
                <w:kern w:val="21"/>
                <w:sz w:val="24"/>
                <w:szCs w:val="24"/>
              </w:rPr>
              <w:t>.01t/a</w:t>
            </w:r>
          </w:p>
        </w:tc>
      </w:tr>
      <w:tr w14:paraId="4F035D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04" w:type="dxa"/>
            <w:vMerge w:val="continue"/>
            <w:vAlign w:val="center"/>
          </w:tcPr>
          <w:p w14:paraId="1BC9798D">
            <w:pPr>
              <w:pStyle w:val="66"/>
              <w:spacing w:beforeLines="0" w:afterLines="0" w:line="240" w:lineRule="auto"/>
              <w:ind w:firstLine="0" w:firstLineChars="0"/>
              <w:rPr>
                <w:rFonts w:ascii="Times New Roman"/>
                <w:snapToGrid w:val="0"/>
                <w:kern w:val="21"/>
                <w:sz w:val="24"/>
                <w:szCs w:val="24"/>
              </w:rPr>
            </w:pPr>
          </w:p>
        </w:tc>
        <w:tc>
          <w:tcPr>
            <w:tcW w:w="1701" w:type="dxa"/>
            <w:vAlign w:val="center"/>
          </w:tcPr>
          <w:p w14:paraId="1B48CFFF">
            <w:pPr>
              <w:pStyle w:val="66"/>
              <w:spacing w:beforeLines="0" w:afterLines="0" w:line="240" w:lineRule="auto"/>
              <w:ind w:firstLine="0" w:firstLineChars="0"/>
              <w:rPr>
                <w:rFonts w:ascii="Times New Roman"/>
                <w:sz w:val="24"/>
                <w:szCs w:val="24"/>
              </w:rPr>
            </w:pPr>
            <w:r>
              <w:rPr>
                <w:rFonts w:hint="eastAsia" w:ascii="Times New Roman"/>
                <w:sz w:val="24"/>
                <w:szCs w:val="24"/>
              </w:rPr>
              <w:t>废活性炭</w:t>
            </w:r>
          </w:p>
        </w:tc>
        <w:tc>
          <w:tcPr>
            <w:tcW w:w="1701" w:type="dxa"/>
            <w:vAlign w:val="center"/>
          </w:tcPr>
          <w:p w14:paraId="53601ED6">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p>
        </w:tc>
        <w:tc>
          <w:tcPr>
            <w:tcW w:w="1276" w:type="dxa"/>
            <w:vAlign w:val="center"/>
          </w:tcPr>
          <w:p w14:paraId="298BD03C">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p>
        </w:tc>
        <w:tc>
          <w:tcPr>
            <w:tcW w:w="1701" w:type="dxa"/>
            <w:vAlign w:val="center"/>
          </w:tcPr>
          <w:p w14:paraId="73C05520">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p>
        </w:tc>
        <w:tc>
          <w:tcPr>
            <w:tcW w:w="1559" w:type="dxa"/>
            <w:vAlign w:val="center"/>
          </w:tcPr>
          <w:p w14:paraId="348EA9D5">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0.5324t/a</w:t>
            </w:r>
          </w:p>
        </w:tc>
        <w:tc>
          <w:tcPr>
            <w:tcW w:w="1559" w:type="dxa"/>
            <w:vAlign w:val="center"/>
          </w:tcPr>
          <w:p w14:paraId="601617EF">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w:t>
            </w:r>
          </w:p>
        </w:tc>
        <w:tc>
          <w:tcPr>
            <w:tcW w:w="1843" w:type="dxa"/>
            <w:vAlign w:val="center"/>
          </w:tcPr>
          <w:p w14:paraId="4AA11792">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0.5324t/a</w:t>
            </w:r>
          </w:p>
        </w:tc>
        <w:tc>
          <w:tcPr>
            <w:tcW w:w="1144" w:type="dxa"/>
            <w:vAlign w:val="center"/>
          </w:tcPr>
          <w:p w14:paraId="21121D86">
            <w:pPr>
              <w:pStyle w:val="66"/>
              <w:spacing w:beforeLines="0" w:afterLines="0" w:line="240" w:lineRule="auto"/>
              <w:ind w:firstLine="0" w:firstLineChars="0"/>
              <w:rPr>
                <w:rFonts w:ascii="Times New Roman"/>
                <w:snapToGrid w:val="0"/>
                <w:kern w:val="21"/>
                <w:sz w:val="24"/>
                <w:szCs w:val="24"/>
              </w:rPr>
            </w:pPr>
            <w:r>
              <w:rPr>
                <w:rFonts w:hint="eastAsia" w:ascii="Times New Roman"/>
                <w:snapToGrid w:val="0"/>
                <w:kern w:val="21"/>
                <w:sz w:val="24"/>
                <w:szCs w:val="24"/>
              </w:rPr>
              <w:t>0.5324t/a</w:t>
            </w:r>
          </w:p>
        </w:tc>
      </w:tr>
    </w:tbl>
    <w:p w14:paraId="4F1C0862">
      <w:pPr>
        <w:pStyle w:val="66"/>
        <w:spacing w:beforeLines="0" w:afterLines="0" w:line="240" w:lineRule="auto"/>
        <w:ind w:firstLine="0" w:firstLineChars="0"/>
        <w:jc w:val="left"/>
        <w:rPr>
          <w:rFonts w:hint="eastAsia" w:hAnsi="宋体"/>
          <w:snapToGrid w:val="0"/>
          <w:spacing w:val="-6"/>
          <w:kern w:val="21"/>
          <w:szCs w:val="21"/>
        </w:rPr>
      </w:pPr>
      <w:r>
        <w:rPr>
          <w:rFonts w:hAnsi="宋体"/>
          <w:snapToGrid w:val="0"/>
          <w:kern w:val="21"/>
          <w:szCs w:val="21"/>
        </w:rPr>
        <w:t>注：</w:t>
      </w:r>
      <w:r>
        <w:rPr>
          <w:rFonts w:hAnsi="宋体"/>
          <w:snapToGrid w:val="0"/>
          <w:spacing w:val="-16"/>
          <w:kern w:val="21"/>
          <w:szCs w:val="21"/>
        </w:rPr>
        <w:fldChar w:fldCharType="begin"/>
      </w:r>
      <w:r>
        <w:rPr>
          <w:rFonts w:hAnsi="宋体"/>
          <w:snapToGrid w:val="0"/>
          <w:spacing w:val="-16"/>
          <w:kern w:val="21"/>
          <w:szCs w:val="21"/>
        </w:rPr>
        <w:instrText xml:space="preserve"> = 6 \* GB3 \* MERGEFORMAT </w:instrText>
      </w:r>
      <w:r>
        <w:rPr>
          <w:rFonts w:hAnsi="宋体"/>
          <w:snapToGrid w:val="0"/>
          <w:spacing w:val="-16"/>
          <w:kern w:val="21"/>
          <w:szCs w:val="21"/>
        </w:rPr>
        <w:fldChar w:fldCharType="separate"/>
      </w:r>
      <w:r>
        <w:rPr>
          <w:rFonts w:hint="eastAsia" w:hAnsi="宋体"/>
          <w:szCs w:val="21"/>
        </w:rPr>
        <w:t>⑥</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1 \* GB3 \* MERGEFORMAT </w:instrText>
      </w:r>
      <w:r>
        <w:rPr>
          <w:rFonts w:hAnsi="宋体"/>
          <w:snapToGrid w:val="0"/>
          <w:spacing w:val="-6"/>
          <w:kern w:val="21"/>
          <w:szCs w:val="21"/>
        </w:rPr>
        <w:fldChar w:fldCharType="separate"/>
      </w:r>
      <w:r>
        <w:rPr>
          <w:rFonts w:hint="eastAsia" w:hAnsi="宋体"/>
          <w:szCs w:val="21"/>
        </w:rPr>
        <w:t>①</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3 \* GB3 \* MERGEFORMAT </w:instrText>
      </w:r>
      <w:r>
        <w:rPr>
          <w:rFonts w:hAnsi="宋体"/>
          <w:snapToGrid w:val="0"/>
          <w:spacing w:val="-6"/>
          <w:kern w:val="21"/>
          <w:szCs w:val="21"/>
        </w:rPr>
        <w:fldChar w:fldCharType="separate"/>
      </w:r>
      <w:r>
        <w:rPr>
          <w:rFonts w:hint="eastAsia" w:hAnsi="宋体"/>
          <w:szCs w:val="21"/>
        </w:rPr>
        <w:t>③</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4 \* GB3 \* MERGEFORMAT </w:instrText>
      </w:r>
      <w:r>
        <w:rPr>
          <w:rFonts w:hAnsi="宋体"/>
          <w:snapToGrid w:val="0"/>
          <w:spacing w:val="-6"/>
          <w:kern w:val="21"/>
          <w:szCs w:val="21"/>
        </w:rPr>
        <w:fldChar w:fldCharType="separate"/>
      </w:r>
      <w:r>
        <w:rPr>
          <w:rFonts w:hint="eastAsia" w:hAnsi="宋体"/>
          <w:szCs w:val="21"/>
        </w:rPr>
        <w:t>④</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16"/>
          <w:kern w:val="21"/>
          <w:szCs w:val="21"/>
        </w:rPr>
        <w:fldChar w:fldCharType="begin"/>
      </w:r>
      <w:r>
        <w:rPr>
          <w:rFonts w:hAnsi="宋体"/>
          <w:snapToGrid w:val="0"/>
          <w:spacing w:val="-16"/>
          <w:kern w:val="21"/>
          <w:szCs w:val="21"/>
        </w:rPr>
        <w:instrText xml:space="preserve"> = 5 \* GB3 \* MERGEFORMAT </w:instrText>
      </w:r>
      <w:r>
        <w:rPr>
          <w:rFonts w:hAnsi="宋体"/>
          <w:snapToGrid w:val="0"/>
          <w:spacing w:val="-16"/>
          <w:kern w:val="21"/>
          <w:szCs w:val="21"/>
        </w:rPr>
        <w:fldChar w:fldCharType="separate"/>
      </w:r>
      <w:r>
        <w:rPr>
          <w:rFonts w:hint="eastAsia" w:hAnsi="宋体"/>
          <w:szCs w:val="21"/>
        </w:rPr>
        <w:t>⑤</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7 \* GB3 \* MERGEFORMAT </w:instrText>
      </w:r>
      <w:r>
        <w:rPr>
          <w:rFonts w:hAnsi="宋体"/>
          <w:snapToGrid w:val="0"/>
          <w:spacing w:val="-6"/>
          <w:kern w:val="21"/>
          <w:szCs w:val="21"/>
        </w:rPr>
        <w:fldChar w:fldCharType="separate"/>
      </w:r>
      <w:r>
        <w:rPr>
          <w:rFonts w:hint="eastAsia" w:hAnsi="宋体"/>
          <w:szCs w:val="21"/>
        </w:rPr>
        <w:t>⑦</w:t>
      </w:r>
      <w:r>
        <w:rPr>
          <w:rFonts w:hAnsi="宋体"/>
          <w:snapToGrid w:val="0"/>
          <w:spacing w:val="-6"/>
          <w:kern w:val="21"/>
          <w:szCs w:val="21"/>
        </w:rPr>
        <w:fldChar w:fldCharType="end"/>
      </w:r>
      <w:r>
        <w:rPr>
          <w:rFonts w:hAnsi="宋体"/>
          <w:snapToGrid w:val="0"/>
          <w:spacing w:val="-6"/>
          <w:kern w:val="21"/>
          <w:szCs w:val="21"/>
        </w:rPr>
        <w:t>=</w:t>
      </w:r>
      <w:r>
        <w:rPr>
          <w:rFonts w:hAnsi="宋体"/>
          <w:snapToGrid w:val="0"/>
          <w:spacing w:val="-16"/>
          <w:kern w:val="21"/>
          <w:szCs w:val="21"/>
        </w:rPr>
        <w:fldChar w:fldCharType="begin"/>
      </w:r>
      <w:r>
        <w:rPr>
          <w:rFonts w:hAnsi="宋体"/>
          <w:snapToGrid w:val="0"/>
          <w:spacing w:val="-16"/>
          <w:kern w:val="21"/>
          <w:szCs w:val="21"/>
        </w:rPr>
        <w:instrText xml:space="preserve"> = 6 \* GB3 \* MERGEFORMAT </w:instrText>
      </w:r>
      <w:r>
        <w:rPr>
          <w:rFonts w:hAnsi="宋体"/>
          <w:snapToGrid w:val="0"/>
          <w:spacing w:val="-16"/>
          <w:kern w:val="21"/>
          <w:szCs w:val="21"/>
        </w:rPr>
        <w:fldChar w:fldCharType="separate"/>
      </w:r>
      <w:r>
        <w:rPr>
          <w:rFonts w:hint="eastAsia" w:hAnsi="宋体"/>
          <w:szCs w:val="21"/>
        </w:rPr>
        <w:t>⑥</w:t>
      </w:r>
      <w:r>
        <w:rPr>
          <w:rFonts w:hAnsi="宋体"/>
          <w:snapToGrid w:val="0"/>
          <w:spacing w:val="-16"/>
          <w:kern w:val="21"/>
          <w:szCs w:val="21"/>
        </w:rPr>
        <w:fldChar w:fldCharType="end"/>
      </w:r>
      <w:r>
        <w:rPr>
          <w:rFonts w:hAnsi="宋体"/>
          <w:snapToGrid w:val="0"/>
          <w:spacing w:val="-16"/>
          <w:kern w:val="21"/>
          <w:szCs w:val="21"/>
        </w:rPr>
        <w:t>-</w:t>
      </w:r>
      <w:r>
        <w:rPr>
          <w:rFonts w:hAnsi="宋体"/>
          <w:snapToGrid w:val="0"/>
          <w:spacing w:val="-6"/>
          <w:kern w:val="21"/>
          <w:szCs w:val="21"/>
        </w:rPr>
        <w:fldChar w:fldCharType="begin"/>
      </w:r>
      <w:r>
        <w:rPr>
          <w:rFonts w:hAnsi="宋体"/>
          <w:snapToGrid w:val="0"/>
          <w:spacing w:val="-6"/>
          <w:kern w:val="21"/>
          <w:szCs w:val="21"/>
        </w:rPr>
        <w:instrText xml:space="preserve"> = 1 \* GB3 \* MERGEFORMAT </w:instrText>
      </w:r>
      <w:r>
        <w:rPr>
          <w:rFonts w:hAnsi="宋体"/>
          <w:snapToGrid w:val="0"/>
          <w:spacing w:val="-6"/>
          <w:kern w:val="21"/>
          <w:szCs w:val="21"/>
        </w:rPr>
        <w:fldChar w:fldCharType="separate"/>
      </w:r>
      <w:r>
        <w:rPr>
          <w:rFonts w:hint="eastAsia" w:hAnsi="宋体"/>
          <w:szCs w:val="21"/>
        </w:rPr>
        <w:t>①</w:t>
      </w:r>
      <w:r>
        <w:rPr>
          <w:rFonts w:hAnsi="宋体"/>
          <w:snapToGrid w:val="0"/>
          <w:spacing w:val="-6"/>
          <w:kern w:val="21"/>
          <w:szCs w:val="21"/>
        </w:rPr>
        <w:fldChar w:fldCharType="end"/>
      </w:r>
    </w:p>
    <w:p w14:paraId="017A65AE">
      <w:pPr>
        <w:pStyle w:val="79"/>
        <w:ind w:left="1" w:hanging="1"/>
        <w:jc w:val="left"/>
        <w:rPr>
          <w:b/>
          <w:bCs/>
          <w:lang w:val="en-US"/>
        </w:rPr>
        <w:sectPr>
          <w:footerReference r:id="rId12" w:type="default"/>
          <w:pgSz w:w="16840" w:h="11907" w:orient="landscape"/>
          <w:pgMar w:top="1418" w:right="1440" w:bottom="1418" w:left="1440" w:header="851" w:footer="851" w:gutter="0"/>
          <w:cols w:space="720" w:num="1"/>
          <w:docGrid w:type="lines" w:linePitch="326" w:charSpace="0"/>
        </w:sectPr>
      </w:pPr>
    </w:p>
    <w:p w14:paraId="4F9B8207">
      <w:pPr>
        <w:pStyle w:val="2"/>
        <w:spacing w:line="240" w:lineRule="auto"/>
        <w:rPr>
          <w:color w:val="auto"/>
        </w:rPr>
      </w:pPr>
      <w:r>
        <w:rPr>
          <w:rFonts w:hint="eastAsia"/>
          <w:color w:val="auto"/>
        </w:rPr>
        <w:t>附图</w:t>
      </w:r>
    </w:p>
    <w:p w14:paraId="1BD81AC4">
      <w:pPr>
        <w:pStyle w:val="3"/>
      </w:pPr>
      <w:r>
        <w:rPr>
          <w:rFonts w:hint="eastAsia"/>
        </w:rPr>
        <w:drawing>
          <wp:anchor distT="0" distB="0" distL="114300" distR="114300" simplePos="0" relativeHeight="251679744" behindDoc="0" locked="0" layoutInCell="1" allowOverlap="1">
            <wp:simplePos x="0" y="0"/>
            <wp:positionH relativeFrom="margin">
              <wp:align>right</wp:align>
            </wp:positionH>
            <wp:positionV relativeFrom="paragraph">
              <wp:posOffset>381000</wp:posOffset>
            </wp:positionV>
            <wp:extent cx="5753100" cy="7884795"/>
            <wp:effectExtent l="0" t="0" r="0" b="1905"/>
            <wp:wrapTopAndBottom/>
            <wp:docPr id="1876573844"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573844" name="图片 4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753100" cy="7884795"/>
                    </a:xfrm>
                    <a:prstGeom prst="rect">
                      <a:avLst/>
                    </a:prstGeom>
                    <a:noFill/>
                    <a:ln>
                      <a:noFill/>
                    </a:ln>
                  </pic:spPr>
                </pic:pic>
              </a:graphicData>
            </a:graphic>
          </wp:anchor>
        </w:drawing>
      </w:r>
      <w:r>
        <w:rPr>
          <w:rFonts w:hint="eastAsia"/>
        </w:rPr>
        <w:t>附图</w:t>
      </w:r>
      <w:r>
        <w:t xml:space="preserve">1 </w:t>
      </w:r>
      <w:r>
        <w:rPr>
          <w:rFonts w:hint="eastAsia"/>
        </w:rPr>
        <w:t>项目地理位置图</w:t>
      </w:r>
    </w:p>
    <w:p w14:paraId="4C879670">
      <w:pPr>
        <w:pStyle w:val="3"/>
        <w:sectPr>
          <w:pgSz w:w="11907" w:h="16840"/>
          <w:pgMar w:top="1440" w:right="1418" w:bottom="1440" w:left="1418" w:header="851" w:footer="851" w:gutter="0"/>
          <w:cols w:space="720" w:num="1"/>
          <w:docGrid w:type="lines" w:linePitch="326" w:charSpace="0"/>
        </w:sectPr>
      </w:pPr>
    </w:p>
    <w:p w14:paraId="08A31A3C">
      <w:pPr>
        <w:pStyle w:val="3"/>
      </w:pPr>
      <w:r>
        <w:rPr>
          <w:rFonts w:hint="eastAsia"/>
        </w:rPr>
        <w:drawing>
          <wp:anchor distT="0" distB="0" distL="114300" distR="114300" simplePos="0" relativeHeight="251678720" behindDoc="0" locked="0" layoutInCell="1" allowOverlap="1">
            <wp:simplePos x="0" y="0"/>
            <wp:positionH relativeFrom="margin">
              <wp:align>center</wp:align>
            </wp:positionH>
            <wp:positionV relativeFrom="paragraph">
              <wp:posOffset>246380</wp:posOffset>
            </wp:positionV>
            <wp:extent cx="7724775" cy="5495925"/>
            <wp:effectExtent l="0" t="0" r="9525" b="9525"/>
            <wp:wrapTopAndBottom/>
            <wp:docPr id="1808478895"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478895" name="图片 4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7724775" cy="5495925"/>
                    </a:xfrm>
                    <a:prstGeom prst="rect">
                      <a:avLst/>
                    </a:prstGeom>
                    <a:noFill/>
                    <a:ln>
                      <a:noFill/>
                    </a:ln>
                  </pic:spPr>
                </pic:pic>
              </a:graphicData>
            </a:graphic>
          </wp:anchor>
        </w:drawing>
      </w:r>
      <w:r>
        <w:rPr>
          <w:rFonts w:hint="eastAsia"/>
        </w:rPr>
        <w:t>附图</w:t>
      </w:r>
      <w:r>
        <w:t xml:space="preserve">2 </w:t>
      </w:r>
      <w:r>
        <w:rPr>
          <w:rFonts w:hint="eastAsia"/>
        </w:rPr>
        <w:t>项目总平面布置图</w:t>
      </w:r>
    </w:p>
    <w:p w14:paraId="74323793">
      <w:pPr>
        <w:pStyle w:val="3"/>
        <w:sectPr>
          <w:pgSz w:w="16840" w:h="11907" w:orient="landscape"/>
          <w:pgMar w:top="1418" w:right="1440" w:bottom="1418" w:left="1440" w:header="851" w:footer="851" w:gutter="0"/>
          <w:cols w:space="720" w:num="1"/>
          <w:docGrid w:type="lines" w:linePitch="326" w:charSpace="0"/>
        </w:sectPr>
      </w:pPr>
    </w:p>
    <w:p w14:paraId="458B030E">
      <w:pPr>
        <w:pStyle w:val="3"/>
      </w:pPr>
      <w:r>
        <w:rPr>
          <w:rFonts w:hint="eastAsia"/>
        </w:rPr>
        <w:drawing>
          <wp:anchor distT="0" distB="0" distL="114300" distR="114300" simplePos="0" relativeHeight="251677696" behindDoc="0" locked="0" layoutInCell="1" allowOverlap="1">
            <wp:simplePos x="0" y="0"/>
            <wp:positionH relativeFrom="margin">
              <wp:align>center</wp:align>
            </wp:positionH>
            <wp:positionV relativeFrom="paragraph">
              <wp:posOffset>302895</wp:posOffset>
            </wp:positionV>
            <wp:extent cx="8596630" cy="5454015"/>
            <wp:effectExtent l="0" t="0" r="0" b="0"/>
            <wp:wrapTopAndBottom/>
            <wp:docPr id="1985616314"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5616314" name="图片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8596630" cy="5454015"/>
                    </a:xfrm>
                    <a:prstGeom prst="rect">
                      <a:avLst/>
                    </a:prstGeom>
                    <a:noFill/>
                    <a:ln>
                      <a:noFill/>
                    </a:ln>
                  </pic:spPr>
                </pic:pic>
              </a:graphicData>
            </a:graphic>
          </wp:anchor>
        </w:drawing>
      </w:r>
      <w:r>
        <w:rPr>
          <w:rFonts w:hint="eastAsia"/>
        </w:rPr>
        <w:t>附图</w:t>
      </w:r>
      <w:r>
        <w:t xml:space="preserve">3 </w:t>
      </w:r>
      <w:r>
        <w:rPr>
          <w:rFonts w:hint="eastAsia"/>
        </w:rPr>
        <w:t>项目周边敏感点分布图</w:t>
      </w:r>
    </w:p>
    <w:p w14:paraId="01010549">
      <w:pPr>
        <w:pStyle w:val="3"/>
        <w:sectPr>
          <w:pgSz w:w="16840" w:h="11907" w:orient="landscape"/>
          <w:pgMar w:top="1418" w:right="1440" w:bottom="1418" w:left="1440" w:header="851" w:footer="851" w:gutter="0"/>
          <w:cols w:space="720" w:num="1"/>
          <w:docGrid w:type="lines" w:linePitch="326" w:charSpace="0"/>
        </w:sectPr>
      </w:pPr>
    </w:p>
    <w:p w14:paraId="1F3462CA">
      <w:pPr>
        <w:pStyle w:val="3"/>
      </w:pPr>
      <w:r>
        <w:rPr>
          <w:rFonts w:hint="eastAsia"/>
        </w:rPr>
        <w:drawing>
          <wp:anchor distT="0" distB="0" distL="114300" distR="114300" simplePos="0" relativeHeight="251676672" behindDoc="0" locked="0" layoutInCell="1" allowOverlap="1">
            <wp:simplePos x="0" y="0"/>
            <wp:positionH relativeFrom="margin">
              <wp:align>right</wp:align>
            </wp:positionH>
            <wp:positionV relativeFrom="paragraph">
              <wp:posOffset>223520</wp:posOffset>
            </wp:positionV>
            <wp:extent cx="9038590" cy="5514975"/>
            <wp:effectExtent l="0" t="0" r="0" b="9525"/>
            <wp:wrapTopAndBottom/>
            <wp:docPr id="260833441"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833441" name="图片 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9038590" cy="5514975"/>
                    </a:xfrm>
                    <a:prstGeom prst="rect">
                      <a:avLst/>
                    </a:prstGeom>
                    <a:noFill/>
                    <a:ln>
                      <a:noFill/>
                    </a:ln>
                  </pic:spPr>
                </pic:pic>
              </a:graphicData>
            </a:graphic>
          </wp:anchor>
        </w:drawing>
      </w:r>
      <w:r>
        <w:rPr>
          <w:rFonts w:hint="eastAsia"/>
        </w:rPr>
        <w:t>附图</w:t>
      </w:r>
      <w:r>
        <w:t xml:space="preserve">4 </w:t>
      </w:r>
      <w:r>
        <w:rPr>
          <w:rFonts w:hint="eastAsia"/>
        </w:rPr>
        <w:t>项目与柳州市环境分区管控位置关系图</w:t>
      </w:r>
    </w:p>
    <w:p w14:paraId="37BEABBD">
      <w:pPr>
        <w:pStyle w:val="3"/>
        <w:sectPr>
          <w:pgSz w:w="16840" w:h="11907" w:orient="landscape"/>
          <w:pgMar w:top="1418" w:right="1440" w:bottom="1418" w:left="1440" w:header="851" w:footer="851" w:gutter="0"/>
          <w:cols w:space="720" w:num="1"/>
          <w:docGrid w:type="lines" w:linePitch="326" w:charSpace="0"/>
        </w:sectPr>
      </w:pPr>
    </w:p>
    <w:p w14:paraId="28CF3429">
      <w:pPr>
        <w:pStyle w:val="3"/>
      </w:pPr>
      <w:r>
        <w:rPr>
          <w:rFonts w:hint="eastAsia"/>
        </w:rPr>
        <w:drawing>
          <wp:anchor distT="0" distB="0" distL="114300" distR="114300" simplePos="0" relativeHeight="251675648" behindDoc="0" locked="0" layoutInCell="1" allowOverlap="1">
            <wp:simplePos x="0" y="0"/>
            <wp:positionH relativeFrom="margin">
              <wp:align>center</wp:align>
            </wp:positionH>
            <wp:positionV relativeFrom="paragraph">
              <wp:posOffset>261620</wp:posOffset>
            </wp:positionV>
            <wp:extent cx="8350250" cy="5448300"/>
            <wp:effectExtent l="0" t="0" r="0" b="0"/>
            <wp:wrapTopAndBottom/>
            <wp:docPr id="19839698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96980" name="图片 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8350250" cy="5448300"/>
                    </a:xfrm>
                    <a:prstGeom prst="rect">
                      <a:avLst/>
                    </a:prstGeom>
                    <a:noFill/>
                    <a:ln>
                      <a:noFill/>
                    </a:ln>
                  </pic:spPr>
                </pic:pic>
              </a:graphicData>
            </a:graphic>
          </wp:anchor>
        </w:drawing>
      </w:r>
      <w:r>
        <w:rPr>
          <w:rFonts w:hint="eastAsia"/>
        </w:rPr>
        <w:t>附图</w:t>
      </w:r>
      <w:r>
        <w:t xml:space="preserve">5 </w:t>
      </w:r>
      <w:r>
        <w:rPr>
          <w:rFonts w:hint="eastAsia"/>
        </w:rPr>
        <w:t>项目在鹿寨高新技术产业开发区土地利用规划图中的位置示意图</w:t>
      </w:r>
    </w:p>
    <w:p w14:paraId="3010D76C">
      <w:pPr>
        <w:pStyle w:val="3"/>
      </w:pPr>
      <w:r>
        <w:rPr>
          <w:rFonts w:hint="eastAsia"/>
        </w:rPr>
        <w:t>附图6 项目在鹿寨县声环境功能区划位置图</w:t>
      </w:r>
    </w:p>
    <w:p w14:paraId="11250B80">
      <w:pPr>
        <w:pStyle w:val="79"/>
      </w:pPr>
      <w:r>
        <w:rPr>
          <w:rFonts w:hint="eastAsia"/>
        </w:rPr>
        <w:drawing>
          <wp:inline distT="0" distB="0" distL="0" distR="0">
            <wp:extent cx="7987665" cy="5448300"/>
            <wp:effectExtent l="0" t="0" r="0" b="0"/>
            <wp:docPr id="111574048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740483" name="图片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7995621" cy="5453609"/>
                    </a:xfrm>
                    <a:prstGeom prst="rect">
                      <a:avLst/>
                    </a:prstGeom>
                    <a:noFill/>
                    <a:ln>
                      <a:noFill/>
                    </a:ln>
                  </pic:spPr>
                </pic:pic>
              </a:graphicData>
            </a:graphic>
          </wp:inline>
        </w:drawing>
      </w:r>
    </w:p>
    <w:p w14:paraId="5536E8FE">
      <w:pPr>
        <w:pStyle w:val="3"/>
        <w:sectPr>
          <w:pgSz w:w="16840" w:h="11907" w:orient="landscape"/>
          <w:pgMar w:top="1418" w:right="1440" w:bottom="1418" w:left="1440" w:header="851" w:footer="851" w:gutter="0"/>
          <w:cols w:space="720" w:num="1"/>
          <w:docGrid w:type="lines" w:linePitch="326" w:charSpace="0"/>
        </w:sectPr>
      </w:pPr>
    </w:p>
    <w:p w14:paraId="36953AA8">
      <w:pPr>
        <w:pStyle w:val="3"/>
      </w:pPr>
      <w:r>
        <w:rPr>
          <w:rFonts w:hint="eastAsia"/>
        </w:rPr>
        <w:t>附图7 现场照片图</w:t>
      </w:r>
    </w:p>
    <w:p w14:paraId="15F80577">
      <w:pPr>
        <w:ind w:firstLine="480"/>
      </w:pPr>
    </w:p>
    <w:tbl>
      <w:tblPr>
        <w:tblStyle w:val="4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14:paraId="350BC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4530" w:type="dxa"/>
            <w:vAlign w:val="center"/>
          </w:tcPr>
          <w:p w14:paraId="66F6762D">
            <w:pPr>
              <w:pStyle w:val="79"/>
            </w:pPr>
            <w:r>
              <w:rPr>
                <w:rFonts w:hint="eastAsia"/>
              </w:rPr>
              <w:drawing>
                <wp:inline distT="0" distB="0" distL="0" distR="0">
                  <wp:extent cx="2699385" cy="2159635"/>
                  <wp:effectExtent l="0" t="0" r="5715" b="0"/>
                  <wp:docPr id="30146354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463548" name="图片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c>
          <w:tcPr>
            <w:tcW w:w="4531" w:type="dxa"/>
            <w:vAlign w:val="center"/>
          </w:tcPr>
          <w:p w14:paraId="18209549">
            <w:pPr>
              <w:pStyle w:val="79"/>
            </w:pPr>
            <w:r>
              <w:rPr>
                <w:rFonts w:hint="eastAsia"/>
              </w:rPr>
              <w:drawing>
                <wp:inline distT="0" distB="0" distL="0" distR="0">
                  <wp:extent cx="2699385" cy="2159635"/>
                  <wp:effectExtent l="0" t="0" r="5715" b="0"/>
                  <wp:docPr id="20240096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009630" name="图片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r>
      <w:tr w14:paraId="7F1F3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20887130">
            <w:pPr>
              <w:pStyle w:val="79"/>
              <w:rPr>
                <w:b/>
                <w:bCs/>
                <w:sz w:val="24"/>
                <w:szCs w:val="22"/>
              </w:rPr>
            </w:pPr>
            <w:r>
              <w:rPr>
                <w:rFonts w:hint="eastAsia"/>
                <w:b/>
                <w:bCs/>
                <w:sz w:val="24"/>
                <w:szCs w:val="22"/>
              </w:rPr>
              <w:t>1、厂区正门</w:t>
            </w:r>
          </w:p>
        </w:tc>
        <w:tc>
          <w:tcPr>
            <w:tcW w:w="4531" w:type="dxa"/>
            <w:vAlign w:val="center"/>
          </w:tcPr>
          <w:p w14:paraId="2D6B0EB0">
            <w:pPr>
              <w:pStyle w:val="79"/>
              <w:rPr>
                <w:b/>
                <w:bCs/>
                <w:sz w:val="24"/>
                <w:szCs w:val="22"/>
              </w:rPr>
            </w:pPr>
            <w:r>
              <w:rPr>
                <w:rFonts w:hint="eastAsia"/>
                <w:b/>
                <w:bCs/>
                <w:sz w:val="24"/>
                <w:szCs w:val="22"/>
              </w:rPr>
              <w:t>2、办公区</w:t>
            </w:r>
          </w:p>
        </w:tc>
      </w:tr>
      <w:tr w14:paraId="4F7E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4530" w:type="dxa"/>
            <w:vAlign w:val="center"/>
          </w:tcPr>
          <w:p w14:paraId="6C9B159D">
            <w:pPr>
              <w:pStyle w:val="79"/>
            </w:pPr>
            <w:r>
              <w:drawing>
                <wp:inline distT="0" distB="0" distL="0" distR="0">
                  <wp:extent cx="2699385" cy="2159635"/>
                  <wp:effectExtent l="0" t="0" r="5715" b="0"/>
                  <wp:docPr id="127309237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092379" name="图片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c>
          <w:tcPr>
            <w:tcW w:w="4531" w:type="dxa"/>
            <w:vAlign w:val="center"/>
          </w:tcPr>
          <w:p w14:paraId="1499131C">
            <w:pPr>
              <w:pStyle w:val="79"/>
            </w:pPr>
            <w:r>
              <w:drawing>
                <wp:inline distT="0" distB="0" distL="0" distR="0">
                  <wp:extent cx="2699385" cy="2159635"/>
                  <wp:effectExtent l="0" t="0" r="5715" b="0"/>
                  <wp:docPr id="5273810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381098" name="图片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r>
      <w:tr w14:paraId="24CDC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51BF6879">
            <w:pPr>
              <w:pStyle w:val="79"/>
              <w:rPr>
                <w:b/>
                <w:bCs/>
                <w:sz w:val="24"/>
                <w:szCs w:val="22"/>
              </w:rPr>
            </w:pPr>
            <w:r>
              <w:rPr>
                <w:rFonts w:hint="eastAsia"/>
                <w:b/>
                <w:bCs/>
                <w:sz w:val="24"/>
                <w:szCs w:val="22"/>
              </w:rPr>
              <w:t>3、原料区</w:t>
            </w:r>
          </w:p>
        </w:tc>
        <w:tc>
          <w:tcPr>
            <w:tcW w:w="4531" w:type="dxa"/>
            <w:vAlign w:val="center"/>
          </w:tcPr>
          <w:p w14:paraId="3717BD81">
            <w:pPr>
              <w:pStyle w:val="79"/>
              <w:rPr>
                <w:b/>
                <w:bCs/>
                <w:sz w:val="24"/>
                <w:szCs w:val="22"/>
              </w:rPr>
            </w:pPr>
            <w:r>
              <w:rPr>
                <w:rFonts w:hint="eastAsia"/>
                <w:b/>
                <w:bCs/>
                <w:sz w:val="24"/>
                <w:szCs w:val="22"/>
              </w:rPr>
              <w:t>4、注塑机</w:t>
            </w:r>
          </w:p>
        </w:tc>
      </w:tr>
      <w:tr w14:paraId="7D3B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4530" w:type="dxa"/>
            <w:vAlign w:val="center"/>
          </w:tcPr>
          <w:p w14:paraId="0524253C">
            <w:pPr>
              <w:pStyle w:val="79"/>
            </w:pPr>
            <w:r>
              <w:drawing>
                <wp:inline distT="0" distB="0" distL="0" distR="0">
                  <wp:extent cx="2699385" cy="2159635"/>
                  <wp:effectExtent l="0" t="0" r="5715" b="0"/>
                  <wp:docPr id="205221284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212845" name="图片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c>
          <w:tcPr>
            <w:tcW w:w="4531" w:type="dxa"/>
            <w:vAlign w:val="center"/>
          </w:tcPr>
          <w:p w14:paraId="56B51D8D">
            <w:pPr>
              <w:pStyle w:val="79"/>
            </w:pPr>
            <w:r>
              <w:drawing>
                <wp:inline distT="0" distB="0" distL="0" distR="0">
                  <wp:extent cx="2699385" cy="2159635"/>
                  <wp:effectExtent l="0" t="0" r="5715" b="0"/>
                  <wp:docPr id="290965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6585" name="图片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r>
      <w:tr w14:paraId="25303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714014B8">
            <w:pPr>
              <w:pStyle w:val="79"/>
              <w:rPr>
                <w:b/>
                <w:bCs/>
                <w:sz w:val="24"/>
                <w:szCs w:val="22"/>
              </w:rPr>
            </w:pPr>
            <w:r>
              <w:rPr>
                <w:rFonts w:hint="eastAsia"/>
                <w:b/>
                <w:bCs/>
                <w:sz w:val="24"/>
                <w:szCs w:val="22"/>
              </w:rPr>
              <w:t>5、成品区</w:t>
            </w:r>
          </w:p>
        </w:tc>
        <w:tc>
          <w:tcPr>
            <w:tcW w:w="4531" w:type="dxa"/>
            <w:vAlign w:val="center"/>
          </w:tcPr>
          <w:p w14:paraId="4267DA58">
            <w:pPr>
              <w:pStyle w:val="79"/>
              <w:rPr>
                <w:b/>
                <w:bCs/>
                <w:sz w:val="24"/>
                <w:szCs w:val="22"/>
              </w:rPr>
            </w:pPr>
            <w:r>
              <w:rPr>
                <w:rFonts w:hint="eastAsia"/>
                <w:b/>
                <w:bCs/>
                <w:sz w:val="24"/>
                <w:szCs w:val="22"/>
              </w:rPr>
              <w:t>6、工程师现场踏勘照片</w:t>
            </w:r>
          </w:p>
        </w:tc>
      </w:tr>
      <w:tr w14:paraId="4D120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4530" w:type="dxa"/>
            <w:vAlign w:val="center"/>
          </w:tcPr>
          <w:p w14:paraId="4531545B">
            <w:pPr>
              <w:pStyle w:val="79"/>
              <w:rPr>
                <w:b/>
                <w:bCs/>
                <w:sz w:val="24"/>
                <w:szCs w:val="22"/>
              </w:rPr>
            </w:pPr>
            <w:r>
              <w:drawing>
                <wp:inline distT="0" distB="0" distL="0" distR="0">
                  <wp:extent cx="2699385" cy="2159635"/>
                  <wp:effectExtent l="0" t="0" r="5715" b="0"/>
                  <wp:docPr id="158745379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453796" name="图片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c>
          <w:tcPr>
            <w:tcW w:w="4531" w:type="dxa"/>
            <w:vAlign w:val="center"/>
          </w:tcPr>
          <w:p w14:paraId="107E01A6">
            <w:pPr>
              <w:pStyle w:val="79"/>
              <w:rPr>
                <w:b/>
                <w:bCs/>
                <w:sz w:val="24"/>
                <w:szCs w:val="22"/>
              </w:rPr>
            </w:pPr>
            <w:r>
              <w:rPr>
                <w:b/>
                <w:bCs/>
                <w:sz w:val="24"/>
                <w:szCs w:val="22"/>
              </w:rPr>
              <w:drawing>
                <wp:inline distT="0" distB="0" distL="0" distR="0">
                  <wp:extent cx="2699385" cy="2159635"/>
                  <wp:effectExtent l="0" t="0" r="5715" b="0"/>
                  <wp:docPr id="3524484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448460" name="图片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r>
      <w:tr w14:paraId="2B97F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47C7325E">
            <w:pPr>
              <w:pStyle w:val="79"/>
              <w:rPr>
                <w:b/>
                <w:bCs/>
                <w:sz w:val="24"/>
                <w:szCs w:val="22"/>
              </w:rPr>
            </w:pPr>
            <w:r>
              <w:rPr>
                <w:rFonts w:hint="eastAsia"/>
                <w:b/>
                <w:bCs/>
                <w:sz w:val="24"/>
                <w:szCs w:val="22"/>
              </w:rPr>
              <w:t>7、项目东面广西裕佳生物科技有限公司仓库</w:t>
            </w:r>
          </w:p>
        </w:tc>
        <w:tc>
          <w:tcPr>
            <w:tcW w:w="4531" w:type="dxa"/>
            <w:vAlign w:val="center"/>
          </w:tcPr>
          <w:p w14:paraId="3FE4121F">
            <w:pPr>
              <w:pStyle w:val="79"/>
              <w:rPr>
                <w:b/>
                <w:bCs/>
                <w:sz w:val="24"/>
                <w:szCs w:val="22"/>
              </w:rPr>
            </w:pPr>
            <w:r>
              <w:rPr>
                <w:rFonts w:hint="eastAsia"/>
                <w:b/>
                <w:bCs/>
                <w:sz w:val="24"/>
                <w:szCs w:val="22"/>
              </w:rPr>
              <w:t>8、项目西面通道</w:t>
            </w:r>
          </w:p>
        </w:tc>
      </w:tr>
      <w:tr w14:paraId="4E29F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2" w:hRule="atLeast"/>
        </w:trPr>
        <w:tc>
          <w:tcPr>
            <w:tcW w:w="4530" w:type="dxa"/>
            <w:vAlign w:val="center"/>
          </w:tcPr>
          <w:p w14:paraId="00FE4F01">
            <w:pPr>
              <w:pStyle w:val="79"/>
              <w:rPr>
                <w:b/>
                <w:bCs/>
                <w:sz w:val="24"/>
                <w:szCs w:val="22"/>
                <w:lang w:val="en-US"/>
              </w:rPr>
            </w:pPr>
            <w:r>
              <w:rPr>
                <w:b/>
                <w:bCs/>
                <w:sz w:val="24"/>
                <w:szCs w:val="22"/>
                <w:lang w:val="en-US"/>
              </w:rPr>
              <w:drawing>
                <wp:inline distT="0" distB="0" distL="0" distR="0">
                  <wp:extent cx="2699385" cy="2159635"/>
                  <wp:effectExtent l="0" t="0" r="5715" b="0"/>
                  <wp:docPr id="184113818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38189" name="图片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c>
          <w:tcPr>
            <w:tcW w:w="4531" w:type="dxa"/>
            <w:vAlign w:val="center"/>
          </w:tcPr>
          <w:p w14:paraId="37298040">
            <w:pPr>
              <w:pStyle w:val="79"/>
              <w:rPr>
                <w:b/>
                <w:bCs/>
                <w:sz w:val="24"/>
                <w:szCs w:val="22"/>
              </w:rPr>
            </w:pPr>
            <w:r>
              <w:rPr>
                <w:b/>
                <w:bCs/>
                <w:sz w:val="24"/>
                <w:szCs w:val="22"/>
              </w:rPr>
              <w:drawing>
                <wp:inline distT="0" distB="0" distL="0" distR="0">
                  <wp:extent cx="2699385" cy="2159635"/>
                  <wp:effectExtent l="0" t="0" r="5715" b="0"/>
                  <wp:docPr id="4372344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234461" name="图片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2700000" cy="2160000"/>
                          </a:xfrm>
                          <a:prstGeom prst="rect">
                            <a:avLst/>
                          </a:prstGeom>
                          <a:noFill/>
                          <a:ln>
                            <a:noFill/>
                          </a:ln>
                        </pic:spPr>
                      </pic:pic>
                    </a:graphicData>
                  </a:graphic>
                </wp:inline>
              </w:drawing>
            </w:r>
          </w:p>
        </w:tc>
      </w:tr>
      <w:tr w14:paraId="1DD2B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530" w:type="dxa"/>
            <w:vAlign w:val="center"/>
          </w:tcPr>
          <w:p w14:paraId="3BA26A84">
            <w:pPr>
              <w:pStyle w:val="79"/>
              <w:rPr>
                <w:b/>
                <w:bCs/>
                <w:sz w:val="24"/>
                <w:szCs w:val="22"/>
              </w:rPr>
            </w:pPr>
            <w:r>
              <w:rPr>
                <w:rFonts w:hint="eastAsia"/>
                <w:b/>
                <w:bCs/>
                <w:sz w:val="24"/>
                <w:szCs w:val="22"/>
              </w:rPr>
              <w:t>9、项目北面广西裕佳生物科技有限公司生产车间</w:t>
            </w:r>
          </w:p>
        </w:tc>
        <w:tc>
          <w:tcPr>
            <w:tcW w:w="4531" w:type="dxa"/>
            <w:vAlign w:val="center"/>
          </w:tcPr>
          <w:p w14:paraId="60DD1DF2">
            <w:pPr>
              <w:pStyle w:val="79"/>
              <w:rPr>
                <w:b/>
                <w:bCs/>
                <w:sz w:val="24"/>
                <w:szCs w:val="22"/>
              </w:rPr>
            </w:pPr>
            <w:r>
              <w:rPr>
                <w:rFonts w:hint="eastAsia"/>
                <w:b/>
                <w:bCs/>
                <w:sz w:val="24"/>
                <w:szCs w:val="22"/>
              </w:rPr>
              <w:t>10、项目南面广西裕佳生物科技有限公司生产车间</w:t>
            </w:r>
          </w:p>
        </w:tc>
      </w:tr>
    </w:tbl>
    <w:p w14:paraId="38E342CA">
      <w:pPr>
        <w:ind w:firstLine="480"/>
      </w:pPr>
    </w:p>
    <w:p w14:paraId="018616C1">
      <w:pPr>
        <w:pStyle w:val="79"/>
        <w:rPr>
          <w:lang w:val="en-US"/>
        </w:rPr>
        <w:sectPr>
          <w:pgSz w:w="11907" w:h="16840"/>
          <w:pgMar w:top="1440" w:right="1418" w:bottom="1440" w:left="1418" w:header="851" w:footer="851" w:gutter="0"/>
          <w:cols w:space="720" w:num="1"/>
          <w:docGrid w:type="lines" w:linePitch="326" w:charSpace="0"/>
        </w:sectPr>
      </w:pPr>
    </w:p>
    <w:p w14:paraId="102395A6">
      <w:pPr>
        <w:pStyle w:val="2"/>
        <w:spacing w:line="240" w:lineRule="auto"/>
        <w:rPr>
          <w:color w:val="auto"/>
        </w:rPr>
      </w:pPr>
      <w:r>
        <w:rPr>
          <w:rFonts w:hint="eastAsia"/>
          <w:color w:val="auto"/>
        </w:rPr>
        <w:t>附件</w:t>
      </w:r>
    </w:p>
    <w:p w14:paraId="4030C93D">
      <w:pPr>
        <w:pStyle w:val="3"/>
      </w:pPr>
      <w:r>
        <w:rPr>
          <w:rFonts w:hint="eastAsia"/>
        </w:rPr>
        <w:t>附件1 委托书</w:t>
      </w:r>
    </w:p>
    <w:p w14:paraId="2AA4F686">
      <w:pPr>
        <w:spacing w:line="240" w:lineRule="auto"/>
        <w:ind w:firstLine="0" w:firstLineChars="0"/>
        <w:jc w:val="center"/>
        <w:rPr>
          <w:b/>
          <w:sz w:val="72"/>
          <w:szCs w:val="52"/>
        </w:rPr>
      </w:pPr>
    </w:p>
    <w:p w14:paraId="15924E3F">
      <w:pPr>
        <w:spacing w:line="240" w:lineRule="auto"/>
        <w:ind w:firstLine="0" w:firstLineChars="0"/>
        <w:jc w:val="center"/>
        <w:rPr>
          <w:b/>
          <w:sz w:val="72"/>
          <w:szCs w:val="52"/>
        </w:rPr>
      </w:pPr>
      <w:r>
        <w:rPr>
          <w:b/>
          <w:sz w:val="72"/>
          <w:szCs w:val="52"/>
        </w:rPr>
        <w:t>委 托 书</w:t>
      </w:r>
    </w:p>
    <w:p w14:paraId="28D07904">
      <w:pPr>
        <w:ind w:firstLine="1044"/>
        <w:jc w:val="center"/>
        <w:rPr>
          <w:b/>
          <w:sz w:val="52"/>
          <w:szCs w:val="52"/>
        </w:rPr>
      </w:pPr>
    </w:p>
    <w:p w14:paraId="60BF55C8">
      <w:pPr>
        <w:spacing w:line="660" w:lineRule="auto"/>
        <w:ind w:firstLine="0" w:firstLineChars="0"/>
        <w:rPr>
          <w:sz w:val="32"/>
          <w:szCs w:val="28"/>
        </w:rPr>
      </w:pPr>
      <w:bookmarkStart w:id="66" w:name="_Hlk213973933"/>
      <w:r>
        <w:rPr>
          <w:rFonts w:hint="eastAsia"/>
          <w:sz w:val="32"/>
          <w:szCs w:val="28"/>
        </w:rPr>
        <w:t>广西环奕环保科技有限公司</w:t>
      </w:r>
      <w:r>
        <w:rPr>
          <w:sz w:val="32"/>
          <w:szCs w:val="28"/>
        </w:rPr>
        <w:t>：</w:t>
      </w:r>
    </w:p>
    <w:p w14:paraId="274AD6DD">
      <w:pPr>
        <w:spacing w:line="660" w:lineRule="auto"/>
        <w:ind w:firstLine="640"/>
        <w:rPr>
          <w:sz w:val="32"/>
          <w:szCs w:val="28"/>
        </w:rPr>
      </w:pPr>
      <w:r>
        <w:rPr>
          <w:sz w:val="32"/>
          <w:szCs w:val="28"/>
        </w:rPr>
        <w:t>根据建设项目的有关管理规定和要求，兹委托贵公司对</w:t>
      </w:r>
      <w:r>
        <w:rPr>
          <w:rFonts w:hint="eastAsia"/>
          <w:sz w:val="32"/>
          <w:szCs w:val="28"/>
          <w:u w:val="single"/>
        </w:rPr>
        <w:t>汽车内外饰件及模具制造项目</w:t>
      </w:r>
      <w:r>
        <w:rPr>
          <w:sz w:val="32"/>
          <w:szCs w:val="28"/>
        </w:rPr>
        <w:t>进行环境影响评价文件的编写，望贵公司接到委托后，按照国家有关环境保护的要求尽快开展本项目的评价工作。</w:t>
      </w:r>
    </w:p>
    <w:p w14:paraId="7D21A3C3">
      <w:pPr>
        <w:spacing w:line="660" w:lineRule="auto"/>
        <w:ind w:firstLine="640"/>
        <w:rPr>
          <w:sz w:val="32"/>
          <w:szCs w:val="28"/>
        </w:rPr>
      </w:pPr>
      <w:r>
        <w:rPr>
          <w:sz w:val="32"/>
          <w:szCs w:val="28"/>
        </w:rPr>
        <w:t>特此委托。</w:t>
      </w:r>
    </w:p>
    <w:p w14:paraId="0E947AFC">
      <w:pPr>
        <w:spacing w:line="660" w:lineRule="auto"/>
        <w:ind w:firstLine="640"/>
        <w:rPr>
          <w:sz w:val="32"/>
          <w:szCs w:val="28"/>
        </w:rPr>
      </w:pPr>
    </w:p>
    <w:p w14:paraId="713ED4DC">
      <w:pPr>
        <w:ind w:firstLine="640"/>
        <w:rPr>
          <w:sz w:val="32"/>
          <w:szCs w:val="28"/>
        </w:rPr>
      </w:pPr>
    </w:p>
    <w:p w14:paraId="1278E86C">
      <w:pPr>
        <w:wordWrap w:val="0"/>
        <w:spacing w:line="660" w:lineRule="auto"/>
        <w:ind w:left="5101" w:leftChars="192" w:hanging="4640" w:hangingChars="1450"/>
        <w:jc w:val="right"/>
        <w:rPr>
          <w:sz w:val="32"/>
          <w:szCs w:val="28"/>
        </w:rPr>
      </w:pPr>
      <w:r>
        <w:rPr>
          <w:sz w:val="32"/>
          <w:szCs w:val="28"/>
        </w:rPr>
        <w:t xml:space="preserve">                </w:t>
      </w:r>
      <w:r>
        <w:rPr>
          <w:rFonts w:hint="eastAsia"/>
          <w:sz w:val="32"/>
          <w:szCs w:val="28"/>
        </w:rPr>
        <w:t xml:space="preserve">    </w:t>
      </w:r>
      <w:r>
        <w:rPr>
          <w:sz w:val="32"/>
          <w:szCs w:val="28"/>
        </w:rPr>
        <w:t xml:space="preserve">   </w:t>
      </w:r>
      <w:r>
        <w:rPr>
          <w:rFonts w:hint="eastAsia"/>
          <w:sz w:val="32"/>
          <w:szCs w:val="28"/>
        </w:rPr>
        <w:t xml:space="preserve"> </w:t>
      </w:r>
      <w:r>
        <w:rPr>
          <w:sz w:val="32"/>
          <w:szCs w:val="28"/>
        </w:rPr>
        <w:t xml:space="preserve"> </w:t>
      </w:r>
      <w:r>
        <w:rPr>
          <w:rFonts w:hint="eastAsia"/>
          <w:sz w:val="32"/>
          <w:szCs w:val="28"/>
        </w:rPr>
        <w:t>柳州市远诚科技有限公司</w:t>
      </w:r>
    </w:p>
    <w:p w14:paraId="43792B4F">
      <w:pPr>
        <w:wordWrap w:val="0"/>
        <w:spacing w:line="660" w:lineRule="auto"/>
        <w:ind w:left="5101" w:leftChars="192" w:hanging="4640" w:hangingChars="1450"/>
        <w:jc w:val="right"/>
        <w:rPr>
          <w:sz w:val="32"/>
          <w:szCs w:val="28"/>
        </w:rPr>
      </w:pPr>
      <w:r>
        <w:rPr>
          <w:sz w:val="32"/>
          <w:szCs w:val="28"/>
        </w:rPr>
        <w:t>20</w:t>
      </w:r>
      <w:r>
        <w:rPr>
          <w:rFonts w:hint="eastAsia"/>
          <w:sz w:val="32"/>
          <w:szCs w:val="28"/>
        </w:rPr>
        <w:t>26</w:t>
      </w:r>
      <w:r>
        <w:rPr>
          <w:sz w:val="32"/>
          <w:szCs w:val="28"/>
        </w:rPr>
        <w:t>年</w:t>
      </w:r>
      <w:r>
        <w:rPr>
          <w:rFonts w:hint="eastAsia"/>
          <w:sz w:val="32"/>
          <w:szCs w:val="28"/>
        </w:rPr>
        <w:t>5</w:t>
      </w:r>
      <w:r>
        <w:rPr>
          <w:sz w:val="32"/>
          <w:szCs w:val="28"/>
        </w:rPr>
        <w:t>月</w:t>
      </w:r>
      <w:r>
        <w:rPr>
          <w:rFonts w:hint="eastAsia"/>
          <w:sz w:val="32"/>
          <w:szCs w:val="28"/>
        </w:rPr>
        <w:t>7</w:t>
      </w:r>
      <w:r>
        <w:rPr>
          <w:sz w:val="32"/>
          <w:szCs w:val="28"/>
        </w:rPr>
        <w:t>日</w:t>
      </w:r>
    </w:p>
    <w:bookmarkEnd w:id="66"/>
    <w:p w14:paraId="1A7F58C2">
      <w:pPr>
        <w:ind w:firstLine="480"/>
        <w:sectPr>
          <w:pgSz w:w="11907" w:h="16840"/>
          <w:pgMar w:top="1440" w:right="1418" w:bottom="1440" w:left="1418" w:header="851" w:footer="851" w:gutter="0"/>
          <w:cols w:space="720" w:num="1"/>
          <w:docGrid w:type="lines" w:linePitch="326" w:charSpace="0"/>
        </w:sectPr>
      </w:pPr>
    </w:p>
    <w:p w14:paraId="227CC2E6">
      <w:pPr>
        <w:pStyle w:val="3"/>
        <w:ind w:left="-283" w:leftChars="-118"/>
      </w:pPr>
      <w:r>
        <w:drawing>
          <wp:anchor distT="0" distB="0" distL="114300" distR="114300" simplePos="0" relativeHeight="251659264" behindDoc="0" locked="0" layoutInCell="1" allowOverlap="1">
            <wp:simplePos x="0" y="0"/>
            <wp:positionH relativeFrom="margin">
              <wp:align>center</wp:align>
            </wp:positionH>
            <wp:positionV relativeFrom="paragraph">
              <wp:posOffset>219075</wp:posOffset>
            </wp:positionV>
            <wp:extent cx="6088380" cy="8620125"/>
            <wp:effectExtent l="0" t="0" r="7620" b="9525"/>
            <wp:wrapTopAndBottom/>
            <wp:docPr id="17944461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46144" name="图片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6088380" cy="8620125"/>
                    </a:xfrm>
                    <a:prstGeom prst="rect">
                      <a:avLst/>
                    </a:prstGeom>
                    <a:noFill/>
                    <a:ln>
                      <a:noFill/>
                    </a:ln>
                  </pic:spPr>
                </pic:pic>
              </a:graphicData>
            </a:graphic>
          </wp:anchor>
        </w:drawing>
      </w:r>
      <w:r>
        <w:rPr>
          <w:rFonts w:hint="eastAsia"/>
        </w:rPr>
        <w:t>附件2 项目备案</w:t>
      </w:r>
    </w:p>
    <w:p w14:paraId="274DC2C7">
      <w:pPr>
        <w:ind w:firstLine="480"/>
        <w:sectPr>
          <w:pgSz w:w="11907" w:h="16840"/>
          <w:pgMar w:top="1440" w:right="1418" w:bottom="1440" w:left="1418" w:header="851" w:footer="851" w:gutter="0"/>
          <w:cols w:space="720" w:num="1"/>
          <w:docGrid w:type="lines" w:linePitch="326" w:charSpace="0"/>
        </w:sectPr>
      </w:pPr>
      <w:r>
        <w:rPr>
          <w:sz w:val="24"/>
        </w:rPr>
        <mc:AlternateContent>
          <mc:Choice Requires="wps">
            <w:drawing>
              <wp:anchor distT="0" distB="0" distL="114300" distR="114300" simplePos="0" relativeHeight="251688960" behindDoc="0" locked="0" layoutInCell="1" allowOverlap="1">
                <wp:simplePos x="0" y="0"/>
                <wp:positionH relativeFrom="column">
                  <wp:posOffset>3571240</wp:posOffset>
                </wp:positionH>
                <wp:positionV relativeFrom="paragraph">
                  <wp:posOffset>-1205230</wp:posOffset>
                </wp:positionV>
                <wp:extent cx="1892935" cy="516255"/>
                <wp:effectExtent l="6350" t="6350" r="24765" b="10795"/>
                <wp:wrapNone/>
                <wp:docPr id="14" name="矩形 14"/>
                <wp:cNvGraphicFramePr/>
                <a:graphic xmlns:a="http://schemas.openxmlformats.org/drawingml/2006/main">
                  <a:graphicData uri="http://schemas.microsoft.com/office/word/2010/wordprocessingShape">
                    <wps:wsp>
                      <wps:cNvSpPr/>
                      <wps:spPr>
                        <a:xfrm>
                          <a:off x="0" y="0"/>
                          <a:ext cx="1892935" cy="516255"/>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1.2pt;margin-top:-94.9pt;height:40.65pt;width:149.05pt;z-index:251688960;v-text-anchor:middle;mso-width-relative:page;mso-height-relative:page;" fillcolor="#FFFFFF [3212]" filled="t" stroked="t" coordsize="21600,21600" o:gfxdata="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">
                <v:fill on="t" focussize="0,0"/>
                <v:stroke weight="1pt" color="#2F5597 [2404]" miterlimit="8" joinstyle="miter"/>
                <v:imagedata o:title=""/>
                <o:lock v:ext="edit" aspectratio="f"/>
              </v:rect>
            </w:pict>
          </mc:Fallback>
        </mc:AlternateContent>
      </w:r>
      <w:r>
        <w:rPr>
          <w:sz w:val="24"/>
        </w:rPr>
        <mc:AlternateContent>
          <mc:Choice Requires="wps">
            <w:drawing>
              <wp:anchor distT="0" distB="0" distL="114300" distR="114300" simplePos="0" relativeHeight="251687936" behindDoc="0" locked="0" layoutInCell="1" allowOverlap="1">
                <wp:simplePos x="0" y="0"/>
                <wp:positionH relativeFrom="column">
                  <wp:posOffset>1505585</wp:posOffset>
                </wp:positionH>
                <wp:positionV relativeFrom="paragraph">
                  <wp:posOffset>-1228090</wp:posOffset>
                </wp:positionV>
                <wp:extent cx="906780" cy="516255"/>
                <wp:effectExtent l="6350" t="6350" r="20320" b="10795"/>
                <wp:wrapNone/>
                <wp:docPr id="13" name="矩形 13"/>
                <wp:cNvGraphicFramePr/>
                <a:graphic xmlns:a="http://schemas.openxmlformats.org/drawingml/2006/main">
                  <a:graphicData uri="http://schemas.microsoft.com/office/word/2010/wordprocessingShape">
                    <wps:wsp>
                      <wps:cNvSpPr/>
                      <wps:spPr>
                        <a:xfrm>
                          <a:off x="2406015" y="8535670"/>
                          <a:ext cx="906780" cy="516255"/>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8.55pt;margin-top:-96.7pt;height:40.65pt;width:71.4pt;z-index:251687936;v-text-anchor:middle;mso-width-relative:page;mso-height-relative:page;" fillcolor="#FFFFFF [3212]" filled="t" stroked="t" coordsize="21600,21600" o:gfxdata="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">
                <v:fill on="t" focussize="0,0"/>
                <v:stroke weight="1pt" color="#2F5597 [2404]" miterlimit="8" joinstyle="miter"/>
                <v:imagedata o:title=""/>
                <o:lock v:ext="edit" aspectratio="f"/>
              </v:rect>
            </w:pict>
          </mc:Fallback>
        </mc:AlternateContent>
      </w:r>
    </w:p>
    <w:p w14:paraId="6D36223C">
      <w:pPr>
        <w:pStyle w:val="3"/>
      </w:pPr>
      <w:r>
        <w:drawing>
          <wp:anchor distT="0" distB="0" distL="114300" distR="114300" simplePos="0" relativeHeight="251660288" behindDoc="0" locked="0" layoutInCell="1" allowOverlap="1">
            <wp:simplePos x="0" y="0"/>
            <wp:positionH relativeFrom="margin">
              <wp:align>center</wp:align>
            </wp:positionH>
            <wp:positionV relativeFrom="paragraph">
              <wp:posOffset>356870</wp:posOffset>
            </wp:positionV>
            <wp:extent cx="7581265" cy="5372100"/>
            <wp:effectExtent l="0" t="0" r="635" b="0"/>
            <wp:wrapTopAndBottom/>
            <wp:docPr id="19623411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341145" name="图片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7581265" cy="5372100"/>
                    </a:xfrm>
                    <a:prstGeom prst="rect">
                      <a:avLst/>
                    </a:prstGeom>
                    <a:noFill/>
                    <a:ln>
                      <a:noFill/>
                    </a:ln>
                  </pic:spPr>
                </pic:pic>
              </a:graphicData>
            </a:graphic>
          </wp:anchor>
        </w:drawing>
      </w:r>
      <w:r>
        <w:rPr>
          <w:rFonts w:hint="eastAsia"/>
        </w:rPr>
        <w:t>附件3 营业执照</w:t>
      </w:r>
    </w:p>
    <w:p w14:paraId="50CC3EBF">
      <w:pPr>
        <w:pStyle w:val="3"/>
        <w:sectPr>
          <w:pgSz w:w="16840" w:h="11907" w:orient="landscape"/>
          <w:pgMar w:top="1418" w:right="1440" w:bottom="1418" w:left="1440" w:header="851" w:footer="851" w:gutter="0"/>
          <w:cols w:space="720" w:num="1"/>
          <w:docGrid w:type="lines" w:linePitch="326" w:charSpace="0"/>
        </w:sectPr>
      </w:pPr>
    </w:p>
    <w:p w14:paraId="46901568">
      <w:pPr>
        <w:pStyle w:val="3"/>
      </w:pPr>
      <w:r>
        <w:drawing>
          <wp:anchor distT="0" distB="0" distL="114300" distR="114300" simplePos="0" relativeHeight="251661312" behindDoc="0" locked="0" layoutInCell="1" allowOverlap="1">
            <wp:simplePos x="0" y="0"/>
            <wp:positionH relativeFrom="margin">
              <wp:align>center</wp:align>
            </wp:positionH>
            <wp:positionV relativeFrom="paragraph">
              <wp:posOffset>233045</wp:posOffset>
            </wp:positionV>
            <wp:extent cx="8086725" cy="5486400"/>
            <wp:effectExtent l="0" t="0" r="9525" b="0"/>
            <wp:wrapTopAndBottom/>
            <wp:docPr id="18026324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2632417" name="图片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8086725" cy="5486400"/>
                    </a:xfrm>
                    <a:prstGeom prst="rect">
                      <a:avLst/>
                    </a:prstGeom>
                    <a:noFill/>
                    <a:ln>
                      <a:noFill/>
                    </a:ln>
                  </pic:spPr>
                </pic:pic>
              </a:graphicData>
            </a:graphic>
          </wp:anchor>
        </w:drawing>
      </w:r>
      <w:r>
        <w:rPr>
          <w:rFonts w:hint="eastAsia"/>
        </w:rPr>
        <w:t>附件4 土地证</w:t>
      </w:r>
    </w:p>
    <w:p w14:paraId="2091FF77">
      <w:pPr>
        <w:ind w:left="480" w:firstLine="0" w:firstLineChars="0"/>
      </w:pPr>
      <w:r>
        <w:drawing>
          <wp:anchor distT="0" distB="0" distL="114300" distR="114300" simplePos="0" relativeHeight="251662336" behindDoc="0" locked="0" layoutInCell="1" allowOverlap="1">
            <wp:simplePos x="0" y="0"/>
            <wp:positionH relativeFrom="margin">
              <wp:posOffset>488950</wp:posOffset>
            </wp:positionH>
            <wp:positionV relativeFrom="paragraph">
              <wp:posOffset>0</wp:posOffset>
            </wp:positionV>
            <wp:extent cx="7902575" cy="5759450"/>
            <wp:effectExtent l="0" t="0" r="3175" b="0"/>
            <wp:wrapTopAndBottom/>
            <wp:docPr id="18808772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877284" name="图片 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7902575" cy="5759450"/>
                    </a:xfrm>
                    <a:prstGeom prst="rect">
                      <a:avLst/>
                    </a:prstGeom>
                    <a:noFill/>
                    <a:ln>
                      <a:noFill/>
                    </a:ln>
                  </pic:spPr>
                </pic:pic>
              </a:graphicData>
            </a:graphic>
          </wp:anchor>
        </w:drawing>
      </w:r>
    </w:p>
    <w:p w14:paraId="1C02330D">
      <w:pPr>
        <w:ind w:left="480" w:firstLine="0" w:firstLineChars="0"/>
      </w:pPr>
      <w:r>
        <w:drawing>
          <wp:anchor distT="0" distB="0" distL="114300" distR="114300" simplePos="0" relativeHeight="251663360" behindDoc="0" locked="0" layoutInCell="1" allowOverlap="1">
            <wp:simplePos x="0" y="0"/>
            <wp:positionH relativeFrom="column">
              <wp:posOffset>180975</wp:posOffset>
            </wp:positionH>
            <wp:positionV relativeFrom="paragraph">
              <wp:posOffset>131445</wp:posOffset>
            </wp:positionV>
            <wp:extent cx="8863965" cy="5625465"/>
            <wp:effectExtent l="0" t="0" r="0" b="0"/>
            <wp:wrapTopAndBottom/>
            <wp:docPr id="3119673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967318" name="图片 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8863965" cy="5625465"/>
                    </a:xfrm>
                    <a:prstGeom prst="rect">
                      <a:avLst/>
                    </a:prstGeom>
                    <a:noFill/>
                    <a:ln>
                      <a:noFill/>
                    </a:ln>
                  </pic:spPr>
                </pic:pic>
              </a:graphicData>
            </a:graphic>
          </wp:anchor>
        </w:drawing>
      </w:r>
    </w:p>
    <w:p w14:paraId="1B6D43C1">
      <w:pPr>
        <w:ind w:left="480" w:firstLine="0" w:firstLineChars="0"/>
        <w:sectPr>
          <w:pgSz w:w="16840" w:h="11907" w:orient="landscape"/>
          <w:pgMar w:top="1418" w:right="1440" w:bottom="1418" w:left="1440" w:header="851" w:footer="851" w:gutter="0"/>
          <w:cols w:space="720" w:num="1"/>
          <w:docGrid w:type="lines" w:linePitch="326" w:charSpace="0"/>
        </w:sectPr>
      </w:pPr>
      <w: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7625080" cy="5750560"/>
            <wp:effectExtent l="0" t="0" r="0" b="2540"/>
            <wp:wrapTopAndBottom/>
            <wp:docPr id="18873756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37565" name="图片 1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7625080" cy="5750560"/>
                    </a:xfrm>
                    <a:prstGeom prst="rect">
                      <a:avLst/>
                    </a:prstGeom>
                    <a:noFill/>
                    <a:ln>
                      <a:noFill/>
                    </a:ln>
                  </pic:spPr>
                </pic:pic>
              </a:graphicData>
            </a:graphic>
          </wp:anchor>
        </w:drawing>
      </w:r>
    </w:p>
    <w:p w14:paraId="49CD0846">
      <w:pPr>
        <w:pStyle w:val="3"/>
      </w:pPr>
      <w:r>
        <w:rPr>
          <w:rFonts w:hint="eastAsia"/>
        </w:rPr>
        <w:t>附件</w:t>
      </w:r>
      <w:r>
        <w:t>5</w:t>
      </w:r>
      <w:r>
        <w:rPr>
          <w:rFonts w:hint="eastAsia"/>
        </w:rPr>
        <w:t xml:space="preserve"> 租赁合同</w:t>
      </w:r>
    </w:p>
    <w:p w14:paraId="59C33201">
      <w:pPr>
        <w:pStyle w:val="79"/>
        <w:ind w:left="-4" w:leftChars="-60" w:hanging="140" w:hangingChars="67"/>
      </w:pPr>
      <w:r>
        <w:rPr>
          <w:rFonts w:hint="eastAsia"/>
        </w:rPr>
        <w:drawing>
          <wp:inline distT="0" distB="0" distL="0" distR="0">
            <wp:extent cx="6024880" cy="8524875"/>
            <wp:effectExtent l="0" t="0" r="0" b="0"/>
            <wp:docPr id="137369098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690983" name="图片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6028580" cy="8529693"/>
                    </a:xfrm>
                    <a:prstGeom prst="rect">
                      <a:avLst/>
                    </a:prstGeom>
                    <a:noFill/>
                    <a:ln>
                      <a:noFill/>
                    </a:ln>
                  </pic:spPr>
                </pic:pic>
              </a:graphicData>
            </a:graphic>
          </wp:inline>
        </w:drawing>
      </w:r>
    </w:p>
    <w:p w14:paraId="306242A1">
      <w:pPr>
        <w:ind w:firstLine="480"/>
      </w:pPr>
      <w:r>
        <w:rPr>
          <w:sz w:val="24"/>
        </w:rPr>
        <mc:AlternateContent>
          <mc:Choice Requires="wps">
            <w:drawing>
              <wp:anchor distT="0" distB="0" distL="114300" distR="114300" simplePos="0" relativeHeight="251691008" behindDoc="0" locked="0" layoutInCell="1" allowOverlap="1">
                <wp:simplePos x="0" y="0"/>
                <wp:positionH relativeFrom="column">
                  <wp:posOffset>295275</wp:posOffset>
                </wp:positionH>
                <wp:positionV relativeFrom="paragraph">
                  <wp:posOffset>2936875</wp:posOffset>
                </wp:positionV>
                <wp:extent cx="2914650" cy="1284605"/>
                <wp:effectExtent l="6350" t="6350" r="12700" b="23495"/>
                <wp:wrapNone/>
                <wp:docPr id="16" name="矩形 16"/>
                <wp:cNvGraphicFramePr/>
                <a:graphic xmlns:a="http://schemas.openxmlformats.org/drawingml/2006/main">
                  <a:graphicData uri="http://schemas.microsoft.com/office/word/2010/wordprocessingShape">
                    <wps:wsp>
                      <wps:cNvSpPr/>
                      <wps:spPr>
                        <a:xfrm>
                          <a:off x="0" y="0"/>
                          <a:ext cx="2914650" cy="1284605"/>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231.25pt;height:101.15pt;width:229.5pt;z-index:251691008;v-text-anchor:middle;mso-width-relative:page;mso-height-relative:page;" fillcolor="#FFFFFF [3212]" filled="t" stroked="t" coordsize="21600,21600" o:gfxdata="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">
                <v:fill on="t" focussize="0,0"/>
                <v:stroke weight="1pt" color="#2F5597 [2404]" miterlimit="8" joinstyle="miter"/>
                <v:imagedata o:title=""/>
                <o:lock v:ext="edit" aspectratio="f"/>
              </v:rect>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295275</wp:posOffset>
                </wp:positionH>
                <wp:positionV relativeFrom="paragraph">
                  <wp:posOffset>1800225</wp:posOffset>
                </wp:positionV>
                <wp:extent cx="2914650" cy="688340"/>
                <wp:effectExtent l="6350" t="6350" r="12700" b="10160"/>
                <wp:wrapNone/>
                <wp:docPr id="15" name="矩形 15"/>
                <wp:cNvGraphicFramePr/>
                <a:graphic xmlns:a="http://schemas.openxmlformats.org/drawingml/2006/main">
                  <a:graphicData uri="http://schemas.microsoft.com/office/word/2010/wordprocessingShape">
                    <wps:wsp>
                      <wps:cNvSpPr/>
                      <wps:spPr>
                        <a:xfrm>
                          <a:off x="1195705" y="2714625"/>
                          <a:ext cx="2914650" cy="688340"/>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141.75pt;height:54.2pt;width:229.5pt;z-index:251689984;v-text-anchor:middle;mso-width-relative:page;mso-height-relative:page;" fillcolor="#FFFFFF [3212]" filled="t" stroked="t" coordsize="21600,21600" o:gfxdata="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9GvX2dkA&#10;AAAKAQAADwAAAAAAAAABACAAAAAiAAAAZHJzL2Rvd25yZXYueG1sUEsBAhQAFAAAAAgAh07iQDrY&#10;E1yQAgAAJAUAAA4AAAAAAAAAAQAgAAAAKAEAAGRycy9lMm9Eb2MueG1sUEsFBgAAAAAGAAYAWQEA&#10;ACoGAAAAAA==&#10;">
                <v:fill on="t" focussize="0,0"/>
                <v:stroke weight="1pt" color="#2F5597 [2404]" miterlimit="8" joinstyle="miter"/>
                <v:imagedata o:title=""/>
                <o:lock v:ext="edit" aspectratio="f"/>
              </v:rect>
            </w:pict>
          </mc:Fallback>
        </mc:AlternateContent>
      </w:r>
      <w:r>
        <w:drawing>
          <wp:anchor distT="0" distB="0" distL="114300" distR="114300" simplePos="0" relativeHeight="251665408" behindDoc="0" locked="0" layoutInCell="1" allowOverlap="1">
            <wp:simplePos x="0" y="0"/>
            <wp:positionH relativeFrom="margin">
              <wp:posOffset>-387350</wp:posOffset>
            </wp:positionH>
            <wp:positionV relativeFrom="paragraph">
              <wp:posOffset>0</wp:posOffset>
            </wp:positionV>
            <wp:extent cx="6361430" cy="8439150"/>
            <wp:effectExtent l="0" t="0" r="1270" b="0"/>
            <wp:wrapTopAndBottom/>
            <wp:docPr id="18609274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927427" name="图片 1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6361430" cy="8439150"/>
                    </a:xfrm>
                    <a:prstGeom prst="rect">
                      <a:avLst/>
                    </a:prstGeom>
                    <a:noFill/>
                    <a:ln>
                      <a:noFill/>
                    </a:ln>
                  </pic:spPr>
                </pic:pic>
              </a:graphicData>
            </a:graphic>
          </wp:anchor>
        </w:drawing>
      </w:r>
    </w:p>
    <w:p w14:paraId="44A2F467">
      <w:pPr>
        <w:pStyle w:val="79"/>
      </w:pPr>
      <w:bookmarkStart w:id="67" w:name="_GoBack"/>
      <w:bookmarkEnd w:id="67"/>
      <w:r>
        <w:rPr>
          <w:sz w:val="24"/>
        </w:rPr>
        <mc:AlternateContent>
          <mc:Choice Requires="wps">
            <w:drawing>
              <wp:anchor distT="0" distB="0" distL="114300" distR="114300" simplePos="0" relativeHeight="251692032" behindDoc="0" locked="0" layoutInCell="1" allowOverlap="1">
                <wp:simplePos x="0" y="0"/>
                <wp:positionH relativeFrom="column">
                  <wp:posOffset>335280</wp:posOffset>
                </wp:positionH>
                <wp:positionV relativeFrom="paragraph">
                  <wp:posOffset>4485640</wp:posOffset>
                </wp:positionV>
                <wp:extent cx="5060315" cy="688340"/>
                <wp:effectExtent l="6350" t="6350" r="19685" b="10160"/>
                <wp:wrapNone/>
                <wp:docPr id="17" name="矩形 17"/>
                <wp:cNvGraphicFramePr/>
                <a:graphic xmlns:a="http://schemas.openxmlformats.org/drawingml/2006/main">
                  <a:graphicData uri="http://schemas.microsoft.com/office/word/2010/wordprocessingShape">
                    <wps:wsp>
                      <wps:cNvSpPr/>
                      <wps:spPr>
                        <a:xfrm>
                          <a:off x="0" y="0"/>
                          <a:ext cx="5060315" cy="688340"/>
                        </a:xfrm>
                        <a:prstGeom prst="rect">
                          <a:avLst/>
                        </a:prstGeom>
                        <a:solidFill>
                          <a:schemeClr val="bg1"/>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4pt;margin-top:353.2pt;height:54.2pt;width:398.45pt;z-index:251692032;v-text-anchor:middle;mso-width-relative:page;mso-height-relative:page;" fillcolor="#FFFFFF [3212]" filled="t" stroked="t" coordsize="21600,21600" o:gfxdata="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">
                <v:fill on="t" focussize="0,0"/>
                <v:stroke weight="1pt" color="#2F5597 [2404]" miterlimit="8" joinstyle="miter"/>
                <v:imagedata o:title=""/>
                <o:lock v:ext="edit" aspectratio="f"/>
              </v:rect>
            </w:pict>
          </mc:Fallback>
        </mc:AlternateContent>
      </w:r>
      <w:r>
        <w:drawing>
          <wp:anchor distT="0" distB="0" distL="114300" distR="114300" simplePos="0" relativeHeight="251666432" behindDoc="0" locked="0" layoutInCell="1" allowOverlap="1">
            <wp:simplePos x="0" y="0"/>
            <wp:positionH relativeFrom="margin">
              <wp:align>center</wp:align>
            </wp:positionH>
            <wp:positionV relativeFrom="paragraph">
              <wp:posOffset>247650</wp:posOffset>
            </wp:positionV>
            <wp:extent cx="6233795" cy="8543925"/>
            <wp:effectExtent l="0" t="0" r="0" b="9525"/>
            <wp:wrapTopAndBottom/>
            <wp:docPr id="202216259"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16259" name="图片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6233795" cy="8543925"/>
                    </a:xfrm>
                    <a:prstGeom prst="rect">
                      <a:avLst/>
                    </a:prstGeom>
                    <a:noFill/>
                    <a:ln>
                      <a:noFill/>
                    </a:ln>
                  </pic:spPr>
                </pic:pic>
              </a:graphicData>
            </a:graphic>
          </wp:anchor>
        </w:drawing>
      </w:r>
    </w:p>
    <w:p w14:paraId="3A86EC0F">
      <w:pPr>
        <w:pStyle w:val="79"/>
      </w:pPr>
      <w:r>
        <w:drawing>
          <wp:anchor distT="0" distB="0" distL="114300" distR="114300" simplePos="0" relativeHeight="251667456" behindDoc="0" locked="0" layoutInCell="1" allowOverlap="1">
            <wp:simplePos x="0" y="0"/>
            <wp:positionH relativeFrom="margin">
              <wp:align>center</wp:align>
            </wp:positionH>
            <wp:positionV relativeFrom="paragraph">
              <wp:posOffset>219075</wp:posOffset>
            </wp:positionV>
            <wp:extent cx="6363970" cy="8572500"/>
            <wp:effectExtent l="0" t="0" r="0" b="0"/>
            <wp:wrapTopAndBottom/>
            <wp:docPr id="1229279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27934" name="图片 1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6363970" cy="8572500"/>
                    </a:xfrm>
                    <a:prstGeom prst="rect">
                      <a:avLst/>
                    </a:prstGeom>
                    <a:noFill/>
                    <a:ln>
                      <a:noFill/>
                    </a:ln>
                  </pic:spPr>
                </pic:pic>
              </a:graphicData>
            </a:graphic>
          </wp:anchor>
        </w:drawing>
      </w:r>
    </w:p>
    <w:p w14:paraId="651AD0B7">
      <w:pPr>
        <w:pStyle w:val="79"/>
      </w:pPr>
      <w:r>
        <w:drawing>
          <wp:anchor distT="0" distB="0" distL="114300" distR="114300" simplePos="0" relativeHeight="251668480" behindDoc="0" locked="0" layoutInCell="1" allowOverlap="1">
            <wp:simplePos x="0" y="0"/>
            <wp:positionH relativeFrom="margin">
              <wp:posOffset>-200025</wp:posOffset>
            </wp:positionH>
            <wp:positionV relativeFrom="paragraph">
              <wp:posOffset>133350</wp:posOffset>
            </wp:positionV>
            <wp:extent cx="6282055" cy="8591550"/>
            <wp:effectExtent l="0" t="0" r="4445" b="0"/>
            <wp:wrapTopAndBottom/>
            <wp:docPr id="109280029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800297" name="图片 15"/>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6282055" cy="8591550"/>
                    </a:xfrm>
                    <a:prstGeom prst="rect">
                      <a:avLst/>
                    </a:prstGeom>
                    <a:noFill/>
                    <a:ln>
                      <a:noFill/>
                    </a:ln>
                  </pic:spPr>
                </pic:pic>
              </a:graphicData>
            </a:graphic>
          </wp:anchor>
        </w:drawing>
      </w:r>
    </w:p>
    <w:p w14:paraId="50C5F171">
      <w:pPr>
        <w:pStyle w:val="79"/>
      </w:pPr>
      <w:r>
        <w:drawing>
          <wp:anchor distT="0" distB="0" distL="114300" distR="114300" simplePos="0" relativeHeight="251669504" behindDoc="0" locked="0" layoutInCell="1" allowOverlap="1">
            <wp:simplePos x="0" y="0"/>
            <wp:positionH relativeFrom="margin">
              <wp:align>center</wp:align>
            </wp:positionH>
            <wp:positionV relativeFrom="paragraph">
              <wp:posOffset>200025</wp:posOffset>
            </wp:positionV>
            <wp:extent cx="6335395" cy="8572500"/>
            <wp:effectExtent l="0" t="0" r="8255" b="0"/>
            <wp:wrapTopAndBottom/>
            <wp:docPr id="119406548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4065481" name="图片 16"/>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6335395" cy="8572500"/>
                    </a:xfrm>
                    <a:prstGeom prst="rect">
                      <a:avLst/>
                    </a:prstGeom>
                    <a:noFill/>
                    <a:ln>
                      <a:noFill/>
                    </a:ln>
                  </pic:spPr>
                </pic:pic>
              </a:graphicData>
            </a:graphic>
          </wp:anchor>
        </w:drawing>
      </w:r>
    </w:p>
    <w:p w14:paraId="54CC6AA5">
      <w:pPr>
        <w:pStyle w:val="79"/>
      </w:pPr>
      <w:r>
        <w:drawing>
          <wp:anchor distT="0" distB="0" distL="114300" distR="114300" simplePos="0" relativeHeight="251670528" behindDoc="0" locked="0" layoutInCell="1" allowOverlap="1">
            <wp:simplePos x="0" y="0"/>
            <wp:positionH relativeFrom="margin">
              <wp:align>center</wp:align>
            </wp:positionH>
            <wp:positionV relativeFrom="paragraph">
              <wp:posOffset>209550</wp:posOffset>
            </wp:positionV>
            <wp:extent cx="6245860" cy="8572500"/>
            <wp:effectExtent l="0" t="0" r="2540" b="0"/>
            <wp:wrapTopAndBottom/>
            <wp:docPr id="18956155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61550" name="图片 1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6245860" cy="8572500"/>
                    </a:xfrm>
                    <a:prstGeom prst="rect">
                      <a:avLst/>
                    </a:prstGeom>
                    <a:noFill/>
                    <a:ln>
                      <a:noFill/>
                    </a:ln>
                  </pic:spPr>
                </pic:pic>
              </a:graphicData>
            </a:graphic>
          </wp:anchor>
        </w:drawing>
      </w:r>
    </w:p>
    <w:p w14:paraId="412419AD">
      <w:pPr>
        <w:pStyle w:val="79"/>
      </w:pPr>
      <w:r>
        <w:rPr>
          <w:rFonts w:hint="eastAsia"/>
        </w:rPr>
        <w:drawing>
          <wp:anchor distT="0" distB="0" distL="114300" distR="114300" simplePos="0" relativeHeight="251671552" behindDoc="0" locked="0" layoutInCell="1" allowOverlap="1">
            <wp:simplePos x="0" y="0"/>
            <wp:positionH relativeFrom="margin">
              <wp:align>center</wp:align>
            </wp:positionH>
            <wp:positionV relativeFrom="paragraph">
              <wp:posOffset>209550</wp:posOffset>
            </wp:positionV>
            <wp:extent cx="6239510" cy="8601075"/>
            <wp:effectExtent l="0" t="0" r="8890" b="9525"/>
            <wp:wrapTopAndBottom/>
            <wp:docPr id="16311156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115618" name="图片 1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6239510" cy="8601075"/>
                    </a:xfrm>
                    <a:prstGeom prst="rect">
                      <a:avLst/>
                    </a:prstGeom>
                    <a:noFill/>
                    <a:ln>
                      <a:noFill/>
                    </a:ln>
                  </pic:spPr>
                </pic:pic>
              </a:graphicData>
            </a:graphic>
          </wp:anchor>
        </w:drawing>
      </w:r>
    </w:p>
    <w:p w14:paraId="20F9E49B">
      <w:pPr>
        <w:pStyle w:val="3"/>
        <w:sectPr>
          <w:pgSz w:w="11907" w:h="16840"/>
          <w:pgMar w:top="1440" w:right="1418" w:bottom="1440" w:left="1418" w:header="851" w:footer="851" w:gutter="0"/>
          <w:cols w:space="720" w:num="1"/>
          <w:docGrid w:type="lines" w:linePitch="326" w:charSpace="0"/>
        </w:sectPr>
      </w:pPr>
    </w:p>
    <w:p w14:paraId="2DC3D139">
      <w:pPr>
        <w:pStyle w:val="3"/>
      </w:pPr>
      <w:r>
        <w:rPr>
          <w:rFonts w:hint="eastAsia"/>
        </w:rPr>
        <w:t>附件6 项目入园证明</w:t>
      </w:r>
    </w:p>
    <w:p w14:paraId="4C3E330D">
      <w:pPr>
        <w:ind w:firstLine="480"/>
      </w:pPr>
    </w:p>
    <w:p w14:paraId="09394E2C">
      <w:pPr>
        <w:pStyle w:val="79"/>
      </w:pPr>
      <w: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755005" cy="8117205"/>
            <wp:effectExtent l="0" t="0" r="0" b="0"/>
            <wp:wrapTopAndBottom/>
            <wp:docPr id="7825287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528718" name="图片 20"/>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5755005" cy="8117205"/>
                    </a:xfrm>
                    <a:prstGeom prst="rect">
                      <a:avLst/>
                    </a:prstGeom>
                    <a:noFill/>
                    <a:ln>
                      <a:noFill/>
                    </a:ln>
                  </pic:spPr>
                </pic:pic>
              </a:graphicData>
            </a:graphic>
          </wp:anchor>
        </w:drawing>
      </w:r>
    </w:p>
    <w:p w14:paraId="7678964B">
      <w:pPr>
        <w:pStyle w:val="79"/>
      </w:pPr>
    </w:p>
    <w:p w14:paraId="0B2AB0D0">
      <w:pPr>
        <w:pStyle w:val="79"/>
      </w:pPr>
      <w:r>
        <w:rPr>
          <w:rFonts w:hint="eastAsia"/>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5755005" cy="8009255"/>
            <wp:effectExtent l="0" t="0" r="0" b="0"/>
            <wp:wrapTopAndBottom/>
            <wp:docPr id="921035244"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035244" name="图片 21"/>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5755005" cy="8009255"/>
                    </a:xfrm>
                    <a:prstGeom prst="rect">
                      <a:avLst/>
                    </a:prstGeom>
                    <a:noFill/>
                    <a:ln>
                      <a:noFill/>
                    </a:ln>
                  </pic:spPr>
                </pic:pic>
              </a:graphicData>
            </a:graphic>
          </wp:anchor>
        </w:drawing>
      </w:r>
    </w:p>
    <w:p w14:paraId="7FCDCEE3">
      <w:pPr>
        <w:pStyle w:val="3"/>
        <w:sectPr>
          <w:pgSz w:w="11907" w:h="16840"/>
          <w:pgMar w:top="1440" w:right="1418" w:bottom="1440" w:left="1418" w:header="851" w:footer="851" w:gutter="0"/>
          <w:cols w:space="720" w:num="1"/>
          <w:docGrid w:type="lines" w:linePitch="326" w:charSpace="0"/>
        </w:sectPr>
      </w:pPr>
    </w:p>
    <w:p w14:paraId="1586C491">
      <w:pPr>
        <w:pStyle w:val="3"/>
      </w:pPr>
      <w:r>
        <w:rPr>
          <w:rFonts w:hint="eastAsia"/>
        </w:rPr>
        <w:t>附件7 鹿寨经济开发区管理委员会联审意见函</w:t>
      </w:r>
    </w:p>
    <w:p w14:paraId="6E2FA9F1">
      <w:pPr>
        <w:pStyle w:val="79"/>
        <w:ind w:left="-142" w:leftChars="-59"/>
      </w:pPr>
      <w:r>
        <w:rPr>
          <w:rFonts w:hint="eastAsia"/>
        </w:rPr>
        <w:drawing>
          <wp:inline distT="0" distB="0" distL="0" distR="0">
            <wp:extent cx="6085840" cy="8601075"/>
            <wp:effectExtent l="0" t="0" r="0" b="0"/>
            <wp:docPr id="556858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85831" name="图片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6089897" cy="8606383"/>
                    </a:xfrm>
                    <a:prstGeom prst="rect">
                      <a:avLst/>
                    </a:prstGeom>
                    <a:noFill/>
                    <a:ln>
                      <a:noFill/>
                    </a:ln>
                  </pic:spPr>
                </pic:pic>
              </a:graphicData>
            </a:graphic>
          </wp:inline>
        </w:drawing>
      </w:r>
    </w:p>
    <w:p w14:paraId="35977664">
      <w:pPr>
        <w:ind w:firstLine="480"/>
        <w:sectPr>
          <w:pgSz w:w="11907" w:h="16840"/>
          <w:pgMar w:top="1440" w:right="1418" w:bottom="1440" w:left="1418" w:header="851" w:footer="851" w:gutter="0"/>
          <w:cols w:space="720" w:num="1"/>
          <w:docGrid w:type="lines" w:linePitch="326" w:charSpace="0"/>
        </w:sectPr>
      </w:pPr>
    </w:p>
    <w:p w14:paraId="0EA5AD47">
      <w:pPr>
        <w:pStyle w:val="3"/>
      </w:pPr>
      <w:r>
        <w:rPr>
          <w:rFonts w:hint="eastAsia"/>
        </w:rPr>
        <w:t>附件8 环境质量监测报告</w:t>
      </w:r>
    </w:p>
    <w:p w14:paraId="04F53332">
      <w:pPr>
        <w:pStyle w:val="79"/>
      </w:pPr>
    </w:p>
    <w:p w14:paraId="048D565F">
      <w:pPr>
        <w:pStyle w:val="79"/>
      </w:pPr>
    </w:p>
    <w:p w14:paraId="3D373328">
      <w:pPr>
        <w:pStyle w:val="79"/>
      </w:pPr>
    </w:p>
    <w:p w14:paraId="09B26BAA">
      <w:pPr>
        <w:pStyle w:val="79"/>
      </w:pPr>
    </w:p>
    <w:p w14:paraId="1CD8FBFA">
      <w:pPr>
        <w:pStyle w:val="79"/>
        <w:sectPr>
          <w:pgSz w:w="11907" w:h="16840"/>
          <w:pgMar w:top="1440" w:right="1418" w:bottom="1440" w:left="1418" w:header="851" w:footer="851" w:gutter="0"/>
          <w:cols w:space="720" w:num="1"/>
          <w:docGrid w:type="lines" w:linePitch="326" w:charSpace="0"/>
        </w:sectPr>
      </w:pPr>
    </w:p>
    <w:p w14:paraId="4B476788">
      <w:pPr>
        <w:pStyle w:val="79"/>
      </w:pPr>
      <w: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8136890" cy="5755005"/>
            <wp:effectExtent l="0" t="0" r="0" b="0"/>
            <wp:wrapTopAndBottom/>
            <wp:docPr id="206072631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726311" name="图片 32"/>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8136890" cy="5755005"/>
                    </a:xfrm>
                    <a:prstGeom prst="rect">
                      <a:avLst/>
                    </a:prstGeom>
                    <a:noFill/>
                    <a:ln>
                      <a:noFill/>
                    </a:ln>
                  </pic:spPr>
                </pic:pic>
              </a:graphicData>
            </a:graphic>
          </wp:anchor>
        </w:drawing>
      </w:r>
    </w:p>
    <w:p w14:paraId="0D5BB1B6">
      <w:pPr>
        <w:pStyle w:val="3"/>
        <w:sectPr>
          <w:pgSz w:w="16840" w:h="11907" w:orient="landscape"/>
          <w:pgMar w:top="1418" w:right="1440" w:bottom="1418" w:left="1440" w:header="851" w:footer="851" w:gutter="0"/>
          <w:cols w:space="720" w:num="1"/>
          <w:docGrid w:type="lines" w:linePitch="326" w:charSpace="0"/>
        </w:sectPr>
      </w:pPr>
    </w:p>
    <w:p w14:paraId="11BD5CC6">
      <w:pPr>
        <w:pStyle w:val="3"/>
      </w:pPr>
      <w:r>
        <w:rPr>
          <w:rFonts w:hint="eastAsia"/>
        </w:rPr>
        <w:t>附件9 广西“生态云”平台建设项目智能研判报告</w:t>
      </w:r>
    </w:p>
    <w:p w14:paraId="289CE09D">
      <w:pPr>
        <w:pStyle w:val="79"/>
        <w:ind w:left="-2" w:leftChars="-1" w:firstLine="1"/>
        <w:jc w:val="left"/>
      </w:pPr>
      <w:r>
        <w:drawing>
          <wp:inline distT="0" distB="0" distL="0" distR="0">
            <wp:extent cx="6049010" cy="8553450"/>
            <wp:effectExtent l="0" t="0" r="8890" b="0"/>
            <wp:docPr id="12211264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126436" name="图片 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6055884" cy="8562457"/>
                    </a:xfrm>
                    <a:prstGeom prst="rect">
                      <a:avLst/>
                    </a:prstGeom>
                    <a:noFill/>
                    <a:ln>
                      <a:noFill/>
                    </a:ln>
                  </pic:spPr>
                </pic:pic>
              </a:graphicData>
            </a:graphic>
          </wp:inline>
        </w:drawing>
      </w:r>
    </w:p>
    <w:p w14:paraId="2561A1DB">
      <w:pPr>
        <w:pStyle w:val="79"/>
        <w:ind w:left="-1" w:leftChars="-177" w:hanging="424" w:hangingChars="202"/>
        <w:jc w:val="left"/>
      </w:pPr>
      <w:r>
        <w:rPr>
          <w:rFonts w:hint="eastAsia"/>
        </w:rPr>
        <w:drawing>
          <wp:inline distT="0" distB="0" distL="0" distR="0">
            <wp:extent cx="6229350" cy="8807450"/>
            <wp:effectExtent l="0" t="0" r="0" b="0"/>
            <wp:docPr id="209631517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315170" name="图片 2"/>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6235494" cy="8816410"/>
                    </a:xfrm>
                    <a:prstGeom prst="rect">
                      <a:avLst/>
                    </a:prstGeom>
                    <a:noFill/>
                    <a:ln>
                      <a:noFill/>
                    </a:ln>
                  </pic:spPr>
                </pic:pic>
              </a:graphicData>
            </a:graphic>
          </wp:inline>
        </w:drawing>
      </w:r>
    </w:p>
    <w:p w14:paraId="2D8B1897">
      <w:pPr>
        <w:pStyle w:val="79"/>
        <w:ind w:left="-1" w:leftChars="-177" w:hanging="424" w:hangingChars="202"/>
        <w:jc w:val="left"/>
      </w:pPr>
      <w:r>
        <w:drawing>
          <wp:inline distT="0" distB="0" distL="0" distR="0">
            <wp:extent cx="6210935" cy="8782050"/>
            <wp:effectExtent l="0" t="0" r="0" b="0"/>
            <wp:docPr id="67781635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816353" name="图片 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6216023" cy="8788881"/>
                    </a:xfrm>
                    <a:prstGeom prst="rect">
                      <a:avLst/>
                    </a:prstGeom>
                    <a:noFill/>
                    <a:ln>
                      <a:noFill/>
                    </a:ln>
                  </pic:spPr>
                </pic:pic>
              </a:graphicData>
            </a:graphic>
          </wp:inline>
        </w:drawing>
      </w:r>
    </w:p>
    <w:p w14:paraId="4C3B1E04">
      <w:pPr>
        <w:pStyle w:val="79"/>
        <w:ind w:left="-1" w:leftChars="-177" w:hanging="424" w:hangingChars="202"/>
        <w:jc w:val="left"/>
      </w:pPr>
      <w:r>
        <w:drawing>
          <wp:inline distT="0" distB="0" distL="0" distR="0">
            <wp:extent cx="6203950" cy="8772525"/>
            <wp:effectExtent l="0" t="0" r="6350" b="0"/>
            <wp:docPr id="11895786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578617" name="图片 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6208549" cy="8778313"/>
                    </a:xfrm>
                    <a:prstGeom prst="rect">
                      <a:avLst/>
                    </a:prstGeom>
                    <a:noFill/>
                    <a:ln>
                      <a:noFill/>
                    </a:ln>
                  </pic:spPr>
                </pic:pic>
              </a:graphicData>
            </a:graphic>
          </wp:inline>
        </w:drawing>
      </w:r>
    </w:p>
    <w:p w14:paraId="12FB4C08">
      <w:pPr>
        <w:pStyle w:val="79"/>
        <w:ind w:left="-1" w:leftChars="-177" w:hanging="424" w:hangingChars="202"/>
        <w:jc w:val="left"/>
      </w:pPr>
      <w:r>
        <w:drawing>
          <wp:inline distT="0" distB="0" distL="0" distR="0">
            <wp:extent cx="6238875" cy="8820785"/>
            <wp:effectExtent l="0" t="0" r="0" b="0"/>
            <wp:docPr id="104531612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16123" name="图片 5"/>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6240218" cy="8823090"/>
                    </a:xfrm>
                    <a:prstGeom prst="rect">
                      <a:avLst/>
                    </a:prstGeom>
                    <a:noFill/>
                    <a:ln>
                      <a:noFill/>
                    </a:ln>
                  </pic:spPr>
                </pic:pic>
              </a:graphicData>
            </a:graphic>
          </wp:inline>
        </w:drawing>
      </w:r>
    </w:p>
    <w:p w14:paraId="4DA09ACF">
      <w:pPr>
        <w:pStyle w:val="79"/>
        <w:ind w:left="-1" w:leftChars="-177" w:hanging="424" w:hangingChars="202"/>
        <w:jc w:val="left"/>
      </w:pPr>
      <w:r>
        <w:drawing>
          <wp:inline distT="0" distB="0" distL="0" distR="0">
            <wp:extent cx="6238875" cy="8820785"/>
            <wp:effectExtent l="0" t="0" r="0" b="0"/>
            <wp:docPr id="175156871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568719" name="图片 6"/>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6240445" cy="8823411"/>
                    </a:xfrm>
                    <a:prstGeom prst="rect">
                      <a:avLst/>
                    </a:prstGeom>
                    <a:noFill/>
                    <a:ln>
                      <a:noFill/>
                    </a:ln>
                  </pic:spPr>
                </pic:pic>
              </a:graphicData>
            </a:graphic>
          </wp:inline>
        </w:drawing>
      </w:r>
    </w:p>
    <w:p w14:paraId="255FD11D">
      <w:pPr>
        <w:pStyle w:val="79"/>
        <w:ind w:left="-1" w:leftChars="-177" w:hanging="424" w:hangingChars="202"/>
        <w:jc w:val="left"/>
      </w:pPr>
      <w:r>
        <w:drawing>
          <wp:inline distT="0" distB="0" distL="0" distR="0">
            <wp:extent cx="6248400" cy="8834120"/>
            <wp:effectExtent l="0" t="0" r="0" b="5080"/>
            <wp:docPr id="153515948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159483" name="图片 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6252437" cy="8840366"/>
                    </a:xfrm>
                    <a:prstGeom prst="rect">
                      <a:avLst/>
                    </a:prstGeom>
                    <a:noFill/>
                    <a:ln>
                      <a:noFill/>
                    </a:ln>
                  </pic:spPr>
                </pic:pic>
              </a:graphicData>
            </a:graphic>
          </wp:inline>
        </w:drawing>
      </w:r>
    </w:p>
    <w:p w14:paraId="67E61E2C">
      <w:pPr>
        <w:pStyle w:val="79"/>
        <w:ind w:left="-1" w:leftChars="-177" w:hanging="424" w:hangingChars="202"/>
        <w:jc w:val="left"/>
      </w:pPr>
      <w:r>
        <w:rPr>
          <w:rFonts w:hint="eastAsia"/>
        </w:rPr>
        <w:drawing>
          <wp:inline distT="0" distB="0" distL="0" distR="0">
            <wp:extent cx="6219825" cy="8794115"/>
            <wp:effectExtent l="0" t="0" r="0" b="6985"/>
            <wp:docPr id="134002363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023636" name="图片 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6222518" cy="8798064"/>
                    </a:xfrm>
                    <a:prstGeom prst="rect">
                      <a:avLst/>
                    </a:prstGeom>
                    <a:noFill/>
                    <a:ln>
                      <a:noFill/>
                    </a:ln>
                  </pic:spPr>
                </pic:pic>
              </a:graphicData>
            </a:graphic>
          </wp:inline>
        </w:drawing>
      </w:r>
    </w:p>
    <w:p w14:paraId="0220799F">
      <w:pPr>
        <w:pStyle w:val="79"/>
        <w:ind w:left="-1" w:leftChars="-177" w:hanging="424" w:hangingChars="202"/>
        <w:jc w:val="left"/>
      </w:pPr>
      <w:r>
        <w:drawing>
          <wp:inline distT="0" distB="0" distL="0" distR="0">
            <wp:extent cx="6229350" cy="8807450"/>
            <wp:effectExtent l="0" t="0" r="0" b="0"/>
            <wp:docPr id="95593673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36736" name="图片 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6232472" cy="8812137"/>
                    </a:xfrm>
                    <a:prstGeom prst="rect">
                      <a:avLst/>
                    </a:prstGeom>
                    <a:noFill/>
                    <a:ln>
                      <a:noFill/>
                    </a:ln>
                  </pic:spPr>
                </pic:pic>
              </a:graphicData>
            </a:graphic>
          </wp:inline>
        </w:drawing>
      </w:r>
    </w:p>
    <w:p w14:paraId="32E67100">
      <w:pPr>
        <w:pStyle w:val="79"/>
        <w:ind w:left="-1" w:leftChars="-177" w:hanging="424" w:hangingChars="202"/>
        <w:jc w:val="left"/>
      </w:pPr>
      <w:r>
        <w:drawing>
          <wp:inline distT="0" distB="0" distL="0" distR="0">
            <wp:extent cx="6267450" cy="8861425"/>
            <wp:effectExtent l="0" t="0" r="0" b="0"/>
            <wp:docPr id="15258360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83601" name="图片 1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6273056" cy="8869519"/>
                    </a:xfrm>
                    <a:prstGeom prst="rect">
                      <a:avLst/>
                    </a:prstGeom>
                    <a:noFill/>
                    <a:ln>
                      <a:noFill/>
                    </a:ln>
                  </pic:spPr>
                </pic:pic>
              </a:graphicData>
            </a:graphic>
          </wp:inline>
        </w:drawing>
      </w:r>
    </w:p>
    <w:p w14:paraId="4D89D53C">
      <w:pPr>
        <w:pStyle w:val="79"/>
        <w:ind w:left="-1" w:leftChars="-177" w:hanging="424" w:hangingChars="202"/>
        <w:jc w:val="left"/>
      </w:pPr>
      <w:r>
        <w:drawing>
          <wp:inline distT="0" distB="0" distL="0" distR="0">
            <wp:extent cx="6257925" cy="8848090"/>
            <wp:effectExtent l="0" t="0" r="0" b="0"/>
            <wp:docPr id="70240148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01483" name="图片 1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6261080" cy="8852587"/>
                    </a:xfrm>
                    <a:prstGeom prst="rect">
                      <a:avLst/>
                    </a:prstGeom>
                    <a:noFill/>
                    <a:ln>
                      <a:noFill/>
                    </a:ln>
                  </pic:spPr>
                </pic:pic>
              </a:graphicData>
            </a:graphic>
          </wp:inline>
        </w:drawing>
      </w:r>
    </w:p>
    <w:p w14:paraId="3BC62D2C">
      <w:pPr>
        <w:pStyle w:val="79"/>
        <w:ind w:left="-1" w:leftChars="-177" w:hanging="424" w:hangingChars="202"/>
        <w:jc w:val="left"/>
      </w:pPr>
      <w:r>
        <w:rPr>
          <w:rFonts w:hint="eastAsia"/>
        </w:rPr>
        <w:drawing>
          <wp:inline distT="0" distB="0" distL="0" distR="0">
            <wp:extent cx="6238875" cy="8820785"/>
            <wp:effectExtent l="0" t="0" r="0" b="0"/>
            <wp:docPr id="17829494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949438" name="图片 1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6246636" cy="8832165"/>
                    </a:xfrm>
                    <a:prstGeom prst="rect">
                      <a:avLst/>
                    </a:prstGeom>
                    <a:noFill/>
                    <a:ln>
                      <a:noFill/>
                    </a:ln>
                  </pic:spPr>
                </pic:pic>
              </a:graphicData>
            </a:graphic>
          </wp:inline>
        </w:drawing>
      </w:r>
    </w:p>
    <w:sectPr>
      <w:pgSz w:w="11907" w:h="16840"/>
      <w:pgMar w:top="1440" w:right="1418" w:bottom="1440" w:left="1418" w:header="851" w:footer="851" w:gutter="0"/>
      <w:cols w:space="72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92DAF68F-0236-4BF6-86F1-F64DCC7CD9FF}"/>
  </w:font>
  <w:font w:name="Arial">
    <w:panose1 w:val="020B0604020202020204"/>
    <w:charset w:val="01"/>
    <w:family w:val="swiss"/>
    <w:pitch w:val="default"/>
    <w:sig w:usb0="E0002EFF" w:usb1="C000785B" w:usb2="00000009" w:usb3="00000000" w:csb0="400001FF" w:csb1="FFFF0000"/>
    <w:embedRegular r:id="rId2" w:fontKey="{CC44D682-FD7B-4784-8449-9C4BB118A4FF}"/>
  </w:font>
  <w:font w:name="黑体">
    <w:panose1 w:val="02010609060101010101"/>
    <w:charset w:val="86"/>
    <w:family w:val="auto"/>
    <w:pitch w:val="default"/>
    <w:sig w:usb0="800002BF" w:usb1="38CF7CFA" w:usb2="00000016" w:usb3="00000000" w:csb0="00040001" w:csb1="00000000"/>
    <w:embedRegular r:id="rId3" w:fontKey="{26BEA1C9-860E-4923-84BD-213211B6536D}"/>
  </w:font>
  <w:font w:name="Courier New">
    <w:panose1 w:val="02070309020205020404"/>
    <w:charset w:val="01"/>
    <w:family w:val="modern"/>
    <w:pitch w:val="default"/>
    <w:sig w:usb0="E0002EFF" w:usb1="C0007843" w:usb2="00000009" w:usb3="00000000" w:csb0="400001FF" w:csb1="FFFF0000"/>
    <w:embedRegular r:id="rId4" w:fontKey="{1CDCBA53-969E-4BCE-A664-6EBA51EF44CB}"/>
  </w:font>
  <w:font w:name="Symbol">
    <w:panose1 w:val="05050102010706020507"/>
    <w:charset w:val="02"/>
    <w:family w:val="roman"/>
    <w:pitch w:val="default"/>
    <w:sig w:usb0="00000000" w:usb1="00000000" w:usb2="00000000" w:usb3="00000000" w:csb0="80000000" w:csb1="00000000"/>
    <w:embedRegular r:id="rId5" w:fontKey="{ADDA64E7-893C-4AB3-8EEC-4EDA4445CDA7}"/>
  </w:font>
  <w:font w:name="Calibri">
    <w:panose1 w:val="020F0502020204030204"/>
    <w:charset w:val="00"/>
    <w:family w:val="swiss"/>
    <w:pitch w:val="default"/>
    <w:sig w:usb0="E4002EFF" w:usb1="C000247B" w:usb2="00000009" w:usb3="00000000" w:csb0="200001FF" w:csb1="00000000"/>
    <w:embedRegular r:id="rId6" w:fontKey="{2C34D7AF-7359-4C94-9712-25A966B804F4}"/>
  </w:font>
  <w:font w:name="Calibri Light">
    <w:panose1 w:val="020F0302020204030204"/>
    <w:charset w:val="00"/>
    <w:family w:val="swiss"/>
    <w:pitch w:val="default"/>
    <w:sig w:usb0="E4002EFF" w:usb1="C000247B" w:usb2="00000009" w:usb3="00000000" w:csb0="200001FF" w:csb1="00000000"/>
    <w:embedRegular r:id="rId7" w:fontKey="{79A51F8F-F852-4CB8-A496-373BBC21D36B}"/>
  </w:font>
  <w:font w:name="Arial">
    <w:panose1 w:val="020B0604020202020204"/>
    <w:charset w:val="00"/>
    <w:family w:val="swiss"/>
    <w:pitch w:val="default"/>
    <w:sig w:usb0="E0002EFF" w:usb1="C000785B" w:usb2="00000009" w:usb3="00000000" w:csb0="400001FF" w:csb1="FFFF0000"/>
    <w:embedRegular r:id="rId8" w:fontKey="{802C2142-F39E-47DF-BE09-0E176A70FD66}"/>
  </w:font>
  <w:font w:name="楷体_GB2312">
    <w:altName w:val="楷体"/>
    <w:panose1 w:val="00000000000000000000"/>
    <w:charset w:val="86"/>
    <w:family w:val="modern"/>
    <w:pitch w:val="default"/>
    <w:sig w:usb0="00000000" w:usb1="00000000" w:usb2="00000000" w:usb3="00000000" w:csb0="00040000" w:csb1="00000000"/>
    <w:embedRegular r:id="rId9" w:fontKey="{061A5147-DF76-4D5A-B654-5FB9A50318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embedRegular r:id="rId10" w:fontKey="{F81F2633-88B4-4DB1-AAD9-7183314142C0}"/>
  </w:font>
  <w:font w:name="Arial Unicode MS">
    <w:altName w:val="宋体"/>
    <w:panose1 w:val="020B0604020202020204"/>
    <w:charset w:val="86"/>
    <w:family w:val="swiss"/>
    <w:pitch w:val="default"/>
    <w:sig w:usb0="00000000" w:usb1="00000000" w:usb2="0000003F" w:usb3="00000000" w:csb0="003F01FF" w:csb1="00000000"/>
  </w:font>
  <w:font w:name="Courier New">
    <w:panose1 w:val="02070309020205020404"/>
    <w:charset w:val="00"/>
    <w:family w:val="modern"/>
    <w:pitch w:val="default"/>
    <w:sig w:usb0="E0002EFF" w:usb1="C0007843" w:usb2="00000009" w:usb3="00000000" w:csb0="400001FF" w:csb1="FFFF0000"/>
    <w:embedRegular r:id="rId11" w:fontKey="{C9B497AA-4BF3-4A59-B61B-12C3493A9AFC}"/>
  </w:font>
  <w:font w:name="PMingLiU">
    <w:altName w:val="Microsoft JhengHei UI"/>
    <w:panose1 w:val="02010601000101010101"/>
    <w:charset w:val="88"/>
    <w:family w:val="roman"/>
    <w:pitch w:val="default"/>
    <w:sig w:usb0="00000000" w:usb1="00000000" w:usb2="00000016" w:usb3="00000000" w:csb0="00100001" w:csb1="00000000"/>
  </w:font>
  <w:font w:name="PMingLiU">
    <w:altName w:val="FFont-Family"/>
    <w:panose1 w:val="00000000000000000000"/>
    <w:charset w:val="00"/>
    <w:family w:val="auto"/>
    <w:pitch w:val="default"/>
    <w:sig w:usb0="00000000" w:usb1="00000000" w:usb2="00000000" w:usb3="00000000" w:csb0="00000000" w:csb1="00000000"/>
    <w:embedRegular r:id="rId12" w:fontKey="{9434A46E-90EE-4F5F-B0C0-D5711BC3E202}"/>
  </w:font>
  <w:font w:name="等线 Light">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embedRegular r:id="rId13" w:fontKey="{166B0DC5-AB16-40F7-9FBE-B1A38BBE956D}"/>
  </w:font>
  <w:font w:name="仿宋">
    <w:panose1 w:val="02010609060101010101"/>
    <w:charset w:val="86"/>
    <w:family w:val="modern"/>
    <w:pitch w:val="default"/>
    <w:sig w:usb0="800002BF" w:usb1="38CF7CFA" w:usb2="00000016" w:usb3="00000000" w:csb0="00040001" w:csb1="00000000"/>
    <w:embedRegular r:id="rId14" w:fontKey="{AFB903F4-80C8-4D5A-918B-2EC485CCFBDF}"/>
  </w:font>
  <w:font w:name="方正小标宋_GBK">
    <w:panose1 w:val="02000000000000000000"/>
    <w:charset w:val="86"/>
    <w:family w:val="script"/>
    <w:pitch w:val="default"/>
    <w:sig w:usb0="A00002BF" w:usb1="38CF7CFA" w:usb2="00082016" w:usb3="00000000" w:csb0="00040001" w:csb1="00000000"/>
    <w:embedRegular r:id="rId15" w:fontKey="{ED6F70D9-45DD-4489-9245-BE9A2B0F9945}"/>
  </w:font>
  <w:font w:name="华文仿宋">
    <w:altName w:val="仿宋"/>
    <w:panose1 w:val="02010600040101010101"/>
    <w:charset w:val="86"/>
    <w:family w:val="auto"/>
    <w:pitch w:val="default"/>
    <w:sig w:usb0="00000000" w:usb1="00000000" w:usb2="00000010" w:usb3="00000000" w:csb0="0004009F" w:csb1="00000000"/>
    <w:embedRegular r:id="rId16" w:fontKey="{ADE0CA81-65C7-4856-9415-8075FF11C7A5}"/>
  </w:font>
  <w:font w:name="Wingdings 2">
    <w:panose1 w:val="05020102010507070707"/>
    <w:charset w:val="02"/>
    <w:family w:val="roman"/>
    <w:pitch w:val="default"/>
    <w:sig w:usb0="00000000" w:usb1="00000000" w:usb2="00000000" w:usb3="00000000" w:csb0="80000000" w:csb1="00000000"/>
    <w:embedRegular r:id="rId17" w:fontKey="{FB6C8658-9A7D-455F-82DF-F68054992F2A}"/>
  </w:font>
  <w:font w:name="等线">
    <w:panose1 w:val="02010600030101010101"/>
    <w:charset w:val="86"/>
    <w:family w:val="auto"/>
    <w:pitch w:val="default"/>
    <w:sig w:usb0="A00002BF" w:usb1="38CF7CFA" w:usb2="00000016" w:usb3="00000000" w:csb0="0004000F" w:csb1="00000000"/>
    <w:embedRegular r:id="rId18" w:fontKey="{C018ED62-A450-4211-8167-1AF2255CB219}"/>
  </w:font>
  <w:font w:name="KSOFE4500885">
    <w:panose1 w:val="02010609060101010101"/>
    <w:charset w:val="86"/>
    <w:family w:val="auto"/>
    <w:pitch w:val="default"/>
    <w:sig w:usb0="00000001" w:usb1="00000000" w:usb2="00000000" w:usb3="00000000" w:csb0="00040001" w:csb1="00000000"/>
  </w:font>
  <w:font w:name="WPSEMBED4">
    <w:panose1 w:val="05020102010507070707"/>
    <w:charset w:val="00"/>
    <w:family w:val="auto"/>
    <w:pitch w:val="default"/>
    <w:sig w:usb0="00000000" w:usb1="00000000" w:usb2="00000000" w:usb3="00000000" w:csb0="80000000" w:csb1="00000000"/>
    <w:embedRegular r:id="rId19" w:fontKey="{DE5C6FC8-D86B-47D1-9C33-29BE00E5DDC3}"/>
  </w:font>
  <w:font w:name="Microsoft JhengHei UI">
    <w:panose1 w:val="020B0604030504040204"/>
    <w:charset w:val="88"/>
    <w:family w:val="auto"/>
    <w:pitch w:val="default"/>
    <w:sig w:usb0="000002A7" w:usb1="28CF4400" w:usb2="00000016" w:usb3="00000000" w:csb0="00100009" w:csb1="00000000"/>
  </w:font>
  <w:font w:name="FFont-Family">
    <w:panose1 w:val="02000509000000000000"/>
    <w:charset w:val="00"/>
    <w:family w:val="auto"/>
    <w:pitch w:val="default"/>
    <w:sig w:usb0="00000001" w:usb1="00000000" w:usb2="00000000" w:usb3="00000000" w:csb0="00000001" w:csb1="00000000"/>
    <w:embedRegular r:id="rId20" w:fontKey="{6B8B0D10-A53E-410A-8FEE-00EDDE1C9F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B2B7E">
    <w:pPr>
      <w:pStyle w:val="2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A6B63">
    <w:pPr>
      <w:pStyle w:val="2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87238">
    <w:pPr>
      <w:pStyle w:val="24"/>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0E6B5">
    <w:pPr>
      <w:pStyle w:val="24"/>
      <w:ind w:firstLine="0" w:firstLineChars="0"/>
      <w:jc w:val="center"/>
    </w:pPr>
    <w:r>
      <w:fldChar w:fldCharType="begin"/>
    </w:r>
    <w:r>
      <w:instrText xml:space="preserve">PAGE   \* MERGEFORMAT</w:instrText>
    </w:r>
    <w:r>
      <w:fldChar w:fldCharType="separate"/>
    </w:r>
    <w:r>
      <w:rPr>
        <w:lang w:val="zh-CN"/>
      </w:rPr>
      <w:t>29</w:t>
    </w:r>
    <w:r>
      <w:fldChar w:fldCharType="end"/>
    </w:r>
  </w:p>
  <w:p w14:paraId="1D8F588A">
    <w:pPr>
      <w:pStyle w:val="24"/>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D8363">
    <w:pPr>
      <w:pStyle w:val="24"/>
      <w:ind w:firstLine="0" w:firstLineChars="0"/>
      <w:jc w:val="center"/>
    </w:pPr>
    <w:r>
      <w:fldChar w:fldCharType="begin"/>
    </w:r>
    <w:r>
      <w:instrText xml:space="preserve">PAGE   \* MERGEFORMAT</w:instrText>
    </w:r>
    <w:r>
      <w:fldChar w:fldCharType="separate"/>
    </w:r>
    <w:r>
      <w:rPr>
        <w:lang w:val="zh-CN"/>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C38C6A">
    <w:pPr>
      <w:pStyle w:val="7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C062B">
    <w:pPr>
      <w:pStyle w:val="2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75BA2">
    <w:pPr>
      <w:pStyle w:val="2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7"/>
      <w:lvlText w:val="%1."/>
      <w:lvlJc w:val="left"/>
      <w:pPr>
        <w:tabs>
          <w:tab w:val="left" w:pos="780"/>
        </w:tabs>
        <w:ind w:left="780" w:hanging="360"/>
      </w:pPr>
    </w:lvl>
  </w:abstractNum>
  <w:abstractNum w:abstractNumId="1">
    <w:nsid w:val="43777788"/>
    <w:multiLevelType w:val="multilevel"/>
    <w:tmpl w:val="43777788"/>
    <w:lvl w:ilvl="0" w:tentative="0">
      <w:start w:val="1"/>
      <w:numFmt w:val="decimal"/>
      <w:lvlText w:val="（%1）"/>
      <w:lvlJc w:val="left"/>
      <w:pPr>
        <w:ind w:left="1200" w:hanging="720"/>
      </w:pPr>
      <w:rPr>
        <w:rFonts w:hint="default"/>
      </w:r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2">
    <w:nsid w:val="5D1CF760"/>
    <w:multiLevelType w:val="singleLevel"/>
    <w:tmpl w:val="5D1CF760"/>
    <w:lvl w:ilvl="0" w:tentative="0">
      <w:start w:val="1"/>
      <w:numFmt w:val="bullet"/>
      <w:pStyle w:val="10"/>
      <w:lvlText w:val=""/>
      <w:lvlJc w:val="left"/>
      <w:pPr>
        <w:tabs>
          <w:tab w:val="left" w:pos="360"/>
        </w:tabs>
        <w:ind w:left="36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TrueTypeFonts/>
  <w:bordersDoNotSurroundHeader w:val="1"/>
  <w:bordersDoNotSurroundFooter w:val="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doNotHyphenateCaps/>
  <w:drawingGridHorizontalSpacing w:val="120"/>
  <w:drawingGridVerticalSpacing w:val="163"/>
  <w:displayHorizontalDrawingGridEvery w:val="0"/>
  <w:displayVerticalDrawingGridEvery w:val="2"/>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zYzhkZjgyNTI0MTVjNTdkMmY1MmE2OTQ2NTI0ZjEifQ=="/>
  </w:docVars>
  <w:rsids>
    <w:rsidRoot w:val="00A14947"/>
    <w:rsid w:val="000011FA"/>
    <w:rsid w:val="00003D37"/>
    <w:rsid w:val="000060B3"/>
    <w:rsid w:val="0000664C"/>
    <w:rsid w:val="0000690B"/>
    <w:rsid w:val="000120D4"/>
    <w:rsid w:val="00013CE5"/>
    <w:rsid w:val="000178C8"/>
    <w:rsid w:val="000210ED"/>
    <w:rsid w:val="00022E58"/>
    <w:rsid w:val="0002677A"/>
    <w:rsid w:val="000306BE"/>
    <w:rsid w:val="00033EF9"/>
    <w:rsid w:val="0003521B"/>
    <w:rsid w:val="0003768F"/>
    <w:rsid w:val="00042F16"/>
    <w:rsid w:val="0004364B"/>
    <w:rsid w:val="00043F8F"/>
    <w:rsid w:val="00044E59"/>
    <w:rsid w:val="00045BE0"/>
    <w:rsid w:val="00047AF2"/>
    <w:rsid w:val="000521F5"/>
    <w:rsid w:val="00055122"/>
    <w:rsid w:val="00056EBF"/>
    <w:rsid w:val="000605C9"/>
    <w:rsid w:val="00061B1F"/>
    <w:rsid w:val="0006218F"/>
    <w:rsid w:val="000628A2"/>
    <w:rsid w:val="00064B38"/>
    <w:rsid w:val="00065798"/>
    <w:rsid w:val="00066A89"/>
    <w:rsid w:val="00067BA5"/>
    <w:rsid w:val="00070CD8"/>
    <w:rsid w:val="00072D8A"/>
    <w:rsid w:val="000733C4"/>
    <w:rsid w:val="00073D81"/>
    <w:rsid w:val="00074530"/>
    <w:rsid w:val="00074783"/>
    <w:rsid w:val="000762D6"/>
    <w:rsid w:val="0008070B"/>
    <w:rsid w:val="000807EB"/>
    <w:rsid w:val="0008082F"/>
    <w:rsid w:val="00080F6A"/>
    <w:rsid w:val="000810AC"/>
    <w:rsid w:val="00081A02"/>
    <w:rsid w:val="00082231"/>
    <w:rsid w:val="00082C5E"/>
    <w:rsid w:val="00083A6D"/>
    <w:rsid w:val="0008532E"/>
    <w:rsid w:val="000860D7"/>
    <w:rsid w:val="00087680"/>
    <w:rsid w:val="00087F2A"/>
    <w:rsid w:val="00092D38"/>
    <w:rsid w:val="0009377B"/>
    <w:rsid w:val="00096546"/>
    <w:rsid w:val="000965FB"/>
    <w:rsid w:val="000A20C9"/>
    <w:rsid w:val="000A2718"/>
    <w:rsid w:val="000A47C6"/>
    <w:rsid w:val="000A65A3"/>
    <w:rsid w:val="000A69D6"/>
    <w:rsid w:val="000A7FF5"/>
    <w:rsid w:val="000B058F"/>
    <w:rsid w:val="000B0898"/>
    <w:rsid w:val="000B0FA7"/>
    <w:rsid w:val="000B4467"/>
    <w:rsid w:val="000B4A37"/>
    <w:rsid w:val="000B4A85"/>
    <w:rsid w:val="000B4DB9"/>
    <w:rsid w:val="000B518B"/>
    <w:rsid w:val="000B52F2"/>
    <w:rsid w:val="000B5955"/>
    <w:rsid w:val="000B6221"/>
    <w:rsid w:val="000C09AC"/>
    <w:rsid w:val="000C0E5B"/>
    <w:rsid w:val="000C16C5"/>
    <w:rsid w:val="000C4E57"/>
    <w:rsid w:val="000C767F"/>
    <w:rsid w:val="000D01CD"/>
    <w:rsid w:val="000D032F"/>
    <w:rsid w:val="000D2798"/>
    <w:rsid w:val="000D5A44"/>
    <w:rsid w:val="000D6353"/>
    <w:rsid w:val="000D7610"/>
    <w:rsid w:val="000D7CB1"/>
    <w:rsid w:val="000E1263"/>
    <w:rsid w:val="000E1F78"/>
    <w:rsid w:val="000E3ED2"/>
    <w:rsid w:val="000E40C7"/>
    <w:rsid w:val="000E42B9"/>
    <w:rsid w:val="000E68EE"/>
    <w:rsid w:val="000F0B21"/>
    <w:rsid w:val="000F2DBA"/>
    <w:rsid w:val="000F3A14"/>
    <w:rsid w:val="000F552E"/>
    <w:rsid w:val="001017C6"/>
    <w:rsid w:val="001051BC"/>
    <w:rsid w:val="00117B37"/>
    <w:rsid w:val="00117E9F"/>
    <w:rsid w:val="00120B97"/>
    <w:rsid w:val="00125454"/>
    <w:rsid w:val="00126F8E"/>
    <w:rsid w:val="00127205"/>
    <w:rsid w:val="001308C2"/>
    <w:rsid w:val="00130A71"/>
    <w:rsid w:val="00131F42"/>
    <w:rsid w:val="001331FF"/>
    <w:rsid w:val="001334DE"/>
    <w:rsid w:val="001357F1"/>
    <w:rsid w:val="0013626A"/>
    <w:rsid w:val="00140FA8"/>
    <w:rsid w:val="00142FEB"/>
    <w:rsid w:val="00143A2D"/>
    <w:rsid w:val="00145331"/>
    <w:rsid w:val="00145A41"/>
    <w:rsid w:val="001502C3"/>
    <w:rsid w:val="00150F6F"/>
    <w:rsid w:val="00151090"/>
    <w:rsid w:val="00151675"/>
    <w:rsid w:val="001537BB"/>
    <w:rsid w:val="00157435"/>
    <w:rsid w:val="00157E0D"/>
    <w:rsid w:val="0017301C"/>
    <w:rsid w:val="0017338A"/>
    <w:rsid w:val="00174CAD"/>
    <w:rsid w:val="00174EDE"/>
    <w:rsid w:val="0017504D"/>
    <w:rsid w:val="0017510B"/>
    <w:rsid w:val="0017671A"/>
    <w:rsid w:val="00177422"/>
    <w:rsid w:val="001801BB"/>
    <w:rsid w:val="00181FC9"/>
    <w:rsid w:val="00182302"/>
    <w:rsid w:val="00184590"/>
    <w:rsid w:val="00186D9C"/>
    <w:rsid w:val="001870D1"/>
    <w:rsid w:val="0018781E"/>
    <w:rsid w:val="0019262D"/>
    <w:rsid w:val="001949FD"/>
    <w:rsid w:val="001A1B35"/>
    <w:rsid w:val="001A237A"/>
    <w:rsid w:val="001A3053"/>
    <w:rsid w:val="001A30C1"/>
    <w:rsid w:val="001A48A2"/>
    <w:rsid w:val="001A6F61"/>
    <w:rsid w:val="001B0BFF"/>
    <w:rsid w:val="001B108A"/>
    <w:rsid w:val="001B72B8"/>
    <w:rsid w:val="001C69B3"/>
    <w:rsid w:val="001C6A0B"/>
    <w:rsid w:val="001C6DF2"/>
    <w:rsid w:val="001D0996"/>
    <w:rsid w:val="001D2533"/>
    <w:rsid w:val="001D47A3"/>
    <w:rsid w:val="001D5595"/>
    <w:rsid w:val="001D7661"/>
    <w:rsid w:val="001D7874"/>
    <w:rsid w:val="001D7D79"/>
    <w:rsid w:val="001D7F22"/>
    <w:rsid w:val="001E0579"/>
    <w:rsid w:val="001E1615"/>
    <w:rsid w:val="001E240B"/>
    <w:rsid w:val="001E3468"/>
    <w:rsid w:val="001E46CC"/>
    <w:rsid w:val="001E48AF"/>
    <w:rsid w:val="001E512B"/>
    <w:rsid w:val="001E67AD"/>
    <w:rsid w:val="001F0F17"/>
    <w:rsid w:val="001F225A"/>
    <w:rsid w:val="001F3347"/>
    <w:rsid w:val="001F3B8B"/>
    <w:rsid w:val="001F69E4"/>
    <w:rsid w:val="001F6F64"/>
    <w:rsid w:val="00200B9A"/>
    <w:rsid w:val="00203733"/>
    <w:rsid w:val="00203991"/>
    <w:rsid w:val="00205267"/>
    <w:rsid w:val="00205B0D"/>
    <w:rsid w:val="00205B6A"/>
    <w:rsid w:val="002063D2"/>
    <w:rsid w:val="00206FE2"/>
    <w:rsid w:val="002075A3"/>
    <w:rsid w:val="002109A6"/>
    <w:rsid w:val="00211E4F"/>
    <w:rsid w:val="002125B4"/>
    <w:rsid w:val="0021487B"/>
    <w:rsid w:val="0021517F"/>
    <w:rsid w:val="002155B8"/>
    <w:rsid w:val="00222CDE"/>
    <w:rsid w:val="00223E0D"/>
    <w:rsid w:val="00224839"/>
    <w:rsid w:val="002249B2"/>
    <w:rsid w:val="002249EF"/>
    <w:rsid w:val="002252DD"/>
    <w:rsid w:val="002253C3"/>
    <w:rsid w:val="002256CB"/>
    <w:rsid w:val="00226574"/>
    <w:rsid w:val="00226ECE"/>
    <w:rsid w:val="002278EC"/>
    <w:rsid w:val="0023128D"/>
    <w:rsid w:val="00231F66"/>
    <w:rsid w:val="0023280E"/>
    <w:rsid w:val="0023637C"/>
    <w:rsid w:val="002377D1"/>
    <w:rsid w:val="0024074C"/>
    <w:rsid w:val="002453D0"/>
    <w:rsid w:val="00247D90"/>
    <w:rsid w:val="002506BC"/>
    <w:rsid w:val="002511A1"/>
    <w:rsid w:val="00252CF2"/>
    <w:rsid w:val="00253B4A"/>
    <w:rsid w:val="00254345"/>
    <w:rsid w:val="00254B87"/>
    <w:rsid w:val="00254F68"/>
    <w:rsid w:val="0025710D"/>
    <w:rsid w:val="00261821"/>
    <w:rsid w:val="00262C60"/>
    <w:rsid w:val="00264557"/>
    <w:rsid w:val="00267181"/>
    <w:rsid w:val="0027024A"/>
    <w:rsid w:val="00271180"/>
    <w:rsid w:val="00273EA9"/>
    <w:rsid w:val="00276F7B"/>
    <w:rsid w:val="00277B1D"/>
    <w:rsid w:val="002805AB"/>
    <w:rsid w:val="00284204"/>
    <w:rsid w:val="00291773"/>
    <w:rsid w:val="0029536B"/>
    <w:rsid w:val="002958C0"/>
    <w:rsid w:val="002A0B3C"/>
    <w:rsid w:val="002A0DC5"/>
    <w:rsid w:val="002A168C"/>
    <w:rsid w:val="002A26D0"/>
    <w:rsid w:val="002A3CD8"/>
    <w:rsid w:val="002A3DC7"/>
    <w:rsid w:val="002A4F94"/>
    <w:rsid w:val="002A6315"/>
    <w:rsid w:val="002B02D7"/>
    <w:rsid w:val="002B35CA"/>
    <w:rsid w:val="002B368D"/>
    <w:rsid w:val="002B49E2"/>
    <w:rsid w:val="002B7B00"/>
    <w:rsid w:val="002B7C44"/>
    <w:rsid w:val="002C11D1"/>
    <w:rsid w:val="002C1B1D"/>
    <w:rsid w:val="002C2B17"/>
    <w:rsid w:val="002C4B7C"/>
    <w:rsid w:val="002C5A23"/>
    <w:rsid w:val="002C7F92"/>
    <w:rsid w:val="002D3DD0"/>
    <w:rsid w:val="002D6561"/>
    <w:rsid w:val="002D67D2"/>
    <w:rsid w:val="002E0152"/>
    <w:rsid w:val="002E1F3A"/>
    <w:rsid w:val="002E298A"/>
    <w:rsid w:val="002E2FE8"/>
    <w:rsid w:val="002F29E1"/>
    <w:rsid w:val="002F35DE"/>
    <w:rsid w:val="00301978"/>
    <w:rsid w:val="0030332C"/>
    <w:rsid w:val="003051C2"/>
    <w:rsid w:val="00307E4B"/>
    <w:rsid w:val="00310BDA"/>
    <w:rsid w:val="003110DA"/>
    <w:rsid w:val="00312296"/>
    <w:rsid w:val="00312AF3"/>
    <w:rsid w:val="00314F0E"/>
    <w:rsid w:val="00321D8E"/>
    <w:rsid w:val="00323965"/>
    <w:rsid w:val="00323E8C"/>
    <w:rsid w:val="00325928"/>
    <w:rsid w:val="00326B62"/>
    <w:rsid w:val="003321C6"/>
    <w:rsid w:val="00332863"/>
    <w:rsid w:val="0033684D"/>
    <w:rsid w:val="00337B42"/>
    <w:rsid w:val="00341B42"/>
    <w:rsid w:val="0034348F"/>
    <w:rsid w:val="00344964"/>
    <w:rsid w:val="0034792A"/>
    <w:rsid w:val="00347B3A"/>
    <w:rsid w:val="003501B9"/>
    <w:rsid w:val="00351850"/>
    <w:rsid w:val="00351F2E"/>
    <w:rsid w:val="00352BB4"/>
    <w:rsid w:val="00352FAC"/>
    <w:rsid w:val="00354BDF"/>
    <w:rsid w:val="00356653"/>
    <w:rsid w:val="00356EBC"/>
    <w:rsid w:val="0035743F"/>
    <w:rsid w:val="00357BE2"/>
    <w:rsid w:val="0036170C"/>
    <w:rsid w:val="003636F0"/>
    <w:rsid w:val="00363873"/>
    <w:rsid w:val="0036407B"/>
    <w:rsid w:val="00366E0F"/>
    <w:rsid w:val="00373092"/>
    <w:rsid w:val="00373B23"/>
    <w:rsid w:val="00373C56"/>
    <w:rsid w:val="00374286"/>
    <w:rsid w:val="00381A72"/>
    <w:rsid w:val="00384676"/>
    <w:rsid w:val="003856A0"/>
    <w:rsid w:val="00385AD8"/>
    <w:rsid w:val="00386047"/>
    <w:rsid w:val="003860DC"/>
    <w:rsid w:val="00387CD5"/>
    <w:rsid w:val="00390857"/>
    <w:rsid w:val="003953BD"/>
    <w:rsid w:val="00395B3D"/>
    <w:rsid w:val="00397193"/>
    <w:rsid w:val="003A13D2"/>
    <w:rsid w:val="003A15AB"/>
    <w:rsid w:val="003A240F"/>
    <w:rsid w:val="003A4BF3"/>
    <w:rsid w:val="003A6CDB"/>
    <w:rsid w:val="003B0659"/>
    <w:rsid w:val="003B0864"/>
    <w:rsid w:val="003B11DA"/>
    <w:rsid w:val="003B12BF"/>
    <w:rsid w:val="003B33F0"/>
    <w:rsid w:val="003B420D"/>
    <w:rsid w:val="003C0A6B"/>
    <w:rsid w:val="003C1698"/>
    <w:rsid w:val="003C2F4A"/>
    <w:rsid w:val="003C403A"/>
    <w:rsid w:val="003C6C16"/>
    <w:rsid w:val="003D17F4"/>
    <w:rsid w:val="003D7356"/>
    <w:rsid w:val="003D794D"/>
    <w:rsid w:val="003E18A1"/>
    <w:rsid w:val="003E2BFF"/>
    <w:rsid w:val="003E2E30"/>
    <w:rsid w:val="003E3058"/>
    <w:rsid w:val="003E48AF"/>
    <w:rsid w:val="003E5E5D"/>
    <w:rsid w:val="003E76A9"/>
    <w:rsid w:val="003F0728"/>
    <w:rsid w:val="003F0809"/>
    <w:rsid w:val="003F1912"/>
    <w:rsid w:val="003F4D99"/>
    <w:rsid w:val="003F6621"/>
    <w:rsid w:val="003F6A8C"/>
    <w:rsid w:val="003F755C"/>
    <w:rsid w:val="0040336E"/>
    <w:rsid w:val="0040399F"/>
    <w:rsid w:val="00403D1E"/>
    <w:rsid w:val="00405CF8"/>
    <w:rsid w:val="00406B32"/>
    <w:rsid w:val="00406F01"/>
    <w:rsid w:val="0041126B"/>
    <w:rsid w:val="0041310E"/>
    <w:rsid w:val="0041324D"/>
    <w:rsid w:val="004149A2"/>
    <w:rsid w:val="00415C6C"/>
    <w:rsid w:val="00416D50"/>
    <w:rsid w:val="00416FD5"/>
    <w:rsid w:val="00417772"/>
    <w:rsid w:val="00417C6C"/>
    <w:rsid w:val="00417F7C"/>
    <w:rsid w:val="00420E6A"/>
    <w:rsid w:val="004222D1"/>
    <w:rsid w:val="00423D46"/>
    <w:rsid w:val="004252E9"/>
    <w:rsid w:val="00425A9E"/>
    <w:rsid w:val="00426D6B"/>
    <w:rsid w:val="00430A84"/>
    <w:rsid w:val="00431E6C"/>
    <w:rsid w:val="004320AB"/>
    <w:rsid w:val="00433CE7"/>
    <w:rsid w:val="00433FB1"/>
    <w:rsid w:val="00434FD2"/>
    <w:rsid w:val="00435CCD"/>
    <w:rsid w:val="0043789D"/>
    <w:rsid w:val="00440364"/>
    <w:rsid w:val="00441234"/>
    <w:rsid w:val="00444B68"/>
    <w:rsid w:val="004451A0"/>
    <w:rsid w:val="004472FD"/>
    <w:rsid w:val="00451EE2"/>
    <w:rsid w:val="00452738"/>
    <w:rsid w:val="00454159"/>
    <w:rsid w:val="00456091"/>
    <w:rsid w:val="00457F35"/>
    <w:rsid w:val="00460A7F"/>
    <w:rsid w:val="00461686"/>
    <w:rsid w:val="00462DE9"/>
    <w:rsid w:val="0046348A"/>
    <w:rsid w:val="00466321"/>
    <w:rsid w:val="0046754C"/>
    <w:rsid w:val="00470240"/>
    <w:rsid w:val="0047389B"/>
    <w:rsid w:val="00473A2E"/>
    <w:rsid w:val="0047498B"/>
    <w:rsid w:val="00474E7E"/>
    <w:rsid w:val="0048239F"/>
    <w:rsid w:val="00482E71"/>
    <w:rsid w:val="00484B9B"/>
    <w:rsid w:val="004855F6"/>
    <w:rsid w:val="0048661E"/>
    <w:rsid w:val="00494670"/>
    <w:rsid w:val="00495F3B"/>
    <w:rsid w:val="004A0E2B"/>
    <w:rsid w:val="004A1286"/>
    <w:rsid w:val="004A1FF0"/>
    <w:rsid w:val="004A3823"/>
    <w:rsid w:val="004A4D89"/>
    <w:rsid w:val="004A7CEF"/>
    <w:rsid w:val="004B2417"/>
    <w:rsid w:val="004B602C"/>
    <w:rsid w:val="004B6BE4"/>
    <w:rsid w:val="004C28FA"/>
    <w:rsid w:val="004C53AA"/>
    <w:rsid w:val="004D4064"/>
    <w:rsid w:val="004D40A2"/>
    <w:rsid w:val="004D4951"/>
    <w:rsid w:val="004D62C3"/>
    <w:rsid w:val="004D6CD1"/>
    <w:rsid w:val="004E0F0A"/>
    <w:rsid w:val="004E5A27"/>
    <w:rsid w:val="004E6946"/>
    <w:rsid w:val="004F1AD8"/>
    <w:rsid w:val="004F2E31"/>
    <w:rsid w:val="004F4266"/>
    <w:rsid w:val="004F6058"/>
    <w:rsid w:val="004F657A"/>
    <w:rsid w:val="00503503"/>
    <w:rsid w:val="005039CB"/>
    <w:rsid w:val="0050558F"/>
    <w:rsid w:val="0050567D"/>
    <w:rsid w:val="00505F94"/>
    <w:rsid w:val="00506286"/>
    <w:rsid w:val="005107C3"/>
    <w:rsid w:val="00510813"/>
    <w:rsid w:val="00511990"/>
    <w:rsid w:val="00511DE0"/>
    <w:rsid w:val="00514870"/>
    <w:rsid w:val="0051497E"/>
    <w:rsid w:val="00514B9B"/>
    <w:rsid w:val="00517F02"/>
    <w:rsid w:val="00520959"/>
    <w:rsid w:val="00520F5F"/>
    <w:rsid w:val="005213BF"/>
    <w:rsid w:val="005219CD"/>
    <w:rsid w:val="005242D9"/>
    <w:rsid w:val="00524303"/>
    <w:rsid w:val="005258A2"/>
    <w:rsid w:val="005300B6"/>
    <w:rsid w:val="00532E8F"/>
    <w:rsid w:val="005362A7"/>
    <w:rsid w:val="00536365"/>
    <w:rsid w:val="005401AE"/>
    <w:rsid w:val="00541D3C"/>
    <w:rsid w:val="00542E07"/>
    <w:rsid w:val="00543EF9"/>
    <w:rsid w:val="00545424"/>
    <w:rsid w:val="00546D62"/>
    <w:rsid w:val="00546E35"/>
    <w:rsid w:val="0055097F"/>
    <w:rsid w:val="005528D1"/>
    <w:rsid w:val="005529CD"/>
    <w:rsid w:val="00552C5B"/>
    <w:rsid w:val="0055374F"/>
    <w:rsid w:val="00554A7B"/>
    <w:rsid w:val="0055572C"/>
    <w:rsid w:val="005563C2"/>
    <w:rsid w:val="0056106A"/>
    <w:rsid w:val="00562D83"/>
    <w:rsid w:val="00565D17"/>
    <w:rsid w:val="00565E0C"/>
    <w:rsid w:val="00566006"/>
    <w:rsid w:val="0056613A"/>
    <w:rsid w:val="005720AE"/>
    <w:rsid w:val="0057235F"/>
    <w:rsid w:val="005724F6"/>
    <w:rsid w:val="00574C29"/>
    <w:rsid w:val="005768A0"/>
    <w:rsid w:val="005813D8"/>
    <w:rsid w:val="00583E3E"/>
    <w:rsid w:val="00584DD8"/>
    <w:rsid w:val="00594D77"/>
    <w:rsid w:val="00594E4D"/>
    <w:rsid w:val="005969E4"/>
    <w:rsid w:val="00596EA5"/>
    <w:rsid w:val="00596F07"/>
    <w:rsid w:val="00597A89"/>
    <w:rsid w:val="005A06B7"/>
    <w:rsid w:val="005A1079"/>
    <w:rsid w:val="005A1759"/>
    <w:rsid w:val="005A21DF"/>
    <w:rsid w:val="005A40FA"/>
    <w:rsid w:val="005A58B3"/>
    <w:rsid w:val="005A64EF"/>
    <w:rsid w:val="005A66F8"/>
    <w:rsid w:val="005A68A7"/>
    <w:rsid w:val="005A72FC"/>
    <w:rsid w:val="005B0A2E"/>
    <w:rsid w:val="005B0ACD"/>
    <w:rsid w:val="005B1438"/>
    <w:rsid w:val="005B33E6"/>
    <w:rsid w:val="005B3470"/>
    <w:rsid w:val="005B5F38"/>
    <w:rsid w:val="005C0947"/>
    <w:rsid w:val="005C3428"/>
    <w:rsid w:val="005C4E93"/>
    <w:rsid w:val="005C78C3"/>
    <w:rsid w:val="005D010B"/>
    <w:rsid w:val="005D36AB"/>
    <w:rsid w:val="005D407A"/>
    <w:rsid w:val="005D5DDA"/>
    <w:rsid w:val="005D75B8"/>
    <w:rsid w:val="005E2BED"/>
    <w:rsid w:val="005E3128"/>
    <w:rsid w:val="005E4953"/>
    <w:rsid w:val="005E4A8B"/>
    <w:rsid w:val="005E6D1D"/>
    <w:rsid w:val="005F34E1"/>
    <w:rsid w:val="005F5088"/>
    <w:rsid w:val="005F5A5E"/>
    <w:rsid w:val="0060178A"/>
    <w:rsid w:val="00601D5D"/>
    <w:rsid w:val="006042B3"/>
    <w:rsid w:val="00606887"/>
    <w:rsid w:val="00607FA7"/>
    <w:rsid w:val="006108FF"/>
    <w:rsid w:val="0061117B"/>
    <w:rsid w:val="006119C5"/>
    <w:rsid w:val="00611F77"/>
    <w:rsid w:val="006158AF"/>
    <w:rsid w:val="00615E1F"/>
    <w:rsid w:val="0061647D"/>
    <w:rsid w:val="00617CC3"/>
    <w:rsid w:val="00617DAA"/>
    <w:rsid w:val="006218A7"/>
    <w:rsid w:val="00621FCC"/>
    <w:rsid w:val="00622700"/>
    <w:rsid w:val="00626CA3"/>
    <w:rsid w:val="0063420A"/>
    <w:rsid w:val="0063577F"/>
    <w:rsid w:val="00635E34"/>
    <w:rsid w:val="00636BA5"/>
    <w:rsid w:val="00637380"/>
    <w:rsid w:val="006374AE"/>
    <w:rsid w:val="006377A6"/>
    <w:rsid w:val="00637A3D"/>
    <w:rsid w:val="006411EF"/>
    <w:rsid w:val="00641631"/>
    <w:rsid w:val="00641A04"/>
    <w:rsid w:val="00641EDF"/>
    <w:rsid w:val="00642074"/>
    <w:rsid w:val="00642BC0"/>
    <w:rsid w:val="00645211"/>
    <w:rsid w:val="006469FB"/>
    <w:rsid w:val="00651B55"/>
    <w:rsid w:val="00657574"/>
    <w:rsid w:val="0066523E"/>
    <w:rsid w:val="00666E10"/>
    <w:rsid w:val="00672FDA"/>
    <w:rsid w:val="006748B8"/>
    <w:rsid w:val="00676F59"/>
    <w:rsid w:val="006775C3"/>
    <w:rsid w:val="00686A54"/>
    <w:rsid w:val="00691B26"/>
    <w:rsid w:val="0069290A"/>
    <w:rsid w:val="00695FFE"/>
    <w:rsid w:val="006967BC"/>
    <w:rsid w:val="0069775A"/>
    <w:rsid w:val="00697813"/>
    <w:rsid w:val="006A0793"/>
    <w:rsid w:val="006A3EE8"/>
    <w:rsid w:val="006A5DF0"/>
    <w:rsid w:val="006A72BF"/>
    <w:rsid w:val="006B03F2"/>
    <w:rsid w:val="006B0596"/>
    <w:rsid w:val="006B1425"/>
    <w:rsid w:val="006B15D5"/>
    <w:rsid w:val="006B2199"/>
    <w:rsid w:val="006B37DC"/>
    <w:rsid w:val="006B4F68"/>
    <w:rsid w:val="006B6BFB"/>
    <w:rsid w:val="006B6D6D"/>
    <w:rsid w:val="006C0592"/>
    <w:rsid w:val="006C2092"/>
    <w:rsid w:val="006C2125"/>
    <w:rsid w:val="006C272E"/>
    <w:rsid w:val="006C5479"/>
    <w:rsid w:val="006C6911"/>
    <w:rsid w:val="006D0082"/>
    <w:rsid w:val="006D05E9"/>
    <w:rsid w:val="006D12BA"/>
    <w:rsid w:val="006D13B5"/>
    <w:rsid w:val="006D1D7A"/>
    <w:rsid w:val="006D3EDB"/>
    <w:rsid w:val="006E12FF"/>
    <w:rsid w:val="006E171B"/>
    <w:rsid w:val="006E2455"/>
    <w:rsid w:val="006E2913"/>
    <w:rsid w:val="006E45C0"/>
    <w:rsid w:val="006E607E"/>
    <w:rsid w:val="006E796E"/>
    <w:rsid w:val="006E7CBE"/>
    <w:rsid w:val="006F16D5"/>
    <w:rsid w:val="006F25A9"/>
    <w:rsid w:val="006F3092"/>
    <w:rsid w:val="006F4D01"/>
    <w:rsid w:val="006F6BAF"/>
    <w:rsid w:val="006F73C6"/>
    <w:rsid w:val="00701146"/>
    <w:rsid w:val="00706C5D"/>
    <w:rsid w:val="0070761C"/>
    <w:rsid w:val="007077D9"/>
    <w:rsid w:val="00707EA4"/>
    <w:rsid w:val="00707EEB"/>
    <w:rsid w:val="00712FAB"/>
    <w:rsid w:val="007175F6"/>
    <w:rsid w:val="00717DA3"/>
    <w:rsid w:val="00727B7F"/>
    <w:rsid w:val="0073209E"/>
    <w:rsid w:val="007325B3"/>
    <w:rsid w:val="00732922"/>
    <w:rsid w:val="00732B2B"/>
    <w:rsid w:val="00734863"/>
    <w:rsid w:val="00735792"/>
    <w:rsid w:val="00735EBB"/>
    <w:rsid w:val="00737683"/>
    <w:rsid w:val="007378CF"/>
    <w:rsid w:val="00741F98"/>
    <w:rsid w:val="00747DFF"/>
    <w:rsid w:val="0075162E"/>
    <w:rsid w:val="00754034"/>
    <w:rsid w:val="00756556"/>
    <w:rsid w:val="0075674B"/>
    <w:rsid w:val="00761085"/>
    <w:rsid w:val="0076187C"/>
    <w:rsid w:val="007618C4"/>
    <w:rsid w:val="007646C5"/>
    <w:rsid w:val="007666AE"/>
    <w:rsid w:val="0076719B"/>
    <w:rsid w:val="00767233"/>
    <w:rsid w:val="00767980"/>
    <w:rsid w:val="00770AF8"/>
    <w:rsid w:val="00770B19"/>
    <w:rsid w:val="00772B6A"/>
    <w:rsid w:val="0077463F"/>
    <w:rsid w:val="00777C0A"/>
    <w:rsid w:val="007836EA"/>
    <w:rsid w:val="00783826"/>
    <w:rsid w:val="00784CDA"/>
    <w:rsid w:val="00785E08"/>
    <w:rsid w:val="00786BEB"/>
    <w:rsid w:val="00787402"/>
    <w:rsid w:val="007906C4"/>
    <w:rsid w:val="007927BB"/>
    <w:rsid w:val="007940EA"/>
    <w:rsid w:val="0079515C"/>
    <w:rsid w:val="007967E8"/>
    <w:rsid w:val="007A08F7"/>
    <w:rsid w:val="007A13E1"/>
    <w:rsid w:val="007A2170"/>
    <w:rsid w:val="007A22BF"/>
    <w:rsid w:val="007A25D8"/>
    <w:rsid w:val="007A3323"/>
    <w:rsid w:val="007A37BE"/>
    <w:rsid w:val="007A5D64"/>
    <w:rsid w:val="007B0311"/>
    <w:rsid w:val="007B1FD4"/>
    <w:rsid w:val="007B22F0"/>
    <w:rsid w:val="007B24CE"/>
    <w:rsid w:val="007B250B"/>
    <w:rsid w:val="007B4CC5"/>
    <w:rsid w:val="007B4F15"/>
    <w:rsid w:val="007B4F7D"/>
    <w:rsid w:val="007B622F"/>
    <w:rsid w:val="007B63FA"/>
    <w:rsid w:val="007B70F1"/>
    <w:rsid w:val="007B7297"/>
    <w:rsid w:val="007B72B8"/>
    <w:rsid w:val="007B7A58"/>
    <w:rsid w:val="007C03DD"/>
    <w:rsid w:val="007C071A"/>
    <w:rsid w:val="007C0D0D"/>
    <w:rsid w:val="007C1C8B"/>
    <w:rsid w:val="007C21B5"/>
    <w:rsid w:val="007C2ACE"/>
    <w:rsid w:val="007C5863"/>
    <w:rsid w:val="007C5C3B"/>
    <w:rsid w:val="007C6697"/>
    <w:rsid w:val="007D0A3F"/>
    <w:rsid w:val="007D2067"/>
    <w:rsid w:val="007D3D63"/>
    <w:rsid w:val="007D5167"/>
    <w:rsid w:val="007D66B0"/>
    <w:rsid w:val="007E1F0C"/>
    <w:rsid w:val="007E2D6A"/>
    <w:rsid w:val="007E4BD2"/>
    <w:rsid w:val="007E69EF"/>
    <w:rsid w:val="007F13AA"/>
    <w:rsid w:val="007F19ED"/>
    <w:rsid w:val="007F2748"/>
    <w:rsid w:val="007F54D6"/>
    <w:rsid w:val="007F7BA6"/>
    <w:rsid w:val="008003F3"/>
    <w:rsid w:val="0080055A"/>
    <w:rsid w:val="00800749"/>
    <w:rsid w:val="00801393"/>
    <w:rsid w:val="0080171A"/>
    <w:rsid w:val="00802ACD"/>
    <w:rsid w:val="00802F88"/>
    <w:rsid w:val="00805EB5"/>
    <w:rsid w:val="00810D56"/>
    <w:rsid w:val="00811539"/>
    <w:rsid w:val="008125ED"/>
    <w:rsid w:val="0081293E"/>
    <w:rsid w:val="00815465"/>
    <w:rsid w:val="00817315"/>
    <w:rsid w:val="00817E9A"/>
    <w:rsid w:val="008210E6"/>
    <w:rsid w:val="00826286"/>
    <w:rsid w:val="0082640C"/>
    <w:rsid w:val="008266F9"/>
    <w:rsid w:val="00827715"/>
    <w:rsid w:val="00830118"/>
    <w:rsid w:val="008306BD"/>
    <w:rsid w:val="00831A80"/>
    <w:rsid w:val="008328E4"/>
    <w:rsid w:val="00833743"/>
    <w:rsid w:val="008340A4"/>
    <w:rsid w:val="00834C1B"/>
    <w:rsid w:val="00834CA2"/>
    <w:rsid w:val="00836841"/>
    <w:rsid w:val="008379D5"/>
    <w:rsid w:val="008405C8"/>
    <w:rsid w:val="00842657"/>
    <w:rsid w:val="0084292C"/>
    <w:rsid w:val="00844B78"/>
    <w:rsid w:val="00845439"/>
    <w:rsid w:val="008519A0"/>
    <w:rsid w:val="008523E7"/>
    <w:rsid w:val="00856A27"/>
    <w:rsid w:val="00856BFC"/>
    <w:rsid w:val="008666EB"/>
    <w:rsid w:val="00870067"/>
    <w:rsid w:val="00870127"/>
    <w:rsid w:val="00870933"/>
    <w:rsid w:val="0087135F"/>
    <w:rsid w:val="0087172A"/>
    <w:rsid w:val="008724B6"/>
    <w:rsid w:val="00872D94"/>
    <w:rsid w:val="00874D99"/>
    <w:rsid w:val="00880364"/>
    <w:rsid w:val="00881647"/>
    <w:rsid w:val="0088447F"/>
    <w:rsid w:val="00885034"/>
    <w:rsid w:val="00886F57"/>
    <w:rsid w:val="00890D55"/>
    <w:rsid w:val="00891592"/>
    <w:rsid w:val="008916BC"/>
    <w:rsid w:val="00891E9E"/>
    <w:rsid w:val="008935AB"/>
    <w:rsid w:val="00894707"/>
    <w:rsid w:val="00897868"/>
    <w:rsid w:val="008A1AA2"/>
    <w:rsid w:val="008A2F68"/>
    <w:rsid w:val="008A3960"/>
    <w:rsid w:val="008B099C"/>
    <w:rsid w:val="008B0CA0"/>
    <w:rsid w:val="008B1EB3"/>
    <w:rsid w:val="008B2BDA"/>
    <w:rsid w:val="008B44BE"/>
    <w:rsid w:val="008B4FA6"/>
    <w:rsid w:val="008B5282"/>
    <w:rsid w:val="008B7C17"/>
    <w:rsid w:val="008C0187"/>
    <w:rsid w:val="008C0FA9"/>
    <w:rsid w:val="008C2D01"/>
    <w:rsid w:val="008C2F03"/>
    <w:rsid w:val="008C40E6"/>
    <w:rsid w:val="008C776A"/>
    <w:rsid w:val="008D0B8C"/>
    <w:rsid w:val="008D0F7A"/>
    <w:rsid w:val="008D48A1"/>
    <w:rsid w:val="008D4F0A"/>
    <w:rsid w:val="008D5EF1"/>
    <w:rsid w:val="008D68E4"/>
    <w:rsid w:val="008E0506"/>
    <w:rsid w:val="008E0CFF"/>
    <w:rsid w:val="008E1A4C"/>
    <w:rsid w:val="008E5D6B"/>
    <w:rsid w:val="008E6F41"/>
    <w:rsid w:val="008E76F0"/>
    <w:rsid w:val="008E7958"/>
    <w:rsid w:val="008E7D1D"/>
    <w:rsid w:val="008F055F"/>
    <w:rsid w:val="008F0577"/>
    <w:rsid w:val="008F15F5"/>
    <w:rsid w:val="008F15FE"/>
    <w:rsid w:val="008F2D29"/>
    <w:rsid w:val="008F4C80"/>
    <w:rsid w:val="008F5187"/>
    <w:rsid w:val="008F5E4D"/>
    <w:rsid w:val="008F60D8"/>
    <w:rsid w:val="008F6754"/>
    <w:rsid w:val="008F73A1"/>
    <w:rsid w:val="009025DB"/>
    <w:rsid w:val="00902727"/>
    <w:rsid w:val="009028A2"/>
    <w:rsid w:val="0090291C"/>
    <w:rsid w:val="0090312B"/>
    <w:rsid w:val="00904452"/>
    <w:rsid w:val="00904D04"/>
    <w:rsid w:val="009059EF"/>
    <w:rsid w:val="00905A35"/>
    <w:rsid w:val="00905AFD"/>
    <w:rsid w:val="00906732"/>
    <w:rsid w:val="00906AB2"/>
    <w:rsid w:val="00910112"/>
    <w:rsid w:val="00910446"/>
    <w:rsid w:val="0091046D"/>
    <w:rsid w:val="00911592"/>
    <w:rsid w:val="009123DF"/>
    <w:rsid w:val="00912B2D"/>
    <w:rsid w:val="0091736D"/>
    <w:rsid w:val="00917747"/>
    <w:rsid w:val="009273B6"/>
    <w:rsid w:val="009278AD"/>
    <w:rsid w:val="0093037A"/>
    <w:rsid w:val="00931EC1"/>
    <w:rsid w:val="009330CD"/>
    <w:rsid w:val="00936A06"/>
    <w:rsid w:val="00937F67"/>
    <w:rsid w:val="0094084B"/>
    <w:rsid w:val="0094154D"/>
    <w:rsid w:val="00941CC3"/>
    <w:rsid w:val="0095155F"/>
    <w:rsid w:val="0095262B"/>
    <w:rsid w:val="00952C77"/>
    <w:rsid w:val="00953892"/>
    <w:rsid w:val="00954429"/>
    <w:rsid w:val="009563CE"/>
    <w:rsid w:val="00956901"/>
    <w:rsid w:val="00967F7E"/>
    <w:rsid w:val="00970E34"/>
    <w:rsid w:val="00972B22"/>
    <w:rsid w:val="00975244"/>
    <w:rsid w:val="0097544C"/>
    <w:rsid w:val="009759EB"/>
    <w:rsid w:val="00975AE4"/>
    <w:rsid w:val="00976328"/>
    <w:rsid w:val="0097680D"/>
    <w:rsid w:val="00982438"/>
    <w:rsid w:val="0098404C"/>
    <w:rsid w:val="00985283"/>
    <w:rsid w:val="0098535F"/>
    <w:rsid w:val="00985A2A"/>
    <w:rsid w:val="00985B0E"/>
    <w:rsid w:val="0098643C"/>
    <w:rsid w:val="009874FE"/>
    <w:rsid w:val="00987949"/>
    <w:rsid w:val="00992D3A"/>
    <w:rsid w:val="0099540E"/>
    <w:rsid w:val="00995992"/>
    <w:rsid w:val="00996F64"/>
    <w:rsid w:val="009A03E5"/>
    <w:rsid w:val="009A090A"/>
    <w:rsid w:val="009A0F3B"/>
    <w:rsid w:val="009A1BB4"/>
    <w:rsid w:val="009A2628"/>
    <w:rsid w:val="009A2DCA"/>
    <w:rsid w:val="009A3200"/>
    <w:rsid w:val="009A4490"/>
    <w:rsid w:val="009A48A9"/>
    <w:rsid w:val="009A4A94"/>
    <w:rsid w:val="009A688E"/>
    <w:rsid w:val="009B0897"/>
    <w:rsid w:val="009B3576"/>
    <w:rsid w:val="009B498C"/>
    <w:rsid w:val="009B6714"/>
    <w:rsid w:val="009B7BD9"/>
    <w:rsid w:val="009C0D74"/>
    <w:rsid w:val="009C6312"/>
    <w:rsid w:val="009C7DD5"/>
    <w:rsid w:val="009D186A"/>
    <w:rsid w:val="009D2996"/>
    <w:rsid w:val="009D344E"/>
    <w:rsid w:val="009D70E0"/>
    <w:rsid w:val="009D7AC3"/>
    <w:rsid w:val="009E032E"/>
    <w:rsid w:val="009E227D"/>
    <w:rsid w:val="009E41EA"/>
    <w:rsid w:val="009E5019"/>
    <w:rsid w:val="009F19BE"/>
    <w:rsid w:val="009F7217"/>
    <w:rsid w:val="00A01ECF"/>
    <w:rsid w:val="00A03910"/>
    <w:rsid w:val="00A04ED3"/>
    <w:rsid w:val="00A04F1B"/>
    <w:rsid w:val="00A0501B"/>
    <w:rsid w:val="00A1108E"/>
    <w:rsid w:val="00A118BF"/>
    <w:rsid w:val="00A12AD6"/>
    <w:rsid w:val="00A1349C"/>
    <w:rsid w:val="00A14947"/>
    <w:rsid w:val="00A154EE"/>
    <w:rsid w:val="00A16198"/>
    <w:rsid w:val="00A17075"/>
    <w:rsid w:val="00A174EA"/>
    <w:rsid w:val="00A2144D"/>
    <w:rsid w:val="00A223B8"/>
    <w:rsid w:val="00A32A83"/>
    <w:rsid w:val="00A34554"/>
    <w:rsid w:val="00A35DD8"/>
    <w:rsid w:val="00A368DB"/>
    <w:rsid w:val="00A36ED0"/>
    <w:rsid w:val="00A423AA"/>
    <w:rsid w:val="00A43471"/>
    <w:rsid w:val="00A438DC"/>
    <w:rsid w:val="00A4453B"/>
    <w:rsid w:val="00A501E5"/>
    <w:rsid w:val="00A50A48"/>
    <w:rsid w:val="00A53EC6"/>
    <w:rsid w:val="00A55C0F"/>
    <w:rsid w:val="00A572BD"/>
    <w:rsid w:val="00A65796"/>
    <w:rsid w:val="00A75904"/>
    <w:rsid w:val="00A76E74"/>
    <w:rsid w:val="00A83152"/>
    <w:rsid w:val="00A83C66"/>
    <w:rsid w:val="00A85E5B"/>
    <w:rsid w:val="00A8713F"/>
    <w:rsid w:val="00A90BA1"/>
    <w:rsid w:val="00A91739"/>
    <w:rsid w:val="00A93EEA"/>
    <w:rsid w:val="00A9567E"/>
    <w:rsid w:val="00A95768"/>
    <w:rsid w:val="00A97A9A"/>
    <w:rsid w:val="00AA0671"/>
    <w:rsid w:val="00AA1851"/>
    <w:rsid w:val="00AA2531"/>
    <w:rsid w:val="00AA52F1"/>
    <w:rsid w:val="00AA73E7"/>
    <w:rsid w:val="00AB08AC"/>
    <w:rsid w:val="00AB1E09"/>
    <w:rsid w:val="00AB5330"/>
    <w:rsid w:val="00AB6A0C"/>
    <w:rsid w:val="00AB7747"/>
    <w:rsid w:val="00AB7A57"/>
    <w:rsid w:val="00AC105B"/>
    <w:rsid w:val="00AC14CE"/>
    <w:rsid w:val="00AC1A04"/>
    <w:rsid w:val="00AC248C"/>
    <w:rsid w:val="00AC2A56"/>
    <w:rsid w:val="00AC38B0"/>
    <w:rsid w:val="00AC5000"/>
    <w:rsid w:val="00AD055E"/>
    <w:rsid w:val="00AD1EC9"/>
    <w:rsid w:val="00AD3841"/>
    <w:rsid w:val="00AD4014"/>
    <w:rsid w:val="00AD47A7"/>
    <w:rsid w:val="00AD5BD6"/>
    <w:rsid w:val="00AE496E"/>
    <w:rsid w:val="00AE5994"/>
    <w:rsid w:val="00AE5B83"/>
    <w:rsid w:val="00AE5B95"/>
    <w:rsid w:val="00AE5D07"/>
    <w:rsid w:val="00AF0CBF"/>
    <w:rsid w:val="00AF257F"/>
    <w:rsid w:val="00AF33CF"/>
    <w:rsid w:val="00AF378D"/>
    <w:rsid w:val="00AF4D50"/>
    <w:rsid w:val="00AF6179"/>
    <w:rsid w:val="00AF7CF1"/>
    <w:rsid w:val="00AF7E01"/>
    <w:rsid w:val="00B01041"/>
    <w:rsid w:val="00B01BDE"/>
    <w:rsid w:val="00B071E7"/>
    <w:rsid w:val="00B1295A"/>
    <w:rsid w:val="00B1695F"/>
    <w:rsid w:val="00B1786B"/>
    <w:rsid w:val="00B17D35"/>
    <w:rsid w:val="00B20A45"/>
    <w:rsid w:val="00B2109B"/>
    <w:rsid w:val="00B222FC"/>
    <w:rsid w:val="00B22C5C"/>
    <w:rsid w:val="00B22EC3"/>
    <w:rsid w:val="00B23A07"/>
    <w:rsid w:val="00B24F30"/>
    <w:rsid w:val="00B2514D"/>
    <w:rsid w:val="00B25B63"/>
    <w:rsid w:val="00B31ABF"/>
    <w:rsid w:val="00B33BE3"/>
    <w:rsid w:val="00B350D0"/>
    <w:rsid w:val="00B376F4"/>
    <w:rsid w:val="00B40A74"/>
    <w:rsid w:val="00B41CA6"/>
    <w:rsid w:val="00B421F0"/>
    <w:rsid w:val="00B42E40"/>
    <w:rsid w:val="00B43FBF"/>
    <w:rsid w:val="00B519BA"/>
    <w:rsid w:val="00B537DF"/>
    <w:rsid w:val="00B53B5D"/>
    <w:rsid w:val="00B53EF2"/>
    <w:rsid w:val="00B54133"/>
    <w:rsid w:val="00B5445A"/>
    <w:rsid w:val="00B6055E"/>
    <w:rsid w:val="00B61A64"/>
    <w:rsid w:val="00B62163"/>
    <w:rsid w:val="00B6317D"/>
    <w:rsid w:val="00B6617E"/>
    <w:rsid w:val="00B66CD4"/>
    <w:rsid w:val="00B71E0A"/>
    <w:rsid w:val="00B74336"/>
    <w:rsid w:val="00B7723F"/>
    <w:rsid w:val="00B80534"/>
    <w:rsid w:val="00B82179"/>
    <w:rsid w:val="00B82815"/>
    <w:rsid w:val="00B8433C"/>
    <w:rsid w:val="00B846F4"/>
    <w:rsid w:val="00B86578"/>
    <w:rsid w:val="00B87491"/>
    <w:rsid w:val="00B90C6A"/>
    <w:rsid w:val="00B95A4D"/>
    <w:rsid w:val="00BA294A"/>
    <w:rsid w:val="00BA29E9"/>
    <w:rsid w:val="00BA7142"/>
    <w:rsid w:val="00BB237C"/>
    <w:rsid w:val="00BB41A3"/>
    <w:rsid w:val="00BB4675"/>
    <w:rsid w:val="00BB4B5E"/>
    <w:rsid w:val="00BB507D"/>
    <w:rsid w:val="00BB6C3A"/>
    <w:rsid w:val="00BC32DC"/>
    <w:rsid w:val="00BC35B6"/>
    <w:rsid w:val="00BC6B6E"/>
    <w:rsid w:val="00BC6E39"/>
    <w:rsid w:val="00BD1B51"/>
    <w:rsid w:val="00BD2EBB"/>
    <w:rsid w:val="00BD30B0"/>
    <w:rsid w:val="00BD4596"/>
    <w:rsid w:val="00BD62D3"/>
    <w:rsid w:val="00BD6578"/>
    <w:rsid w:val="00BD69F3"/>
    <w:rsid w:val="00BE04DF"/>
    <w:rsid w:val="00BE1405"/>
    <w:rsid w:val="00BE312D"/>
    <w:rsid w:val="00BE4690"/>
    <w:rsid w:val="00BE46F4"/>
    <w:rsid w:val="00BE4C00"/>
    <w:rsid w:val="00BE5328"/>
    <w:rsid w:val="00BE58C1"/>
    <w:rsid w:val="00BF19EA"/>
    <w:rsid w:val="00BF1C20"/>
    <w:rsid w:val="00BF2884"/>
    <w:rsid w:val="00BF2EDB"/>
    <w:rsid w:val="00BF3723"/>
    <w:rsid w:val="00BF3E5C"/>
    <w:rsid w:val="00BF4618"/>
    <w:rsid w:val="00C01929"/>
    <w:rsid w:val="00C01CFE"/>
    <w:rsid w:val="00C04CEF"/>
    <w:rsid w:val="00C06CE1"/>
    <w:rsid w:val="00C10509"/>
    <w:rsid w:val="00C10578"/>
    <w:rsid w:val="00C10787"/>
    <w:rsid w:val="00C10BFE"/>
    <w:rsid w:val="00C12275"/>
    <w:rsid w:val="00C135BC"/>
    <w:rsid w:val="00C14AC0"/>
    <w:rsid w:val="00C15C95"/>
    <w:rsid w:val="00C17192"/>
    <w:rsid w:val="00C20C90"/>
    <w:rsid w:val="00C20FCD"/>
    <w:rsid w:val="00C24459"/>
    <w:rsid w:val="00C2530F"/>
    <w:rsid w:val="00C2596A"/>
    <w:rsid w:val="00C259E3"/>
    <w:rsid w:val="00C25AAB"/>
    <w:rsid w:val="00C25BB5"/>
    <w:rsid w:val="00C26055"/>
    <w:rsid w:val="00C27537"/>
    <w:rsid w:val="00C30799"/>
    <w:rsid w:val="00C328FE"/>
    <w:rsid w:val="00C32E55"/>
    <w:rsid w:val="00C33507"/>
    <w:rsid w:val="00C40888"/>
    <w:rsid w:val="00C42624"/>
    <w:rsid w:val="00C43A21"/>
    <w:rsid w:val="00C43F06"/>
    <w:rsid w:val="00C4409D"/>
    <w:rsid w:val="00C44E72"/>
    <w:rsid w:val="00C45A06"/>
    <w:rsid w:val="00C45CAA"/>
    <w:rsid w:val="00C47E5B"/>
    <w:rsid w:val="00C533FB"/>
    <w:rsid w:val="00C53466"/>
    <w:rsid w:val="00C61E4B"/>
    <w:rsid w:val="00C64BFF"/>
    <w:rsid w:val="00C6507C"/>
    <w:rsid w:val="00C6590A"/>
    <w:rsid w:val="00C704E9"/>
    <w:rsid w:val="00C70A28"/>
    <w:rsid w:val="00C70F8D"/>
    <w:rsid w:val="00C70FF4"/>
    <w:rsid w:val="00C71BB7"/>
    <w:rsid w:val="00C72076"/>
    <w:rsid w:val="00C72793"/>
    <w:rsid w:val="00C744DC"/>
    <w:rsid w:val="00C763C9"/>
    <w:rsid w:val="00C80057"/>
    <w:rsid w:val="00C82232"/>
    <w:rsid w:val="00C82913"/>
    <w:rsid w:val="00C832DC"/>
    <w:rsid w:val="00C861C3"/>
    <w:rsid w:val="00C91F18"/>
    <w:rsid w:val="00C92AC1"/>
    <w:rsid w:val="00C97259"/>
    <w:rsid w:val="00C972B1"/>
    <w:rsid w:val="00C97CA4"/>
    <w:rsid w:val="00CA17F6"/>
    <w:rsid w:val="00CA29BD"/>
    <w:rsid w:val="00CA2CCE"/>
    <w:rsid w:val="00CA43FD"/>
    <w:rsid w:val="00CA4DD0"/>
    <w:rsid w:val="00CA7EF8"/>
    <w:rsid w:val="00CB03F3"/>
    <w:rsid w:val="00CB0D09"/>
    <w:rsid w:val="00CB0F14"/>
    <w:rsid w:val="00CB3598"/>
    <w:rsid w:val="00CB3F65"/>
    <w:rsid w:val="00CB5AEB"/>
    <w:rsid w:val="00CB5E2A"/>
    <w:rsid w:val="00CC0E23"/>
    <w:rsid w:val="00CC32FE"/>
    <w:rsid w:val="00CC489B"/>
    <w:rsid w:val="00CC4ADF"/>
    <w:rsid w:val="00CC7726"/>
    <w:rsid w:val="00CD0A10"/>
    <w:rsid w:val="00CD2255"/>
    <w:rsid w:val="00CD2BCD"/>
    <w:rsid w:val="00CD3A4C"/>
    <w:rsid w:val="00CD4307"/>
    <w:rsid w:val="00CD52F3"/>
    <w:rsid w:val="00CD57FD"/>
    <w:rsid w:val="00CD61CF"/>
    <w:rsid w:val="00CE08CF"/>
    <w:rsid w:val="00CE10E9"/>
    <w:rsid w:val="00CE27B0"/>
    <w:rsid w:val="00CE2910"/>
    <w:rsid w:val="00CE5393"/>
    <w:rsid w:val="00CF36BE"/>
    <w:rsid w:val="00CF6000"/>
    <w:rsid w:val="00CF66F8"/>
    <w:rsid w:val="00D003F3"/>
    <w:rsid w:val="00D0140E"/>
    <w:rsid w:val="00D0364F"/>
    <w:rsid w:val="00D05515"/>
    <w:rsid w:val="00D06834"/>
    <w:rsid w:val="00D07118"/>
    <w:rsid w:val="00D11D62"/>
    <w:rsid w:val="00D13D20"/>
    <w:rsid w:val="00D1440A"/>
    <w:rsid w:val="00D15542"/>
    <w:rsid w:val="00D163B6"/>
    <w:rsid w:val="00D16FE8"/>
    <w:rsid w:val="00D22330"/>
    <w:rsid w:val="00D23EA3"/>
    <w:rsid w:val="00D308ED"/>
    <w:rsid w:val="00D35271"/>
    <w:rsid w:val="00D3651F"/>
    <w:rsid w:val="00D36D86"/>
    <w:rsid w:val="00D40DBD"/>
    <w:rsid w:val="00D412F9"/>
    <w:rsid w:val="00D428AA"/>
    <w:rsid w:val="00D43E9C"/>
    <w:rsid w:val="00D45996"/>
    <w:rsid w:val="00D464C3"/>
    <w:rsid w:val="00D47C60"/>
    <w:rsid w:val="00D508B4"/>
    <w:rsid w:val="00D50A34"/>
    <w:rsid w:val="00D53AF0"/>
    <w:rsid w:val="00D53EFA"/>
    <w:rsid w:val="00D5619A"/>
    <w:rsid w:val="00D60AC1"/>
    <w:rsid w:val="00D6176B"/>
    <w:rsid w:val="00D61903"/>
    <w:rsid w:val="00D62798"/>
    <w:rsid w:val="00D62DA2"/>
    <w:rsid w:val="00D67562"/>
    <w:rsid w:val="00D703B6"/>
    <w:rsid w:val="00D7090E"/>
    <w:rsid w:val="00D73293"/>
    <w:rsid w:val="00D736F1"/>
    <w:rsid w:val="00D74C51"/>
    <w:rsid w:val="00D82A69"/>
    <w:rsid w:val="00D82BFC"/>
    <w:rsid w:val="00D83414"/>
    <w:rsid w:val="00D849AF"/>
    <w:rsid w:val="00D85472"/>
    <w:rsid w:val="00D8591E"/>
    <w:rsid w:val="00D878D3"/>
    <w:rsid w:val="00D87B6D"/>
    <w:rsid w:val="00D9092E"/>
    <w:rsid w:val="00D9151B"/>
    <w:rsid w:val="00D94A7C"/>
    <w:rsid w:val="00D956F8"/>
    <w:rsid w:val="00D95896"/>
    <w:rsid w:val="00D96431"/>
    <w:rsid w:val="00D96AF2"/>
    <w:rsid w:val="00D96BE4"/>
    <w:rsid w:val="00DA090D"/>
    <w:rsid w:val="00DA1AFE"/>
    <w:rsid w:val="00DA3373"/>
    <w:rsid w:val="00DA3862"/>
    <w:rsid w:val="00DA64FF"/>
    <w:rsid w:val="00DA6E81"/>
    <w:rsid w:val="00DA711F"/>
    <w:rsid w:val="00DB129F"/>
    <w:rsid w:val="00DB2983"/>
    <w:rsid w:val="00DB2FD0"/>
    <w:rsid w:val="00DB4498"/>
    <w:rsid w:val="00DC0D45"/>
    <w:rsid w:val="00DC10F0"/>
    <w:rsid w:val="00DC1257"/>
    <w:rsid w:val="00DC1970"/>
    <w:rsid w:val="00DC2025"/>
    <w:rsid w:val="00DC3DC0"/>
    <w:rsid w:val="00DC5B2B"/>
    <w:rsid w:val="00DC5DC1"/>
    <w:rsid w:val="00DC7D96"/>
    <w:rsid w:val="00DD318D"/>
    <w:rsid w:val="00DD39DC"/>
    <w:rsid w:val="00DD788E"/>
    <w:rsid w:val="00DE231A"/>
    <w:rsid w:val="00DE2977"/>
    <w:rsid w:val="00DE641E"/>
    <w:rsid w:val="00DE79A5"/>
    <w:rsid w:val="00DE7C02"/>
    <w:rsid w:val="00DE7D47"/>
    <w:rsid w:val="00DF2E12"/>
    <w:rsid w:val="00DF4EB5"/>
    <w:rsid w:val="00DF4F1C"/>
    <w:rsid w:val="00DF514A"/>
    <w:rsid w:val="00DF6690"/>
    <w:rsid w:val="00DF6804"/>
    <w:rsid w:val="00DF7358"/>
    <w:rsid w:val="00DF7867"/>
    <w:rsid w:val="00DF7BD2"/>
    <w:rsid w:val="00DF7F00"/>
    <w:rsid w:val="00E0037E"/>
    <w:rsid w:val="00E01D45"/>
    <w:rsid w:val="00E0358D"/>
    <w:rsid w:val="00E038B5"/>
    <w:rsid w:val="00E04323"/>
    <w:rsid w:val="00E070A2"/>
    <w:rsid w:val="00E11AE4"/>
    <w:rsid w:val="00E17737"/>
    <w:rsid w:val="00E17A9F"/>
    <w:rsid w:val="00E23C13"/>
    <w:rsid w:val="00E2656A"/>
    <w:rsid w:val="00E34185"/>
    <w:rsid w:val="00E360D2"/>
    <w:rsid w:val="00E412D0"/>
    <w:rsid w:val="00E472BE"/>
    <w:rsid w:val="00E51216"/>
    <w:rsid w:val="00E56322"/>
    <w:rsid w:val="00E60982"/>
    <w:rsid w:val="00E60D8C"/>
    <w:rsid w:val="00E62C62"/>
    <w:rsid w:val="00E63962"/>
    <w:rsid w:val="00E654C1"/>
    <w:rsid w:val="00E65D97"/>
    <w:rsid w:val="00E7178C"/>
    <w:rsid w:val="00E72A5A"/>
    <w:rsid w:val="00E73354"/>
    <w:rsid w:val="00E74A19"/>
    <w:rsid w:val="00E7593C"/>
    <w:rsid w:val="00E832DC"/>
    <w:rsid w:val="00E8385D"/>
    <w:rsid w:val="00E83BC6"/>
    <w:rsid w:val="00E84972"/>
    <w:rsid w:val="00E9242D"/>
    <w:rsid w:val="00E96FAA"/>
    <w:rsid w:val="00E97DBC"/>
    <w:rsid w:val="00EA0397"/>
    <w:rsid w:val="00EA1BB4"/>
    <w:rsid w:val="00EA467F"/>
    <w:rsid w:val="00EA6FFD"/>
    <w:rsid w:val="00EB26F6"/>
    <w:rsid w:val="00EB4DFB"/>
    <w:rsid w:val="00EB5255"/>
    <w:rsid w:val="00EB533B"/>
    <w:rsid w:val="00EB5C47"/>
    <w:rsid w:val="00EB5E0F"/>
    <w:rsid w:val="00EB60E3"/>
    <w:rsid w:val="00EB6C83"/>
    <w:rsid w:val="00EB796B"/>
    <w:rsid w:val="00EC20C9"/>
    <w:rsid w:val="00EC2898"/>
    <w:rsid w:val="00EC52A4"/>
    <w:rsid w:val="00EC5E51"/>
    <w:rsid w:val="00EC6086"/>
    <w:rsid w:val="00ED0639"/>
    <w:rsid w:val="00ED2C4C"/>
    <w:rsid w:val="00ED31A8"/>
    <w:rsid w:val="00ED3EEF"/>
    <w:rsid w:val="00ED41C6"/>
    <w:rsid w:val="00ED44A1"/>
    <w:rsid w:val="00ED4C50"/>
    <w:rsid w:val="00EE648D"/>
    <w:rsid w:val="00EE74EF"/>
    <w:rsid w:val="00EF03CE"/>
    <w:rsid w:val="00EF04E6"/>
    <w:rsid w:val="00EF0DE1"/>
    <w:rsid w:val="00EF1313"/>
    <w:rsid w:val="00EF2EF7"/>
    <w:rsid w:val="00EF3AB6"/>
    <w:rsid w:val="00EF453C"/>
    <w:rsid w:val="00EF4751"/>
    <w:rsid w:val="00EF4755"/>
    <w:rsid w:val="00EF5B97"/>
    <w:rsid w:val="00EF7135"/>
    <w:rsid w:val="00EF720D"/>
    <w:rsid w:val="00F007CF"/>
    <w:rsid w:val="00F027DB"/>
    <w:rsid w:val="00F05944"/>
    <w:rsid w:val="00F148E0"/>
    <w:rsid w:val="00F14A7A"/>
    <w:rsid w:val="00F15880"/>
    <w:rsid w:val="00F167ED"/>
    <w:rsid w:val="00F16825"/>
    <w:rsid w:val="00F17873"/>
    <w:rsid w:val="00F178AD"/>
    <w:rsid w:val="00F17AB6"/>
    <w:rsid w:val="00F21634"/>
    <w:rsid w:val="00F22985"/>
    <w:rsid w:val="00F264C6"/>
    <w:rsid w:val="00F3225E"/>
    <w:rsid w:val="00F3383E"/>
    <w:rsid w:val="00F36C02"/>
    <w:rsid w:val="00F37C94"/>
    <w:rsid w:val="00F465A7"/>
    <w:rsid w:val="00F478BC"/>
    <w:rsid w:val="00F47B53"/>
    <w:rsid w:val="00F47D2A"/>
    <w:rsid w:val="00F501A3"/>
    <w:rsid w:val="00F50B7C"/>
    <w:rsid w:val="00F50C09"/>
    <w:rsid w:val="00F51B52"/>
    <w:rsid w:val="00F53213"/>
    <w:rsid w:val="00F550E6"/>
    <w:rsid w:val="00F55D42"/>
    <w:rsid w:val="00F61D07"/>
    <w:rsid w:val="00F63769"/>
    <w:rsid w:val="00F63F34"/>
    <w:rsid w:val="00F6724A"/>
    <w:rsid w:val="00F67583"/>
    <w:rsid w:val="00F678EC"/>
    <w:rsid w:val="00F67ABE"/>
    <w:rsid w:val="00F70EAC"/>
    <w:rsid w:val="00F71752"/>
    <w:rsid w:val="00F726D1"/>
    <w:rsid w:val="00F72BBA"/>
    <w:rsid w:val="00F74345"/>
    <w:rsid w:val="00F80A0A"/>
    <w:rsid w:val="00F8117C"/>
    <w:rsid w:val="00F82B19"/>
    <w:rsid w:val="00F83602"/>
    <w:rsid w:val="00F85A88"/>
    <w:rsid w:val="00F85E07"/>
    <w:rsid w:val="00F9212D"/>
    <w:rsid w:val="00F9424D"/>
    <w:rsid w:val="00F95ED5"/>
    <w:rsid w:val="00F965DA"/>
    <w:rsid w:val="00F97E59"/>
    <w:rsid w:val="00FA3D13"/>
    <w:rsid w:val="00FA406A"/>
    <w:rsid w:val="00FB3853"/>
    <w:rsid w:val="00FB39CA"/>
    <w:rsid w:val="00FB503A"/>
    <w:rsid w:val="00FB516C"/>
    <w:rsid w:val="00FB5D76"/>
    <w:rsid w:val="00FB7050"/>
    <w:rsid w:val="00FB7666"/>
    <w:rsid w:val="00FC3E0A"/>
    <w:rsid w:val="00FD0236"/>
    <w:rsid w:val="00FD18F4"/>
    <w:rsid w:val="00FD20AA"/>
    <w:rsid w:val="00FD517B"/>
    <w:rsid w:val="00FD54DB"/>
    <w:rsid w:val="00FD619F"/>
    <w:rsid w:val="00FD69A4"/>
    <w:rsid w:val="00FD6F28"/>
    <w:rsid w:val="00FD7703"/>
    <w:rsid w:val="00FD7F6E"/>
    <w:rsid w:val="00FE0D5F"/>
    <w:rsid w:val="00FE1A2A"/>
    <w:rsid w:val="00FE2652"/>
    <w:rsid w:val="00FE3B24"/>
    <w:rsid w:val="00FE48CD"/>
    <w:rsid w:val="00FE492C"/>
    <w:rsid w:val="00FE6472"/>
    <w:rsid w:val="00FF27E3"/>
    <w:rsid w:val="00FF2896"/>
    <w:rsid w:val="00FF3FB9"/>
    <w:rsid w:val="00FF5E81"/>
    <w:rsid w:val="00FF7D2C"/>
    <w:rsid w:val="01290F7E"/>
    <w:rsid w:val="015D1E09"/>
    <w:rsid w:val="02697903"/>
    <w:rsid w:val="02F96569"/>
    <w:rsid w:val="03EA7B21"/>
    <w:rsid w:val="05C241AA"/>
    <w:rsid w:val="05F83EAE"/>
    <w:rsid w:val="063E7D85"/>
    <w:rsid w:val="07293586"/>
    <w:rsid w:val="07295285"/>
    <w:rsid w:val="07636392"/>
    <w:rsid w:val="07770C56"/>
    <w:rsid w:val="08B63E29"/>
    <w:rsid w:val="092217DD"/>
    <w:rsid w:val="093A7294"/>
    <w:rsid w:val="0A263993"/>
    <w:rsid w:val="0A2D3AC2"/>
    <w:rsid w:val="0AA755DF"/>
    <w:rsid w:val="0B120D44"/>
    <w:rsid w:val="0BD27BF6"/>
    <w:rsid w:val="0C3B3C7D"/>
    <w:rsid w:val="0CAB2EAE"/>
    <w:rsid w:val="0D621C7D"/>
    <w:rsid w:val="0E73034D"/>
    <w:rsid w:val="0F13775A"/>
    <w:rsid w:val="0F5F45FE"/>
    <w:rsid w:val="0F9A112B"/>
    <w:rsid w:val="106D2F64"/>
    <w:rsid w:val="10B63710"/>
    <w:rsid w:val="10F10820"/>
    <w:rsid w:val="111C2F7A"/>
    <w:rsid w:val="11665CA1"/>
    <w:rsid w:val="13951726"/>
    <w:rsid w:val="14396509"/>
    <w:rsid w:val="14DD2C3C"/>
    <w:rsid w:val="16087E1D"/>
    <w:rsid w:val="17701D14"/>
    <w:rsid w:val="17735226"/>
    <w:rsid w:val="189F624C"/>
    <w:rsid w:val="1A1C66C0"/>
    <w:rsid w:val="1A42393B"/>
    <w:rsid w:val="1AAD45DE"/>
    <w:rsid w:val="1B046F80"/>
    <w:rsid w:val="1B3267B5"/>
    <w:rsid w:val="1B40161D"/>
    <w:rsid w:val="1B441859"/>
    <w:rsid w:val="1B6606B1"/>
    <w:rsid w:val="1C5E7925"/>
    <w:rsid w:val="1CFD070F"/>
    <w:rsid w:val="1D5F6196"/>
    <w:rsid w:val="1D6132A5"/>
    <w:rsid w:val="1D8E56D5"/>
    <w:rsid w:val="1E7A43DA"/>
    <w:rsid w:val="1FE7539E"/>
    <w:rsid w:val="20671BE0"/>
    <w:rsid w:val="20963CB8"/>
    <w:rsid w:val="20A81A1B"/>
    <w:rsid w:val="20B07FB6"/>
    <w:rsid w:val="20B646FB"/>
    <w:rsid w:val="213B74B1"/>
    <w:rsid w:val="215A2310"/>
    <w:rsid w:val="21DE318A"/>
    <w:rsid w:val="21EF5B80"/>
    <w:rsid w:val="22576990"/>
    <w:rsid w:val="22F47480"/>
    <w:rsid w:val="23DE1C48"/>
    <w:rsid w:val="240210CD"/>
    <w:rsid w:val="24BF09F7"/>
    <w:rsid w:val="252D53FE"/>
    <w:rsid w:val="25EC2D81"/>
    <w:rsid w:val="277057A2"/>
    <w:rsid w:val="29206EB8"/>
    <w:rsid w:val="29595666"/>
    <w:rsid w:val="29874881"/>
    <w:rsid w:val="29955687"/>
    <w:rsid w:val="29E325E0"/>
    <w:rsid w:val="2A452503"/>
    <w:rsid w:val="2BA936A8"/>
    <w:rsid w:val="2C315A5A"/>
    <w:rsid w:val="2C4B1C25"/>
    <w:rsid w:val="2D9E56F5"/>
    <w:rsid w:val="2E647403"/>
    <w:rsid w:val="2E667F96"/>
    <w:rsid w:val="2E8226AB"/>
    <w:rsid w:val="2FD065E6"/>
    <w:rsid w:val="2FD96870"/>
    <w:rsid w:val="30580BC9"/>
    <w:rsid w:val="311E2ED7"/>
    <w:rsid w:val="315619EE"/>
    <w:rsid w:val="315C449C"/>
    <w:rsid w:val="31B82709"/>
    <w:rsid w:val="31D05482"/>
    <w:rsid w:val="32400B34"/>
    <w:rsid w:val="329E6876"/>
    <w:rsid w:val="333015F2"/>
    <w:rsid w:val="334B6320"/>
    <w:rsid w:val="33D934D4"/>
    <w:rsid w:val="33FE2F6A"/>
    <w:rsid w:val="340E07E5"/>
    <w:rsid w:val="34235BF7"/>
    <w:rsid w:val="358C5FA8"/>
    <w:rsid w:val="35C15DF1"/>
    <w:rsid w:val="36074A7F"/>
    <w:rsid w:val="362B5BB0"/>
    <w:rsid w:val="36923549"/>
    <w:rsid w:val="36B75FBF"/>
    <w:rsid w:val="36BD0C45"/>
    <w:rsid w:val="37E00298"/>
    <w:rsid w:val="38B302F9"/>
    <w:rsid w:val="38F12CD3"/>
    <w:rsid w:val="38F94775"/>
    <w:rsid w:val="392971ED"/>
    <w:rsid w:val="39325651"/>
    <w:rsid w:val="3A872856"/>
    <w:rsid w:val="3B3763D1"/>
    <w:rsid w:val="3C2F6E1E"/>
    <w:rsid w:val="3C4F64BA"/>
    <w:rsid w:val="3CDA245A"/>
    <w:rsid w:val="3D1E06B7"/>
    <w:rsid w:val="3EDA0523"/>
    <w:rsid w:val="407A6407"/>
    <w:rsid w:val="4200449D"/>
    <w:rsid w:val="423A3BCC"/>
    <w:rsid w:val="424E57D2"/>
    <w:rsid w:val="42B26C49"/>
    <w:rsid w:val="433A6FE6"/>
    <w:rsid w:val="43480868"/>
    <w:rsid w:val="4350713C"/>
    <w:rsid w:val="436653E0"/>
    <w:rsid w:val="43C4431A"/>
    <w:rsid w:val="442F5D61"/>
    <w:rsid w:val="44B951CC"/>
    <w:rsid w:val="44CD14E0"/>
    <w:rsid w:val="44F20B0B"/>
    <w:rsid w:val="452E5F4C"/>
    <w:rsid w:val="45612018"/>
    <w:rsid w:val="458946E9"/>
    <w:rsid w:val="45A47C0E"/>
    <w:rsid w:val="46577FD6"/>
    <w:rsid w:val="46D955A7"/>
    <w:rsid w:val="47133957"/>
    <w:rsid w:val="47A07E0C"/>
    <w:rsid w:val="4870272E"/>
    <w:rsid w:val="49DC7715"/>
    <w:rsid w:val="4A023139"/>
    <w:rsid w:val="4A7B576F"/>
    <w:rsid w:val="4AF561A9"/>
    <w:rsid w:val="4C4A0649"/>
    <w:rsid w:val="4C7E5ECA"/>
    <w:rsid w:val="4C876AA5"/>
    <w:rsid w:val="4D0E00FB"/>
    <w:rsid w:val="4D176606"/>
    <w:rsid w:val="4DEC4FB0"/>
    <w:rsid w:val="4E075D8A"/>
    <w:rsid w:val="4EC00FAD"/>
    <w:rsid w:val="4F9843DC"/>
    <w:rsid w:val="4FC62A8C"/>
    <w:rsid w:val="4FD9160D"/>
    <w:rsid w:val="4FE20F0D"/>
    <w:rsid w:val="4FE51552"/>
    <w:rsid w:val="50504C4B"/>
    <w:rsid w:val="509C6E7C"/>
    <w:rsid w:val="5162104E"/>
    <w:rsid w:val="53A039CC"/>
    <w:rsid w:val="53A1505A"/>
    <w:rsid w:val="54063E08"/>
    <w:rsid w:val="543437E8"/>
    <w:rsid w:val="54F73313"/>
    <w:rsid w:val="54F80955"/>
    <w:rsid w:val="555170A7"/>
    <w:rsid w:val="5587536D"/>
    <w:rsid w:val="559B174B"/>
    <w:rsid w:val="55CE0CF4"/>
    <w:rsid w:val="56B22A9C"/>
    <w:rsid w:val="57B72A76"/>
    <w:rsid w:val="57C3426C"/>
    <w:rsid w:val="57CE1F93"/>
    <w:rsid w:val="588743D1"/>
    <w:rsid w:val="5887701A"/>
    <w:rsid w:val="59C0439F"/>
    <w:rsid w:val="5ABE2233"/>
    <w:rsid w:val="5BDF5D95"/>
    <w:rsid w:val="5BFE7528"/>
    <w:rsid w:val="5E2467F1"/>
    <w:rsid w:val="5F1A2B43"/>
    <w:rsid w:val="5FB837BB"/>
    <w:rsid w:val="60CC405A"/>
    <w:rsid w:val="61E215D8"/>
    <w:rsid w:val="621B3775"/>
    <w:rsid w:val="62364782"/>
    <w:rsid w:val="6394356A"/>
    <w:rsid w:val="63C61B2C"/>
    <w:rsid w:val="63D40BE9"/>
    <w:rsid w:val="64102431"/>
    <w:rsid w:val="64A5243A"/>
    <w:rsid w:val="64F531DE"/>
    <w:rsid w:val="65373578"/>
    <w:rsid w:val="671F124A"/>
    <w:rsid w:val="677A33C6"/>
    <w:rsid w:val="681F6961"/>
    <w:rsid w:val="68610A2F"/>
    <w:rsid w:val="68805514"/>
    <w:rsid w:val="69316E2F"/>
    <w:rsid w:val="694E2071"/>
    <w:rsid w:val="69766163"/>
    <w:rsid w:val="697A3B33"/>
    <w:rsid w:val="69D44760"/>
    <w:rsid w:val="6A520EC7"/>
    <w:rsid w:val="6AF87E20"/>
    <w:rsid w:val="6B322639"/>
    <w:rsid w:val="6C636C38"/>
    <w:rsid w:val="6DB34098"/>
    <w:rsid w:val="6DB545B6"/>
    <w:rsid w:val="6DE02FB4"/>
    <w:rsid w:val="6E514CED"/>
    <w:rsid w:val="6EB563D5"/>
    <w:rsid w:val="6ED92677"/>
    <w:rsid w:val="6F225983"/>
    <w:rsid w:val="6FFC5590"/>
    <w:rsid w:val="706D1DD0"/>
    <w:rsid w:val="70856B87"/>
    <w:rsid w:val="70D527EE"/>
    <w:rsid w:val="715B5300"/>
    <w:rsid w:val="71D27F8A"/>
    <w:rsid w:val="72553024"/>
    <w:rsid w:val="73122968"/>
    <w:rsid w:val="731F5D5E"/>
    <w:rsid w:val="73C51AD5"/>
    <w:rsid w:val="741E793C"/>
    <w:rsid w:val="745E3944"/>
    <w:rsid w:val="7635099D"/>
    <w:rsid w:val="77762421"/>
    <w:rsid w:val="77B56B1F"/>
    <w:rsid w:val="780F09F4"/>
    <w:rsid w:val="78A90480"/>
    <w:rsid w:val="7A364017"/>
    <w:rsid w:val="7A8265E1"/>
    <w:rsid w:val="7B686D42"/>
    <w:rsid w:val="7B841746"/>
    <w:rsid w:val="7C6C5AC7"/>
    <w:rsid w:val="7CC6544B"/>
    <w:rsid w:val="7D0239FF"/>
    <w:rsid w:val="7D5E40CD"/>
    <w:rsid w:val="7DCD56F2"/>
    <w:rsid w:val="7F001CE7"/>
    <w:rsid w:val="7FE47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ocked="1"/>
    <w:lsdException w:qFormat="1" w:unhideWhenUsed="0" w:uiPriority="9"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qFormat="1" w:unhideWhenUsed="0" w:uiPriority="0" w:semiHidden="0" w:name="toc 4" w:locked="1"/>
    <w:lsdException w:qFormat="1" w:unhideWhenUsed="0" w:uiPriority="0" w:semiHidden="0" w:name="toc 5" w:locked="1"/>
    <w:lsdException w:qFormat="1" w:unhideWhenUsed="0" w:uiPriority="0" w:semiHidden="0" w:name="toc 6" w:locked="1"/>
    <w:lsdException w:qFormat="1" w:unhideWhenUsed="0" w:uiPriority="0" w:semiHidden="0" w:name="toc 7" w:locked="1"/>
    <w:lsdException w:qFormat="1" w:unhideWhenUsed="0" w:uiPriority="0" w:semiHidden="0" w:name="toc 8" w:locked="1"/>
    <w:lsdException w:qFormat="1"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qFormat="1" w:uiPriority="99"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qFormat="1"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qFormat="1" w:unhideWhenUsed="0" w:uiPriority="0" w:semiHidden="0" w:name="Body Text Indent 3" w:locked="1"/>
    <w:lsdException w:qFormat="1" w:unhideWhenUsed="0" w:uiPriority="0" w:semiHidden="0" w:name="Block Text" w:locked="1"/>
    <w:lsdException w:qFormat="1" w:uiPriority="99" w:semiHidden="0" w:name="Hyperlink" w:locked="1"/>
    <w:lsdException w:unhideWhenUsed="0" w:uiPriority="0" w:semiHidden="0" w:name="FollowedHyperlink" w:locked="1"/>
    <w:lsdException w:qFormat="1" w:unhideWhenUsed="0" w:uiPriority="0" w:semiHidden="0" w:name="Strong" w:locked="1"/>
    <w:lsdException w:unhideWhenUsed="0" w:uiPriority="0" w:semiHidden="0" w:name="Emphasis" w:locked="1"/>
    <w:lsdException w:qFormat="1"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99"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qFormat="1" w:uiPriority="99"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qFormat="1" w:uiPriority="0" w:semiHidden="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0" w:semiHidden="0" w:name="Table Grid"/>
    <w:lsdException w:uiPriority="0" w:name="Table Theme" w:locked="1"/>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locked/>
    <w:uiPriority w:val="9"/>
    <w:pPr>
      <w:keepNext/>
      <w:overflowPunct w:val="0"/>
      <w:snapToGrid w:val="0"/>
      <w:ind w:firstLine="0" w:firstLineChars="0"/>
      <w:jc w:val="left"/>
      <w:outlineLvl w:val="0"/>
    </w:pPr>
    <w:rPr>
      <w:b/>
      <w:bCs/>
      <w:color w:val="000000"/>
      <w:kern w:val="44"/>
      <w:sz w:val="30"/>
      <w:szCs w:val="30"/>
    </w:rPr>
  </w:style>
  <w:style w:type="paragraph" w:styleId="3">
    <w:name w:val="heading 2"/>
    <w:basedOn w:val="1"/>
    <w:next w:val="1"/>
    <w:link w:val="64"/>
    <w:qFormat/>
    <w:locked/>
    <w:uiPriority w:val="9"/>
    <w:pPr>
      <w:keepNext/>
      <w:keepLines/>
      <w:spacing w:line="240" w:lineRule="auto"/>
      <w:ind w:firstLine="0" w:firstLineChars="0"/>
      <w:jc w:val="left"/>
      <w:outlineLvl w:val="1"/>
    </w:pPr>
    <w:rPr>
      <w:b/>
      <w:bCs/>
      <w:szCs w:val="32"/>
    </w:rPr>
  </w:style>
  <w:style w:type="paragraph" w:styleId="4">
    <w:name w:val="heading 3"/>
    <w:basedOn w:val="1"/>
    <w:next w:val="1"/>
    <w:link w:val="99"/>
    <w:qFormat/>
    <w:locked/>
    <w:uiPriority w:val="9"/>
    <w:pPr>
      <w:keepNext/>
      <w:keepLines/>
      <w:spacing w:before="50" w:beforeLines="50" w:after="50" w:afterLines="50"/>
      <w:ind w:firstLine="0" w:firstLineChars="0"/>
      <w:outlineLvl w:val="2"/>
    </w:pPr>
    <w:rPr>
      <w:b/>
      <w:bCs/>
      <w:sz w:val="28"/>
      <w:szCs w:val="32"/>
    </w:rPr>
  </w:style>
  <w:style w:type="paragraph" w:styleId="5">
    <w:name w:val="heading 4"/>
    <w:basedOn w:val="1"/>
    <w:next w:val="1"/>
    <w:link w:val="71"/>
    <w:qFormat/>
    <w:locked/>
    <w:uiPriority w:val="0"/>
    <w:pPr>
      <w:keepNext/>
      <w:keepLines/>
      <w:spacing w:before="280" w:after="290" w:line="376" w:lineRule="auto"/>
      <w:outlineLvl w:val="3"/>
    </w:pPr>
    <w:rPr>
      <w:rFonts w:ascii="Calibri Light" w:hAnsi="Calibri Light"/>
      <w:b/>
      <w:bCs/>
      <w:sz w:val="28"/>
      <w:szCs w:val="28"/>
    </w:rPr>
  </w:style>
  <w:style w:type="character" w:default="1" w:styleId="42">
    <w:name w:val="Default Paragraph Font"/>
    <w:semiHidden/>
    <w:unhideWhenUsed/>
    <w:qFormat/>
    <w:uiPriority w:val="1"/>
  </w:style>
  <w:style w:type="table" w:default="1" w:styleId="39">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locked/>
    <w:uiPriority w:val="0"/>
    <w:pPr>
      <w:spacing w:line="500" w:lineRule="exact"/>
      <w:ind w:left="2520" w:leftChars="1200"/>
    </w:pPr>
  </w:style>
  <w:style w:type="paragraph" w:styleId="7">
    <w:name w:val="List Number 2"/>
    <w:basedOn w:val="1"/>
    <w:unhideWhenUsed/>
    <w:qFormat/>
    <w:locked/>
    <w:uiPriority w:val="0"/>
    <w:pPr>
      <w:numPr>
        <w:ilvl w:val="0"/>
        <w:numId w:val="1"/>
      </w:numPr>
      <w:spacing w:line="500" w:lineRule="exact"/>
      <w:contextualSpacing/>
    </w:pPr>
  </w:style>
  <w:style w:type="paragraph" w:styleId="8">
    <w:name w:val="Normal Indent"/>
    <w:basedOn w:val="1"/>
    <w:link w:val="74"/>
    <w:qFormat/>
    <w:locked/>
    <w:uiPriority w:val="0"/>
    <w:pPr>
      <w:spacing w:line="264" w:lineRule="auto"/>
      <w:ind w:firstLine="476"/>
    </w:pPr>
    <w:rPr>
      <w:rFonts w:ascii="Arial" w:hAnsi="Arial"/>
      <w:spacing w:val="10"/>
      <w:szCs w:val="20"/>
    </w:rPr>
  </w:style>
  <w:style w:type="paragraph" w:styleId="9">
    <w:name w:val="caption"/>
    <w:basedOn w:val="1"/>
    <w:next w:val="1"/>
    <w:qFormat/>
    <w:locked/>
    <w:uiPriority w:val="0"/>
    <w:pPr>
      <w:jc w:val="left"/>
    </w:pPr>
    <w:rPr>
      <w:b/>
      <w:szCs w:val="20"/>
    </w:rPr>
  </w:style>
  <w:style w:type="paragraph" w:styleId="10">
    <w:name w:val="List Bullet"/>
    <w:basedOn w:val="11"/>
    <w:unhideWhenUsed/>
    <w:qFormat/>
    <w:locked/>
    <w:uiPriority w:val="99"/>
    <w:pPr>
      <w:widowControl/>
      <w:numPr>
        <w:ilvl w:val="0"/>
        <w:numId w:val="2"/>
      </w:numPr>
      <w:adjustRightInd/>
      <w:spacing w:line="240" w:lineRule="auto"/>
      <w:jc w:val="center"/>
    </w:pPr>
    <w:rPr>
      <w:sz w:val="21"/>
      <w:szCs w:val="22"/>
    </w:rPr>
  </w:style>
  <w:style w:type="paragraph" w:customStyle="1" w:styleId="11">
    <w:name w:val="表格文字"/>
    <w:basedOn w:val="1"/>
    <w:link w:val="174"/>
    <w:qFormat/>
    <w:uiPriority w:val="0"/>
    <w:pPr>
      <w:adjustRightInd w:val="0"/>
    </w:pPr>
    <w:rPr>
      <w:szCs w:val="20"/>
    </w:rPr>
  </w:style>
  <w:style w:type="paragraph" w:styleId="12">
    <w:name w:val="Document Map"/>
    <w:basedOn w:val="1"/>
    <w:link w:val="100"/>
    <w:qFormat/>
    <w:locked/>
    <w:uiPriority w:val="0"/>
    <w:pPr>
      <w:shd w:val="clear" w:color="auto" w:fill="000080"/>
      <w:spacing w:line="500" w:lineRule="exact"/>
    </w:pPr>
  </w:style>
  <w:style w:type="paragraph" w:styleId="13">
    <w:name w:val="annotation text"/>
    <w:basedOn w:val="1"/>
    <w:link w:val="95"/>
    <w:qFormat/>
    <w:uiPriority w:val="99"/>
    <w:pPr>
      <w:jc w:val="left"/>
    </w:pPr>
    <w:rPr>
      <w:kern w:val="0"/>
      <w:szCs w:val="20"/>
    </w:rPr>
  </w:style>
  <w:style w:type="paragraph" w:styleId="14">
    <w:name w:val="Body Text"/>
    <w:basedOn w:val="1"/>
    <w:link w:val="94"/>
    <w:qFormat/>
    <w:uiPriority w:val="1"/>
    <w:pPr>
      <w:widowControl/>
      <w:snapToGrid w:val="0"/>
      <w:spacing w:before="60" w:after="160" w:line="259" w:lineRule="auto"/>
      <w:ind w:right="113"/>
    </w:pPr>
    <w:rPr>
      <w:kern w:val="0"/>
      <w:sz w:val="18"/>
      <w:szCs w:val="20"/>
    </w:rPr>
  </w:style>
  <w:style w:type="paragraph" w:styleId="15">
    <w:name w:val="Body Text Indent"/>
    <w:basedOn w:val="1"/>
    <w:link w:val="72"/>
    <w:qFormat/>
    <w:uiPriority w:val="0"/>
    <w:pPr>
      <w:spacing w:after="120"/>
      <w:ind w:left="420" w:leftChars="200"/>
    </w:pPr>
    <w:rPr>
      <w:kern w:val="0"/>
      <w:szCs w:val="20"/>
    </w:rPr>
  </w:style>
  <w:style w:type="paragraph" w:styleId="16">
    <w:name w:val="Block Text"/>
    <w:basedOn w:val="1"/>
    <w:qFormat/>
    <w:locked/>
    <w:uiPriority w:val="0"/>
    <w:pPr>
      <w:adjustRightInd w:val="0"/>
      <w:spacing w:before="120" w:line="440" w:lineRule="exact"/>
      <w:ind w:left="284" w:right="284" w:firstLine="567"/>
      <w:textAlignment w:val="baseline"/>
    </w:pPr>
    <w:rPr>
      <w:rFonts w:ascii="楷体_GB2312" w:eastAsia="楷体_GB2312"/>
      <w:spacing w:val="-2"/>
      <w:kern w:val="0"/>
      <w:sz w:val="28"/>
    </w:rPr>
  </w:style>
  <w:style w:type="paragraph" w:styleId="17">
    <w:name w:val="toc 5"/>
    <w:basedOn w:val="1"/>
    <w:next w:val="1"/>
    <w:qFormat/>
    <w:locked/>
    <w:uiPriority w:val="0"/>
    <w:pPr>
      <w:spacing w:line="500" w:lineRule="exact"/>
      <w:ind w:left="1680" w:leftChars="800"/>
    </w:pPr>
  </w:style>
  <w:style w:type="paragraph" w:styleId="18">
    <w:name w:val="toc 3"/>
    <w:basedOn w:val="1"/>
    <w:next w:val="1"/>
    <w:qFormat/>
    <w:locked/>
    <w:uiPriority w:val="39"/>
    <w:pPr>
      <w:spacing w:line="500" w:lineRule="exact"/>
      <w:ind w:left="840" w:leftChars="400"/>
    </w:pPr>
  </w:style>
  <w:style w:type="paragraph" w:styleId="19">
    <w:name w:val="Plain Text"/>
    <w:basedOn w:val="1"/>
    <w:link w:val="55"/>
    <w:qFormat/>
    <w:locked/>
    <w:uiPriority w:val="0"/>
    <w:pPr>
      <w:ind w:right="-143" w:rightChars="-68"/>
    </w:pPr>
    <w:rPr>
      <w:rFonts w:ascii="宋体" w:hAnsi="宋体"/>
      <w:color w:val="000000"/>
      <w:sz w:val="32"/>
      <w:szCs w:val="32"/>
    </w:rPr>
  </w:style>
  <w:style w:type="paragraph" w:styleId="20">
    <w:name w:val="toc 8"/>
    <w:basedOn w:val="1"/>
    <w:next w:val="1"/>
    <w:qFormat/>
    <w:locked/>
    <w:uiPriority w:val="0"/>
    <w:pPr>
      <w:spacing w:line="500" w:lineRule="exact"/>
      <w:ind w:left="2940" w:leftChars="1400"/>
    </w:pPr>
  </w:style>
  <w:style w:type="paragraph" w:styleId="21">
    <w:name w:val="Date"/>
    <w:basedOn w:val="1"/>
    <w:next w:val="1"/>
    <w:link w:val="85"/>
    <w:qFormat/>
    <w:uiPriority w:val="0"/>
    <w:pPr>
      <w:ind w:left="100" w:leftChars="2500"/>
    </w:pPr>
    <w:rPr>
      <w:kern w:val="0"/>
      <w:szCs w:val="20"/>
    </w:rPr>
  </w:style>
  <w:style w:type="paragraph" w:styleId="22">
    <w:name w:val="Body Text Indent 2"/>
    <w:basedOn w:val="1"/>
    <w:link w:val="70"/>
    <w:qFormat/>
    <w:locked/>
    <w:uiPriority w:val="0"/>
    <w:pPr>
      <w:tabs>
        <w:tab w:val="left" w:pos="624"/>
      </w:tabs>
      <w:spacing w:line="500" w:lineRule="exact"/>
      <w:ind w:firstLine="555"/>
    </w:pPr>
    <w:rPr>
      <w:b/>
      <w:bCs/>
      <w:sz w:val="28"/>
    </w:rPr>
  </w:style>
  <w:style w:type="paragraph" w:styleId="23">
    <w:name w:val="Balloon Text"/>
    <w:basedOn w:val="1"/>
    <w:link w:val="73"/>
    <w:semiHidden/>
    <w:qFormat/>
    <w:uiPriority w:val="0"/>
    <w:rPr>
      <w:kern w:val="0"/>
      <w:sz w:val="18"/>
      <w:szCs w:val="20"/>
    </w:rPr>
  </w:style>
  <w:style w:type="paragraph" w:styleId="24">
    <w:name w:val="footer"/>
    <w:basedOn w:val="1"/>
    <w:link w:val="54"/>
    <w:qFormat/>
    <w:uiPriority w:val="99"/>
    <w:pPr>
      <w:tabs>
        <w:tab w:val="center" w:pos="4153"/>
        <w:tab w:val="right" w:pos="8306"/>
      </w:tabs>
      <w:snapToGrid w:val="0"/>
      <w:jc w:val="left"/>
    </w:pPr>
    <w:rPr>
      <w:kern w:val="0"/>
      <w:sz w:val="18"/>
      <w:szCs w:val="20"/>
    </w:rPr>
  </w:style>
  <w:style w:type="paragraph" w:styleId="25">
    <w:name w:val="header"/>
    <w:basedOn w:val="1"/>
    <w:link w:val="97"/>
    <w:qFormat/>
    <w:uiPriority w:val="99"/>
    <w:pPr>
      <w:pBdr>
        <w:bottom w:val="single" w:color="auto" w:sz="6" w:space="1"/>
      </w:pBdr>
      <w:tabs>
        <w:tab w:val="center" w:pos="4153"/>
        <w:tab w:val="right" w:pos="8306"/>
      </w:tabs>
      <w:snapToGrid w:val="0"/>
      <w:jc w:val="center"/>
    </w:pPr>
    <w:rPr>
      <w:kern w:val="0"/>
      <w:sz w:val="18"/>
      <w:szCs w:val="20"/>
    </w:rPr>
  </w:style>
  <w:style w:type="paragraph" w:styleId="26">
    <w:name w:val="toc 1"/>
    <w:basedOn w:val="1"/>
    <w:next w:val="1"/>
    <w:qFormat/>
    <w:locked/>
    <w:uiPriority w:val="39"/>
    <w:pPr>
      <w:tabs>
        <w:tab w:val="right" w:leader="dot" w:pos="8647"/>
      </w:tabs>
      <w:spacing w:line="480" w:lineRule="auto"/>
      <w:ind w:firstLine="566" w:firstLineChars="235"/>
    </w:pPr>
  </w:style>
  <w:style w:type="paragraph" w:styleId="27">
    <w:name w:val="toc 4"/>
    <w:basedOn w:val="1"/>
    <w:next w:val="1"/>
    <w:qFormat/>
    <w:locked/>
    <w:uiPriority w:val="0"/>
    <w:pPr>
      <w:spacing w:line="500" w:lineRule="exact"/>
      <w:ind w:left="1260" w:leftChars="600"/>
    </w:pPr>
  </w:style>
  <w:style w:type="paragraph" w:styleId="28">
    <w:name w:val="Subtitle"/>
    <w:basedOn w:val="1"/>
    <w:next w:val="1"/>
    <w:link w:val="47"/>
    <w:qFormat/>
    <w:locked/>
    <w:uiPriority w:val="0"/>
    <w:pPr>
      <w:jc w:val="left"/>
    </w:pPr>
    <w:rPr>
      <w:b/>
      <w:bCs/>
      <w:kern w:val="28"/>
      <w:szCs w:val="32"/>
    </w:rPr>
  </w:style>
  <w:style w:type="paragraph" w:styleId="29">
    <w:name w:val="List"/>
    <w:basedOn w:val="1"/>
    <w:qFormat/>
    <w:locked/>
    <w:uiPriority w:val="0"/>
    <w:pPr>
      <w:widowControl/>
      <w:ind w:left="200" w:hanging="200" w:hangingChars="200"/>
      <w:jc w:val="left"/>
    </w:pPr>
    <w:rPr>
      <w:kern w:val="0"/>
    </w:rPr>
  </w:style>
  <w:style w:type="paragraph" w:styleId="30">
    <w:name w:val="toc 6"/>
    <w:basedOn w:val="1"/>
    <w:next w:val="1"/>
    <w:qFormat/>
    <w:locked/>
    <w:uiPriority w:val="0"/>
    <w:pPr>
      <w:spacing w:line="500" w:lineRule="exact"/>
      <w:ind w:left="2100" w:leftChars="1000"/>
    </w:pPr>
  </w:style>
  <w:style w:type="paragraph" w:styleId="31">
    <w:name w:val="Body Text Indent 3"/>
    <w:basedOn w:val="1"/>
    <w:link w:val="101"/>
    <w:qFormat/>
    <w:locked/>
    <w:uiPriority w:val="0"/>
    <w:pPr>
      <w:autoSpaceDE w:val="0"/>
      <w:autoSpaceDN w:val="0"/>
      <w:adjustRightInd w:val="0"/>
      <w:snapToGrid w:val="0"/>
      <w:spacing w:line="560" w:lineRule="exact"/>
      <w:ind w:firstLine="560"/>
    </w:pPr>
    <w:rPr>
      <w:sz w:val="28"/>
    </w:rPr>
  </w:style>
  <w:style w:type="paragraph" w:styleId="32">
    <w:name w:val="toc 2"/>
    <w:basedOn w:val="1"/>
    <w:next w:val="1"/>
    <w:qFormat/>
    <w:locked/>
    <w:uiPriority w:val="39"/>
    <w:pPr>
      <w:spacing w:line="500" w:lineRule="exact"/>
      <w:ind w:left="420" w:leftChars="200"/>
    </w:pPr>
  </w:style>
  <w:style w:type="paragraph" w:styleId="33">
    <w:name w:val="toc 9"/>
    <w:basedOn w:val="1"/>
    <w:next w:val="1"/>
    <w:qFormat/>
    <w:locked/>
    <w:uiPriority w:val="0"/>
    <w:pPr>
      <w:spacing w:line="500" w:lineRule="exact"/>
      <w:ind w:left="3360" w:leftChars="1600"/>
    </w:pPr>
  </w:style>
  <w:style w:type="paragraph" w:styleId="34">
    <w:name w:val="HTML Preformatted"/>
    <w:basedOn w:val="1"/>
    <w:link w:val="102"/>
    <w:unhideWhenUsed/>
    <w:qFormat/>
    <w:lock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00" w:lineRule="exact"/>
      <w:jc w:val="left"/>
    </w:pPr>
    <w:rPr>
      <w:rFonts w:ascii="宋体" w:hAnsi="宋体"/>
      <w:kern w:val="0"/>
      <w:lang w:val="zh-CN"/>
    </w:rPr>
  </w:style>
  <w:style w:type="paragraph" w:styleId="35">
    <w:name w:val="Normal (Web)"/>
    <w:basedOn w:val="1"/>
    <w:link w:val="91"/>
    <w:qFormat/>
    <w:uiPriority w:val="99"/>
    <w:pPr>
      <w:widowControl/>
      <w:spacing w:before="100" w:beforeAutospacing="1" w:after="100" w:afterAutospacing="1"/>
      <w:jc w:val="left"/>
    </w:pPr>
    <w:rPr>
      <w:rFonts w:ascii="宋体" w:hAnsi="宋体"/>
      <w:kern w:val="0"/>
      <w:szCs w:val="20"/>
    </w:rPr>
  </w:style>
  <w:style w:type="paragraph" w:styleId="36">
    <w:name w:val="annotation subject"/>
    <w:basedOn w:val="13"/>
    <w:next w:val="13"/>
    <w:link w:val="96"/>
    <w:semiHidden/>
    <w:qFormat/>
    <w:uiPriority w:val="0"/>
    <w:rPr>
      <w:b/>
      <w:kern w:val="2"/>
    </w:rPr>
  </w:style>
  <w:style w:type="paragraph" w:styleId="37">
    <w:name w:val="Body Text First Indent"/>
    <w:basedOn w:val="14"/>
    <w:link w:val="182"/>
    <w:qFormat/>
    <w:locked/>
    <w:uiPriority w:val="0"/>
    <w:pPr>
      <w:widowControl w:val="0"/>
      <w:snapToGrid/>
      <w:spacing w:before="0" w:after="120" w:line="360" w:lineRule="auto"/>
      <w:ind w:right="0" w:firstLine="420" w:firstLineChars="100"/>
    </w:pPr>
    <w:rPr>
      <w:kern w:val="2"/>
      <w:sz w:val="24"/>
      <w:szCs w:val="24"/>
    </w:rPr>
  </w:style>
  <w:style w:type="paragraph" w:styleId="38">
    <w:name w:val="Body Text First Indent 2"/>
    <w:basedOn w:val="15"/>
    <w:link w:val="158"/>
    <w:qFormat/>
    <w:locked/>
    <w:uiPriority w:val="0"/>
    <w:pPr>
      <w:ind w:firstLine="420"/>
    </w:pPr>
    <w:rPr>
      <w:kern w:val="2"/>
      <w:szCs w:val="24"/>
    </w:rPr>
  </w:style>
  <w:style w:type="table" w:styleId="40">
    <w:name w:val="Table Grid"/>
    <w:basedOn w:val="3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1">
    <w:name w:val="Table Professional"/>
    <w:basedOn w:val="39"/>
    <w:unhideWhenUsed/>
    <w:qFormat/>
    <w:locked/>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43">
    <w:name w:val="Strong"/>
    <w:qFormat/>
    <w:locked/>
    <w:uiPriority w:val="0"/>
    <w:rPr>
      <w:rFonts w:ascii="Times New Roman" w:hAnsi="Times New Roman" w:eastAsia="宋体"/>
      <w:bCs/>
      <w:sz w:val="21"/>
    </w:rPr>
  </w:style>
  <w:style w:type="character" w:styleId="44">
    <w:name w:val="page number"/>
    <w:basedOn w:val="42"/>
    <w:qFormat/>
    <w:locked/>
    <w:uiPriority w:val="0"/>
  </w:style>
  <w:style w:type="character" w:styleId="45">
    <w:name w:val="Hyperlink"/>
    <w:unhideWhenUsed/>
    <w:qFormat/>
    <w:locked/>
    <w:uiPriority w:val="99"/>
    <w:rPr>
      <w:color w:val="0563C1"/>
      <w:u w:val="single"/>
    </w:rPr>
  </w:style>
  <w:style w:type="character" w:styleId="46">
    <w:name w:val="annotation reference"/>
    <w:qFormat/>
    <w:uiPriority w:val="0"/>
    <w:rPr>
      <w:sz w:val="21"/>
    </w:rPr>
  </w:style>
  <w:style w:type="character" w:customStyle="1" w:styleId="47">
    <w:name w:val="副标题 字符"/>
    <w:link w:val="28"/>
    <w:qFormat/>
    <w:uiPriority w:val="0"/>
    <w:rPr>
      <w:b/>
      <w:bCs/>
      <w:kern w:val="28"/>
      <w:sz w:val="24"/>
      <w:szCs w:val="32"/>
    </w:rPr>
  </w:style>
  <w:style w:type="character" w:customStyle="1" w:styleId="48">
    <w:name w:val="表内容5 Char"/>
    <w:link w:val="49"/>
    <w:qFormat/>
    <w:uiPriority w:val="0"/>
    <w:rPr>
      <w:kern w:val="2"/>
      <w:sz w:val="21"/>
      <w:szCs w:val="21"/>
      <w:lang w:val="zh-CN"/>
    </w:rPr>
  </w:style>
  <w:style w:type="paragraph" w:customStyle="1" w:styleId="49">
    <w:name w:val="表内容5"/>
    <w:basedOn w:val="1"/>
    <w:next w:val="1"/>
    <w:link w:val="48"/>
    <w:qFormat/>
    <w:uiPriority w:val="0"/>
    <w:pPr>
      <w:spacing w:line="500" w:lineRule="exact"/>
      <w:jc w:val="center"/>
    </w:pPr>
    <w:rPr>
      <w:sz w:val="21"/>
      <w:szCs w:val="21"/>
      <w:lang w:val="zh-CN"/>
    </w:rPr>
  </w:style>
  <w:style w:type="character" w:customStyle="1" w:styleId="50">
    <w:name w:val="Char Char Char Char Char Char Char Char Char Char Char"/>
    <w:qFormat/>
    <w:uiPriority w:val="0"/>
    <w:rPr>
      <w:rFonts w:ascii="Tahoma" w:hAnsi="Tahoma" w:eastAsia="宋体"/>
      <w:kern w:val="2"/>
      <w:sz w:val="24"/>
      <w:lang w:val="en-US" w:eastAsia="zh-CN" w:bidi="ar-SA"/>
    </w:rPr>
  </w:style>
  <w:style w:type="character" w:customStyle="1" w:styleId="51">
    <w:name w:val="表头 Char"/>
    <w:link w:val="52"/>
    <w:qFormat/>
    <w:locked/>
    <w:uiPriority w:val="0"/>
    <w:rPr>
      <w:b/>
      <w:kern w:val="2"/>
      <w:sz w:val="24"/>
      <w:szCs w:val="24"/>
    </w:rPr>
  </w:style>
  <w:style w:type="paragraph" w:customStyle="1" w:styleId="52">
    <w:name w:val="表头"/>
    <w:basedOn w:val="1"/>
    <w:link w:val="51"/>
    <w:qFormat/>
    <w:uiPriority w:val="0"/>
    <w:pPr>
      <w:spacing w:line="500" w:lineRule="exact"/>
      <w:jc w:val="center"/>
    </w:pPr>
    <w:rPr>
      <w:b/>
    </w:rPr>
  </w:style>
  <w:style w:type="character" w:styleId="53">
    <w:name w:val="Placeholder Text"/>
    <w:semiHidden/>
    <w:qFormat/>
    <w:uiPriority w:val="99"/>
    <w:rPr>
      <w:color w:val="808080"/>
    </w:rPr>
  </w:style>
  <w:style w:type="character" w:customStyle="1" w:styleId="54">
    <w:name w:val="页脚 字符1"/>
    <w:link w:val="24"/>
    <w:qFormat/>
    <w:locked/>
    <w:uiPriority w:val="99"/>
    <w:rPr>
      <w:sz w:val="18"/>
    </w:rPr>
  </w:style>
  <w:style w:type="character" w:customStyle="1" w:styleId="55">
    <w:name w:val="纯文本 字符"/>
    <w:link w:val="19"/>
    <w:qFormat/>
    <w:uiPriority w:val="0"/>
    <w:rPr>
      <w:rFonts w:ascii="宋体" w:hAnsi="宋体"/>
      <w:color w:val="000000"/>
      <w:kern w:val="2"/>
      <w:sz w:val="32"/>
      <w:szCs w:val="32"/>
    </w:rPr>
  </w:style>
  <w:style w:type="character" w:customStyle="1" w:styleId="56">
    <w:name w:val="表格中的文字 Char"/>
    <w:link w:val="57"/>
    <w:qFormat/>
    <w:uiPriority w:val="0"/>
    <w:rPr>
      <w:rFonts w:ascii="宋体" w:hAnsi="宋体"/>
      <w:sz w:val="21"/>
      <w:lang w:val="zh-CN"/>
    </w:rPr>
  </w:style>
  <w:style w:type="paragraph" w:customStyle="1" w:styleId="57">
    <w:name w:val="表格中的文字"/>
    <w:basedOn w:val="1"/>
    <w:link w:val="56"/>
    <w:qFormat/>
    <w:uiPriority w:val="0"/>
    <w:pPr>
      <w:spacing w:line="500" w:lineRule="exact"/>
      <w:jc w:val="center"/>
    </w:pPr>
    <w:rPr>
      <w:rFonts w:ascii="宋体" w:hAnsi="宋体"/>
      <w:kern w:val="0"/>
      <w:sz w:val="21"/>
      <w:szCs w:val="20"/>
      <w:lang w:val="zh-CN"/>
    </w:rPr>
  </w:style>
  <w:style w:type="character" w:customStyle="1" w:styleId="58">
    <w:name w:val="正文文本 字符1"/>
    <w:semiHidden/>
    <w:qFormat/>
    <w:uiPriority w:val="0"/>
    <w:rPr>
      <w:rFonts w:ascii="Times New Roman" w:hAnsi="Times New Roman" w:eastAsia="宋体"/>
      <w:sz w:val="24"/>
    </w:rPr>
  </w:style>
  <w:style w:type="character" w:customStyle="1" w:styleId="59">
    <w:name w:val="样式 小四 行距: 1.5 倍行距 首行缩进:  2 字符 Char"/>
    <w:link w:val="60"/>
    <w:qFormat/>
    <w:locked/>
    <w:uiPriority w:val="0"/>
    <w:rPr>
      <w:rFonts w:ascii="宋体" w:hAnsi="宋体" w:cs="宋体"/>
      <w:vertAlign w:val="subscript"/>
    </w:rPr>
  </w:style>
  <w:style w:type="paragraph" w:customStyle="1" w:styleId="60">
    <w:name w:val="样式 小四 行距: 1.5 倍行距 首行缩进:  2 字符"/>
    <w:basedOn w:val="1"/>
    <w:link w:val="59"/>
    <w:qFormat/>
    <w:uiPriority w:val="0"/>
    <w:pPr>
      <w:ind w:firstLine="480"/>
    </w:pPr>
    <w:rPr>
      <w:rFonts w:ascii="宋体" w:hAnsi="宋体"/>
      <w:kern w:val="0"/>
      <w:sz w:val="20"/>
      <w:szCs w:val="20"/>
      <w:vertAlign w:val="subscript"/>
    </w:rPr>
  </w:style>
  <w:style w:type="character" w:customStyle="1" w:styleId="61">
    <w:name w:val="日期 字符"/>
    <w:semiHidden/>
    <w:qFormat/>
    <w:uiPriority w:val="0"/>
    <w:rPr>
      <w:rFonts w:ascii="Times New Roman" w:hAnsi="Times New Roman" w:eastAsia="宋体"/>
      <w:sz w:val="24"/>
    </w:rPr>
  </w:style>
  <w:style w:type="character" w:customStyle="1" w:styleId="62">
    <w:name w:val="文中表格 Char"/>
    <w:link w:val="63"/>
    <w:qFormat/>
    <w:uiPriority w:val="0"/>
    <w:rPr>
      <w:rFonts w:cs="宋体"/>
      <w:kern w:val="2"/>
      <w:sz w:val="21"/>
      <w:szCs w:val="24"/>
      <w:lang w:bidi="en-US"/>
    </w:rPr>
  </w:style>
  <w:style w:type="paragraph" w:customStyle="1" w:styleId="63">
    <w:name w:val="文中表格"/>
    <w:basedOn w:val="1"/>
    <w:next w:val="1"/>
    <w:link w:val="62"/>
    <w:qFormat/>
    <w:uiPriority w:val="0"/>
    <w:pPr>
      <w:jc w:val="center"/>
    </w:pPr>
    <w:rPr>
      <w:rFonts w:cs="宋体"/>
      <w:sz w:val="21"/>
      <w:lang w:bidi="en-US"/>
    </w:rPr>
  </w:style>
  <w:style w:type="character" w:customStyle="1" w:styleId="64">
    <w:name w:val="标题 2 字符"/>
    <w:link w:val="3"/>
    <w:qFormat/>
    <w:uiPriority w:val="9"/>
    <w:rPr>
      <w:b/>
      <w:bCs/>
      <w:kern w:val="2"/>
      <w:sz w:val="24"/>
      <w:szCs w:val="32"/>
    </w:rPr>
  </w:style>
  <w:style w:type="character" w:customStyle="1" w:styleId="65">
    <w:name w:val="表格 Char"/>
    <w:link w:val="66"/>
    <w:qFormat/>
    <w:locked/>
    <w:uiPriority w:val="0"/>
    <w:rPr>
      <w:rFonts w:ascii="宋体"/>
      <w:sz w:val="21"/>
    </w:rPr>
  </w:style>
  <w:style w:type="paragraph" w:customStyle="1" w:styleId="66">
    <w:name w:val="表格"/>
    <w:basedOn w:val="1"/>
    <w:next w:val="1"/>
    <w:link w:val="65"/>
    <w:qFormat/>
    <w:uiPriority w:val="5"/>
    <w:pPr>
      <w:adjustRightInd w:val="0"/>
      <w:snapToGrid w:val="0"/>
      <w:spacing w:beforeLines="10" w:afterLines="10" w:line="259" w:lineRule="auto"/>
      <w:jc w:val="center"/>
    </w:pPr>
    <w:rPr>
      <w:rFonts w:ascii="宋体"/>
      <w:kern w:val="0"/>
      <w:sz w:val="21"/>
      <w:szCs w:val="20"/>
    </w:rPr>
  </w:style>
  <w:style w:type="character" w:customStyle="1" w:styleId="67">
    <w:name w:val="普通(网站) Char"/>
    <w:qFormat/>
    <w:uiPriority w:val="0"/>
    <w:rPr>
      <w:rFonts w:ascii="Arial Unicode MS" w:hAnsi="Arial Unicode MS" w:eastAsia="Arial Unicode MS" w:cs="Arial Unicode MS"/>
      <w:sz w:val="24"/>
      <w:szCs w:val="24"/>
    </w:rPr>
  </w:style>
  <w:style w:type="character" w:customStyle="1" w:styleId="68">
    <w:name w:val="正文1122 Char Char"/>
    <w:link w:val="69"/>
    <w:qFormat/>
    <w:uiPriority w:val="0"/>
    <w:rPr>
      <w:rFonts w:ascii="宋体" w:hAnsi="宋体"/>
      <w:kern w:val="2"/>
      <w:sz w:val="24"/>
      <w:lang w:bidi="ar-SA"/>
    </w:rPr>
  </w:style>
  <w:style w:type="paragraph" w:customStyle="1" w:styleId="69">
    <w:name w:val="正文1122"/>
    <w:link w:val="68"/>
    <w:qFormat/>
    <w:uiPriority w:val="0"/>
    <w:pPr>
      <w:spacing w:line="360" w:lineRule="auto"/>
      <w:ind w:left="-4" w:leftChars="-2" w:firstLine="480" w:firstLineChars="200"/>
      <w:jc w:val="both"/>
    </w:pPr>
    <w:rPr>
      <w:rFonts w:ascii="宋体" w:hAnsi="宋体" w:eastAsia="宋体" w:cs="Times New Roman"/>
      <w:kern w:val="2"/>
      <w:sz w:val="24"/>
      <w:lang w:val="en-US" w:eastAsia="zh-CN" w:bidi="ar-SA"/>
    </w:rPr>
  </w:style>
  <w:style w:type="character" w:customStyle="1" w:styleId="70">
    <w:name w:val="正文文本缩进 2 字符"/>
    <w:link w:val="22"/>
    <w:qFormat/>
    <w:uiPriority w:val="0"/>
    <w:rPr>
      <w:b/>
      <w:bCs/>
      <w:kern w:val="2"/>
      <w:sz w:val="28"/>
      <w:szCs w:val="24"/>
    </w:rPr>
  </w:style>
  <w:style w:type="character" w:customStyle="1" w:styleId="71">
    <w:name w:val="标题 4 字符"/>
    <w:link w:val="5"/>
    <w:semiHidden/>
    <w:qFormat/>
    <w:uiPriority w:val="0"/>
    <w:rPr>
      <w:rFonts w:ascii="Calibri Light" w:hAnsi="Calibri Light"/>
      <w:b/>
      <w:bCs/>
      <w:kern w:val="2"/>
      <w:sz w:val="28"/>
      <w:szCs w:val="28"/>
    </w:rPr>
  </w:style>
  <w:style w:type="character" w:customStyle="1" w:styleId="72">
    <w:name w:val="正文文本缩进 字符"/>
    <w:link w:val="15"/>
    <w:semiHidden/>
    <w:qFormat/>
    <w:locked/>
    <w:uiPriority w:val="0"/>
    <w:rPr>
      <w:rFonts w:ascii="Times New Roman" w:hAnsi="Times New Roman" w:eastAsia="宋体"/>
      <w:sz w:val="24"/>
    </w:rPr>
  </w:style>
  <w:style w:type="character" w:customStyle="1" w:styleId="73">
    <w:name w:val="批注框文本 字符"/>
    <w:link w:val="23"/>
    <w:semiHidden/>
    <w:qFormat/>
    <w:locked/>
    <w:uiPriority w:val="0"/>
    <w:rPr>
      <w:rFonts w:ascii="Times New Roman" w:hAnsi="Times New Roman" w:eastAsia="宋体"/>
      <w:sz w:val="18"/>
    </w:rPr>
  </w:style>
  <w:style w:type="character" w:customStyle="1" w:styleId="74">
    <w:name w:val="正文缩进 字符"/>
    <w:link w:val="8"/>
    <w:qFormat/>
    <w:uiPriority w:val="0"/>
    <w:rPr>
      <w:rFonts w:ascii="Arial" w:hAnsi="Arial"/>
      <w:spacing w:val="10"/>
      <w:kern w:val="2"/>
      <w:sz w:val="24"/>
    </w:rPr>
  </w:style>
  <w:style w:type="character" w:customStyle="1" w:styleId="75">
    <w:name w:val="表头内容 字符"/>
    <w:link w:val="76"/>
    <w:qFormat/>
    <w:uiPriority w:val="0"/>
    <w:rPr>
      <w:bCs/>
      <w:kern w:val="2"/>
      <w:sz w:val="21"/>
      <w:szCs w:val="24"/>
    </w:rPr>
  </w:style>
  <w:style w:type="paragraph" w:customStyle="1" w:styleId="76">
    <w:name w:val="表头内容"/>
    <w:basedOn w:val="1"/>
    <w:link w:val="75"/>
    <w:qFormat/>
    <w:uiPriority w:val="0"/>
    <w:pPr>
      <w:adjustRightInd w:val="0"/>
      <w:snapToGrid w:val="0"/>
      <w:spacing w:line="240" w:lineRule="auto"/>
      <w:ind w:firstLine="0" w:firstLineChars="0"/>
      <w:jc w:val="center"/>
    </w:pPr>
    <w:rPr>
      <w:bCs/>
      <w:sz w:val="21"/>
    </w:rPr>
  </w:style>
  <w:style w:type="character" w:customStyle="1" w:styleId="77">
    <w:name w:val="样式 小四 黑色"/>
    <w:qFormat/>
    <w:uiPriority w:val="0"/>
    <w:rPr>
      <w:color w:val="000000"/>
      <w:sz w:val="21"/>
      <w:u w:val="none"/>
      <w:vertAlign w:val="superscript"/>
    </w:rPr>
  </w:style>
  <w:style w:type="character" w:customStyle="1" w:styleId="78">
    <w:name w:val="表格内容 Char"/>
    <w:link w:val="79"/>
    <w:qFormat/>
    <w:uiPriority w:val="0"/>
    <w:rPr>
      <w:kern w:val="2"/>
      <w:sz w:val="21"/>
      <w:lang w:val="zh-CN"/>
    </w:rPr>
  </w:style>
  <w:style w:type="paragraph" w:customStyle="1" w:styleId="79">
    <w:name w:val="表格内容"/>
    <w:basedOn w:val="1"/>
    <w:link w:val="78"/>
    <w:qFormat/>
    <w:uiPriority w:val="0"/>
    <w:pPr>
      <w:adjustRightInd w:val="0"/>
      <w:spacing w:line="240" w:lineRule="auto"/>
      <w:ind w:firstLine="0" w:firstLineChars="0"/>
      <w:jc w:val="center"/>
    </w:pPr>
    <w:rPr>
      <w:sz w:val="21"/>
      <w:szCs w:val="20"/>
      <w:lang w:val="zh-CN"/>
    </w:rPr>
  </w:style>
  <w:style w:type="character" w:customStyle="1" w:styleId="80">
    <w:name w:val="小标题 字符"/>
    <w:link w:val="81"/>
    <w:qFormat/>
    <w:uiPriority w:val="0"/>
    <w:rPr>
      <w:b/>
      <w:color w:val="000000"/>
      <w:kern w:val="2"/>
      <w:sz w:val="24"/>
      <w:lang w:val="zh-CN"/>
    </w:rPr>
  </w:style>
  <w:style w:type="paragraph" w:customStyle="1" w:styleId="81">
    <w:name w:val="小标题"/>
    <w:basedOn w:val="1"/>
    <w:link w:val="80"/>
    <w:qFormat/>
    <w:uiPriority w:val="0"/>
    <w:pPr>
      <w:tabs>
        <w:tab w:val="left" w:pos="3225"/>
      </w:tabs>
      <w:spacing w:line="500" w:lineRule="exact"/>
    </w:pPr>
    <w:rPr>
      <w:b/>
      <w:color w:val="000000"/>
      <w:szCs w:val="20"/>
      <w:lang w:val="zh-CN"/>
    </w:rPr>
  </w:style>
  <w:style w:type="character" w:customStyle="1" w:styleId="82">
    <w:name w:val="表中文字 Char"/>
    <w:link w:val="83"/>
    <w:qFormat/>
    <w:uiPriority w:val="0"/>
    <w:rPr>
      <w:kern w:val="2"/>
      <w:sz w:val="21"/>
      <w:szCs w:val="21"/>
    </w:rPr>
  </w:style>
  <w:style w:type="paragraph" w:customStyle="1" w:styleId="83">
    <w:name w:val="表中文字"/>
    <w:basedOn w:val="1"/>
    <w:next w:val="1"/>
    <w:link w:val="82"/>
    <w:qFormat/>
    <w:uiPriority w:val="0"/>
    <w:pPr>
      <w:jc w:val="center"/>
    </w:pPr>
    <w:rPr>
      <w:sz w:val="21"/>
      <w:szCs w:val="21"/>
    </w:rPr>
  </w:style>
  <w:style w:type="character" w:customStyle="1" w:styleId="84">
    <w:name w:val="apple-converted-space"/>
    <w:qFormat/>
    <w:uiPriority w:val="0"/>
  </w:style>
  <w:style w:type="character" w:customStyle="1" w:styleId="85">
    <w:name w:val="日期 字符1"/>
    <w:link w:val="21"/>
    <w:qFormat/>
    <w:locked/>
    <w:uiPriority w:val="0"/>
    <w:rPr>
      <w:rFonts w:ascii="Times New Roman" w:hAnsi="Times New Roman" w:eastAsia="宋体"/>
      <w:sz w:val="24"/>
    </w:rPr>
  </w:style>
  <w:style w:type="character" w:customStyle="1" w:styleId="86">
    <w:name w:val="表格标题 Char"/>
    <w:link w:val="87"/>
    <w:qFormat/>
    <w:uiPriority w:val="0"/>
    <w:rPr>
      <w:b/>
      <w:kern w:val="2"/>
      <w:sz w:val="24"/>
      <w:szCs w:val="22"/>
      <w:lang w:val="zh-CN"/>
    </w:rPr>
  </w:style>
  <w:style w:type="paragraph" w:customStyle="1" w:styleId="87">
    <w:name w:val="表格标题"/>
    <w:basedOn w:val="79"/>
    <w:next w:val="79"/>
    <w:link w:val="86"/>
    <w:qFormat/>
    <w:uiPriority w:val="0"/>
    <w:pPr>
      <w:spacing w:line="360" w:lineRule="auto"/>
    </w:pPr>
    <w:rPr>
      <w:b/>
      <w:sz w:val="24"/>
      <w:szCs w:val="22"/>
    </w:rPr>
  </w:style>
  <w:style w:type="character" w:customStyle="1" w:styleId="88">
    <w:name w:val="页脚 字符"/>
    <w:basedOn w:val="42"/>
    <w:qFormat/>
    <w:uiPriority w:val="99"/>
  </w:style>
  <w:style w:type="character" w:customStyle="1" w:styleId="89">
    <w:name w:val="样式 小四 行距: 1.5 倍行距 Char"/>
    <w:link w:val="90"/>
    <w:semiHidden/>
    <w:qFormat/>
    <w:uiPriority w:val="0"/>
    <w:rPr>
      <w:rFonts w:cs="宋体"/>
      <w:kern w:val="2"/>
      <w:sz w:val="24"/>
    </w:rPr>
  </w:style>
  <w:style w:type="paragraph" w:customStyle="1" w:styleId="90">
    <w:name w:val="样式 小四 行距: 1.5 倍行距"/>
    <w:basedOn w:val="1"/>
    <w:link w:val="89"/>
    <w:semiHidden/>
    <w:qFormat/>
    <w:uiPriority w:val="0"/>
    <w:rPr>
      <w:szCs w:val="20"/>
    </w:rPr>
  </w:style>
  <w:style w:type="character" w:customStyle="1" w:styleId="91">
    <w:name w:val="普通(网站) 字符"/>
    <w:link w:val="35"/>
    <w:qFormat/>
    <w:locked/>
    <w:uiPriority w:val="0"/>
    <w:rPr>
      <w:rFonts w:ascii="宋体" w:hAnsi="宋体" w:eastAsia="宋体"/>
      <w:sz w:val="24"/>
    </w:rPr>
  </w:style>
  <w:style w:type="character" w:customStyle="1" w:styleId="92">
    <w:name w:val="引用 Char"/>
    <w:link w:val="93"/>
    <w:qFormat/>
    <w:locked/>
    <w:uiPriority w:val="29"/>
    <w:rPr>
      <w:iCs/>
      <w:color w:val="404040"/>
      <w:kern w:val="2"/>
      <w:sz w:val="21"/>
    </w:rPr>
  </w:style>
  <w:style w:type="paragraph" w:customStyle="1" w:styleId="93">
    <w:name w:val="引用1"/>
    <w:basedOn w:val="1"/>
    <w:next w:val="1"/>
    <w:link w:val="92"/>
    <w:qFormat/>
    <w:uiPriority w:val="29"/>
    <w:pPr>
      <w:jc w:val="center"/>
    </w:pPr>
    <w:rPr>
      <w:iCs/>
      <w:color w:val="404040"/>
      <w:sz w:val="21"/>
      <w:szCs w:val="20"/>
    </w:rPr>
  </w:style>
  <w:style w:type="character" w:customStyle="1" w:styleId="94">
    <w:name w:val="正文文本 字符"/>
    <w:link w:val="14"/>
    <w:qFormat/>
    <w:locked/>
    <w:uiPriority w:val="0"/>
    <w:rPr>
      <w:sz w:val="18"/>
    </w:rPr>
  </w:style>
  <w:style w:type="character" w:customStyle="1" w:styleId="95">
    <w:name w:val="批注文字 字符"/>
    <w:link w:val="13"/>
    <w:qFormat/>
    <w:locked/>
    <w:uiPriority w:val="99"/>
    <w:rPr>
      <w:rFonts w:ascii="Times New Roman" w:hAnsi="Times New Roman" w:eastAsia="宋体"/>
      <w:sz w:val="24"/>
    </w:rPr>
  </w:style>
  <w:style w:type="character" w:customStyle="1" w:styleId="96">
    <w:name w:val="批注主题 字符"/>
    <w:link w:val="36"/>
    <w:semiHidden/>
    <w:qFormat/>
    <w:locked/>
    <w:uiPriority w:val="0"/>
    <w:rPr>
      <w:rFonts w:ascii="Times New Roman" w:hAnsi="Times New Roman" w:eastAsia="宋体"/>
      <w:b/>
      <w:kern w:val="2"/>
      <w:sz w:val="24"/>
    </w:rPr>
  </w:style>
  <w:style w:type="character" w:customStyle="1" w:styleId="97">
    <w:name w:val="页眉 字符"/>
    <w:link w:val="25"/>
    <w:qFormat/>
    <w:locked/>
    <w:uiPriority w:val="99"/>
    <w:rPr>
      <w:sz w:val="18"/>
    </w:rPr>
  </w:style>
  <w:style w:type="character" w:customStyle="1" w:styleId="98">
    <w:name w:val="批注文字 字符1"/>
    <w:semiHidden/>
    <w:qFormat/>
    <w:uiPriority w:val="0"/>
    <w:rPr>
      <w:rFonts w:ascii="Times New Roman" w:hAnsi="Times New Roman" w:eastAsia="宋体"/>
      <w:sz w:val="24"/>
    </w:rPr>
  </w:style>
  <w:style w:type="character" w:customStyle="1" w:styleId="99">
    <w:name w:val="标题 3 字符"/>
    <w:link w:val="4"/>
    <w:qFormat/>
    <w:uiPriority w:val="9"/>
    <w:rPr>
      <w:b/>
      <w:bCs/>
      <w:kern w:val="2"/>
      <w:sz w:val="28"/>
      <w:szCs w:val="32"/>
    </w:rPr>
  </w:style>
  <w:style w:type="character" w:customStyle="1" w:styleId="100">
    <w:name w:val="文档结构图 字符"/>
    <w:link w:val="12"/>
    <w:qFormat/>
    <w:uiPriority w:val="0"/>
    <w:rPr>
      <w:kern w:val="2"/>
      <w:sz w:val="24"/>
      <w:szCs w:val="24"/>
      <w:shd w:val="clear" w:color="auto" w:fill="000080"/>
    </w:rPr>
  </w:style>
  <w:style w:type="character" w:customStyle="1" w:styleId="101">
    <w:name w:val="正文文本缩进 3 字符"/>
    <w:link w:val="31"/>
    <w:qFormat/>
    <w:uiPriority w:val="0"/>
    <w:rPr>
      <w:kern w:val="2"/>
      <w:sz w:val="28"/>
      <w:szCs w:val="24"/>
    </w:rPr>
  </w:style>
  <w:style w:type="character" w:customStyle="1" w:styleId="102">
    <w:name w:val="HTML 预设格式 字符"/>
    <w:link w:val="34"/>
    <w:qFormat/>
    <w:uiPriority w:val="99"/>
    <w:rPr>
      <w:rFonts w:ascii="宋体" w:hAnsi="宋体"/>
      <w:sz w:val="24"/>
      <w:szCs w:val="24"/>
      <w:lang w:val="zh-CN"/>
    </w:rPr>
  </w:style>
  <w:style w:type="character" w:customStyle="1" w:styleId="103">
    <w:name w:val="fs"/>
    <w:basedOn w:val="42"/>
    <w:qFormat/>
    <w:uiPriority w:val="0"/>
  </w:style>
  <w:style w:type="character" w:customStyle="1" w:styleId="104">
    <w:name w:val="文章正文样式 Char"/>
    <w:link w:val="105"/>
    <w:qFormat/>
    <w:uiPriority w:val="0"/>
    <w:rPr>
      <w:rFonts w:ascii="宋体" w:hAnsi="宋体" w:cs="宋体"/>
      <w:kern w:val="2"/>
      <w:sz w:val="24"/>
    </w:rPr>
  </w:style>
  <w:style w:type="paragraph" w:customStyle="1" w:styleId="105">
    <w:name w:val="文章正文样式"/>
    <w:basedOn w:val="1"/>
    <w:link w:val="104"/>
    <w:qFormat/>
    <w:uiPriority w:val="0"/>
    <w:pPr>
      <w:spacing w:line="520" w:lineRule="exact"/>
      <w:ind w:firstLine="480"/>
      <w:jc w:val="left"/>
    </w:pPr>
    <w:rPr>
      <w:rFonts w:ascii="宋体" w:hAnsi="宋体"/>
      <w:szCs w:val="20"/>
    </w:rPr>
  </w:style>
  <w:style w:type="character" w:customStyle="1" w:styleId="106">
    <w:name w:val="a Char Char2"/>
    <w:link w:val="107"/>
    <w:qFormat/>
    <w:uiPriority w:val="0"/>
    <w:rPr>
      <w:rFonts w:ascii="宋体" w:hAnsi="宋体" w:eastAsia="Times New Roman"/>
      <w:bCs/>
      <w:kern w:val="2"/>
      <w:sz w:val="28"/>
      <w:szCs w:val="28"/>
      <w:lang w:val="en-US" w:eastAsia="zh-CN" w:bidi="ar-SA"/>
    </w:rPr>
  </w:style>
  <w:style w:type="paragraph" w:customStyle="1" w:styleId="107">
    <w:name w:val="a Char"/>
    <w:link w:val="106"/>
    <w:qFormat/>
    <w:uiPriority w:val="0"/>
    <w:pPr>
      <w:spacing w:line="540" w:lineRule="exact"/>
      <w:ind w:firstLine="561"/>
    </w:pPr>
    <w:rPr>
      <w:rFonts w:ascii="宋体" w:hAnsi="宋体" w:eastAsia="Times New Roman" w:cs="Times New Roman"/>
      <w:bCs/>
      <w:kern w:val="2"/>
      <w:sz w:val="28"/>
      <w:szCs w:val="28"/>
      <w:lang w:val="en-US" w:eastAsia="zh-CN" w:bidi="ar-SA"/>
    </w:rPr>
  </w:style>
  <w:style w:type="character" w:customStyle="1" w:styleId="108">
    <w:name w:val="style21"/>
    <w:qFormat/>
    <w:uiPriority w:val="0"/>
    <w:rPr>
      <w:sz w:val="18"/>
      <w:szCs w:val="18"/>
    </w:rPr>
  </w:style>
  <w:style w:type="character" w:customStyle="1" w:styleId="109">
    <w:name w:val="表内容 字符"/>
    <w:link w:val="110"/>
    <w:qFormat/>
    <w:uiPriority w:val="0"/>
    <w:rPr>
      <w:rFonts w:hAnsi="宋体"/>
      <w:bCs/>
      <w:kern w:val="2"/>
      <w:sz w:val="21"/>
      <w:szCs w:val="21"/>
      <w:lang w:val="zh-CN"/>
    </w:rPr>
  </w:style>
  <w:style w:type="paragraph" w:customStyle="1" w:styleId="110">
    <w:name w:val="表内容"/>
    <w:basedOn w:val="1"/>
    <w:link w:val="109"/>
    <w:qFormat/>
    <w:uiPriority w:val="0"/>
    <w:pPr>
      <w:tabs>
        <w:tab w:val="left" w:pos="624"/>
      </w:tabs>
      <w:spacing w:line="500" w:lineRule="exact"/>
      <w:jc w:val="center"/>
    </w:pPr>
    <w:rPr>
      <w:rFonts w:hAnsi="宋体"/>
      <w:bCs/>
      <w:sz w:val="21"/>
      <w:szCs w:val="21"/>
      <w:lang w:val="zh-CN"/>
    </w:rPr>
  </w:style>
  <w:style w:type="character" w:customStyle="1" w:styleId="111">
    <w:name w:val="HTML 预设格式 Char1"/>
    <w:qFormat/>
    <w:uiPriority w:val="0"/>
    <w:rPr>
      <w:rFonts w:ascii="Courier New" w:hAnsi="Courier New" w:cs="Courier New"/>
      <w:kern w:val="2"/>
    </w:rPr>
  </w:style>
  <w:style w:type="character" w:customStyle="1" w:styleId="112">
    <w:name w:val="引用 字符"/>
    <w:link w:val="113"/>
    <w:qFormat/>
    <w:uiPriority w:val="29"/>
    <w:rPr>
      <w:iCs/>
      <w:color w:val="404040"/>
      <w:kern w:val="2"/>
      <w:sz w:val="21"/>
    </w:rPr>
  </w:style>
  <w:style w:type="paragraph" w:styleId="113">
    <w:name w:val="Quote"/>
    <w:basedOn w:val="1"/>
    <w:next w:val="1"/>
    <w:link w:val="112"/>
    <w:qFormat/>
    <w:uiPriority w:val="29"/>
    <w:pPr>
      <w:jc w:val="center"/>
    </w:pPr>
    <w:rPr>
      <w:iCs/>
      <w:color w:val="404040"/>
      <w:sz w:val="21"/>
      <w:szCs w:val="20"/>
    </w:rPr>
  </w:style>
  <w:style w:type="character" w:customStyle="1" w:styleId="114">
    <w:name w:val="引用 字符1"/>
    <w:qFormat/>
    <w:locked/>
    <w:uiPriority w:val="29"/>
    <w:rPr>
      <w:iCs/>
      <w:color w:val="404040"/>
      <w:kern w:val="2"/>
      <w:sz w:val="21"/>
    </w:rPr>
  </w:style>
  <w:style w:type="character" w:customStyle="1" w:styleId="115">
    <w:name w:val="未处理的提及1"/>
    <w:unhideWhenUsed/>
    <w:qFormat/>
    <w:uiPriority w:val="99"/>
    <w:rPr>
      <w:color w:val="605E5C"/>
      <w:shd w:val="clear" w:color="auto" w:fill="E1DFDD"/>
    </w:rPr>
  </w:style>
  <w:style w:type="character" w:customStyle="1" w:styleId="116">
    <w:name w:val="Z正文 Char"/>
    <w:link w:val="117"/>
    <w:qFormat/>
    <w:locked/>
    <w:uiPriority w:val="0"/>
    <w:rPr>
      <w:bCs/>
      <w:kern w:val="44"/>
      <w:sz w:val="24"/>
      <w:szCs w:val="24"/>
    </w:rPr>
  </w:style>
  <w:style w:type="paragraph" w:customStyle="1" w:styleId="117">
    <w:name w:val="Z正文"/>
    <w:basedOn w:val="1"/>
    <w:link w:val="116"/>
    <w:qFormat/>
    <w:uiPriority w:val="0"/>
    <w:rPr>
      <w:bCs/>
      <w:kern w:val="44"/>
    </w:rPr>
  </w:style>
  <w:style w:type="character" w:customStyle="1" w:styleId="118">
    <w:name w:val="纯文本 字符1"/>
    <w:qFormat/>
    <w:uiPriority w:val="0"/>
    <w:rPr>
      <w:rFonts w:ascii="宋体" w:hAnsi="Courier New"/>
      <w:spacing w:val="8"/>
      <w:kern w:val="2"/>
      <w:sz w:val="24"/>
    </w:rPr>
  </w:style>
  <w:style w:type="paragraph" w:customStyle="1" w:styleId="119">
    <w:name w:val="Char Char Char Char Char Char1 Char"/>
    <w:basedOn w:val="1"/>
    <w:qFormat/>
    <w:uiPriority w:val="0"/>
  </w:style>
  <w:style w:type="paragraph" w:customStyle="1" w:styleId="120">
    <w:name w:val="表内格式"/>
    <w:basedOn w:val="1"/>
    <w:qFormat/>
    <w:uiPriority w:val="0"/>
    <w:pPr>
      <w:jc w:val="center"/>
    </w:pPr>
    <w:rPr>
      <w:rFonts w:cs="宋体"/>
      <w:szCs w:val="20"/>
    </w:rPr>
  </w:style>
  <w:style w:type="paragraph" w:customStyle="1" w:styleId="121">
    <w:name w:val="Char"/>
    <w:basedOn w:val="1"/>
    <w:qFormat/>
    <w:uiPriority w:val="0"/>
    <w:pPr>
      <w:spacing w:line="500" w:lineRule="exact"/>
    </w:pPr>
  </w:style>
  <w:style w:type="paragraph" w:customStyle="1" w:styleId="122">
    <w:name w:val="p22"/>
    <w:basedOn w:val="1"/>
    <w:qFormat/>
    <w:uiPriority w:val="0"/>
    <w:pPr>
      <w:widowControl/>
      <w:spacing w:line="500" w:lineRule="exact"/>
      <w:ind w:firstLine="420"/>
    </w:pPr>
    <w:rPr>
      <w:kern w:val="0"/>
      <w:szCs w:val="21"/>
    </w:rPr>
  </w:style>
  <w:style w:type="paragraph" w:customStyle="1" w:styleId="123">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124">
    <w:name w:val="报告书正文"/>
    <w:basedOn w:val="1"/>
    <w:qFormat/>
    <w:uiPriority w:val="0"/>
    <w:pPr>
      <w:spacing w:after="60" w:line="500" w:lineRule="exact"/>
    </w:pPr>
  </w:style>
  <w:style w:type="paragraph" w:customStyle="1" w:styleId="125">
    <w:name w:val="Char Char Char Char"/>
    <w:basedOn w:val="1"/>
    <w:qFormat/>
    <w:uiPriority w:val="0"/>
    <w:pPr>
      <w:spacing w:line="500" w:lineRule="exact"/>
    </w:pPr>
  </w:style>
  <w:style w:type="paragraph" w:customStyle="1" w:styleId="126">
    <w:name w:val="表格标题行文字胡"/>
    <w:basedOn w:val="1"/>
    <w:qFormat/>
    <w:uiPriority w:val="0"/>
    <w:pPr>
      <w:spacing w:line="500" w:lineRule="exact"/>
      <w:jc w:val="center"/>
    </w:pPr>
    <w:rPr>
      <w:b/>
    </w:rPr>
  </w:style>
  <w:style w:type="paragraph" w:customStyle="1" w:styleId="127">
    <w:name w:val="表格其他行胡"/>
    <w:basedOn w:val="1"/>
    <w:qFormat/>
    <w:uiPriority w:val="0"/>
    <w:pPr>
      <w:spacing w:line="500" w:lineRule="exact"/>
      <w:jc w:val="center"/>
    </w:pPr>
  </w:style>
  <w:style w:type="paragraph" w:customStyle="1" w:styleId="128">
    <w:name w:val="普通(网站)2"/>
    <w:basedOn w:val="1"/>
    <w:qFormat/>
    <w:uiPriority w:val="0"/>
    <w:pPr>
      <w:widowControl/>
      <w:spacing w:before="100" w:beforeAutospacing="1" w:after="100" w:afterAutospacing="1"/>
      <w:jc w:val="left"/>
    </w:pPr>
    <w:rPr>
      <w:rFonts w:ascii="宋体" w:hAnsi="宋体"/>
      <w:szCs w:val="20"/>
    </w:rPr>
  </w:style>
  <w:style w:type="paragraph" w:customStyle="1" w:styleId="129">
    <w:name w:val="正文修改"/>
    <w:basedOn w:val="1"/>
    <w:qFormat/>
    <w:uiPriority w:val="0"/>
    <w:pPr>
      <w:ind w:firstLine="480"/>
    </w:pPr>
    <w:rPr>
      <w:rFonts w:cs="宋体"/>
    </w:rPr>
  </w:style>
  <w:style w:type="paragraph" w:customStyle="1" w:styleId="130">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31">
    <w:name w:val="样式 列表 + 左侧:  0 厘米 悬挂缩进: 2 字符1"/>
    <w:basedOn w:val="29"/>
    <w:qFormat/>
    <w:uiPriority w:val="0"/>
    <w:pPr>
      <w:spacing w:line="240" w:lineRule="auto"/>
      <w:ind w:left="0" w:firstLine="0" w:firstLineChars="0"/>
    </w:pPr>
    <w:rPr>
      <w:rFonts w:cs="PMingLiU"/>
      <w:szCs w:val="20"/>
    </w:rPr>
  </w:style>
  <w:style w:type="paragraph" w:styleId="132">
    <w:name w:val="List Paragraph"/>
    <w:basedOn w:val="1"/>
    <w:qFormat/>
    <w:uiPriority w:val="1"/>
    <w:pPr>
      <w:ind w:firstLine="420"/>
    </w:pPr>
    <w:rPr>
      <w:szCs w:val="20"/>
    </w:rPr>
  </w:style>
  <w:style w:type="paragraph" w:customStyle="1" w:styleId="133">
    <w:name w:val="表格字体"/>
    <w:basedOn w:val="14"/>
    <w:qFormat/>
    <w:uiPriority w:val="0"/>
    <w:pPr>
      <w:widowControl w:val="0"/>
      <w:snapToGrid/>
      <w:spacing w:before="0" w:after="0" w:line="240" w:lineRule="auto"/>
      <w:ind w:right="0"/>
      <w:jc w:val="center"/>
    </w:pPr>
    <w:rPr>
      <w:kern w:val="2"/>
      <w:sz w:val="21"/>
      <w:szCs w:val="24"/>
    </w:rPr>
  </w:style>
  <w:style w:type="paragraph" w:customStyle="1" w:styleId="134">
    <w:name w:val="TOC 标题1"/>
    <w:basedOn w:val="2"/>
    <w:next w:val="1"/>
    <w:qFormat/>
    <w:uiPriority w:val="39"/>
    <w:pPr>
      <w:keepLines/>
      <w:widowControl/>
      <w:overflowPunct/>
      <w:snapToGrid/>
      <w:spacing w:before="240"/>
      <w:outlineLvl w:val="9"/>
    </w:pPr>
    <w:rPr>
      <w:rFonts w:ascii="等线 Light" w:hAnsi="等线 Light" w:eastAsia="等线 Light"/>
      <w:b w:val="0"/>
      <w:bCs w:val="0"/>
      <w:color w:val="2F5496"/>
      <w:kern w:val="0"/>
      <w:sz w:val="32"/>
      <w:szCs w:val="32"/>
    </w:rPr>
  </w:style>
  <w:style w:type="paragraph" w:customStyle="1" w:styleId="135">
    <w:name w:val="Char1"/>
    <w:basedOn w:val="12"/>
    <w:qFormat/>
    <w:uiPriority w:val="0"/>
    <w:pPr>
      <w:spacing w:line="360" w:lineRule="auto"/>
      <w:ind w:firstLine="480"/>
    </w:pPr>
    <w:rPr>
      <w:rFonts w:eastAsia="楷体_GB2312"/>
      <w:sz w:val="32"/>
      <w:szCs w:val="20"/>
    </w:rPr>
  </w:style>
  <w:style w:type="paragraph" w:customStyle="1" w:styleId="136">
    <w:name w:val="列出段落1"/>
    <w:basedOn w:val="1"/>
    <w:uiPriority w:val="34"/>
    <w:pPr>
      <w:spacing w:line="500" w:lineRule="exact"/>
      <w:ind w:firstLine="420"/>
    </w:pPr>
    <w:rPr>
      <w:szCs w:val="20"/>
    </w:rPr>
  </w:style>
  <w:style w:type="paragraph" w:customStyle="1" w:styleId="137">
    <w:name w:val="Table Paragraph"/>
    <w:basedOn w:val="1"/>
    <w:qFormat/>
    <w:uiPriority w:val="1"/>
    <w:pPr>
      <w:spacing w:line="240" w:lineRule="auto"/>
      <w:ind w:firstLine="0" w:firstLineChars="0"/>
      <w:jc w:val="left"/>
    </w:pPr>
    <w:rPr>
      <w:rFonts w:ascii="Calibri" w:hAnsi="Calibri"/>
      <w:kern w:val="0"/>
      <w:sz w:val="22"/>
      <w:szCs w:val="22"/>
      <w:lang w:eastAsia="en-US"/>
    </w:rPr>
  </w:style>
  <w:style w:type="paragraph" w:customStyle="1" w:styleId="138">
    <w:name w:val="2"/>
    <w:basedOn w:val="1"/>
    <w:qFormat/>
    <w:uiPriority w:val="0"/>
    <w:pPr>
      <w:spacing w:line="500" w:lineRule="exact"/>
    </w:pPr>
  </w:style>
  <w:style w:type="paragraph" w:customStyle="1" w:styleId="139">
    <w:name w:val="正文1"/>
    <w:basedOn w:val="1"/>
    <w:qFormat/>
    <w:uiPriority w:val="0"/>
    <w:pPr>
      <w:spacing w:line="500" w:lineRule="exact"/>
    </w:pPr>
  </w:style>
  <w:style w:type="paragraph" w:customStyle="1" w:styleId="140">
    <w:name w:val="样式1"/>
    <w:basedOn w:val="1"/>
    <w:qFormat/>
    <w:uiPriority w:val="0"/>
    <w:pPr>
      <w:ind w:firstLine="510"/>
    </w:pPr>
    <w:rPr>
      <w:szCs w:val="20"/>
    </w:rPr>
  </w:style>
  <w:style w:type="paragraph" w:customStyle="1" w:styleId="141">
    <w:name w:val="正文文本 21"/>
    <w:basedOn w:val="1"/>
    <w:qFormat/>
    <w:uiPriority w:val="0"/>
    <w:pPr>
      <w:overflowPunct w:val="0"/>
      <w:autoSpaceDE w:val="0"/>
      <w:autoSpaceDN w:val="0"/>
      <w:adjustRightInd w:val="0"/>
      <w:ind w:firstLine="425"/>
      <w:textAlignment w:val="baseline"/>
    </w:pPr>
  </w:style>
  <w:style w:type="paragraph" w:customStyle="1" w:styleId="142">
    <w:name w:val="_Style 1"/>
    <w:basedOn w:val="1"/>
    <w:qFormat/>
    <w:uiPriority w:val="0"/>
    <w:pPr>
      <w:spacing w:line="500" w:lineRule="exact"/>
    </w:pPr>
    <w:rPr>
      <w:szCs w:val="20"/>
    </w:rPr>
  </w:style>
  <w:style w:type="paragraph" w:customStyle="1" w:styleId="143">
    <w:name w:val="pic-info"/>
    <w:basedOn w:val="1"/>
    <w:qFormat/>
    <w:uiPriority w:val="0"/>
    <w:pPr>
      <w:widowControl/>
      <w:spacing w:before="100" w:beforeAutospacing="1" w:after="100" w:afterAutospacing="1" w:line="500" w:lineRule="exact"/>
      <w:jc w:val="left"/>
    </w:pPr>
    <w:rPr>
      <w:rFonts w:ascii="宋体" w:hAnsi="宋体" w:cs="宋体"/>
      <w:kern w:val="0"/>
    </w:rPr>
  </w:style>
  <w:style w:type="paragraph" w:customStyle="1" w:styleId="144">
    <w:name w:val="段落A"/>
    <w:basedOn w:val="1"/>
    <w:qFormat/>
    <w:uiPriority w:val="0"/>
    <w:pPr>
      <w:spacing w:line="400" w:lineRule="exact"/>
      <w:ind w:firstLine="480"/>
    </w:pPr>
  </w:style>
  <w:style w:type="paragraph" w:customStyle="1" w:styleId="145">
    <w:name w:val="样式 标题 3标题3H3h33rd level第二层条标题 3 Char Char标题 31标题 3 Char ..."/>
    <w:basedOn w:val="4"/>
    <w:qFormat/>
    <w:uiPriority w:val="0"/>
    <w:pPr>
      <w:adjustRightInd w:val="0"/>
      <w:spacing w:line="600" w:lineRule="exact"/>
      <w:textAlignment w:val="baseline"/>
    </w:pPr>
    <w:rPr>
      <w:color w:val="000000"/>
      <w:kern w:val="0"/>
      <w:szCs w:val="28"/>
    </w:rPr>
  </w:style>
  <w:style w:type="paragraph" w:customStyle="1" w:styleId="146">
    <w:name w:val="Char Char Char Char Char Char Char"/>
    <w:basedOn w:val="1"/>
    <w:qFormat/>
    <w:uiPriority w:val="0"/>
  </w:style>
  <w:style w:type="paragraph" w:customStyle="1" w:styleId="147">
    <w:name w:val="表格跨行字"/>
    <w:basedOn w:val="11"/>
    <w:qFormat/>
    <w:uiPriority w:val="1"/>
    <w:pPr>
      <w:spacing w:line="240" w:lineRule="auto"/>
    </w:pPr>
    <w:rPr>
      <w:kern w:val="0"/>
      <w:sz w:val="21"/>
      <w:szCs w:val="22"/>
      <w:lang w:eastAsia="en-US"/>
    </w:rPr>
  </w:style>
  <w:style w:type="paragraph" w:customStyle="1" w:styleId="148">
    <w:name w:val="表格内容居中"/>
    <w:qFormat/>
    <w:uiPriority w:val="0"/>
    <w:pPr>
      <w:adjustRightInd w:val="0"/>
      <w:snapToGrid w:val="0"/>
      <w:jc w:val="center"/>
    </w:pPr>
    <w:rPr>
      <w:rFonts w:ascii="Times New Roman" w:hAnsi="Times New Roman" w:eastAsia="宋体" w:cs="Times New Roman"/>
      <w:snapToGrid w:val="0"/>
      <w:sz w:val="21"/>
      <w:szCs w:val="21"/>
      <w:lang w:val="en-US" w:eastAsia="zh-CN" w:bidi="ar-SA"/>
    </w:rPr>
  </w:style>
  <w:style w:type="paragraph" w:customStyle="1" w:styleId="149">
    <w:name w:val="ZZ表格其他行"/>
    <w:basedOn w:val="1"/>
    <w:qFormat/>
    <w:uiPriority w:val="0"/>
    <w:pPr>
      <w:widowControl/>
      <w:jc w:val="center"/>
    </w:pPr>
    <w:rPr>
      <w:color w:val="000000"/>
      <w:kern w:val="0"/>
      <w:szCs w:val="21"/>
    </w:rPr>
  </w:style>
  <w:style w:type="paragraph" w:customStyle="1" w:styleId="150">
    <w:name w:val="报告表正文"/>
    <w:basedOn w:val="1"/>
    <w:qFormat/>
    <w:uiPriority w:val="0"/>
    <w:pPr>
      <w:adjustRightInd w:val="0"/>
      <w:snapToGrid w:val="0"/>
      <w:ind w:left="50" w:leftChars="50" w:right="50" w:rightChars="50"/>
    </w:pPr>
    <w:rPr>
      <w:sz w:val="28"/>
      <w:szCs w:val="20"/>
    </w:rPr>
  </w:style>
  <w:style w:type="table" w:customStyle="1" w:styleId="151">
    <w:name w:val="表格一2"/>
    <w:basedOn w:val="41"/>
    <w:qFormat/>
    <w:uiPriority w:val="0"/>
    <w:pPr>
      <w:spacing w:line="360" w:lineRule="auto"/>
      <w:ind w:firstLine="200" w:firstLineChars="200"/>
    </w:pPr>
    <w:rPr>
      <w:bCs/>
      <w:iCs/>
      <w:snapToGrid w:val="0"/>
    </w:rPr>
    <w:tblPr>
      <w:tblBorders>
        <w:top w:val="threeDEmboss" w:color="000000" w:sz="12" w:space="0"/>
        <w:left w:val="threeDEmboss" w:color="000000" w:sz="12" w:space="0"/>
        <w:bottom w:val="threeDEmboss" w:color="000000" w:sz="12" w:space="0"/>
        <w:right w:val="threeDEmboss" w:color="000000" w:sz="12" w:space="0"/>
      </w:tblBorders>
    </w:tblPr>
    <w:tblStylePr w:type="firstRow">
      <w:rPr>
        <w:b/>
        <w:bCs/>
        <w:color w:val="auto"/>
      </w:rPr>
      <w:tcPr>
        <w:tcBorders>
          <w:top w:val="nil"/>
          <w:left w:val="nil"/>
          <w:bottom w:val="nil"/>
          <w:right w:val="nil"/>
          <w:insideH w:val="nil"/>
          <w:insideV w:val="nil"/>
          <w:tl2br w:val="nil"/>
          <w:tr2bl w:val="nil"/>
        </w:tcBorders>
        <w:shd w:val="solid" w:color="000000" w:fill="FFFFFF"/>
      </w:tcPr>
    </w:tblStylePr>
  </w:style>
  <w:style w:type="table" w:customStyle="1" w:styleId="152">
    <w:name w:val="网格型浅色1"/>
    <w:basedOn w:val="39"/>
    <w:qFormat/>
    <w:uiPriority w:val="40"/>
    <w:tblPr>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Pr>
  </w:style>
  <w:style w:type="table" w:customStyle="1" w:styleId="153">
    <w:name w:val="Table Normal"/>
    <w:semiHidden/>
    <w:qFormat/>
    <w:uiPriority w:val="2"/>
    <w:pPr>
      <w:widowControl w:val="0"/>
    </w:pPr>
    <w:rPr>
      <w:rFonts w:ascii="Calibri" w:hAnsi="Calibri" w:eastAsia="Times New Roman"/>
      <w:sz w:val="22"/>
      <w:szCs w:val="22"/>
      <w:lang w:eastAsia="en-US"/>
    </w:rPr>
    <w:tblPr>
      <w:tblCellMar>
        <w:top w:w="0" w:type="dxa"/>
        <w:left w:w="0" w:type="dxa"/>
        <w:bottom w:w="0" w:type="dxa"/>
        <w:right w:w="0" w:type="dxa"/>
      </w:tblCellMar>
    </w:tblPr>
  </w:style>
  <w:style w:type="table" w:customStyle="1" w:styleId="154">
    <w:name w:val="A表格样式"/>
    <w:basedOn w:val="39"/>
    <w:qFormat/>
    <w:uiPriority w:val="0"/>
    <w:pPr>
      <w:widowControl w:val="0"/>
      <w:jc w:val="center"/>
    </w:pPr>
    <w:rPr>
      <w:rFonts w:eastAsia="Times New Roman"/>
      <w:sz w:val="21"/>
    </w:rPr>
    <w:tblPr>
      <w:tblBorders>
        <w:top w:val="single" w:color="000000" w:sz="12" w:space="0"/>
        <w:bottom w:val="single" w:color="000000" w:sz="12" w:space="0"/>
        <w:insideH w:val="single" w:color="auto" w:sz="4" w:space="0"/>
        <w:insideV w:val="single" w:color="auto" w:sz="4" w:space="0"/>
      </w:tblBorders>
      <w:tblCellMar>
        <w:left w:w="0" w:type="dxa"/>
        <w:right w:w="0" w:type="dxa"/>
      </w:tblCellMar>
    </w:tblPr>
    <w:tcPr>
      <w:vAlign w:val="center"/>
    </w:tcPr>
    <w:tblStylePr w:type="firstRow">
      <w:rPr>
        <w:b/>
      </w:rPr>
    </w:tblStylePr>
  </w:style>
  <w:style w:type="table" w:customStyle="1" w:styleId="155">
    <w:name w:val="网格型1"/>
    <w:basedOn w:val="39"/>
    <w:qFormat/>
    <w:uiPriority w:val="3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6">
    <w:name w:val="表格标题11"/>
    <w:basedOn w:val="29"/>
    <w:next w:val="1"/>
    <w:link w:val="159"/>
    <w:qFormat/>
    <w:uiPriority w:val="5"/>
    <w:pPr>
      <w:keepNext/>
      <w:widowControl w:val="0"/>
      <w:autoSpaceDE w:val="0"/>
      <w:autoSpaceDN w:val="0"/>
      <w:adjustRightInd w:val="0"/>
      <w:ind w:left="0" w:firstLine="0" w:firstLineChars="0"/>
      <w:jc w:val="center"/>
      <w:textAlignment w:val="baseline"/>
    </w:pPr>
    <w:rPr>
      <w:b/>
      <w:szCs w:val="20"/>
    </w:rPr>
  </w:style>
  <w:style w:type="character" w:customStyle="1" w:styleId="157">
    <w:name w:val="表格 字符"/>
    <w:qFormat/>
    <w:uiPriority w:val="5"/>
  </w:style>
  <w:style w:type="character" w:customStyle="1" w:styleId="158">
    <w:name w:val="正文文本首行缩进 2 字符"/>
    <w:link w:val="38"/>
    <w:qFormat/>
    <w:uiPriority w:val="0"/>
    <w:rPr>
      <w:rFonts w:ascii="Times New Roman" w:hAnsi="Times New Roman" w:eastAsia="宋体"/>
      <w:kern w:val="2"/>
      <w:sz w:val="24"/>
      <w:szCs w:val="24"/>
    </w:rPr>
  </w:style>
  <w:style w:type="character" w:customStyle="1" w:styleId="159">
    <w:name w:val="表格标题11 字符"/>
    <w:link w:val="156"/>
    <w:qFormat/>
    <w:uiPriority w:val="5"/>
    <w:rPr>
      <w:b/>
      <w:sz w:val="24"/>
    </w:rPr>
  </w:style>
  <w:style w:type="paragraph" w:customStyle="1" w:styleId="160">
    <w:name w:val="表格内容111"/>
    <w:basedOn w:val="79"/>
    <w:next w:val="79"/>
    <w:link w:val="161"/>
    <w:qFormat/>
    <w:uiPriority w:val="0"/>
  </w:style>
  <w:style w:type="character" w:customStyle="1" w:styleId="161">
    <w:name w:val="表格内容111 字符"/>
    <w:link w:val="160"/>
    <w:qFormat/>
    <w:uiPriority w:val="0"/>
    <w:rPr>
      <w:kern w:val="2"/>
      <w:sz w:val="21"/>
      <w:lang w:val="zh-CN"/>
    </w:rPr>
  </w:style>
  <w:style w:type="paragraph" w:customStyle="1" w:styleId="162">
    <w:name w:val="表文"/>
    <w:basedOn w:val="1"/>
    <w:uiPriority w:val="0"/>
    <w:pPr>
      <w:widowControl/>
      <w:tabs>
        <w:tab w:val="left" w:pos="516"/>
      </w:tabs>
      <w:spacing w:line="240" w:lineRule="auto"/>
      <w:ind w:firstLine="0" w:firstLineChars="0"/>
      <w:jc w:val="center"/>
    </w:pPr>
    <w:rPr>
      <w:kern w:val="0"/>
      <w:sz w:val="21"/>
      <w:szCs w:val="21"/>
    </w:rPr>
  </w:style>
  <w:style w:type="character" w:customStyle="1" w:styleId="163">
    <w:name w:val="报告正文 Char"/>
    <w:link w:val="164"/>
    <w:qFormat/>
    <w:locked/>
    <w:uiPriority w:val="0"/>
    <w:rPr>
      <w:rFonts w:cstheme="minorBidi"/>
      <w:kern w:val="2"/>
      <w:sz w:val="24"/>
      <w:szCs w:val="24"/>
    </w:rPr>
  </w:style>
  <w:style w:type="paragraph" w:customStyle="1" w:styleId="164">
    <w:name w:val="报告正文"/>
    <w:basedOn w:val="1"/>
    <w:link w:val="163"/>
    <w:uiPriority w:val="0"/>
    <w:pPr>
      <w:adjustRightInd w:val="0"/>
      <w:snapToGrid w:val="0"/>
    </w:pPr>
    <w:rPr>
      <w:rFonts w:cstheme="minorBidi"/>
    </w:rPr>
  </w:style>
  <w:style w:type="paragraph" w:customStyle="1" w:styleId="165">
    <w:name w:val="Char Char Char1 Char Char Char Char"/>
    <w:basedOn w:val="1"/>
    <w:qFormat/>
    <w:uiPriority w:val="0"/>
    <w:pPr>
      <w:snapToGrid w:val="0"/>
      <w:ind w:firstLine="529"/>
    </w:pPr>
  </w:style>
  <w:style w:type="paragraph" w:customStyle="1" w:styleId="166">
    <w:name w:val="11111"/>
    <w:basedOn w:val="1"/>
    <w:next w:val="1"/>
    <w:uiPriority w:val="0"/>
    <w:rPr>
      <w:rFonts w:ascii="宋体" w:hAnsi="宋体" w:cs="宋体"/>
    </w:rPr>
  </w:style>
  <w:style w:type="paragraph" w:customStyle="1" w:styleId="167">
    <w:name w:val="样式"/>
    <w:basedOn w:val="1"/>
    <w:uiPriority w:val="0"/>
    <w:pPr>
      <w:spacing w:line="240" w:lineRule="auto"/>
      <w:ind w:firstLine="0" w:firstLineChars="0"/>
      <w:jc w:val="center"/>
    </w:pPr>
    <w:rPr>
      <w:rFonts w:cs="宋体"/>
      <w:color w:val="000000" w:themeColor="text1"/>
      <w:kern w:val="0"/>
      <w:sz w:val="21"/>
      <w:szCs w:val="20"/>
      <w14:textFill>
        <w14:solidFill>
          <w14:schemeClr w14:val="tx1"/>
        </w14:solidFill>
      </w14:textFill>
    </w:rPr>
  </w:style>
  <w:style w:type="paragraph" w:customStyle="1" w:styleId="168">
    <w:name w:val="样式2"/>
    <w:basedOn w:val="79"/>
    <w:uiPriority w:val="0"/>
    <w:rPr>
      <w:szCs w:val="21"/>
    </w:rPr>
  </w:style>
  <w:style w:type="paragraph" w:customStyle="1" w:styleId="169">
    <w:name w:val="Char Char Char1 Char Char Char Char1"/>
    <w:basedOn w:val="1"/>
    <w:uiPriority w:val="0"/>
    <w:pPr>
      <w:snapToGrid w:val="0"/>
      <w:ind w:firstLine="529"/>
    </w:pPr>
  </w:style>
  <w:style w:type="character" w:customStyle="1" w:styleId="170">
    <w:name w:val="表格内容 字符"/>
    <w:uiPriority w:val="0"/>
    <w:rPr>
      <w:rFonts w:cs="Times New Roman"/>
      <w:kern w:val="0"/>
      <w:sz w:val="21"/>
      <w:szCs w:val="22"/>
    </w:rPr>
  </w:style>
  <w:style w:type="table" w:customStyle="1" w:styleId="171">
    <w:name w:val="表格样式1"/>
    <w:basedOn w:val="39"/>
    <w:qFormat/>
    <w:uiPriority w:val="0"/>
    <w:pPr>
      <w:spacing w:line="280" w:lineRule="exact"/>
      <w:jc w:val="center"/>
    </w:pPr>
    <w:rPr>
      <w:sz w:val="18"/>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paragraph" w:customStyle="1" w:styleId="172">
    <w:name w:val="正文11"/>
    <w:basedOn w:val="1"/>
    <w:link w:val="173"/>
    <w:uiPriority w:val="0"/>
    <w:pPr>
      <w:adjustRightInd w:val="0"/>
      <w:snapToGrid w:val="0"/>
    </w:pPr>
    <w:rPr>
      <w:color w:val="000000"/>
      <w:kern w:val="44"/>
      <w:szCs w:val="20"/>
    </w:rPr>
  </w:style>
  <w:style w:type="character" w:customStyle="1" w:styleId="173">
    <w:name w:val="正文11 字符"/>
    <w:basedOn w:val="42"/>
    <w:link w:val="172"/>
    <w:qFormat/>
    <w:uiPriority w:val="0"/>
    <w:rPr>
      <w:color w:val="000000"/>
      <w:kern w:val="44"/>
      <w:sz w:val="24"/>
    </w:rPr>
  </w:style>
  <w:style w:type="character" w:customStyle="1" w:styleId="174">
    <w:name w:val="表格文字 Char"/>
    <w:link w:val="11"/>
    <w:qFormat/>
    <w:locked/>
    <w:uiPriority w:val="0"/>
    <w:rPr>
      <w:kern w:val="2"/>
      <w:sz w:val="24"/>
    </w:rPr>
  </w:style>
  <w:style w:type="paragraph" w:customStyle="1" w:styleId="175">
    <w:name w:val="要点1"/>
    <w:basedOn w:val="1"/>
    <w:link w:val="177"/>
    <w:uiPriority w:val="0"/>
    <w:pPr>
      <w:adjustRightInd w:val="0"/>
      <w:snapToGrid w:val="0"/>
      <w:spacing w:before="50" w:beforeLines="50"/>
      <w:ind w:firstLine="0" w:firstLineChars="0"/>
      <w:jc w:val="left"/>
    </w:pPr>
    <w:rPr>
      <w:rFonts w:hAnsi="宋体" w:cs="宋体"/>
      <w:b/>
      <w:kern w:val="0"/>
    </w:rPr>
  </w:style>
  <w:style w:type="character" w:customStyle="1" w:styleId="176">
    <w:name w:val="表格标题 字符"/>
    <w:uiPriority w:val="0"/>
    <w:rPr>
      <w:b/>
      <w:kern w:val="2"/>
      <w:sz w:val="24"/>
      <w:szCs w:val="24"/>
    </w:rPr>
  </w:style>
  <w:style w:type="character" w:customStyle="1" w:styleId="177">
    <w:name w:val="要点1 字符"/>
    <w:link w:val="175"/>
    <w:qFormat/>
    <w:uiPriority w:val="0"/>
    <w:rPr>
      <w:rFonts w:hAnsi="宋体" w:cs="宋体"/>
      <w:b/>
      <w:sz w:val="24"/>
      <w:szCs w:val="24"/>
    </w:rPr>
  </w:style>
  <w:style w:type="character" w:customStyle="1" w:styleId="178">
    <w:name w:val="未处理的提及2"/>
    <w:basedOn w:val="42"/>
    <w:semiHidden/>
    <w:unhideWhenUsed/>
    <w:uiPriority w:val="99"/>
    <w:rPr>
      <w:color w:val="605E5C"/>
      <w:shd w:val="clear" w:color="auto" w:fill="E1DFDD"/>
    </w:rPr>
  </w:style>
  <w:style w:type="character" w:customStyle="1" w:styleId="179">
    <w:name w:val="未处理的提及3"/>
    <w:basedOn w:val="42"/>
    <w:semiHidden/>
    <w:unhideWhenUsed/>
    <w:uiPriority w:val="99"/>
    <w:rPr>
      <w:color w:val="605E5C"/>
      <w:shd w:val="clear" w:color="auto" w:fill="E1DFDD"/>
    </w:rPr>
  </w:style>
  <w:style w:type="character" w:customStyle="1" w:styleId="180">
    <w:name w:val="NormalCharacter"/>
    <w:qFormat/>
    <w:uiPriority w:val="0"/>
    <w:rPr>
      <w:kern w:val="0"/>
      <w:sz w:val="20"/>
      <w:lang w:eastAsia="zh-CN" w:bidi="ar-SA"/>
    </w:rPr>
  </w:style>
  <w:style w:type="paragraph" w:customStyle="1" w:styleId="181">
    <w:name w:val="正文缩进2字符"/>
    <w:basedOn w:val="1"/>
    <w:uiPriority w:val="0"/>
    <w:pPr>
      <w:ind w:firstLine="720"/>
    </w:pPr>
  </w:style>
  <w:style w:type="character" w:customStyle="1" w:styleId="182">
    <w:name w:val="正文文本首行缩进 字符"/>
    <w:basedOn w:val="94"/>
    <w:link w:val="37"/>
    <w:uiPriority w:val="0"/>
    <w:rPr>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4" Type="http://schemas.openxmlformats.org/officeDocument/2006/relationships/fontTable" Target="fontTable.xml"/><Relationship Id="rId73" Type="http://schemas.openxmlformats.org/officeDocument/2006/relationships/customXml" Target="../customXml/item2.xml"/><Relationship Id="rId72" Type="http://schemas.openxmlformats.org/officeDocument/2006/relationships/numbering" Target="numbering.xml"/><Relationship Id="rId71" Type="http://schemas.openxmlformats.org/officeDocument/2006/relationships/customXml" Target="../customXml/item1.xml"/><Relationship Id="rId70" Type="http://schemas.openxmlformats.org/officeDocument/2006/relationships/image" Target="media/image57.jpeg"/><Relationship Id="rId7" Type="http://schemas.openxmlformats.org/officeDocument/2006/relationships/header" Target="header3.xml"/><Relationship Id="rId69" Type="http://schemas.openxmlformats.org/officeDocument/2006/relationships/image" Target="media/image56.jpeg"/><Relationship Id="rId68" Type="http://schemas.openxmlformats.org/officeDocument/2006/relationships/image" Target="media/image55.jpeg"/><Relationship Id="rId67" Type="http://schemas.openxmlformats.org/officeDocument/2006/relationships/image" Target="media/image54.jpeg"/><Relationship Id="rId66" Type="http://schemas.openxmlformats.org/officeDocument/2006/relationships/image" Target="media/image53.jpeg"/><Relationship Id="rId65" Type="http://schemas.openxmlformats.org/officeDocument/2006/relationships/image" Target="media/image52.jpeg"/><Relationship Id="rId64" Type="http://schemas.openxmlformats.org/officeDocument/2006/relationships/image" Target="media/image51.jpeg"/><Relationship Id="rId63" Type="http://schemas.openxmlformats.org/officeDocument/2006/relationships/image" Target="media/image50.jpeg"/><Relationship Id="rId62" Type="http://schemas.openxmlformats.org/officeDocument/2006/relationships/image" Target="media/image49.jpeg"/><Relationship Id="rId61" Type="http://schemas.openxmlformats.org/officeDocument/2006/relationships/image" Target="media/image48.jpeg"/><Relationship Id="rId60" Type="http://schemas.openxmlformats.org/officeDocument/2006/relationships/image" Target="media/image47.jpeg"/><Relationship Id="rId6" Type="http://schemas.openxmlformats.org/officeDocument/2006/relationships/header" Target="header2.xml"/><Relationship Id="rId59" Type="http://schemas.openxmlformats.org/officeDocument/2006/relationships/image" Target="media/image46.jpeg"/><Relationship Id="rId58" Type="http://schemas.openxmlformats.org/officeDocument/2006/relationships/image" Target="media/image45.jpeg"/><Relationship Id="rId57" Type="http://schemas.openxmlformats.org/officeDocument/2006/relationships/image" Target="media/image44.jpeg"/><Relationship Id="rId56" Type="http://schemas.openxmlformats.org/officeDocument/2006/relationships/image" Target="media/image43.jpeg"/><Relationship Id="rId55" Type="http://schemas.openxmlformats.org/officeDocument/2006/relationships/image" Target="media/image42.jpeg"/><Relationship Id="rId54" Type="http://schemas.openxmlformats.org/officeDocument/2006/relationships/image" Target="media/image41.jpeg"/><Relationship Id="rId53" Type="http://schemas.openxmlformats.org/officeDocument/2006/relationships/image" Target="media/image40.jpeg"/><Relationship Id="rId52" Type="http://schemas.openxmlformats.org/officeDocument/2006/relationships/image" Target="media/image39.jpeg"/><Relationship Id="rId51" Type="http://schemas.openxmlformats.org/officeDocument/2006/relationships/image" Target="media/image38.jpeg"/><Relationship Id="rId50" Type="http://schemas.openxmlformats.org/officeDocument/2006/relationships/image" Target="media/image37.jpeg"/><Relationship Id="rId5" Type="http://schemas.openxmlformats.org/officeDocument/2006/relationships/header" Target="header1.xml"/><Relationship Id="rId49" Type="http://schemas.openxmlformats.org/officeDocument/2006/relationships/image" Target="media/image36.jpeg"/><Relationship Id="rId48" Type="http://schemas.openxmlformats.org/officeDocument/2006/relationships/image" Target="media/image35.jpeg"/><Relationship Id="rId47" Type="http://schemas.openxmlformats.org/officeDocument/2006/relationships/image" Target="media/image34.jpeg"/><Relationship Id="rId46" Type="http://schemas.openxmlformats.org/officeDocument/2006/relationships/image" Target="media/image33.jpeg"/><Relationship Id="rId45" Type="http://schemas.openxmlformats.org/officeDocument/2006/relationships/image" Target="media/image32.jpeg"/><Relationship Id="rId44" Type="http://schemas.openxmlformats.org/officeDocument/2006/relationships/image" Target="media/image31.jpeg"/><Relationship Id="rId43" Type="http://schemas.openxmlformats.org/officeDocument/2006/relationships/image" Target="media/image30.jpeg"/><Relationship Id="rId42" Type="http://schemas.openxmlformats.org/officeDocument/2006/relationships/image" Target="media/image29.jpeg"/><Relationship Id="rId41" Type="http://schemas.openxmlformats.org/officeDocument/2006/relationships/image" Target="media/image28.jpeg"/><Relationship Id="rId40" Type="http://schemas.openxmlformats.org/officeDocument/2006/relationships/image" Target="media/image27.jpeg"/><Relationship Id="rId4" Type="http://schemas.openxmlformats.org/officeDocument/2006/relationships/endnotes" Target="endnotes.xml"/><Relationship Id="rId39" Type="http://schemas.openxmlformats.org/officeDocument/2006/relationships/image" Target="media/image26.jpeg"/><Relationship Id="rId38" Type="http://schemas.openxmlformats.org/officeDocument/2006/relationships/image" Target="media/image25.jpeg"/><Relationship Id="rId37" Type="http://schemas.openxmlformats.org/officeDocument/2006/relationships/image" Target="media/image24.jpeg"/><Relationship Id="rId36" Type="http://schemas.openxmlformats.org/officeDocument/2006/relationships/image" Target="media/image23.jpeg"/><Relationship Id="rId35" Type="http://schemas.openxmlformats.org/officeDocument/2006/relationships/image" Target="media/image22.jpeg"/><Relationship Id="rId34" Type="http://schemas.openxmlformats.org/officeDocument/2006/relationships/image" Target="media/image21.jpeg"/><Relationship Id="rId33" Type="http://schemas.openxmlformats.org/officeDocument/2006/relationships/image" Target="media/image20.jpeg"/><Relationship Id="rId32" Type="http://schemas.openxmlformats.org/officeDocument/2006/relationships/image" Target="media/image19.jpeg"/><Relationship Id="rId31" Type="http://schemas.openxmlformats.org/officeDocument/2006/relationships/image" Target="media/image18.jpeg"/><Relationship Id="rId30" Type="http://schemas.openxmlformats.org/officeDocument/2006/relationships/image" Target="media/image17.jpeg"/><Relationship Id="rId3" Type="http://schemas.openxmlformats.org/officeDocument/2006/relationships/footnotes" Target="footnotes.xml"/><Relationship Id="rId29" Type="http://schemas.openxmlformats.org/officeDocument/2006/relationships/image" Target="media/image16.jpeg"/><Relationship Id="rId28" Type="http://schemas.openxmlformats.org/officeDocument/2006/relationships/image" Target="media/image15.jpeg"/><Relationship Id="rId27" Type="http://schemas.openxmlformats.org/officeDocument/2006/relationships/image" Target="media/image14.jpeg"/><Relationship Id="rId26" Type="http://schemas.openxmlformats.org/officeDocument/2006/relationships/image" Target="media/image13.jpeg"/><Relationship Id="rId25" Type="http://schemas.openxmlformats.org/officeDocument/2006/relationships/image" Target="media/image12.jpeg"/><Relationship Id="rId24" Type="http://schemas.openxmlformats.org/officeDocument/2006/relationships/image" Target="media/image11.png"/><Relationship Id="rId23" Type="http://schemas.openxmlformats.org/officeDocument/2006/relationships/image" Target="media/image10.png"/><Relationship Id="rId22" Type="http://schemas.openxmlformats.org/officeDocument/2006/relationships/image" Target="media/image9.png"/><Relationship Id="rId21" Type="http://schemas.openxmlformats.org/officeDocument/2006/relationships/image" Target="media/image8.png"/><Relationship Id="rId20" Type="http://schemas.openxmlformats.org/officeDocument/2006/relationships/image" Target="media/image7.png"/><Relationship Id="rId2" Type="http://schemas.openxmlformats.org/officeDocument/2006/relationships/settings" Target="settings.xml"/><Relationship Id="rId19" Type="http://schemas.openxmlformats.org/officeDocument/2006/relationships/image" Target="media/image6.png"/><Relationship Id="rId18" Type="http://schemas.openxmlformats.org/officeDocument/2006/relationships/image" Target="media/image5.png"/><Relationship Id="rId17" Type="http://schemas.openxmlformats.org/officeDocument/2006/relationships/image" Target="media/image4.png"/><Relationship Id="rId16" Type="http://schemas.openxmlformats.org/officeDocument/2006/relationships/image" Target="media/image3.png"/><Relationship Id="rId15" Type="http://schemas.openxmlformats.org/officeDocument/2006/relationships/image" Target="media/image2.jpeg"/><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0" Type="http://schemas.openxmlformats.org/officeDocument/2006/relationships/font" Target="fonts/font20.odttf"/><Relationship Id="rId2" Type="http://schemas.openxmlformats.org/officeDocument/2006/relationships/font" Target="fonts/font2.odttf"/><Relationship Id="rId19" Type="http://schemas.openxmlformats.org/officeDocument/2006/relationships/font" Target="fonts/font19.odttf"/><Relationship Id="rId18" Type="http://schemas.openxmlformats.org/officeDocument/2006/relationships/font" Target="fonts/font18.odttf"/><Relationship Id="rId17" Type="http://schemas.openxmlformats.org/officeDocument/2006/relationships/font" Target="fonts/font17.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735028-9120-46B9-8161-40B83D74D315}">
  <ds:schemaRefs/>
</ds:datastoreItem>
</file>

<file path=docProps/app.xml><?xml version="1.0" encoding="utf-8"?>
<Properties xmlns="http://schemas.openxmlformats.org/officeDocument/2006/extended-properties" xmlns:vt="http://schemas.openxmlformats.org/officeDocument/2006/docPropsVTypes">
  <Template>wdzx97.dot</Template>
  <Company>微软中国</Company>
  <Pages>101</Pages>
  <Words>6929</Words>
  <Characters>7424</Characters>
  <Lines>318</Lines>
  <Paragraphs>89</Paragraphs>
  <TotalTime>9</TotalTime>
  <ScaleCrop>false</ScaleCrop>
  <LinksUpToDate>false</LinksUpToDate>
  <CharactersWithSpaces>7529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2026-06-18T07:41:00Z</dcterms:created>
  <dc:creator>lhj</dc:creator>
  <cp:lastModifiedBy>柳源环保公司</cp:lastModifiedBy>
  <cp:lastPrinted>2025-07-24T06:44:00Z</cp:lastPrinted>
  <dcterms:modified xsi:type="dcterms:W3CDTF">2026-06-18T08:08:37Z</dcterms:modified>
  <dc:title>（送审稿）柳州雄峰科技有限公司PVC、PE管材管件制造项</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725CEE16F98541728B01CCA61FD6ECE1</vt:lpwstr>
  </property>
  <property fmtid="{D5CDD505-2E9C-101B-9397-08002B2CF9AE}" pid="4" name="KSOTemplateDocerSaveRecord">
    <vt:lpwstr>eyJoZGlkIjoiNzBiMjgxZTQ5NDllZDRkMGQ4MzI1OWVkNjgyODM1ZDQiLCJ1c2VySWQiOiI5MzI0MDAyODEifQ==</vt:lpwstr>
  </property>
</Properties>
</file>