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0434A">
      <w:pPr>
        <w:spacing w:line="1000" w:lineRule="exact"/>
        <w:jc w:val="center"/>
        <w:rPr>
          <w:rFonts w:hint="default" w:ascii="Times New Roman" w:hAnsi="Times New Roman" w:eastAsia="方正大标宋简体" w:cs="Times New Roman"/>
          <w:b/>
          <w:bCs/>
          <w:color w:val="FF0000"/>
          <w:sz w:val="72"/>
          <w:szCs w:val="72"/>
        </w:rPr>
      </w:pPr>
    </w:p>
    <w:p w14:paraId="4D6B8B8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鹿审环批复〔202</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12</w:t>
      </w:r>
      <w:r>
        <w:rPr>
          <w:rFonts w:hint="default" w:ascii="Times New Roman" w:hAnsi="Times New Roman" w:eastAsia="仿宋_GB2312" w:cs="Times New Roman"/>
          <w:color w:val="auto"/>
          <w:sz w:val="32"/>
          <w:szCs w:val="32"/>
          <w:highlight w:val="none"/>
        </w:rPr>
        <w:t>号</w:t>
      </w:r>
    </w:p>
    <w:p w14:paraId="7D8BE9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rPr>
      </w:pPr>
      <w:bookmarkStart w:id="0" w:name="_GoBack"/>
      <w:bookmarkEnd w:id="0"/>
    </w:p>
    <w:p w14:paraId="2F1BDF4E">
      <w:pPr>
        <w:keepNext w:val="0"/>
        <w:keepLines w:val="0"/>
        <w:pageBreakBefore w:val="0"/>
        <w:widowControl/>
        <w:kinsoku/>
        <w:wordWrap/>
        <w:overflowPunct/>
        <w:topLinePunct w:val="0"/>
        <w:autoSpaceDE/>
        <w:autoSpaceDN/>
        <w:bidi w:val="0"/>
        <w:adjustRightInd w:val="0"/>
        <w:snapToGrid w:val="0"/>
        <w:spacing w:after="0" w:line="7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w:t>
      </w:r>
      <w:r>
        <w:rPr>
          <w:rFonts w:hint="eastAsia" w:ascii="方正小标宋_GBK" w:hAnsi="方正小标宋_GBK" w:eastAsia="方正小标宋_GBK" w:cs="方正小标宋_GBK"/>
          <w:sz w:val="44"/>
          <w:szCs w:val="44"/>
          <w:lang w:val="en-US" w:eastAsia="zh-CN"/>
        </w:rPr>
        <w:t>柳州正菱鹿寨水泥有限公司建筑装修垃圾综合利用项目</w:t>
      </w:r>
      <w:r>
        <w:rPr>
          <w:rFonts w:hint="eastAsia" w:ascii="方正小标宋_GBK" w:hAnsi="方正小标宋_GBK" w:eastAsia="方正小标宋_GBK" w:cs="方正小标宋_GBK"/>
          <w:sz w:val="44"/>
          <w:szCs w:val="44"/>
        </w:rPr>
        <w:t>环境影响报告表的批复</w:t>
      </w:r>
    </w:p>
    <w:p w14:paraId="2B9EDE9B">
      <w:pPr>
        <w:keepNext w:val="0"/>
        <w:keepLines w:val="0"/>
        <w:pageBreakBefore w:val="0"/>
        <w:widowControl/>
        <w:kinsoku/>
        <w:wordWrap/>
        <w:overflowPunct/>
        <w:topLinePunct w:val="0"/>
        <w:autoSpaceDE/>
        <w:autoSpaceDN/>
        <w:bidi w:val="0"/>
        <w:adjustRightInd w:val="0"/>
        <w:snapToGrid w:val="0"/>
        <w:spacing w:after="0" w:line="700" w:lineRule="exact"/>
        <w:jc w:val="center"/>
        <w:textAlignment w:val="auto"/>
        <w:rPr>
          <w:rFonts w:hint="default" w:ascii="Times New Roman" w:hAnsi="Times New Roman" w:eastAsia="仿宋_GB2312" w:cs="Times New Roman"/>
          <w:sz w:val="32"/>
          <w:szCs w:val="32"/>
        </w:rPr>
      </w:pPr>
    </w:p>
    <w:p w14:paraId="64CA9A7F">
      <w:pPr>
        <w:keepNext w:val="0"/>
        <w:keepLines w:val="0"/>
        <w:pageBreakBefore w:val="0"/>
        <w:widowControl/>
        <w:kinsoku/>
        <w:wordWrap/>
        <w:overflowPunct/>
        <w:topLinePunct w:val="0"/>
        <w:autoSpaceDE/>
        <w:autoSpaceDN/>
        <w:bidi w:val="0"/>
        <w:adjustRightInd w:val="0"/>
        <w:snapToGrid w:val="0"/>
        <w:spacing w:after="0" w:line="580" w:lineRule="exact"/>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default" w:ascii="Times New Roman" w:hAnsi="Times New Roman" w:eastAsia="仿宋_GB2312" w:cs="Times New Roman"/>
          <w:spacing w:val="8"/>
          <w:sz w:val="32"/>
          <w:szCs w:val="32"/>
          <w:lang w:val="en-US" w:eastAsia="zh-CN" w:bidi="ar-SA"/>
        </w:rPr>
        <w:t>柳州正菱鹿寨水泥有限公司：</w:t>
      </w:r>
    </w:p>
    <w:p w14:paraId="73DDA0E8">
      <w:pPr>
        <w:keepNext w:val="0"/>
        <w:keepLines w:val="0"/>
        <w:pageBreakBefore w:val="0"/>
        <w:widowControl/>
        <w:kinsoku/>
        <w:wordWrap/>
        <w:overflowPunct/>
        <w:topLinePunct w:val="0"/>
        <w:autoSpaceDE/>
        <w:autoSpaceDN/>
        <w:bidi w:val="0"/>
        <w:adjustRightInd w:val="0"/>
        <w:snapToGrid w:val="0"/>
        <w:spacing w:after="0" w:line="58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default" w:ascii="Times New Roman" w:hAnsi="Times New Roman" w:eastAsia="仿宋_GB2312" w:cs="Times New Roman"/>
          <w:spacing w:val="8"/>
          <w:sz w:val="32"/>
          <w:szCs w:val="32"/>
          <w:lang w:val="en-US" w:eastAsia="zh-CN" w:bidi="ar-SA"/>
        </w:rPr>
        <w:t>你单位报来的《建筑装修垃圾综合利用项目环境影响报告表》收悉。经审查，批复如下：</w:t>
      </w:r>
    </w:p>
    <w:p w14:paraId="0E5F7504">
      <w:pPr>
        <w:keepNext w:val="0"/>
        <w:keepLines w:val="0"/>
        <w:pageBreakBefore w:val="0"/>
        <w:widowControl/>
        <w:kinsoku/>
        <w:wordWrap/>
        <w:overflowPunct/>
        <w:topLinePunct w:val="0"/>
        <w:autoSpaceDE/>
        <w:autoSpaceDN/>
        <w:bidi w:val="0"/>
        <w:adjustRightInd w:val="0"/>
        <w:snapToGrid w:val="0"/>
        <w:spacing w:after="0" w:line="580" w:lineRule="exact"/>
        <w:ind w:firstLine="640"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Fonts w:hint="eastAsia" w:ascii="黑体" w:hAnsi="黑体" w:eastAsia="黑体" w:cs="黑体"/>
          <w:sz w:val="32"/>
          <w:szCs w:val="32"/>
          <w:lang w:val="en-US" w:eastAsia="zh-CN"/>
        </w:rPr>
        <w:t>一、</w:t>
      </w:r>
      <w:r>
        <w:rPr>
          <w:rFonts w:hint="default" w:ascii="Times New Roman" w:hAnsi="Times New Roman" w:eastAsia="仿宋_GB2312" w:cs="Times New Roman"/>
          <w:sz w:val="32"/>
          <w:szCs w:val="32"/>
          <w:lang w:val="en-US" w:eastAsia="zh-CN"/>
        </w:rPr>
        <w:t>项目位于</w:t>
      </w:r>
      <w:r>
        <w:rPr>
          <w:rStyle w:val="21"/>
          <w:rFonts w:hint="default" w:ascii="Times New Roman" w:hAnsi="Times New Roman" w:eastAsia="仿宋_GB2312" w:cs="Times New Roman"/>
          <w:spacing w:val="8"/>
          <w:sz w:val="32"/>
          <w:szCs w:val="32"/>
          <w:lang w:val="en-US" w:eastAsia="zh-CN" w:bidi="ar-SA"/>
        </w:rPr>
        <w:t>广西壮族自治区柳州市鹿寨县鹿寨镇（城关乡）对亭（中心坐标：东经109°40′55.417″，北纬24°25′27.401″），项目总用地面积为2565㎡，属于改建项目，依托现有工程闲置厂房进行改建，主要建设生产厂房、建筑垃圾临时堆放区、固废暂存区、木材暂存区、仓库，配套相应的环保工程，建设一条年处理建筑垃圾10万吨的生产线，配备链板机、3D分选机、磁选机、振动筛、四轴AI分选机器人等设备。项目建成后年产7万吨骨料和1万吨木材。总投资375万元，其中环保投资38.5万元。</w:t>
      </w:r>
    </w:p>
    <w:p w14:paraId="2DF30C30">
      <w:pPr>
        <w:keepNext w:val="0"/>
        <w:keepLines w:val="0"/>
        <w:pageBreakBefore w:val="0"/>
        <w:widowControl/>
        <w:kinsoku/>
        <w:wordWrap/>
        <w:overflowPunct/>
        <w:topLinePunct w:val="0"/>
        <w:autoSpaceDE/>
        <w:autoSpaceDN/>
        <w:bidi w:val="0"/>
        <w:adjustRightInd w:val="0"/>
        <w:snapToGrid w:val="0"/>
        <w:spacing w:after="0" w:line="58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default" w:ascii="Times New Roman" w:hAnsi="Times New Roman" w:eastAsia="仿宋_GB2312" w:cs="Times New Roman"/>
          <w:spacing w:val="8"/>
          <w:sz w:val="32"/>
          <w:szCs w:val="32"/>
          <w:lang w:val="en-US" w:eastAsia="zh-CN" w:bidi="ar-SA"/>
        </w:rPr>
        <w:t>本项目已在“广西投资项目在线并联审批监管平台”进行了备案登记，项目代码：2604-450223-07-02-362783。从环境影响角度考虑，同意你公司按照报告表所列的建设项目的地点、性质、规模、采取的环境保护对策措施及下述要求进行项目建设。</w:t>
      </w:r>
    </w:p>
    <w:p w14:paraId="3C9E90E1">
      <w:pPr>
        <w:keepNext w:val="0"/>
        <w:keepLines w:val="0"/>
        <w:pageBreakBefore w:val="0"/>
        <w:widowControl/>
        <w:kinsoku/>
        <w:wordWrap/>
        <w:overflowPunct/>
        <w:topLinePunct w:val="0"/>
        <w:autoSpaceDE/>
        <w:autoSpaceDN/>
        <w:bidi w:val="0"/>
        <w:adjustRightInd w:val="0"/>
        <w:snapToGrid w:val="0"/>
        <w:spacing w:after="0" w:line="580" w:lineRule="exact"/>
        <w:ind w:firstLine="640"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Fonts w:hint="eastAsia" w:ascii="黑体" w:hAnsi="黑体" w:eastAsia="黑体" w:cs="黑体"/>
          <w:sz w:val="32"/>
          <w:szCs w:val="32"/>
          <w:lang w:val="en-US" w:eastAsia="zh-CN"/>
        </w:rPr>
        <w:t>二、</w:t>
      </w:r>
      <w:r>
        <w:rPr>
          <w:rStyle w:val="21"/>
          <w:rFonts w:hint="default" w:ascii="Times New Roman" w:hAnsi="Times New Roman" w:eastAsia="仿宋_GB2312" w:cs="Times New Roman"/>
          <w:spacing w:val="8"/>
          <w:sz w:val="32"/>
          <w:szCs w:val="32"/>
          <w:lang w:val="en-US" w:eastAsia="zh-CN" w:bidi="ar-SA"/>
        </w:rPr>
        <w:t>项目须落实报告表提出的各项环保要求，重点抓好以下环保工作：</w:t>
      </w:r>
    </w:p>
    <w:p w14:paraId="4491F4B1">
      <w:pPr>
        <w:keepNext w:val="0"/>
        <w:keepLines w:val="0"/>
        <w:pageBreakBefore w:val="0"/>
        <w:widowControl/>
        <w:kinsoku/>
        <w:wordWrap/>
        <w:overflowPunct/>
        <w:topLinePunct w:val="0"/>
        <w:autoSpaceDE/>
        <w:autoSpaceDN/>
        <w:bidi w:val="0"/>
        <w:adjustRightInd w:val="0"/>
        <w:snapToGrid w:val="0"/>
        <w:spacing w:after="0" w:line="58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（一）</w:t>
      </w:r>
      <w:r>
        <w:rPr>
          <w:rStyle w:val="21"/>
          <w:rFonts w:hint="default" w:ascii="Times New Roman" w:hAnsi="Times New Roman" w:eastAsia="仿宋_GB2312" w:cs="Times New Roman"/>
          <w:spacing w:val="8"/>
          <w:sz w:val="32"/>
          <w:szCs w:val="32"/>
          <w:lang w:val="en-US" w:eastAsia="zh-CN" w:bidi="ar-SA"/>
        </w:rPr>
        <w:t>项目给料及破碎筛分废气通过集气罩或密闭负压收集经布袋除尘器处理后，经15m高排气筒DA019排放，确保颗粒物有组织排放符合《大气污染物综合排放标准》（GB16297-1996）表2中二级最高允许排放速率和最高允许排放浓度要求。</w:t>
      </w:r>
    </w:p>
    <w:p w14:paraId="3DC1124D">
      <w:pPr>
        <w:keepNext w:val="0"/>
        <w:keepLines w:val="0"/>
        <w:pageBreakBefore w:val="0"/>
        <w:widowControl/>
        <w:kinsoku/>
        <w:wordWrap/>
        <w:overflowPunct/>
        <w:topLinePunct w:val="0"/>
        <w:autoSpaceDE/>
        <w:autoSpaceDN/>
        <w:bidi w:val="0"/>
        <w:adjustRightInd w:val="0"/>
        <w:snapToGrid w:val="0"/>
        <w:spacing w:after="0" w:line="58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（二）</w:t>
      </w:r>
      <w:r>
        <w:rPr>
          <w:rStyle w:val="21"/>
          <w:rFonts w:hint="default" w:ascii="Times New Roman" w:hAnsi="Times New Roman" w:eastAsia="仿宋_GB2312" w:cs="Times New Roman"/>
          <w:spacing w:val="8"/>
          <w:sz w:val="32"/>
          <w:szCs w:val="32"/>
          <w:lang w:val="en-US" w:eastAsia="zh-CN" w:bidi="ar-SA"/>
        </w:rPr>
        <w:t>项目输送废气、堆场废气、运输车辆废气采用洒水抑尘措施处理后无组织排放，确保项目厂界的颗粒物无组织排放浓度符合《水泥工业大气污染物排放标准》（GB4915-2013）表3中大气污染物无组织排放限值要求。</w:t>
      </w:r>
    </w:p>
    <w:p w14:paraId="1EBFAB80">
      <w:pPr>
        <w:keepNext w:val="0"/>
        <w:keepLines w:val="0"/>
        <w:pageBreakBefore w:val="0"/>
        <w:widowControl/>
        <w:kinsoku/>
        <w:wordWrap/>
        <w:overflowPunct/>
        <w:topLinePunct w:val="0"/>
        <w:autoSpaceDE/>
        <w:autoSpaceDN/>
        <w:bidi w:val="0"/>
        <w:adjustRightInd w:val="0"/>
        <w:snapToGrid w:val="0"/>
        <w:spacing w:after="0" w:line="58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（三）</w:t>
      </w:r>
      <w:r>
        <w:rPr>
          <w:rStyle w:val="21"/>
          <w:rFonts w:hint="default" w:ascii="Times New Roman" w:hAnsi="Times New Roman" w:eastAsia="仿宋_GB2312" w:cs="Times New Roman"/>
          <w:spacing w:val="8"/>
          <w:sz w:val="32"/>
          <w:szCs w:val="32"/>
          <w:lang w:val="en-US" w:eastAsia="zh-CN" w:bidi="ar-SA"/>
        </w:rPr>
        <w:t>项目废水主要为生产废水，生产废水为抑尘废水和车辆清洗废水。抑尘废水自然蒸发，不外排；车辆清洗废水经沉淀池沉淀回用于清洗，不外排。</w:t>
      </w:r>
    </w:p>
    <w:p w14:paraId="2B3B1BF8">
      <w:pPr>
        <w:keepNext w:val="0"/>
        <w:keepLines w:val="0"/>
        <w:pageBreakBefore w:val="0"/>
        <w:widowControl/>
        <w:kinsoku/>
        <w:wordWrap/>
        <w:overflowPunct/>
        <w:topLinePunct w:val="0"/>
        <w:autoSpaceDE/>
        <w:autoSpaceDN/>
        <w:bidi w:val="0"/>
        <w:adjustRightInd w:val="0"/>
        <w:snapToGrid w:val="0"/>
        <w:spacing w:after="0" w:line="58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（四）</w:t>
      </w:r>
      <w:r>
        <w:rPr>
          <w:rStyle w:val="21"/>
          <w:rFonts w:hint="default" w:ascii="Times New Roman" w:hAnsi="Times New Roman" w:eastAsia="仿宋_GB2312" w:cs="Times New Roman"/>
          <w:spacing w:val="8"/>
          <w:sz w:val="32"/>
          <w:szCs w:val="32"/>
          <w:lang w:val="en-US" w:eastAsia="zh-CN" w:bidi="ar-SA"/>
        </w:rPr>
        <w:t>合理布局高噪音设备，对噪声源强较大的设备采取有效的隔声降噪减震措施。施工期各施工机械噪声符合《建筑施工噪声排放标准》（GB12523-2025）表1建筑施工场界噪声排放限值要求，运营期项目厂界四周噪声符合《工业企业厂界环境噪声排放标准》（GB12348-2008）3类标准要求。</w:t>
      </w:r>
    </w:p>
    <w:p w14:paraId="7523695F">
      <w:pPr>
        <w:keepNext w:val="0"/>
        <w:keepLines w:val="0"/>
        <w:pageBreakBefore w:val="0"/>
        <w:widowControl/>
        <w:kinsoku/>
        <w:wordWrap/>
        <w:overflowPunct/>
        <w:topLinePunct w:val="0"/>
        <w:autoSpaceDE/>
        <w:autoSpaceDN/>
        <w:bidi w:val="0"/>
        <w:adjustRightInd w:val="0"/>
        <w:snapToGrid w:val="0"/>
        <w:spacing w:after="0" w:line="58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（五）</w:t>
      </w:r>
      <w:r>
        <w:rPr>
          <w:rStyle w:val="21"/>
          <w:rFonts w:hint="default" w:ascii="Times New Roman" w:hAnsi="Times New Roman" w:eastAsia="仿宋_GB2312" w:cs="Times New Roman"/>
          <w:spacing w:val="8"/>
          <w:sz w:val="32"/>
          <w:szCs w:val="32"/>
          <w:lang w:val="en-US" w:eastAsia="zh-CN" w:bidi="ar-SA"/>
        </w:rPr>
        <w:t>做好一般固体废物的综合利用和妥善处置工作。一般工业固体废物执行《一般工业固体废物贮存和填埋污染控制标准》（GB18599-2020），按要求设置相关污染防治设施。</w:t>
      </w:r>
    </w:p>
    <w:p w14:paraId="2792B239">
      <w:pPr>
        <w:keepNext w:val="0"/>
        <w:keepLines w:val="0"/>
        <w:pageBreakBefore w:val="0"/>
        <w:widowControl/>
        <w:kinsoku/>
        <w:wordWrap/>
        <w:overflowPunct/>
        <w:topLinePunct w:val="0"/>
        <w:autoSpaceDE/>
        <w:autoSpaceDN/>
        <w:bidi w:val="0"/>
        <w:adjustRightInd w:val="0"/>
        <w:snapToGrid w:val="0"/>
        <w:spacing w:after="0" w:line="58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（六）</w:t>
      </w:r>
      <w:r>
        <w:rPr>
          <w:rStyle w:val="21"/>
          <w:rFonts w:hint="default" w:ascii="Times New Roman" w:hAnsi="Times New Roman" w:eastAsia="仿宋_GB2312" w:cs="Times New Roman"/>
          <w:spacing w:val="8"/>
          <w:sz w:val="32"/>
          <w:szCs w:val="32"/>
          <w:lang w:val="en-US" w:eastAsia="zh-CN" w:bidi="ar-SA"/>
        </w:rPr>
        <w:t>危险废物的暂存及转运执行《危险废物贮存污染控制标准》（GB18597-2023）的规定设置相关污染防治设施。</w:t>
      </w:r>
    </w:p>
    <w:p w14:paraId="18D3B5B0">
      <w:pPr>
        <w:keepNext w:val="0"/>
        <w:keepLines w:val="0"/>
        <w:pageBreakBefore w:val="0"/>
        <w:widowControl/>
        <w:kinsoku/>
        <w:wordWrap/>
        <w:overflowPunct/>
        <w:topLinePunct w:val="0"/>
        <w:autoSpaceDE/>
        <w:autoSpaceDN/>
        <w:bidi w:val="0"/>
        <w:adjustRightInd w:val="0"/>
        <w:snapToGrid w:val="0"/>
        <w:spacing w:after="0" w:line="580" w:lineRule="exact"/>
        <w:ind w:firstLine="672"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Style w:val="21"/>
          <w:rFonts w:hint="eastAsia" w:ascii="华文楷体" w:hAnsi="华文楷体" w:eastAsia="华文楷体" w:cs="华文楷体"/>
          <w:spacing w:val="8"/>
          <w:sz w:val="32"/>
          <w:szCs w:val="32"/>
          <w:lang w:val="en-US" w:eastAsia="zh-CN" w:bidi="ar-SA"/>
        </w:rPr>
        <w:t>（七）</w:t>
      </w:r>
      <w:r>
        <w:rPr>
          <w:rStyle w:val="21"/>
          <w:rFonts w:hint="default" w:ascii="Times New Roman" w:hAnsi="Times New Roman" w:eastAsia="仿宋_GB2312" w:cs="Times New Roman"/>
          <w:spacing w:val="8"/>
          <w:sz w:val="32"/>
          <w:szCs w:val="32"/>
          <w:lang w:val="en-US" w:eastAsia="zh-CN" w:bidi="ar-SA"/>
        </w:rPr>
        <w:t>按照《环境保护图形标志一排污口(源)》和《排污口规范化整治要求(试行)》有关规定建设规范化的排污口，须按排污许可相关管理要求定期进行监测。</w:t>
      </w:r>
    </w:p>
    <w:p w14:paraId="0A5C85A0">
      <w:pPr>
        <w:keepNext w:val="0"/>
        <w:keepLines w:val="0"/>
        <w:pageBreakBefore w:val="0"/>
        <w:widowControl/>
        <w:kinsoku/>
        <w:wordWrap/>
        <w:overflowPunct/>
        <w:topLinePunct w:val="0"/>
        <w:autoSpaceDE/>
        <w:autoSpaceDN/>
        <w:bidi w:val="0"/>
        <w:adjustRightInd w:val="0"/>
        <w:snapToGrid w:val="0"/>
        <w:spacing w:after="0" w:line="580" w:lineRule="exact"/>
        <w:ind w:firstLine="672" w:firstLineChars="200"/>
        <w:jc w:val="both"/>
        <w:textAlignment w:val="auto"/>
        <w:rPr>
          <w:rFonts w:hint="default" w:ascii="Times New Roman" w:hAnsi="Times New Roman" w:eastAsia="仿宋_GB2312" w:cs="Times New Roman"/>
          <w:sz w:val="32"/>
          <w:szCs w:val="32"/>
        </w:rPr>
      </w:pPr>
      <w:r>
        <w:rPr>
          <w:rStyle w:val="21"/>
          <w:rFonts w:hint="eastAsia" w:ascii="华文楷体" w:hAnsi="华文楷体" w:eastAsia="华文楷体" w:cs="华文楷体"/>
          <w:spacing w:val="8"/>
          <w:sz w:val="32"/>
          <w:szCs w:val="32"/>
          <w:lang w:val="en-US" w:eastAsia="zh-CN" w:bidi="ar-SA"/>
        </w:rPr>
        <w:t>（八）</w:t>
      </w:r>
      <w:r>
        <w:rPr>
          <w:rStyle w:val="21"/>
          <w:rFonts w:hint="default" w:ascii="Times New Roman" w:hAnsi="Times New Roman" w:eastAsia="仿宋_GB2312" w:cs="Times New Roman"/>
          <w:spacing w:val="8"/>
          <w:sz w:val="32"/>
          <w:szCs w:val="32"/>
          <w:lang w:val="en-US" w:eastAsia="zh-CN" w:bidi="ar-SA"/>
        </w:rPr>
        <w:t>按照《关于印发〈企业事业单位突发环境事件应急预案备案管理办法(试行)〉的通知》(环发〔2015〕4号)等相关要求，制定应急预案，配备相应的应急保障物资，落实环境风险防范措施，定期进行应急演练。建立健全施工、运行期环保管理制度，加强环境管理，制定并落实环境保护规章制度，确保环保措施的有效落实，环保设施的正常运转以及各项污染物稳定达标排放。</w:t>
      </w:r>
    </w:p>
    <w:p w14:paraId="0807C964">
      <w:pPr>
        <w:keepNext w:val="0"/>
        <w:keepLines w:val="0"/>
        <w:pageBreakBefore w:val="0"/>
        <w:widowControl/>
        <w:kinsoku/>
        <w:wordWrap/>
        <w:overflowPunct/>
        <w:topLinePunct w:val="0"/>
        <w:autoSpaceDE/>
        <w:autoSpaceDN/>
        <w:bidi w:val="0"/>
        <w:adjustRightInd w:val="0"/>
        <w:snapToGrid w:val="0"/>
        <w:spacing w:after="0" w:line="580" w:lineRule="exact"/>
        <w:ind w:firstLine="640" w:firstLineChars="200"/>
        <w:jc w:val="both"/>
        <w:textAlignment w:val="auto"/>
        <w:rPr>
          <w:rStyle w:val="21"/>
          <w:rFonts w:hint="default" w:ascii="Times New Roman" w:hAnsi="Times New Roman" w:eastAsia="仿宋_GB2312" w:cs="Times New Roman"/>
          <w:spacing w:val="8"/>
          <w:sz w:val="32"/>
          <w:szCs w:val="32"/>
          <w:lang w:val="en-US" w:eastAsia="zh-CN" w:bidi="ar-SA"/>
        </w:rPr>
      </w:pPr>
      <w:r>
        <w:rPr>
          <w:rFonts w:hint="eastAsia" w:ascii="黑体" w:hAnsi="黑体" w:eastAsia="黑体" w:cs="黑体"/>
          <w:sz w:val="32"/>
          <w:szCs w:val="32"/>
          <w:lang w:val="en-US" w:eastAsia="zh-CN"/>
        </w:rPr>
        <w:t>三、</w:t>
      </w:r>
      <w:r>
        <w:rPr>
          <w:rStyle w:val="21"/>
          <w:rFonts w:hint="default" w:ascii="Times New Roman" w:hAnsi="Times New Roman" w:eastAsia="仿宋_GB2312" w:cs="Times New Roman"/>
          <w:spacing w:val="8"/>
          <w:sz w:val="32"/>
          <w:szCs w:val="32"/>
          <w:lang w:val="en-US" w:eastAsia="zh-CN" w:bidi="ar-SA"/>
        </w:rPr>
        <w:t>该项目建设必须严格执行环境保护设施与主体工程同时设计、同时施工、同时投产使用的环境保护“三同时”制度，落实各项环境保护措施。工程建成后，须按《建设项目竣工环境保护验收暂行办法》要求实施竣工环境保护验收。未经验收，不得擅自投产。</w:t>
      </w:r>
    </w:p>
    <w:p w14:paraId="06E70BD4">
      <w:pPr>
        <w:pStyle w:val="17"/>
        <w:keepNext w:val="0"/>
        <w:keepLines w:val="0"/>
        <w:pageBreakBefore w:val="0"/>
        <w:widowControl/>
        <w:kinsoku/>
        <w:wordWrap/>
        <w:overflowPunct/>
        <w:topLinePunct w:val="0"/>
        <w:autoSpaceDE/>
        <w:autoSpaceDN/>
        <w:bidi w:val="0"/>
        <w:adjustRightInd w:val="0"/>
        <w:snapToGrid w:val="0"/>
        <w:spacing w:line="580" w:lineRule="exact"/>
        <w:ind w:left="0" w:leftChars="0" w:firstLine="640" w:firstLineChars="200"/>
        <w:jc w:val="both"/>
        <w:textAlignment w:val="auto"/>
        <w:rPr>
          <w:rFonts w:hint="default" w:ascii="Times New Roman" w:hAnsi="Times New Roman" w:eastAsia="仿宋_GB2312" w:cs="Times New Roman"/>
          <w:sz w:val="32"/>
          <w:szCs w:val="32"/>
          <w:highlight w:val="none"/>
        </w:rPr>
      </w:pPr>
      <w:r>
        <w:rPr>
          <w:rFonts w:hint="eastAsia" w:ascii="黑体" w:hAnsi="黑体" w:eastAsia="黑体" w:cs="黑体"/>
          <w:sz w:val="32"/>
          <w:szCs w:val="32"/>
        </w:rPr>
        <w:t>四、</w:t>
      </w:r>
      <w:r>
        <w:rPr>
          <w:rFonts w:hint="default" w:ascii="Times New Roman" w:hAnsi="Times New Roman" w:eastAsia="仿宋_GB2312" w:cs="Times New Roman"/>
          <w:sz w:val="32"/>
          <w:szCs w:val="32"/>
        </w:rPr>
        <w:t>建设项目的性质、规模、地点、采用的生产工艺或者防治污染、防止生态破坏的措施发生重大变动的，建设单位应当重新报批建设项目的环境影响评价文件。建设项目的环境影响评价文件自批准之日起超过五年，方决定该项目开工建设的，其环境影响评价文件应当报我局重新审核同意后方可建设。</w:t>
      </w:r>
    </w:p>
    <w:p w14:paraId="4F5AB403">
      <w:pPr>
        <w:pStyle w:val="18"/>
        <w:keepNext w:val="0"/>
        <w:keepLines w:val="0"/>
        <w:pageBreakBefore w:val="0"/>
        <w:kinsoku/>
        <w:wordWrap/>
        <w:overflowPunct/>
        <w:topLinePunct w:val="0"/>
        <w:bidi w:val="0"/>
        <w:spacing w:line="580" w:lineRule="exact"/>
        <w:jc w:val="both"/>
        <w:textAlignment w:val="auto"/>
        <w:rPr>
          <w:rFonts w:hint="default" w:ascii="Times New Roman" w:hAnsi="Times New Roman" w:eastAsia="仿宋_GB2312" w:cs="Times New Roman"/>
          <w:sz w:val="32"/>
          <w:szCs w:val="32"/>
        </w:rPr>
      </w:pPr>
    </w:p>
    <w:p w14:paraId="47D37092">
      <w:pPr>
        <w:pStyle w:val="18"/>
        <w:keepNext w:val="0"/>
        <w:keepLines w:val="0"/>
        <w:pageBreakBefore w:val="0"/>
        <w:kinsoku/>
        <w:wordWrap/>
        <w:overflowPunct/>
        <w:topLinePunct w:val="0"/>
        <w:bidi w:val="0"/>
        <w:spacing w:line="580" w:lineRule="exact"/>
        <w:jc w:val="both"/>
        <w:textAlignment w:val="auto"/>
        <w:rPr>
          <w:rFonts w:hint="default" w:ascii="Times New Roman" w:hAnsi="Times New Roman" w:eastAsia="仿宋_GB2312" w:cs="Times New Roman"/>
          <w:sz w:val="32"/>
          <w:szCs w:val="32"/>
        </w:rPr>
      </w:pPr>
    </w:p>
    <w:p w14:paraId="2BAD7705">
      <w:pPr>
        <w:pStyle w:val="24"/>
        <w:keepNext w:val="0"/>
        <w:keepLines w:val="0"/>
        <w:pageBreakBefore w:val="0"/>
        <w:widowControl w:val="0"/>
        <w:kinsoku/>
        <w:wordWrap/>
        <w:overflowPunct/>
        <w:topLinePunct w:val="0"/>
        <w:bidi w:val="0"/>
        <w:snapToGrid/>
        <w:spacing w:line="580" w:lineRule="exact"/>
        <w:ind w:firstLine="5440" w:firstLineChars="17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鹿寨县行政审批局</w:t>
      </w:r>
    </w:p>
    <w:p w14:paraId="2B3F55A2">
      <w:pPr>
        <w:pStyle w:val="24"/>
        <w:keepNext w:val="0"/>
        <w:keepLines w:val="0"/>
        <w:pageBreakBefore w:val="0"/>
        <w:widowControl w:val="0"/>
        <w:kinsoku/>
        <w:wordWrap/>
        <w:overflowPunct/>
        <w:topLinePunct w:val="0"/>
        <w:bidi w:val="0"/>
        <w:snapToGrid/>
        <w:spacing w:line="580" w:lineRule="exact"/>
        <w:ind w:firstLine="5760" w:firstLineChars="18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2026年</w:t>
      </w:r>
      <w:r>
        <w:rPr>
          <w:rFonts w:hint="eastAsia" w:asci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lang w:val="en-US" w:eastAsia="zh-CN"/>
        </w:rPr>
        <w:t>月</w:t>
      </w:r>
      <w:r>
        <w:rPr>
          <w:rFonts w:hint="eastAsia" w:asci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en-US" w:eastAsia="zh-CN"/>
        </w:rPr>
        <w:t>日</w:t>
      </w:r>
    </w:p>
    <w:p w14:paraId="6B5B1D38">
      <w:pPr>
        <w:pStyle w:val="15"/>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Style w:val="21"/>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lang w:val="en-US" w:eastAsia="zh-CN"/>
        </w:rPr>
        <w:t>（此件公开发布）</w:t>
      </w:r>
    </w:p>
    <w:tbl>
      <w:tblPr>
        <w:tblStyle w:val="19"/>
        <w:tblpPr w:leftFromText="180" w:rightFromText="180" w:vertAnchor="text" w:horzAnchor="page" w:tblpX="1427" w:tblpY="7643"/>
        <w:tblOverlap w:val="never"/>
        <w:tblW w:w="9039" w:type="dxa"/>
        <w:tblInd w:w="0" w:type="dxa"/>
        <w:tblLayout w:type="fixed"/>
        <w:tblCellMar>
          <w:top w:w="0" w:type="dxa"/>
          <w:left w:w="108" w:type="dxa"/>
          <w:bottom w:w="0" w:type="dxa"/>
          <w:right w:w="108" w:type="dxa"/>
        </w:tblCellMar>
      </w:tblPr>
      <w:tblGrid>
        <w:gridCol w:w="4946"/>
        <w:gridCol w:w="4093"/>
      </w:tblGrid>
      <w:tr w14:paraId="7979FF62">
        <w:tblPrEx>
          <w:tblCellMar>
            <w:top w:w="0" w:type="dxa"/>
            <w:left w:w="108" w:type="dxa"/>
            <w:bottom w:w="0" w:type="dxa"/>
            <w:right w:w="108" w:type="dxa"/>
          </w:tblCellMar>
        </w:tblPrEx>
        <w:trPr>
          <w:trHeight w:val="690" w:hRule="exact"/>
        </w:trPr>
        <w:tc>
          <w:tcPr>
            <w:tcW w:w="4946" w:type="dxa"/>
            <w:tcBorders>
              <w:top w:val="single" w:color="000000" w:sz="4" w:space="0"/>
              <w:bottom w:val="single" w:color="000000" w:sz="4" w:space="0"/>
            </w:tcBorders>
            <w:tcMar>
              <w:left w:w="0" w:type="dxa"/>
              <w:right w:w="0" w:type="dxa"/>
            </w:tcMar>
          </w:tcPr>
          <w:p w14:paraId="2E125A91">
            <w:pPr>
              <w:keepNext w:val="0"/>
              <w:keepLines w:val="0"/>
              <w:pageBreakBefore w:val="0"/>
              <w:widowControl/>
              <w:kinsoku/>
              <w:wordWrap/>
              <w:overflowPunct/>
              <w:topLinePunct w:val="0"/>
              <w:autoSpaceDE w:val="0"/>
              <w:autoSpaceDN w:val="0"/>
              <w:bidi w:val="0"/>
              <w:adjustRightInd/>
              <w:snapToGrid/>
              <w:spacing w:after="0" w:line="580" w:lineRule="exact"/>
              <w:ind w:left="0" w:leftChars="0" w:right="0" w:firstLine="320" w:firstLineChars="1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val="0"/>
                <w:i w:val="0"/>
                <w:color w:val="auto"/>
                <w:sz w:val="32"/>
                <w:szCs w:val="32"/>
                <w:highlight w:val="none"/>
                <w:lang w:eastAsia="zh-CN"/>
              </w:rPr>
              <w:t>鹿寨县</w:t>
            </w:r>
            <w:r>
              <w:rPr>
                <w:rFonts w:hint="default" w:ascii="Times New Roman" w:hAnsi="Times New Roman" w:eastAsia="仿宋_GB2312" w:cs="Times New Roman"/>
                <w:b w:val="0"/>
                <w:i w:val="0"/>
                <w:color w:val="auto"/>
                <w:sz w:val="32"/>
                <w:szCs w:val="32"/>
                <w:highlight w:val="none"/>
                <w:lang w:val="en-US" w:eastAsia="zh-CN"/>
              </w:rPr>
              <w:t>行政审批局</w:t>
            </w:r>
          </w:p>
        </w:tc>
        <w:tc>
          <w:tcPr>
            <w:tcW w:w="4093" w:type="dxa"/>
            <w:tcBorders>
              <w:top w:val="single" w:color="000000" w:sz="4" w:space="0"/>
              <w:bottom w:val="single" w:color="000000" w:sz="4" w:space="0"/>
            </w:tcBorders>
            <w:tcMar>
              <w:left w:w="0" w:type="dxa"/>
              <w:right w:w="0" w:type="dxa"/>
            </w:tcMar>
          </w:tcPr>
          <w:p w14:paraId="425123F9">
            <w:pPr>
              <w:keepNext w:val="0"/>
              <w:keepLines w:val="0"/>
              <w:pageBreakBefore w:val="0"/>
              <w:widowControl/>
              <w:kinsoku/>
              <w:wordWrap w:val="0"/>
              <w:overflowPunct/>
              <w:topLinePunct w:val="0"/>
              <w:autoSpaceDE w:val="0"/>
              <w:autoSpaceDN w:val="0"/>
              <w:bidi w:val="0"/>
              <w:adjustRightInd/>
              <w:snapToGrid/>
              <w:spacing w:after="0" w:line="580" w:lineRule="exact"/>
              <w:ind w:left="0" w:leftChars="0" w:right="0" w:firstLine="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i w:val="0"/>
                <w:color w:val="auto"/>
                <w:sz w:val="32"/>
                <w:szCs w:val="32"/>
                <w:highlight w:val="none"/>
                <w:lang w:val="en-US" w:eastAsia="zh-CN"/>
              </w:rPr>
              <w:t xml:space="preserve">     </w:t>
            </w:r>
            <w:r>
              <w:rPr>
                <w:rFonts w:hint="default" w:ascii="Times New Roman" w:hAnsi="Times New Roman" w:eastAsia="仿宋_GB2312" w:cs="Times New Roman"/>
                <w:b w:val="0"/>
                <w:i w:val="0"/>
                <w:color w:val="auto"/>
                <w:sz w:val="32"/>
                <w:szCs w:val="32"/>
                <w:highlight w:val="none"/>
              </w:rPr>
              <w:t>202</w:t>
            </w:r>
            <w:r>
              <w:rPr>
                <w:rFonts w:hint="default" w:ascii="Times New Roman" w:hAnsi="Times New Roman" w:eastAsia="仿宋_GB2312" w:cs="Times New Roman"/>
                <w:b w:val="0"/>
                <w:i w:val="0"/>
                <w:color w:val="auto"/>
                <w:sz w:val="32"/>
                <w:szCs w:val="32"/>
                <w:highlight w:val="none"/>
                <w:lang w:val="en-US" w:eastAsia="zh-CN"/>
              </w:rPr>
              <w:t>6</w:t>
            </w:r>
            <w:r>
              <w:rPr>
                <w:rFonts w:hint="default" w:ascii="Times New Roman" w:hAnsi="Times New Roman" w:eastAsia="仿宋_GB2312" w:cs="Times New Roman"/>
                <w:b w:val="0"/>
                <w:i w:val="0"/>
                <w:color w:val="auto"/>
                <w:sz w:val="32"/>
                <w:szCs w:val="32"/>
                <w:highlight w:val="none"/>
              </w:rPr>
              <w:t>年</w:t>
            </w:r>
            <w:r>
              <w:rPr>
                <w:rFonts w:hint="eastAsia" w:ascii="Times New Roman" w:hAnsi="Times New Roman" w:eastAsia="仿宋_GB2312" w:cs="Times New Roman"/>
                <w:b w:val="0"/>
                <w:i w:val="0"/>
                <w:color w:val="auto"/>
                <w:sz w:val="32"/>
                <w:szCs w:val="32"/>
                <w:highlight w:val="none"/>
                <w:lang w:val="en-US" w:eastAsia="zh-CN"/>
              </w:rPr>
              <w:t>8</w:t>
            </w:r>
            <w:r>
              <w:rPr>
                <w:rFonts w:hint="default" w:ascii="Times New Roman" w:hAnsi="Times New Roman" w:eastAsia="仿宋_GB2312" w:cs="Times New Roman"/>
                <w:b w:val="0"/>
                <w:i w:val="0"/>
                <w:color w:val="auto"/>
                <w:sz w:val="32"/>
                <w:szCs w:val="32"/>
                <w:highlight w:val="none"/>
              </w:rPr>
              <w:t>月</w:t>
            </w:r>
            <w:r>
              <w:rPr>
                <w:rFonts w:hint="eastAsia" w:ascii="Times New Roman" w:hAnsi="Times New Roman" w:eastAsia="仿宋_GB2312" w:cs="Times New Roman"/>
                <w:b w:val="0"/>
                <w:i w:val="0"/>
                <w:color w:val="auto"/>
                <w:sz w:val="32"/>
                <w:szCs w:val="32"/>
                <w:highlight w:val="none"/>
                <w:lang w:val="en-US" w:eastAsia="zh-CN"/>
              </w:rPr>
              <w:t>3</w:t>
            </w:r>
            <w:r>
              <w:rPr>
                <w:rFonts w:hint="default" w:ascii="Times New Roman" w:hAnsi="Times New Roman" w:eastAsia="仿宋_GB2312" w:cs="Times New Roman"/>
                <w:b w:val="0"/>
                <w:i w:val="0"/>
                <w:color w:val="auto"/>
                <w:sz w:val="32"/>
                <w:szCs w:val="32"/>
                <w:highlight w:val="none"/>
              </w:rPr>
              <w:t>日印发</w:t>
            </w:r>
            <w:r>
              <w:rPr>
                <w:rFonts w:hint="default" w:ascii="Times New Roman" w:hAnsi="Times New Roman" w:eastAsia="仿宋_GB2312" w:cs="Times New Roman"/>
                <w:b w:val="0"/>
                <w:i w:val="0"/>
                <w:color w:val="auto"/>
                <w:sz w:val="32"/>
                <w:szCs w:val="32"/>
                <w:highlight w:val="none"/>
                <w:lang w:val="en-US" w:eastAsia="zh-CN"/>
              </w:rPr>
              <w:t xml:space="preserve"> </w:t>
            </w:r>
          </w:p>
        </w:tc>
      </w:tr>
    </w:tbl>
    <w:p w14:paraId="71313362">
      <w:pPr>
        <w:keepNext w:val="0"/>
        <w:keepLines w:val="0"/>
        <w:pageBreakBefore w:val="0"/>
        <w:tabs>
          <w:tab w:val="left" w:pos="624"/>
        </w:tabs>
        <w:kinsoku/>
        <w:overflowPunct/>
        <w:topLinePunct w:val="0"/>
        <w:bidi w:val="0"/>
        <w:spacing w:line="580" w:lineRule="exact"/>
        <w:jc w:val="both"/>
        <w:textAlignment w:val="auto"/>
        <w:rPr>
          <w:rFonts w:hint="default" w:ascii="Times New Roman" w:hAnsi="Times New Roman" w:eastAsia="仿宋_GB2312" w:cs="Times New Roman"/>
          <w:sz w:val="32"/>
          <w:szCs w:val="32"/>
        </w:rPr>
      </w:pPr>
    </w:p>
    <w:sectPr>
      <w:footerReference r:id="rId5" w:type="default"/>
      <w:pgSz w:w="11906" w:h="16838"/>
      <w:pgMar w:top="1701" w:right="1587" w:bottom="1587"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大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07E7B">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9E5D8">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7D9E5D8">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8209BF"/>
    <w:rsid w:val="006742D7"/>
    <w:rsid w:val="01A94DBD"/>
    <w:rsid w:val="01BD4437"/>
    <w:rsid w:val="0298354F"/>
    <w:rsid w:val="03A23C2B"/>
    <w:rsid w:val="03D915F6"/>
    <w:rsid w:val="05D77DDA"/>
    <w:rsid w:val="06A22B87"/>
    <w:rsid w:val="06A43CA6"/>
    <w:rsid w:val="07E378DF"/>
    <w:rsid w:val="0969158D"/>
    <w:rsid w:val="0B5560CC"/>
    <w:rsid w:val="0C6F4537"/>
    <w:rsid w:val="0CF03F1F"/>
    <w:rsid w:val="0DA52F37"/>
    <w:rsid w:val="110428E2"/>
    <w:rsid w:val="11FA4F89"/>
    <w:rsid w:val="13594D07"/>
    <w:rsid w:val="13DC573D"/>
    <w:rsid w:val="14E072FC"/>
    <w:rsid w:val="16120CDA"/>
    <w:rsid w:val="1C83383D"/>
    <w:rsid w:val="1D060DCF"/>
    <w:rsid w:val="1DF27EBB"/>
    <w:rsid w:val="1E056B65"/>
    <w:rsid w:val="1E150CFE"/>
    <w:rsid w:val="1FE677E9"/>
    <w:rsid w:val="200F04DE"/>
    <w:rsid w:val="20862B7C"/>
    <w:rsid w:val="20D2374C"/>
    <w:rsid w:val="219B4C07"/>
    <w:rsid w:val="242816D4"/>
    <w:rsid w:val="24731667"/>
    <w:rsid w:val="24F36FDC"/>
    <w:rsid w:val="25991459"/>
    <w:rsid w:val="26963079"/>
    <w:rsid w:val="28A020C2"/>
    <w:rsid w:val="299B7D30"/>
    <w:rsid w:val="2BBF1BD7"/>
    <w:rsid w:val="2DDD6814"/>
    <w:rsid w:val="35495A82"/>
    <w:rsid w:val="36871691"/>
    <w:rsid w:val="381A4C7D"/>
    <w:rsid w:val="3A0B18FE"/>
    <w:rsid w:val="3C7469E1"/>
    <w:rsid w:val="3DA95824"/>
    <w:rsid w:val="448A2B45"/>
    <w:rsid w:val="44DC0B83"/>
    <w:rsid w:val="468E712C"/>
    <w:rsid w:val="488209BF"/>
    <w:rsid w:val="49173142"/>
    <w:rsid w:val="495D774B"/>
    <w:rsid w:val="49CB465C"/>
    <w:rsid w:val="49CB6F0C"/>
    <w:rsid w:val="4BE60029"/>
    <w:rsid w:val="4C40214D"/>
    <w:rsid w:val="4D1A7EFD"/>
    <w:rsid w:val="4EDF6B18"/>
    <w:rsid w:val="4FE13AC3"/>
    <w:rsid w:val="52B97029"/>
    <w:rsid w:val="55D22E84"/>
    <w:rsid w:val="593C6887"/>
    <w:rsid w:val="59FB09AB"/>
    <w:rsid w:val="5A7A302D"/>
    <w:rsid w:val="5AB40B22"/>
    <w:rsid w:val="5BFD27F2"/>
    <w:rsid w:val="5C0B515B"/>
    <w:rsid w:val="5CF51811"/>
    <w:rsid w:val="60AB49A7"/>
    <w:rsid w:val="61CA5D0C"/>
    <w:rsid w:val="636E1985"/>
    <w:rsid w:val="63A02D3B"/>
    <w:rsid w:val="646E0600"/>
    <w:rsid w:val="655E6422"/>
    <w:rsid w:val="6785363E"/>
    <w:rsid w:val="68A679DC"/>
    <w:rsid w:val="69864348"/>
    <w:rsid w:val="6A5D61CC"/>
    <w:rsid w:val="6B1A09C3"/>
    <w:rsid w:val="6D7C7EBA"/>
    <w:rsid w:val="6E0C075C"/>
    <w:rsid w:val="6E484FE8"/>
    <w:rsid w:val="6FB96264"/>
    <w:rsid w:val="70580F62"/>
    <w:rsid w:val="71AF444F"/>
    <w:rsid w:val="724355FB"/>
    <w:rsid w:val="779B07D5"/>
    <w:rsid w:val="79580F30"/>
    <w:rsid w:val="7B365EB0"/>
    <w:rsid w:val="7C731C9B"/>
    <w:rsid w:val="7CF57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6">
    <w:name w:val="heading 1"/>
    <w:basedOn w:val="7"/>
    <w:next w:val="1"/>
    <w:qFormat/>
    <w:uiPriority w:val="99"/>
    <w:pPr>
      <w:keepNext/>
      <w:overflowPunct w:val="0"/>
      <w:snapToGrid w:val="0"/>
      <w:spacing w:before="120" w:after="160" w:line="259" w:lineRule="auto"/>
      <w:ind w:left="432" w:hanging="432"/>
      <w:outlineLvl w:val="0"/>
    </w:pPr>
    <w:rPr>
      <w:rFonts w:eastAsia="黑体"/>
      <w:bCs/>
      <w:color w:val="000000"/>
      <w:kern w:val="44"/>
      <w:sz w:val="30"/>
      <w:szCs w:val="30"/>
    </w:rPr>
  </w:style>
  <w:style w:type="paragraph" w:styleId="8">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9">
    <w:name w:val="heading 4"/>
    <w:basedOn w:val="1"/>
    <w:next w:val="1"/>
    <w:qFormat/>
    <w:uiPriority w:val="0"/>
    <w:pPr>
      <w:keepNext/>
      <w:keepLines/>
      <w:spacing w:line="240" w:lineRule="auto"/>
      <w:ind w:firstLine="0" w:firstLineChars="0"/>
      <w:outlineLvl w:val="3"/>
    </w:pPr>
    <w:rPr>
      <w:rFonts w:ascii="Arial" w:hAnsi="Arial" w:eastAsia="黑体"/>
      <w:b/>
      <w:bCs/>
      <w:szCs w:val="28"/>
    </w:rPr>
  </w:style>
  <w:style w:type="character" w:default="1" w:styleId="21">
    <w:name w:val="Default Paragraph Font"/>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header"/>
    <w:basedOn w:val="1"/>
    <w:next w:val="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3">
    <w:name w:val="样式 Z正文 + 首行缩进:  2 字符1"/>
    <w:basedOn w:val="4"/>
    <w:qFormat/>
    <w:uiPriority w:val="0"/>
    <w:pPr>
      <w:ind w:firstLine="480"/>
    </w:pPr>
    <w:rPr>
      <w:rFonts w:cs="宋体"/>
    </w:rPr>
  </w:style>
  <w:style w:type="paragraph" w:customStyle="1" w:styleId="4">
    <w:name w:val="Z正文"/>
    <w:basedOn w:val="5"/>
    <w:qFormat/>
    <w:uiPriority w:val="0"/>
    <w:pPr>
      <w:ind w:firstLine="200" w:firstLineChars="200"/>
      <w:outlineLvl w:val="9"/>
    </w:pPr>
    <w:rPr>
      <w:rFonts w:ascii="Times New Roman"/>
      <w:sz w:val="24"/>
      <w:szCs w:val="24"/>
    </w:rPr>
  </w:style>
  <w:style w:type="paragraph" w:customStyle="1" w:styleId="5">
    <w:name w:val="样式 标题 1标题 11Head 1wsah1一、标题2Part'Document章Ch + 加粗"/>
    <w:basedOn w:val="6"/>
    <w:qFormat/>
    <w:uiPriority w:val="0"/>
    <w:rPr>
      <w:rFonts w:ascii="黑体"/>
      <w:sz w:val="32"/>
    </w:rPr>
  </w:style>
  <w:style w:type="paragraph" w:styleId="7">
    <w:name w:val="Title"/>
    <w:basedOn w:val="1"/>
    <w:next w:val="1"/>
    <w:qFormat/>
    <w:uiPriority w:val="0"/>
    <w:pPr>
      <w:spacing w:before="240" w:beforeLines="0" w:beforeAutospacing="0" w:after="60" w:afterLines="0" w:afterAutospacing="0"/>
      <w:jc w:val="center"/>
      <w:outlineLvl w:val="0"/>
    </w:pPr>
    <w:rPr>
      <w:rFonts w:ascii="Arial" w:hAnsi="Arial"/>
      <w:b/>
      <w:sz w:val="32"/>
    </w:rPr>
  </w:style>
  <w:style w:type="paragraph" w:styleId="10">
    <w:name w:val="Normal Indent"/>
    <w:basedOn w:val="1"/>
    <w:next w:val="9"/>
    <w:qFormat/>
    <w:uiPriority w:val="0"/>
    <w:pPr>
      <w:ind w:firstLine="420"/>
    </w:pPr>
    <w:rPr>
      <w:rFonts w:ascii="Calibri" w:hAnsi="Calibri" w:cs="Times New Roman"/>
      <w:szCs w:val="22"/>
    </w:rPr>
  </w:style>
  <w:style w:type="paragraph" w:styleId="11">
    <w:name w:val="Body Text"/>
    <w:basedOn w:val="1"/>
    <w:semiHidden/>
    <w:qFormat/>
    <w:uiPriority w:val="0"/>
    <w:rPr>
      <w:rFonts w:ascii="仿宋" w:hAnsi="仿宋" w:eastAsia="仿宋" w:cs="仿宋"/>
      <w:sz w:val="31"/>
      <w:szCs w:val="31"/>
      <w:lang w:val="en-US" w:eastAsia="en-US" w:bidi="ar-SA"/>
    </w:rPr>
  </w:style>
  <w:style w:type="paragraph" w:styleId="12">
    <w:name w:val="Body Text Indent"/>
    <w:basedOn w:val="1"/>
    <w:next w:val="13"/>
    <w:qFormat/>
    <w:uiPriority w:val="0"/>
    <w:pPr>
      <w:ind w:left="420" w:leftChars="200"/>
    </w:pPr>
  </w:style>
  <w:style w:type="paragraph" w:styleId="13">
    <w:name w:val="Body Text Indent 2"/>
    <w:basedOn w:val="1"/>
    <w:next w:val="1"/>
    <w:qFormat/>
    <w:uiPriority w:val="0"/>
    <w:pPr>
      <w:spacing w:after="120" w:line="480" w:lineRule="auto"/>
      <w:ind w:left="420" w:leftChars="200"/>
    </w:pPr>
  </w:style>
  <w:style w:type="paragraph" w:styleId="14">
    <w:name w:val="footer"/>
    <w:basedOn w:val="1"/>
    <w:qFormat/>
    <w:uiPriority w:val="0"/>
    <w:pPr>
      <w:tabs>
        <w:tab w:val="center" w:pos="4153"/>
        <w:tab w:val="right" w:pos="8306"/>
      </w:tabs>
      <w:snapToGrid w:val="0"/>
      <w:jc w:val="left"/>
    </w:pPr>
    <w:rPr>
      <w:sz w:val="1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w:basedOn w:val="11"/>
    <w:next w:val="17"/>
    <w:unhideWhenUsed/>
    <w:qFormat/>
    <w:uiPriority w:val="99"/>
    <w:pPr>
      <w:snapToGrid/>
      <w:spacing w:before="0" w:after="120" w:line="480" w:lineRule="exact"/>
      <w:ind w:right="0" w:firstLine="420" w:firstLineChars="100"/>
      <w:textAlignment w:val="baseline"/>
    </w:pPr>
    <w:rPr>
      <w:kern w:val="2"/>
      <w:sz w:val="24"/>
      <w:szCs w:val="24"/>
    </w:rPr>
  </w:style>
  <w:style w:type="paragraph" w:styleId="17">
    <w:name w:val="Body Text First Indent 2"/>
    <w:basedOn w:val="12"/>
    <w:next w:val="18"/>
    <w:qFormat/>
    <w:uiPriority w:val="0"/>
    <w:pPr>
      <w:spacing w:after="120"/>
      <w:ind w:firstLine="420" w:firstLineChars="200"/>
    </w:pPr>
    <w:rPr>
      <w:rFonts w:ascii="Calibri" w:hAnsi="Calibri" w:eastAsia="等线"/>
      <w:sz w:val="20"/>
      <w:szCs w:val="20"/>
    </w:rPr>
  </w:style>
  <w:style w:type="paragraph" w:customStyle="1" w:styleId="18">
    <w:name w:val="报告正文"/>
    <w:basedOn w:val="1"/>
    <w:qFormat/>
    <w:uiPriority w:val="0"/>
    <w:pPr>
      <w:spacing w:line="240" w:lineRule="auto"/>
      <w:ind w:firstLine="488" w:firstLineChars="200"/>
      <w:jc w:val="both"/>
    </w:pPr>
    <w:rPr>
      <w:rFonts w:ascii="宋体" w:hAnsi="宋体"/>
      <w:spacing w:val="8"/>
      <w:sz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paragraph" w:customStyle="1" w:styleId="23">
    <w:name w:val="11111"/>
    <w:basedOn w:val="1"/>
    <w:next w:val="1"/>
    <w:qFormat/>
    <w:uiPriority w:val="0"/>
    <w:pPr>
      <w:spacing w:line="360" w:lineRule="auto"/>
      <w:ind w:firstLine="200" w:firstLineChars="200"/>
    </w:pPr>
    <w:rPr>
      <w:rFonts w:ascii="宋体" w:hAnsi="宋体" w:cs="宋体"/>
      <w:szCs w:val="20"/>
    </w:rPr>
  </w:style>
  <w:style w:type="paragraph" w:customStyle="1" w:styleId="24">
    <w:name w:val="Default1"/>
    <w:qFormat/>
    <w:uiPriority w:val="99"/>
    <w:pPr>
      <w:widowControl w:val="0"/>
      <w:autoSpaceDE w:val="0"/>
      <w:autoSpaceDN w:val="0"/>
      <w:adjustRightInd w:val="0"/>
      <w:spacing w:line="360" w:lineRule="auto"/>
      <w:jc w:val="both"/>
    </w:pPr>
    <w:rPr>
      <w:rFonts w:ascii="宋体" w:hAnsi="Times New Roman" w:eastAsia="宋体" w:cs="宋体"/>
      <w:color w:val="000000"/>
      <w:sz w:val="24"/>
      <w:szCs w:val="24"/>
      <w:lang w:val="en-US" w:eastAsia="zh-CN" w:bidi="ar-SA"/>
    </w:rPr>
  </w:style>
  <w:style w:type="paragraph" w:styleId="2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1467</Words>
  <Characters>1610</Characters>
  <Lines>0</Lines>
  <Paragraphs>0</Paragraphs>
  <TotalTime>16</TotalTime>
  <ScaleCrop>false</ScaleCrop>
  <LinksUpToDate>false</LinksUpToDate>
  <CharactersWithSpaces>1623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2024-09-23T01:33:00Z</dcterms:created>
  <dc:creator>◆ｋ.尐綯氣.</dc:creator>
  <cp:lastModifiedBy>杨柳凝妆</cp:lastModifiedBy>
  <cp:lastPrinted>2026-08-04T03:37:00Z</cp:lastPrinted>
  <dcterms:modified xsi:type="dcterms:W3CDTF">2026-08-04T07:13:11Z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386F38AEA6A845B391CE6DAEC802F3E1_13</vt:lpwstr>
  </property>
  <property fmtid="{D5CDD505-2E9C-101B-9397-08002B2CF9AE}" pid="4" name="KSOTemplateDocerSaveRecord">
    <vt:lpwstr>eyJoZGlkIjoiNTlkMWFiZjdiYTQ3ZDEzYzQwYThiZDU2NmU5MmM0ZjIiLCJ1c2VySWQiOiIxMTY2MzMxMzYyIn0=</vt:lpwstr>
  </property>
</Properties>
</file>