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0434A">
      <w:pPr>
        <w:spacing w:line="1000" w:lineRule="exact"/>
        <w:jc w:val="center"/>
        <w:rPr>
          <w:rFonts w:hint="default" w:ascii="Times New Roman" w:hAnsi="Times New Roman" w:eastAsia="方正大标宋简体" w:cs="Times New Roman"/>
          <w:b/>
          <w:bCs/>
          <w:color w:val="FF0000"/>
          <w:sz w:val="72"/>
          <w:szCs w:val="72"/>
        </w:rPr>
      </w:pPr>
    </w:p>
    <w:p w14:paraId="4D6B8B8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鹿审环批复〔202</w:t>
      </w:r>
      <w:r>
        <w:rPr>
          <w:rFonts w:hint="eastAsia" w:ascii="Times New Roman" w:hAnsi="Times New Roman" w:eastAsia="仿宋" w:cs="Times New Roman"/>
          <w:color w:val="auto"/>
          <w:sz w:val="32"/>
          <w:szCs w:val="32"/>
          <w:highlight w:val="none"/>
          <w:lang w:val="en-US" w:eastAsia="zh-CN"/>
        </w:rPr>
        <w:t>6</w:t>
      </w:r>
      <w:r>
        <w:rPr>
          <w:rFonts w:hint="default" w:ascii="Times New Roman" w:hAnsi="Times New Roman" w:eastAsia="仿宋" w:cs="Times New Roman"/>
          <w:color w:val="auto"/>
          <w:sz w:val="32"/>
          <w:szCs w:val="32"/>
          <w:highlight w:val="none"/>
        </w:rPr>
        <w:t>〕</w:t>
      </w:r>
      <w:r>
        <w:rPr>
          <w:rFonts w:hint="eastAsia" w:hAnsi="Times New Roman" w:eastAsia="仿宋" w:cs="Times New Roman"/>
          <w:color w:val="auto"/>
          <w:sz w:val="32"/>
          <w:szCs w:val="32"/>
          <w:highlight w:val="none"/>
          <w:lang w:val="en-US" w:eastAsia="zh-CN"/>
        </w:rPr>
        <w:t>14</w:t>
      </w:r>
      <w:r>
        <w:rPr>
          <w:rFonts w:hint="default" w:ascii="Times New Roman" w:hAnsi="Times New Roman" w:eastAsia="仿宋" w:cs="Times New Roman"/>
          <w:color w:val="auto"/>
          <w:sz w:val="32"/>
          <w:szCs w:val="32"/>
          <w:highlight w:val="none"/>
        </w:rPr>
        <w:t>号</w:t>
      </w:r>
    </w:p>
    <w:p w14:paraId="7D8BE9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rPr>
      </w:pPr>
      <w:bookmarkStart w:id="0" w:name="_GoBack"/>
      <w:bookmarkEnd w:id="0"/>
    </w:p>
    <w:p w14:paraId="6B1C15F9">
      <w:pPr>
        <w:keepNext w:val="0"/>
        <w:keepLines w:val="0"/>
        <w:pageBreakBefore w:val="0"/>
        <w:widowControl/>
        <w:kinsoku/>
        <w:wordWrap/>
        <w:overflowPunct/>
        <w:topLinePunct w:val="0"/>
        <w:autoSpaceDE/>
        <w:autoSpaceDN/>
        <w:bidi w:val="0"/>
        <w:adjustRightInd w:val="0"/>
        <w:snapToGrid w:val="0"/>
        <w:spacing w:after="0" w:line="700" w:lineRule="exact"/>
        <w:jc w:val="center"/>
        <w:textAlignment w:val="auto"/>
        <w:rPr>
          <w:rFonts w:hint="eastAsia" w:ascii="Times New Roman" w:hAnsi="方正小标宋_GBK" w:eastAsia="方正小标宋_GBK" w:cs="方正小标宋_GBK"/>
          <w:sz w:val="44"/>
          <w:szCs w:val="44"/>
          <w:lang w:val="en-US" w:eastAsia="zh-CN"/>
        </w:rPr>
      </w:pPr>
      <w:r>
        <w:rPr>
          <w:rFonts w:hint="eastAsia" w:ascii="Times New Roman" w:hAnsi="方正小标宋_GBK" w:eastAsia="方正小标宋_GBK" w:cs="方正小标宋_GBK"/>
          <w:sz w:val="44"/>
          <w:szCs w:val="44"/>
        </w:rPr>
        <w:t>关于</w:t>
      </w:r>
      <w:r>
        <w:rPr>
          <w:rFonts w:hint="eastAsia" w:ascii="Times New Roman" w:hAnsi="方正小标宋_GBK" w:eastAsia="方正小标宋_GBK" w:cs="方正小标宋_GBK"/>
          <w:sz w:val="44"/>
          <w:szCs w:val="44"/>
          <w:lang w:val="en-US" w:eastAsia="zh-CN"/>
        </w:rPr>
        <w:t>鹿寨县强汇石化有限公司鹿寨县平山</w:t>
      </w:r>
    </w:p>
    <w:p w14:paraId="2F1BDF4E">
      <w:pPr>
        <w:keepNext w:val="0"/>
        <w:keepLines w:val="0"/>
        <w:pageBreakBefore w:val="0"/>
        <w:widowControl/>
        <w:kinsoku/>
        <w:wordWrap/>
        <w:overflowPunct/>
        <w:topLinePunct w:val="0"/>
        <w:autoSpaceDE/>
        <w:autoSpaceDN/>
        <w:bidi w:val="0"/>
        <w:adjustRightInd w:val="0"/>
        <w:snapToGrid w:val="0"/>
        <w:spacing w:after="0" w:line="700" w:lineRule="exact"/>
        <w:jc w:val="center"/>
        <w:textAlignment w:val="auto"/>
        <w:rPr>
          <w:rFonts w:hint="eastAsia" w:ascii="Times New Roman" w:hAnsi="方正小标宋_GBK" w:eastAsia="方正小标宋_GBK" w:cs="方正小标宋_GBK"/>
          <w:sz w:val="44"/>
          <w:szCs w:val="44"/>
        </w:rPr>
      </w:pPr>
      <w:r>
        <w:rPr>
          <w:rFonts w:hint="eastAsia" w:ascii="Times New Roman" w:hAnsi="方正小标宋_GBK" w:eastAsia="方正小标宋_GBK" w:cs="方正小标宋_GBK"/>
          <w:sz w:val="44"/>
          <w:szCs w:val="44"/>
          <w:lang w:val="en-US" w:eastAsia="zh-CN"/>
        </w:rPr>
        <w:t>福元加油站项目</w:t>
      </w:r>
      <w:r>
        <w:rPr>
          <w:rFonts w:hint="eastAsia" w:ascii="Times New Roman" w:hAnsi="方正小标宋_GBK" w:eastAsia="方正小标宋_GBK" w:cs="方正小标宋_GBK"/>
          <w:sz w:val="44"/>
          <w:szCs w:val="44"/>
        </w:rPr>
        <w:t>环境影响报告表的批复</w:t>
      </w:r>
    </w:p>
    <w:p w14:paraId="2B9EDE9B">
      <w:pPr>
        <w:keepNext w:val="0"/>
        <w:keepLines w:val="0"/>
        <w:pageBreakBefore w:val="0"/>
        <w:widowControl/>
        <w:kinsoku/>
        <w:wordWrap/>
        <w:overflowPunct/>
        <w:topLinePunct w:val="0"/>
        <w:autoSpaceDE/>
        <w:autoSpaceDN/>
        <w:bidi w:val="0"/>
        <w:adjustRightInd w:val="0"/>
        <w:snapToGrid w:val="0"/>
        <w:spacing w:after="0" w:line="700" w:lineRule="exact"/>
        <w:jc w:val="center"/>
        <w:textAlignment w:val="auto"/>
        <w:rPr>
          <w:rFonts w:hint="default" w:ascii="Times New Roman" w:hAnsi="Times New Roman" w:eastAsia="仿宋" w:cs="Times New Roman"/>
          <w:sz w:val="32"/>
          <w:szCs w:val="32"/>
        </w:rPr>
      </w:pPr>
    </w:p>
    <w:p w14:paraId="64CA9A7F">
      <w:pPr>
        <w:keepNext w:val="0"/>
        <w:keepLines w:val="0"/>
        <w:pageBreakBefore w:val="0"/>
        <w:widowControl/>
        <w:kinsoku/>
        <w:wordWrap/>
        <w:overflowPunct/>
        <w:topLinePunct w:val="0"/>
        <w:autoSpaceDE/>
        <w:autoSpaceDN/>
        <w:bidi w:val="0"/>
        <w:adjustRightInd w:val="0"/>
        <w:snapToGrid w:val="0"/>
        <w:spacing w:after="0" w:line="560" w:lineRule="exact"/>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default" w:ascii="Times New Roman" w:hAnsi="Times New Roman" w:eastAsia="仿宋_GB2312" w:cs="Times New Roman"/>
          <w:spacing w:val="8"/>
          <w:sz w:val="32"/>
          <w:szCs w:val="32"/>
          <w:lang w:val="en-US" w:eastAsia="zh-CN" w:bidi="ar-SA"/>
        </w:rPr>
        <w:t>鹿寨县强汇石化有限公司：</w:t>
      </w:r>
    </w:p>
    <w:p w14:paraId="73DDA0E8">
      <w:pPr>
        <w:keepNext w:val="0"/>
        <w:keepLines w:val="0"/>
        <w:pageBreakBefore w:val="0"/>
        <w:widowControl/>
        <w:kinsoku/>
        <w:wordWrap/>
        <w:overflowPunct/>
        <w:topLinePunct w:val="0"/>
        <w:autoSpaceDE/>
        <w:autoSpaceDN/>
        <w:bidi w:val="0"/>
        <w:adjustRightInd w:val="0"/>
        <w:snapToGrid w:val="0"/>
        <w:spacing w:after="0" w:line="56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default" w:ascii="Times New Roman" w:hAnsi="Times New Roman" w:eastAsia="仿宋_GB2312" w:cs="Times New Roman"/>
          <w:spacing w:val="8"/>
          <w:sz w:val="32"/>
          <w:szCs w:val="32"/>
          <w:lang w:val="en-US" w:eastAsia="zh-CN" w:bidi="ar-SA"/>
        </w:rPr>
        <w:t>你单位报来的《鹿寨县平山福元加油站项目环境影响报告表》收悉。经审查，批复如下：</w:t>
      </w:r>
    </w:p>
    <w:p w14:paraId="0E5F7504">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Fonts w:hint="eastAsia" w:ascii="黑体" w:hAnsi="黑体" w:eastAsia="黑体" w:cs="黑体"/>
          <w:sz w:val="32"/>
          <w:szCs w:val="32"/>
          <w:lang w:val="en-US" w:eastAsia="zh-CN"/>
        </w:rPr>
        <w:t>一、</w:t>
      </w:r>
      <w:r>
        <w:rPr>
          <w:rFonts w:hint="default" w:ascii="Times New Roman" w:hAnsi="Times New Roman" w:eastAsia="仿宋_GB2312" w:cs="Times New Roman"/>
          <w:sz w:val="32"/>
          <w:szCs w:val="32"/>
          <w:lang w:val="en-US" w:eastAsia="zh-CN"/>
        </w:rPr>
        <w:t>项目位于</w:t>
      </w:r>
      <w:r>
        <w:rPr>
          <w:rStyle w:val="21"/>
          <w:rFonts w:hint="default" w:ascii="Times New Roman" w:hAnsi="Times New Roman" w:eastAsia="仿宋_GB2312" w:cs="Times New Roman"/>
          <w:spacing w:val="8"/>
          <w:sz w:val="32"/>
          <w:szCs w:val="32"/>
          <w:lang w:val="en-US" w:eastAsia="zh-CN" w:bidi="ar-SA"/>
        </w:rPr>
        <w:t>广西壮族自治区柳州市鹿寨县平山镇福元屯（中心坐标：东经109°34′25.673″，北纬24°40′7.752″），项目总用地面积为2904.44㎡，属于新建项目，建设内容主要包括设置3个埋地式双层SF油罐（1个30m</w:t>
      </w:r>
      <w:r>
        <w:rPr>
          <w:rStyle w:val="21"/>
          <w:rFonts w:hint="default" w:ascii="Times New Roman" w:hAnsi="Times New Roman" w:eastAsia="仿宋_GB2312" w:cs="Times New Roman"/>
          <w:spacing w:val="6"/>
          <w:sz w:val="32"/>
          <w:szCs w:val="32"/>
          <w:vertAlign w:val="superscript"/>
          <w:lang w:val="en-US" w:eastAsia="zh-CN" w:bidi="ar-SA"/>
        </w:rPr>
        <w:t>3</w:t>
      </w:r>
      <w:r>
        <w:rPr>
          <w:rStyle w:val="21"/>
          <w:rFonts w:hint="default" w:ascii="Times New Roman" w:hAnsi="Times New Roman" w:eastAsia="仿宋_GB2312" w:cs="Times New Roman"/>
          <w:spacing w:val="8"/>
          <w:sz w:val="32"/>
          <w:szCs w:val="32"/>
          <w:lang w:val="en-US" w:eastAsia="zh-CN" w:bidi="ar-SA"/>
        </w:rPr>
        <w:t>92#汽油储罐，1个30m</w:t>
      </w:r>
      <w:r>
        <w:rPr>
          <w:rStyle w:val="21"/>
          <w:rFonts w:hint="default" w:ascii="Times New Roman" w:hAnsi="Times New Roman" w:eastAsia="仿宋_GB2312" w:cs="Times New Roman"/>
          <w:spacing w:val="6"/>
          <w:sz w:val="32"/>
          <w:szCs w:val="32"/>
          <w:vertAlign w:val="superscript"/>
          <w:lang w:val="en-US" w:eastAsia="zh-CN" w:bidi="ar-SA"/>
        </w:rPr>
        <w:t>3</w:t>
      </w:r>
      <w:r>
        <w:rPr>
          <w:rStyle w:val="21"/>
          <w:rFonts w:hint="default" w:ascii="Times New Roman" w:hAnsi="Times New Roman" w:eastAsia="仿宋_GB2312" w:cs="Times New Roman"/>
          <w:spacing w:val="6"/>
          <w:sz w:val="32"/>
          <w:szCs w:val="32"/>
          <w:vertAlign w:val="baseline"/>
          <w:lang w:val="en-US" w:eastAsia="zh-CN" w:bidi="ar-SA"/>
        </w:rPr>
        <w:t>95#汽油储罐</w:t>
      </w:r>
      <w:r>
        <w:rPr>
          <w:rStyle w:val="21"/>
          <w:rFonts w:hint="default" w:ascii="Times New Roman" w:hAnsi="Times New Roman" w:eastAsia="仿宋_GB2312" w:cs="Times New Roman"/>
          <w:spacing w:val="8"/>
          <w:sz w:val="32"/>
          <w:szCs w:val="32"/>
          <w:lang w:val="en-US" w:eastAsia="zh-CN" w:bidi="ar-SA"/>
        </w:rPr>
        <w:t>，1个30m</w:t>
      </w:r>
      <w:r>
        <w:rPr>
          <w:rStyle w:val="21"/>
          <w:rFonts w:hint="default" w:ascii="Times New Roman" w:hAnsi="Times New Roman" w:eastAsia="仿宋_GB2312" w:cs="Times New Roman"/>
          <w:spacing w:val="6"/>
          <w:sz w:val="32"/>
          <w:szCs w:val="32"/>
          <w:vertAlign w:val="superscript"/>
          <w:lang w:val="en-US" w:eastAsia="zh-CN" w:bidi="ar-SA"/>
        </w:rPr>
        <w:t>3</w:t>
      </w:r>
      <w:r>
        <w:rPr>
          <w:rStyle w:val="21"/>
          <w:rFonts w:hint="default" w:ascii="Times New Roman" w:hAnsi="Times New Roman" w:eastAsia="仿宋_GB2312" w:cs="Times New Roman"/>
          <w:spacing w:val="6"/>
          <w:sz w:val="32"/>
          <w:szCs w:val="32"/>
          <w:vertAlign w:val="baseline"/>
          <w:lang w:val="en-US" w:eastAsia="zh-CN" w:bidi="ar-SA"/>
        </w:rPr>
        <w:t>0#柴油储罐），</w:t>
      </w:r>
      <w:r>
        <w:rPr>
          <w:rStyle w:val="21"/>
          <w:rFonts w:hint="default" w:ascii="Times New Roman" w:hAnsi="Times New Roman" w:eastAsia="仿宋_GB2312" w:cs="Times New Roman"/>
          <w:spacing w:val="8"/>
          <w:sz w:val="32"/>
          <w:szCs w:val="32"/>
          <w:lang w:val="en-US" w:eastAsia="zh-CN" w:bidi="ar-SA"/>
        </w:rPr>
        <w:t>配备加油机2台，配套罩棚、站房等设施。总投资1400万元，其中环保投资33.5万元。</w:t>
      </w:r>
    </w:p>
    <w:p w14:paraId="2DF30C30">
      <w:pPr>
        <w:keepNext w:val="0"/>
        <w:keepLines w:val="0"/>
        <w:pageBreakBefore w:val="0"/>
        <w:widowControl/>
        <w:kinsoku/>
        <w:wordWrap/>
        <w:overflowPunct/>
        <w:topLinePunct w:val="0"/>
        <w:autoSpaceDE/>
        <w:autoSpaceDN/>
        <w:bidi w:val="0"/>
        <w:adjustRightInd w:val="0"/>
        <w:snapToGrid w:val="0"/>
        <w:spacing w:after="0" w:line="56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default" w:ascii="Times New Roman" w:hAnsi="Times New Roman" w:eastAsia="仿宋_GB2312" w:cs="Times New Roman"/>
          <w:spacing w:val="8"/>
          <w:sz w:val="32"/>
          <w:szCs w:val="32"/>
          <w:lang w:val="en-US" w:eastAsia="zh-CN" w:bidi="ar-SA"/>
        </w:rPr>
        <w:t>本项目已在“广西投资项目在线并联审批监管平台”进行了备案登记，项目代码：2309-450223-04-01-558257。从环境影响角度考虑，同意你公司按照报告表所列的建设项目的地点、性质、规模、采取的环境保护对策措施及下述要求进行项目建设。</w:t>
      </w:r>
    </w:p>
    <w:p w14:paraId="3C9E90E1">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Fonts w:hint="eastAsia" w:ascii="黑体" w:hAnsi="黑体" w:eastAsia="黑体" w:cs="黑体"/>
          <w:sz w:val="32"/>
          <w:szCs w:val="32"/>
          <w:lang w:val="en-US" w:eastAsia="zh-CN"/>
        </w:rPr>
        <w:t>二、</w:t>
      </w:r>
      <w:r>
        <w:rPr>
          <w:rStyle w:val="21"/>
          <w:rFonts w:hint="default" w:ascii="Times New Roman" w:hAnsi="Times New Roman" w:eastAsia="仿宋_GB2312" w:cs="Times New Roman"/>
          <w:spacing w:val="8"/>
          <w:sz w:val="32"/>
          <w:szCs w:val="32"/>
          <w:lang w:val="en-US" w:eastAsia="zh-CN" w:bidi="ar-SA"/>
        </w:rPr>
        <w:t>项目须落实报告表提出的各项环保要求，重点抓好以下环保工作：</w:t>
      </w:r>
    </w:p>
    <w:p w14:paraId="255F8A36">
      <w:pPr>
        <w:keepNext w:val="0"/>
        <w:keepLines w:val="0"/>
        <w:pageBreakBefore w:val="0"/>
        <w:widowControl/>
        <w:kinsoku/>
        <w:wordWrap/>
        <w:overflowPunct/>
        <w:topLinePunct w:val="0"/>
        <w:autoSpaceDE/>
        <w:autoSpaceDN/>
        <w:bidi w:val="0"/>
        <w:adjustRightInd w:val="0"/>
        <w:snapToGrid w:val="0"/>
        <w:spacing w:after="0" w:line="56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（一）</w:t>
      </w:r>
      <w:r>
        <w:rPr>
          <w:rStyle w:val="21"/>
          <w:rFonts w:hint="default" w:ascii="Times New Roman" w:hAnsi="Times New Roman" w:eastAsia="仿宋_GB2312" w:cs="Times New Roman"/>
          <w:spacing w:val="8"/>
          <w:sz w:val="32"/>
          <w:szCs w:val="32"/>
          <w:lang w:val="en-US" w:eastAsia="zh-CN" w:bidi="ar-SA"/>
        </w:rPr>
        <w:t>项目建设期间必须采取有效的降尘防尘措施，严格落实施工场地周边围挡、避免大风天气作业、物料堆放覆盖、运输车辆封闭、施工场地定期洒水等抑尘措施，有效防止扬尘污染，施工期颗粒物排放执行《大气污染物综合排放标准》（GB16297－1996）无组织排放监控浓度限值要求。</w:t>
      </w:r>
    </w:p>
    <w:p w14:paraId="0E4792EF">
      <w:pPr>
        <w:keepNext w:val="0"/>
        <w:keepLines w:val="0"/>
        <w:pageBreakBefore w:val="0"/>
        <w:widowControl/>
        <w:kinsoku/>
        <w:wordWrap/>
        <w:overflowPunct/>
        <w:topLinePunct w:val="0"/>
        <w:autoSpaceDE/>
        <w:autoSpaceDN/>
        <w:bidi w:val="0"/>
        <w:adjustRightInd w:val="0"/>
        <w:snapToGrid w:val="0"/>
        <w:spacing w:after="0" w:line="56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（二）</w:t>
      </w:r>
      <w:r>
        <w:rPr>
          <w:rStyle w:val="21"/>
          <w:rFonts w:hint="default" w:ascii="Times New Roman" w:hAnsi="Times New Roman" w:eastAsia="仿宋_GB2312" w:cs="Times New Roman"/>
          <w:spacing w:val="8"/>
          <w:sz w:val="32"/>
          <w:szCs w:val="32"/>
          <w:lang w:val="en-US" w:eastAsia="zh-CN" w:bidi="ar-SA"/>
        </w:rPr>
        <w:t>卸油、加油采用油气回收系统，运营期非甲烷总烃排放需满足《加油站大气污染物排放标准》（GB20952-2020）、《挥发性有机物无组织控制标准》（GB37822-2019）相关标准。</w:t>
      </w:r>
    </w:p>
    <w:p w14:paraId="5A564A03">
      <w:pPr>
        <w:keepNext w:val="0"/>
        <w:keepLines w:val="0"/>
        <w:pageBreakBefore w:val="0"/>
        <w:widowControl/>
        <w:kinsoku/>
        <w:wordWrap/>
        <w:overflowPunct/>
        <w:topLinePunct w:val="0"/>
        <w:autoSpaceDE/>
        <w:autoSpaceDN/>
        <w:bidi w:val="0"/>
        <w:adjustRightInd w:val="0"/>
        <w:snapToGrid w:val="0"/>
        <w:spacing w:after="0" w:line="56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（三）</w:t>
      </w:r>
      <w:r>
        <w:rPr>
          <w:rStyle w:val="21"/>
          <w:rFonts w:hint="default" w:ascii="Times New Roman" w:hAnsi="Times New Roman" w:eastAsia="仿宋_GB2312" w:cs="Times New Roman"/>
          <w:spacing w:val="8"/>
          <w:sz w:val="32"/>
          <w:szCs w:val="32"/>
          <w:lang w:val="en-US" w:eastAsia="zh-CN" w:bidi="ar-SA"/>
        </w:rPr>
        <w:t>施工废水经沉淀处理后用于施工场地洒水降尘；运营期项目初期雨水及场地冲洗废水经油水分离池隔油处理后回用于地面冲洗，生活污水经三级化粪池处理后由污水清运车定期清理，不外排。</w:t>
      </w:r>
    </w:p>
    <w:p w14:paraId="0A37ABDE">
      <w:pPr>
        <w:keepNext w:val="0"/>
        <w:keepLines w:val="0"/>
        <w:pageBreakBefore w:val="0"/>
        <w:widowControl/>
        <w:kinsoku/>
        <w:wordWrap/>
        <w:overflowPunct/>
        <w:topLinePunct w:val="0"/>
        <w:autoSpaceDE/>
        <w:autoSpaceDN/>
        <w:bidi w:val="0"/>
        <w:adjustRightInd w:val="0"/>
        <w:snapToGrid w:val="0"/>
        <w:spacing w:after="0" w:line="56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（四）</w:t>
      </w:r>
      <w:r>
        <w:rPr>
          <w:rStyle w:val="21"/>
          <w:rFonts w:hint="default" w:ascii="Times New Roman" w:hAnsi="Times New Roman" w:eastAsia="仿宋_GB2312" w:cs="Times New Roman"/>
          <w:spacing w:val="8"/>
          <w:sz w:val="32"/>
          <w:szCs w:val="32"/>
          <w:lang w:val="en-US" w:eastAsia="zh-CN" w:bidi="ar-SA"/>
        </w:rPr>
        <w:t>合理布局高噪音设备，对噪声源强较大的设备采取有效的隔声降噪减震措施，确保施工期厂界噪声符合《建筑施工噪声排放标准》（GB12523-2025）限值标准；运营期厂界噪声符合《工业企业厂界环境噪声排放标准》（GB12348-2008）中2类标准。</w:t>
      </w:r>
    </w:p>
    <w:p w14:paraId="221BD18C">
      <w:pPr>
        <w:keepNext w:val="0"/>
        <w:keepLines w:val="0"/>
        <w:pageBreakBefore w:val="0"/>
        <w:widowControl/>
        <w:kinsoku/>
        <w:wordWrap/>
        <w:overflowPunct/>
        <w:topLinePunct w:val="0"/>
        <w:autoSpaceDE/>
        <w:autoSpaceDN/>
        <w:bidi w:val="0"/>
        <w:adjustRightInd w:val="0"/>
        <w:snapToGrid w:val="0"/>
        <w:spacing w:after="0" w:line="56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（五）</w:t>
      </w:r>
      <w:r>
        <w:rPr>
          <w:rStyle w:val="21"/>
          <w:rFonts w:hint="default" w:ascii="Times New Roman" w:hAnsi="Times New Roman" w:eastAsia="仿宋_GB2312" w:cs="Times New Roman"/>
          <w:spacing w:val="8"/>
          <w:sz w:val="32"/>
          <w:szCs w:val="32"/>
          <w:lang w:val="en-US" w:eastAsia="zh-CN" w:bidi="ar-SA"/>
        </w:rPr>
        <w:t>做好一般固体废物的综合利用和妥善处置工作。一般工业固体废物执行《一般工业固体废物贮存和填埋污染控制标准》，按要求设置相关污染防治设施。</w:t>
      </w:r>
    </w:p>
    <w:p w14:paraId="45303B01">
      <w:pPr>
        <w:keepNext w:val="0"/>
        <w:keepLines w:val="0"/>
        <w:pageBreakBefore w:val="0"/>
        <w:widowControl/>
        <w:kinsoku/>
        <w:wordWrap/>
        <w:overflowPunct/>
        <w:topLinePunct w:val="0"/>
        <w:autoSpaceDE/>
        <w:autoSpaceDN/>
        <w:bidi w:val="0"/>
        <w:adjustRightInd w:val="0"/>
        <w:snapToGrid w:val="0"/>
        <w:spacing w:after="0" w:line="56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（六）</w:t>
      </w:r>
      <w:r>
        <w:rPr>
          <w:rStyle w:val="21"/>
          <w:rFonts w:hint="default" w:ascii="Times New Roman" w:hAnsi="Times New Roman" w:eastAsia="仿宋_GB2312" w:cs="Times New Roman"/>
          <w:spacing w:val="8"/>
          <w:sz w:val="32"/>
          <w:szCs w:val="32"/>
          <w:lang w:val="en-US" w:eastAsia="zh-CN" w:bidi="ar-SA"/>
        </w:rPr>
        <w:t>危险废物的暂存及转运执行《危险废物贮存污染控制标准》（GB18597-2023）的规定设置相关污染防治设施。</w:t>
      </w:r>
    </w:p>
    <w:p w14:paraId="61F86466">
      <w:pPr>
        <w:keepNext w:val="0"/>
        <w:keepLines w:val="0"/>
        <w:pageBreakBefore w:val="0"/>
        <w:widowControl/>
        <w:kinsoku/>
        <w:wordWrap/>
        <w:overflowPunct/>
        <w:topLinePunct w:val="0"/>
        <w:autoSpaceDE/>
        <w:autoSpaceDN/>
        <w:bidi w:val="0"/>
        <w:adjustRightInd w:val="0"/>
        <w:snapToGrid w:val="0"/>
        <w:spacing w:after="0" w:line="56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（七）</w:t>
      </w:r>
      <w:r>
        <w:rPr>
          <w:rStyle w:val="21"/>
          <w:rFonts w:hint="default" w:ascii="Times New Roman" w:hAnsi="Times New Roman" w:eastAsia="仿宋_GB2312" w:cs="Times New Roman"/>
          <w:spacing w:val="8"/>
          <w:sz w:val="32"/>
          <w:szCs w:val="32"/>
          <w:lang w:val="en-US" w:eastAsia="zh-CN" w:bidi="ar-SA"/>
        </w:rPr>
        <w:t>按照《环境保护图形标志一排污口(源)》和《排污口规范化整治要求(试行)》有关规定建设规范化的排污口，须按排污许可相关管理要求定期进行监测。</w:t>
      </w:r>
    </w:p>
    <w:p w14:paraId="4E390CF6">
      <w:pPr>
        <w:keepNext w:val="0"/>
        <w:keepLines w:val="0"/>
        <w:pageBreakBefore w:val="0"/>
        <w:widowControl/>
        <w:kinsoku/>
        <w:wordWrap/>
        <w:overflowPunct/>
        <w:topLinePunct w:val="0"/>
        <w:autoSpaceDE/>
        <w:autoSpaceDN/>
        <w:bidi w:val="0"/>
        <w:adjustRightInd w:val="0"/>
        <w:snapToGrid w:val="0"/>
        <w:spacing w:after="0" w:line="56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（八）</w:t>
      </w:r>
      <w:r>
        <w:rPr>
          <w:rStyle w:val="21"/>
          <w:rFonts w:hint="default" w:ascii="Times New Roman" w:hAnsi="Times New Roman" w:eastAsia="仿宋_GB2312" w:cs="Times New Roman"/>
          <w:spacing w:val="8"/>
          <w:sz w:val="32"/>
          <w:szCs w:val="32"/>
          <w:lang w:val="en-US" w:eastAsia="zh-CN" w:bidi="ar-SA"/>
        </w:rPr>
        <w:t>严格按照《汽车加油加气加氢站技术标准》（GB50156-2021）相关要求，储罐选用SF双层防渗罐，储油区设置防渗池，储罐与钢管进行加强级防腐处理，地下输油管线采用双层管道，设置渗漏监测系统。</w:t>
      </w:r>
    </w:p>
    <w:p w14:paraId="442FEAD4">
      <w:pPr>
        <w:keepNext w:val="0"/>
        <w:keepLines w:val="0"/>
        <w:pageBreakBefore w:val="0"/>
        <w:widowControl/>
        <w:kinsoku/>
        <w:wordWrap/>
        <w:overflowPunct/>
        <w:topLinePunct w:val="0"/>
        <w:autoSpaceDE/>
        <w:autoSpaceDN/>
        <w:bidi w:val="0"/>
        <w:adjustRightInd w:val="0"/>
        <w:snapToGrid w:val="0"/>
        <w:spacing w:after="0" w:line="56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（九）</w:t>
      </w:r>
      <w:r>
        <w:rPr>
          <w:rStyle w:val="21"/>
          <w:rFonts w:hint="default" w:ascii="Times New Roman" w:hAnsi="Times New Roman" w:eastAsia="仿宋_GB2312" w:cs="Times New Roman"/>
          <w:spacing w:val="8"/>
          <w:sz w:val="32"/>
          <w:szCs w:val="32"/>
          <w:lang w:val="en-US" w:eastAsia="zh-CN" w:bidi="ar-SA"/>
        </w:rPr>
        <w:t>根据《环境影响评价技术导则 地下水环境》（HJ610-2016）相关要求划分重点防渗区、一般防渗区以及简单防渗区三类地下水污染防治区域，做好地面防渗处理。</w:t>
      </w:r>
    </w:p>
    <w:p w14:paraId="47BC291A">
      <w:pPr>
        <w:keepNext w:val="0"/>
        <w:keepLines w:val="0"/>
        <w:pageBreakBefore w:val="0"/>
        <w:widowControl/>
        <w:kinsoku/>
        <w:wordWrap/>
        <w:overflowPunct/>
        <w:topLinePunct w:val="0"/>
        <w:autoSpaceDE/>
        <w:autoSpaceDN/>
        <w:bidi w:val="0"/>
        <w:adjustRightInd w:val="0"/>
        <w:snapToGrid w:val="0"/>
        <w:spacing w:after="0" w:line="56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（十）</w:t>
      </w:r>
      <w:r>
        <w:rPr>
          <w:rStyle w:val="21"/>
          <w:rFonts w:hint="default" w:ascii="Times New Roman" w:hAnsi="Times New Roman" w:eastAsia="仿宋_GB2312" w:cs="Times New Roman"/>
          <w:spacing w:val="8"/>
          <w:sz w:val="32"/>
          <w:szCs w:val="32"/>
          <w:lang w:val="en-US" w:eastAsia="zh-CN" w:bidi="ar-SA"/>
        </w:rPr>
        <w:t>按照《关于印发〈企业事业单位突发环境事件应急预案备案管理办法(试行)〉的通知》(环发〔2015〕4号)等相关要求，制定应急预案，配备相应的应急保障物资，落实环境风险防范措施，定期进行应急演练。建立健全施工、运行期环保管理制度，加强环境管理，制定并落实环境保护规章制度，确保环保措施的有效落实，环保设施的正常运转以及各项污染物稳定达标排放。</w:t>
      </w:r>
    </w:p>
    <w:p w14:paraId="0807C964">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Fonts w:hint="eastAsia" w:ascii="黑体" w:hAnsi="黑体" w:eastAsia="黑体" w:cs="黑体"/>
          <w:sz w:val="32"/>
          <w:szCs w:val="32"/>
          <w:lang w:val="en-US" w:eastAsia="zh-CN"/>
        </w:rPr>
        <w:t>三、</w:t>
      </w:r>
      <w:r>
        <w:rPr>
          <w:rStyle w:val="21"/>
          <w:rFonts w:hint="default" w:ascii="Times New Roman" w:hAnsi="Times New Roman" w:eastAsia="仿宋_GB2312" w:cs="Times New Roman"/>
          <w:spacing w:val="8"/>
          <w:sz w:val="32"/>
          <w:szCs w:val="32"/>
          <w:lang w:val="en-US" w:eastAsia="zh-CN" w:bidi="ar-SA"/>
        </w:rPr>
        <w:t>该项目建设必须严格执行环境保护设施与主体工程同时设计、同时施工、同时投产使用的环境保护“三同时”制度，落实各项环境保护措施。工程建成后，须按《建设项目竣工环境保护验收暂行办法》要求实施竣工环境保护验收。未经验收，不得擅自投产。</w:t>
      </w:r>
    </w:p>
    <w:p w14:paraId="06E70BD4">
      <w:pPr>
        <w:pStyle w:val="17"/>
        <w:keepNext w:val="0"/>
        <w:keepLines w:val="0"/>
        <w:pageBreakBefore w:val="0"/>
        <w:widowControl/>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rPr>
      </w:pPr>
      <w:r>
        <w:rPr>
          <w:rFonts w:hint="eastAsia" w:ascii="黑体" w:hAnsi="黑体" w:eastAsia="黑体" w:cs="黑体"/>
          <w:sz w:val="32"/>
          <w:szCs w:val="32"/>
        </w:rPr>
        <w:t>四、</w:t>
      </w:r>
      <w:r>
        <w:rPr>
          <w:rFonts w:hint="default" w:ascii="Times New Roman" w:hAnsi="Times New Roman" w:eastAsia="仿宋_GB2312" w:cs="Times New Roman"/>
          <w:sz w:val="32"/>
          <w:szCs w:val="32"/>
        </w:rPr>
        <w:t>建设项目的性质、规模、地点、采用的生产工艺或者防治污染、防止生态破坏的措施发生重大变动的，建设单位应当重新报批建设项目的环境影响评价文件。建设项目的环境影响评价文件自批准之日起超过五年，方决定该项目开工建设的，其环境影响评价文件应当报我局重新审核同意后方可建设。</w:t>
      </w:r>
    </w:p>
    <w:p w14:paraId="4F5AB403">
      <w:pPr>
        <w:pStyle w:val="18"/>
        <w:keepNext w:val="0"/>
        <w:keepLines w:val="0"/>
        <w:pageBreakBefore w:val="0"/>
        <w:kinsoku/>
        <w:wordWrap/>
        <w:overflowPunct/>
        <w:topLinePunct w:val="0"/>
        <w:bidi w:val="0"/>
        <w:spacing w:line="560" w:lineRule="exact"/>
        <w:jc w:val="both"/>
        <w:textAlignment w:val="auto"/>
        <w:rPr>
          <w:rFonts w:hint="default" w:ascii="Times New Roman" w:hAnsi="Times New Roman" w:eastAsia="仿宋_GB2312" w:cs="Times New Roman"/>
          <w:sz w:val="32"/>
          <w:szCs w:val="32"/>
        </w:rPr>
      </w:pPr>
    </w:p>
    <w:p w14:paraId="47D37092">
      <w:pPr>
        <w:pStyle w:val="18"/>
        <w:keepNext w:val="0"/>
        <w:keepLines w:val="0"/>
        <w:pageBreakBefore w:val="0"/>
        <w:kinsoku/>
        <w:wordWrap/>
        <w:overflowPunct/>
        <w:topLinePunct w:val="0"/>
        <w:bidi w:val="0"/>
        <w:spacing w:line="560" w:lineRule="exact"/>
        <w:jc w:val="both"/>
        <w:textAlignment w:val="auto"/>
        <w:rPr>
          <w:rFonts w:hint="default" w:ascii="Times New Roman" w:hAnsi="Times New Roman" w:eastAsia="仿宋_GB2312" w:cs="Times New Roman"/>
          <w:sz w:val="32"/>
          <w:szCs w:val="32"/>
        </w:rPr>
      </w:pPr>
    </w:p>
    <w:p w14:paraId="2BAD7705">
      <w:pPr>
        <w:pStyle w:val="24"/>
        <w:keepNext w:val="0"/>
        <w:keepLines w:val="0"/>
        <w:pageBreakBefore w:val="0"/>
        <w:widowControl w:val="0"/>
        <w:kinsoku/>
        <w:wordWrap/>
        <w:overflowPunct/>
        <w:topLinePunct w:val="0"/>
        <w:bidi w:val="0"/>
        <w:snapToGrid/>
        <w:spacing w:line="560" w:lineRule="exact"/>
        <w:ind w:firstLine="5760" w:firstLineChars="18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鹿寨县行政审批局</w:t>
      </w:r>
    </w:p>
    <w:p w14:paraId="2B3F55A2">
      <w:pPr>
        <w:pStyle w:val="24"/>
        <w:keepNext w:val="0"/>
        <w:keepLines w:val="0"/>
        <w:pageBreakBefore w:val="0"/>
        <w:widowControl w:val="0"/>
        <w:kinsoku/>
        <w:wordWrap/>
        <w:overflowPunct/>
        <w:topLinePunct w:val="0"/>
        <w:bidi w:val="0"/>
        <w:snapToGrid/>
        <w:spacing w:line="560" w:lineRule="exact"/>
        <w:ind w:firstLine="6080" w:firstLineChars="19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2026年</w:t>
      </w:r>
      <w:r>
        <w:rPr>
          <w:rFonts w:hint="eastAsia"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lang w:val="en-US" w:eastAsia="zh-CN"/>
        </w:rPr>
        <w:t>月</w:t>
      </w: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日</w:t>
      </w:r>
    </w:p>
    <w:p w14:paraId="6B5B1D38">
      <w:pPr>
        <w:pStyle w:val="1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Style w:val="21"/>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lang w:val="en-US" w:eastAsia="zh-CN"/>
        </w:rPr>
        <w:t>（此件公开发布）</w:t>
      </w:r>
    </w:p>
    <w:tbl>
      <w:tblPr>
        <w:tblStyle w:val="19"/>
        <w:tblpPr w:leftFromText="180" w:rightFromText="180" w:vertAnchor="text" w:horzAnchor="page" w:tblpX="1427" w:tblpY="6642"/>
        <w:tblOverlap w:val="never"/>
        <w:tblW w:w="9039" w:type="dxa"/>
        <w:tblInd w:w="0" w:type="dxa"/>
        <w:tblLayout w:type="fixed"/>
        <w:tblCellMar>
          <w:top w:w="0" w:type="dxa"/>
          <w:left w:w="108" w:type="dxa"/>
          <w:bottom w:w="0" w:type="dxa"/>
          <w:right w:w="108" w:type="dxa"/>
        </w:tblCellMar>
      </w:tblPr>
      <w:tblGrid>
        <w:gridCol w:w="4946"/>
        <w:gridCol w:w="4093"/>
      </w:tblGrid>
      <w:tr w14:paraId="4DEFE53A">
        <w:tblPrEx>
          <w:tblCellMar>
            <w:top w:w="0" w:type="dxa"/>
            <w:left w:w="108" w:type="dxa"/>
            <w:bottom w:w="0" w:type="dxa"/>
            <w:right w:w="108" w:type="dxa"/>
          </w:tblCellMar>
        </w:tblPrEx>
        <w:trPr>
          <w:trHeight w:val="690" w:hRule="exact"/>
        </w:trPr>
        <w:tc>
          <w:tcPr>
            <w:tcW w:w="4946" w:type="dxa"/>
            <w:tcBorders>
              <w:top w:val="single" w:color="000000" w:sz="4" w:space="0"/>
              <w:bottom w:val="single" w:color="000000" w:sz="4" w:space="0"/>
            </w:tcBorders>
            <w:tcMar>
              <w:left w:w="0" w:type="dxa"/>
              <w:right w:w="0" w:type="dxa"/>
            </w:tcMar>
          </w:tcPr>
          <w:p w14:paraId="6F9BD89E">
            <w:pPr>
              <w:keepNext w:val="0"/>
              <w:keepLines w:val="0"/>
              <w:pageBreakBefore w:val="0"/>
              <w:widowControl/>
              <w:kinsoku/>
              <w:wordWrap/>
              <w:overflowPunct/>
              <w:topLinePunct w:val="0"/>
              <w:autoSpaceDE w:val="0"/>
              <w:autoSpaceDN w:val="0"/>
              <w:bidi w:val="0"/>
              <w:adjustRightInd/>
              <w:snapToGrid/>
              <w:spacing w:after="0" w:line="560" w:lineRule="exact"/>
              <w:ind w:left="0" w:leftChars="0" w:right="0" w:firstLine="320" w:firstLineChars="1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val="0"/>
                <w:i w:val="0"/>
                <w:color w:val="auto"/>
                <w:sz w:val="32"/>
                <w:szCs w:val="32"/>
                <w:highlight w:val="none"/>
                <w:lang w:eastAsia="zh-CN"/>
              </w:rPr>
              <w:t>鹿寨县</w:t>
            </w:r>
            <w:r>
              <w:rPr>
                <w:rFonts w:hint="default" w:ascii="Times New Roman" w:hAnsi="Times New Roman" w:eastAsia="仿宋_GB2312" w:cs="Times New Roman"/>
                <w:b w:val="0"/>
                <w:i w:val="0"/>
                <w:color w:val="auto"/>
                <w:sz w:val="32"/>
                <w:szCs w:val="32"/>
                <w:highlight w:val="none"/>
                <w:lang w:val="en-US" w:eastAsia="zh-CN"/>
              </w:rPr>
              <w:t>行政审批局</w:t>
            </w:r>
          </w:p>
        </w:tc>
        <w:tc>
          <w:tcPr>
            <w:tcW w:w="4093" w:type="dxa"/>
            <w:tcBorders>
              <w:top w:val="single" w:color="000000" w:sz="4" w:space="0"/>
              <w:bottom w:val="single" w:color="000000" w:sz="4" w:space="0"/>
            </w:tcBorders>
            <w:tcMar>
              <w:left w:w="0" w:type="dxa"/>
              <w:right w:w="0" w:type="dxa"/>
            </w:tcMar>
          </w:tcPr>
          <w:p w14:paraId="68FB4850">
            <w:pPr>
              <w:keepNext w:val="0"/>
              <w:keepLines w:val="0"/>
              <w:pageBreakBefore w:val="0"/>
              <w:widowControl/>
              <w:kinsoku/>
              <w:wordWrap w:val="0"/>
              <w:overflowPunct/>
              <w:topLinePunct w:val="0"/>
              <w:autoSpaceDE w:val="0"/>
              <w:autoSpaceDN w:val="0"/>
              <w:bidi w:val="0"/>
              <w:adjustRightInd/>
              <w:snapToGrid/>
              <w:spacing w:after="0" w:line="560" w:lineRule="exact"/>
              <w:ind w:left="0" w:leftChars="0" w:right="0" w:firstLine="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i w:val="0"/>
                <w:color w:val="auto"/>
                <w:sz w:val="32"/>
                <w:szCs w:val="32"/>
                <w:highlight w:val="none"/>
                <w:lang w:val="en-US" w:eastAsia="zh-CN"/>
              </w:rPr>
              <w:t xml:space="preserve">     </w:t>
            </w:r>
            <w:r>
              <w:rPr>
                <w:rFonts w:hint="eastAsia" w:hAnsi="Times New Roman" w:eastAsia="仿宋_GB2312" w:cs="Times New Roman"/>
                <w:b w:val="0"/>
                <w:i w:val="0"/>
                <w:color w:val="auto"/>
                <w:sz w:val="32"/>
                <w:szCs w:val="32"/>
                <w:highlight w:val="none"/>
                <w:lang w:val="en-US" w:eastAsia="zh-CN"/>
              </w:rPr>
              <w:t xml:space="preserve">  </w:t>
            </w:r>
            <w:r>
              <w:rPr>
                <w:rFonts w:hint="default" w:ascii="Times New Roman" w:hAnsi="Times New Roman" w:eastAsia="仿宋_GB2312" w:cs="Times New Roman"/>
                <w:b w:val="0"/>
                <w:i w:val="0"/>
                <w:color w:val="auto"/>
                <w:sz w:val="32"/>
                <w:szCs w:val="32"/>
                <w:highlight w:val="none"/>
              </w:rPr>
              <w:t>202</w:t>
            </w:r>
            <w:r>
              <w:rPr>
                <w:rFonts w:hint="default" w:ascii="Times New Roman" w:hAnsi="Times New Roman" w:eastAsia="仿宋_GB2312" w:cs="Times New Roman"/>
                <w:b w:val="0"/>
                <w:i w:val="0"/>
                <w:color w:val="auto"/>
                <w:sz w:val="32"/>
                <w:szCs w:val="32"/>
                <w:highlight w:val="none"/>
                <w:lang w:val="en-US" w:eastAsia="zh-CN"/>
              </w:rPr>
              <w:t>6</w:t>
            </w:r>
            <w:r>
              <w:rPr>
                <w:rFonts w:hint="default" w:ascii="Times New Roman" w:hAnsi="Times New Roman" w:eastAsia="仿宋_GB2312" w:cs="Times New Roman"/>
                <w:b w:val="0"/>
                <w:i w:val="0"/>
                <w:color w:val="auto"/>
                <w:sz w:val="32"/>
                <w:szCs w:val="32"/>
                <w:highlight w:val="none"/>
              </w:rPr>
              <w:t>年</w:t>
            </w:r>
            <w:r>
              <w:rPr>
                <w:rFonts w:hint="eastAsia" w:hAnsi="Times New Roman" w:eastAsia="仿宋_GB2312" w:cs="Times New Roman"/>
                <w:b w:val="0"/>
                <w:i w:val="0"/>
                <w:color w:val="auto"/>
                <w:sz w:val="32"/>
                <w:szCs w:val="32"/>
                <w:highlight w:val="none"/>
                <w:lang w:val="en-US" w:eastAsia="zh-CN"/>
              </w:rPr>
              <w:t>9</w:t>
            </w:r>
            <w:r>
              <w:rPr>
                <w:rFonts w:hint="default" w:ascii="Times New Roman" w:hAnsi="Times New Roman" w:eastAsia="仿宋_GB2312" w:cs="Times New Roman"/>
                <w:b w:val="0"/>
                <w:i w:val="0"/>
                <w:color w:val="auto"/>
                <w:sz w:val="32"/>
                <w:szCs w:val="32"/>
                <w:highlight w:val="none"/>
              </w:rPr>
              <w:t>月</w:t>
            </w:r>
            <w:r>
              <w:rPr>
                <w:rFonts w:hint="default" w:ascii="Times New Roman" w:hAnsi="Times New Roman" w:eastAsia="仿宋_GB2312" w:cs="Times New Roman"/>
                <w:b w:val="0"/>
                <w:i w:val="0"/>
                <w:color w:val="auto"/>
                <w:sz w:val="32"/>
                <w:szCs w:val="32"/>
                <w:highlight w:val="none"/>
                <w:lang w:val="en-US" w:eastAsia="zh-CN"/>
              </w:rPr>
              <w:t xml:space="preserve"> </w:t>
            </w:r>
            <w:r>
              <w:rPr>
                <w:rFonts w:hint="eastAsia" w:hAnsi="Times New Roman" w:eastAsia="仿宋_GB2312" w:cs="Times New Roman"/>
                <w:b w:val="0"/>
                <w:i w:val="0"/>
                <w:color w:val="auto"/>
                <w:sz w:val="32"/>
                <w:szCs w:val="32"/>
                <w:highlight w:val="none"/>
                <w:lang w:val="en-US" w:eastAsia="zh-CN"/>
              </w:rPr>
              <w:t>1</w:t>
            </w:r>
            <w:r>
              <w:rPr>
                <w:rFonts w:hint="default" w:ascii="Times New Roman" w:hAnsi="Times New Roman" w:eastAsia="仿宋_GB2312" w:cs="Times New Roman"/>
                <w:b w:val="0"/>
                <w:i w:val="0"/>
                <w:color w:val="auto"/>
                <w:sz w:val="32"/>
                <w:szCs w:val="32"/>
                <w:highlight w:val="none"/>
              </w:rPr>
              <w:t>日印发</w:t>
            </w:r>
            <w:r>
              <w:rPr>
                <w:rFonts w:hint="default" w:ascii="Times New Roman" w:hAnsi="Times New Roman" w:eastAsia="仿宋_GB2312" w:cs="Times New Roman"/>
                <w:b w:val="0"/>
                <w:i w:val="0"/>
                <w:color w:val="auto"/>
                <w:sz w:val="32"/>
                <w:szCs w:val="32"/>
                <w:highlight w:val="none"/>
                <w:lang w:val="en-US" w:eastAsia="zh-CN"/>
              </w:rPr>
              <w:t xml:space="preserve"> </w:t>
            </w:r>
          </w:p>
        </w:tc>
      </w:tr>
    </w:tbl>
    <w:p w14:paraId="03F34C60">
      <w:pPr>
        <w:keepNext w:val="0"/>
        <w:keepLines w:val="0"/>
        <w:pageBreakBefore w:val="0"/>
        <w:tabs>
          <w:tab w:val="left" w:pos="624"/>
        </w:tabs>
        <w:kinsoku/>
        <w:overflowPunct/>
        <w:topLinePunct w:val="0"/>
        <w:bidi w:val="0"/>
        <w:spacing w:line="580" w:lineRule="exact"/>
        <w:jc w:val="both"/>
        <w:textAlignment w:val="auto"/>
        <w:rPr>
          <w:rFonts w:hint="default" w:ascii="Times New Roman" w:hAnsi="Times New Roman" w:eastAsia="仿宋_GB2312" w:cs="Times New Roman"/>
          <w:sz w:val="32"/>
          <w:szCs w:val="32"/>
        </w:rPr>
      </w:pPr>
    </w:p>
    <w:sectPr>
      <w:headerReference r:id="rId5" w:type="default"/>
      <w:footerReference r:id="rId6" w:type="default"/>
      <w:pgSz w:w="11906" w:h="16838"/>
      <w:pgMar w:top="1701" w:right="1587" w:bottom="1587"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大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07E7B">
    <w:pPr>
      <w:pStyle w:val="14"/>
      <w:rPr>
        <w:rFonts w:ascii="Times New Roman"/>
      </w:rPr>
    </w:pPr>
    <w:r>
      <w:rPr>
        <w:rFonts w:ascii="Times New Roman"/>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9E5D8">
                          <w:pPr>
                            <w:pStyle w:val="14"/>
                            <w:rPr>
                              <w:rFonts w:ascii="宋体" w:hAnsi="宋体" w:eastAsia="宋体" w:cs="宋体"/>
                            </w:rPr>
                          </w:pPr>
                          <w:r>
                            <w:rPr>
                              <w:rFonts w:ascii="宋体" w:hAnsi="宋体" w:eastAsia="宋体" w:cs="宋体"/>
                            </w:rPr>
                            <w:fldChar w:fldCharType="begin"/>
                          </w:r>
                          <w:r>
                            <w:rPr>
                              <w:rFonts w:ascii="宋体" w:hAnsi="宋体" w:eastAsia="宋体" w:cs="宋体"/>
                            </w:rPr>
                            <w:instrText xml:space="preserve"> PAGE  \* MERGEFORMAT </w:instrText>
                          </w:r>
                          <w:r>
                            <w:rPr>
                              <w:rFonts w:ascii="宋体" w:hAnsi="宋体" w:eastAsia="宋体" w:cs="宋体"/>
                            </w:rPr>
                            <w:fldChar w:fldCharType="separate"/>
                          </w:r>
                          <w:r>
                            <w:rPr>
                              <w:rFonts w:ascii="宋体" w:hAnsi="宋体" w:eastAsia="宋体" w:cs="宋体"/>
                            </w:rPr>
                            <w:t>1</w:t>
                          </w:r>
                          <w:r>
                            <w:rPr>
                              <w:rFonts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7D9E5D8">
                    <w:pPr>
                      <w:pStyle w:val="14"/>
                      <w:rPr>
                        <w:rFonts w:ascii="宋体" w:hAnsi="宋体" w:eastAsia="宋体" w:cs="宋体"/>
                      </w:rPr>
                    </w:pPr>
                    <w:r>
                      <w:rPr>
                        <w:rFonts w:ascii="宋体" w:hAnsi="宋体" w:eastAsia="宋体" w:cs="宋体"/>
                      </w:rPr>
                      <w:fldChar w:fldCharType="begin"/>
                    </w:r>
                    <w:r>
                      <w:rPr>
                        <w:rFonts w:ascii="宋体" w:hAnsi="宋体" w:eastAsia="宋体" w:cs="宋体"/>
                      </w:rPr>
                      <w:instrText xml:space="preserve"> PAGE  \* MERGEFORMAT </w:instrText>
                    </w:r>
                    <w:r>
                      <w:rPr>
                        <w:rFonts w:ascii="宋体" w:hAnsi="宋体" w:eastAsia="宋体" w:cs="宋体"/>
                      </w:rPr>
                      <w:fldChar w:fldCharType="separate"/>
                    </w:r>
                    <w:r>
                      <w:rPr>
                        <w:rFonts w:ascii="宋体" w:hAnsi="宋体" w:eastAsia="宋体" w:cs="宋体"/>
                      </w:rPr>
                      <w:t>1</w:t>
                    </w:r>
                    <w:r>
                      <w:rPr>
                        <w:rFonts w:ascii="宋体" w:hAnsi="宋体" w:eastAsia="宋体" w:cs="宋体"/>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1BB45">
    <w:pPr>
      <w:pStyle w:val="2"/>
      <w:rPr>
        <w:rFonts w:asci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8209BF"/>
    <w:rsid w:val="006742D7"/>
    <w:rsid w:val="01BD4437"/>
    <w:rsid w:val="0298354F"/>
    <w:rsid w:val="03A23C2B"/>
    <w:rsid w:val="03D915F6"/>
    <w:rsid w:val="06A22B87"/>
    <w:rsid w:val="06A43CA6"/>
    <w:rsid w:val="07E378DF"/>
    <w:rsid w:val="0969158D"/>
    <w:rsid w:val="0B5560CC"/>
    <w:rsid w:val="0C6F4537"/>
    <w:rsid w:val="0CF03F1F"/>
    <w:rsid w:val="0DA52F37"/>
    <w:rsid w:val="110428E2"/>
    <w:rsid w:val="11FA4F89"/>
    <w:rsid w:val="13594D07"/>
    <w:rsid w:val="13DC573D"/>
    <w:rsid w:val="142A2A72"/>
    <w:rsid w:val="14E072FC"/>
    <w:rsid w:val="16120CDA"/>
    <w:rsid w:val="1C83383D"/>
    <w:rsid w:val="1D060DCF"/>
    <w:rsid w:val="1DF27EBB"/>
    <w:rsid w:val="1FE677E9"/>
    <w:rsid w:val="200F04DE"/>
    <w:rsid w:val="20862B7C"/>
    <w:rsid w:val="20D2374C"/>
    <w:rsid w:val="219B4C07"/>
    <w:rsid w:val="242816D4"/>
    <w:rsid w:val="24731667"/>
    <w:rsid w:val="24F36FDC"/>
    <w:rsid w:val="25991459"/>
    <w:rsid w:val="26963079"/>
    <w:rsid w:val="299B7D30"/>
    <w:rsid w:val="2BBF1BD7"/>
    <w:rsid w:val="2DDD6814"/>
    <w:rsid w:val="2E0E7ED4"/>
    <w:rsid w:val="35495A82"/>
    <w:rsid w:val="36871691"/>
    <w:rsid w:val="381A4C7D"/>
    <w:rsid w:val="39A12F19"/>
    <w:rsid w:val="3A0B18FE"/>
    <w:rsid w:val="3C7469E1"/>
    <w:rsid w:val="3DA95824"/>
    <w:rsid w:val="448A2B45"/>
    <w:rsid w:val="44DC0B83"/>
    <w:rsid w:val="488209BF"/>
    <w:rsid w:val="49173142"/>
    <w:rsid w:val="495D774B"/>
    <w:rsid w:val="49CB465C"/>
    <w:rsid w:val="4BE60029"/>
    <w:rsid w:val="4C40214D"/>
    <w:rsid w:val="4D1A7EFD"/>
    <w:rsid w:val="4EDF6B18"/>
    <w:rsid w:val="4FE13AC3"/>
    <w:rsid w:val="52B97029"/>
    <w:rsid w:val="55D22E84"/>
    <w:rsid w:val="593C6887"/>
    <w:rsid w:val="59FB09AB"/>
    <w:rsid w:val="5A7A302D"/>
    <w:rsid w:val="5AB40B22"/>
    <w:rsid w:val="5BFD27F2"/>
    <w:rsid w:val="5C0B515B"/>
    <w:rsid w:val="5CF51811"/>
    <w:rsid w:val="5E03728B"/>
    <w:rsid w:val="5EA306E3"/>
    <w:rsid w:val="60AB49A7"/>
    <w:rsid w:val="61CA5D0C"/>
    <w:rsid w:val="636E1985"/>
    <w:rsid w:val="63A02D3B"/>
    <w:rsid w:val="646E0600"/>
    <w:rsid w:val="655E6422"/>
    <w:rsid w:val="6785363E"/>
    <w:rsid w:val="68A679DC"/>
    <w:rsid w:val="69864348"/>
    <w:rsid w:val="6A5D61CC"/>
    <w:rsid w:val="6E0C075C"/>
    <w:rsid w:val="6E484FE8"/>
    <w:rsid w:val="6FB96264"/>
    <w:rsid w:val="70580F62"/>
    <w:rsid w:val="71AF444F"/>
    <w:rsid w:val="779B07D5"/>
    <w:rsid w:val="79580F30"/>
    <w:rsid w:val="7B365EB0"/>
    <w:rsid w:val="7C38689B"/>
    <w:rsid w:val="7C731C9B"/>
    <w:rsid w:val="7CF57062"/>
    <w:rsid w:val="7F226C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imes New Roman" w:hAnsi="Tahoma" w:eastAsia="微软雅黑" w:cstheme="minorBidi"/>
      <w:sz w:val="22"/>
      <w:szCs w:val="22"/>
      <w:lang w:val="en-US" w:eastAsia="zh-CN" w:bidi="ar-SA"/>
    </w:rPr>
  </w:style>
  <w:style w:type="paragraph" w:styleId="6">
    <w:name w:val="heading 1"/>
    <w:basedOn w:val="7"/>
    <w:next w:val="1"/>
    <w:qFormat/>
    <w:uiPriority w:val="99"/>
    <w:pPr>
      <w:keepNext/>
      <w:overflowPunct w:val="0"/>
      <w:snapToGrid w:val="0"/>
      <w:spacing w:before="120" w:after="160" w:line="259" w:lineRule="auto"/>
      <w:ind w:left="432" w:hanging="432"/>
      <w:outlineLvl w:val="0"/>
    </w:pPr>
    <w:rPr>
      <w:rFonts w:ascii="Times New Roman" w:eastAsia="黑体"/>
      <w:bCs/>
      <w:color w:val="000000"/>
      <w:kern w:val="44"/>
      <w:sz w:val="30"/>
      <w:szCs w:val="30"/>
    </w:rPr>
  </w:style>
  <w:style w:type="paragraph" w:styleId="8">
    <w:name w:val="heading 3"/>
    <w:basedOn w:val="1"/>
    <w:next w:val="1"/>
    <w:semiHidden/>
    <w:unhideWhenUsed/>
    <w:qFormat/>
    <w:uiPriority w:val="0"/>
    <w:pPr>
      <w:spacing w:before="0" w:beforeAutospacing="1" w:after="0" w:afterAutospacing="1"/>
      <w:jc w:val="left"/>
    </w:pPr>
    <w:rPr>
      <w:rFonts w:hint="eastAsia" w:ascii="Times New Roman" w:hAnsi="宋体" w:eastAsia="宋体" w:cs="宋体"/>
      <w:b/>
      <w:bCs/>
      <w:kern w:val="0"/>
      <w:sz w:val="27"/>
      <w:szCs w:val="27"/>
      <w:lang w:val="en-US" w:eastAsia="zh-CN" w:bidi="ar"/>
    </w:rPr>
  </w:style>
  <w:style w:type="paragraph" w:styleId="9">
    <w:name w:val="heading 4"/>
    <w:basedOn w:val="1"/>
    <w:next w:val="1"/>
    <w:qFormat/>
    <w:uiPriority w:val="0"/>
    <w:pPr>
      <w:keepNext/>
      <w:keepLines/>
      <w:spacing w:line="240" w:lineRule="auto"/>
      <w:ind w:firstLine="0" w:firstLineChars="0"/>
      <w:outlineLvl w:val="3"/>
    </w:pPr>
    <w:rPr>
      <w:rFonts w:ascii="Times New Roman" w:hAnsi="Arial" w:eastAsia="黑体"/>
      <w:b/>
      <w:bCs/>
      <w:szCs w:val="28"/>
    </w:rPr>
  </w:style>
  <w:style w:type="character" w:default="1" w:styleId="21">
    <w:name w:val="Default Paragraph Font"/>
    <w:qFormat/>
    <w:uiPriority w:val="0"/>
    <w:rPr>
      <w:rFonts w:ascii="Times New Roman"/>
    </w:rPr>
  </w:style>
  <w:style w:type="table" w:default="1" w:styleId="19">
    <w:name w:val="Normal Table"/>
    <w:semiHidden/>
    <w:qFormat/>
    <w:uiPriority w:val="0"/>
    <w:rPr>
      <w:rFonts w:ascii="Times New Roman"/>
    </w:rPr>
    <w:tblPr>
      <w:tblCellMar>
        <w:top w:w="0" w:type="dxa"/>
        <w:left w:w="108" w:type="dxa"/>
        <w:bottom w:w="0" w:type="dxa"/>
        <w:right w:w="108" w:type="dxa"/>
      </w:tblCellMar>
    </w:tblPr>
  </w:style>
  <w:style w:type="paragraph" w:styleId="2">
    <w:name w:val="header"/>
    <w:basedOn w:val="1"/>
    <w:next w:val="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sz w:val="18"/>
    </w:rPr>
  </w:style>
  <w:style w:type="paragraph" w:customStyle="1" w:styleId="3">
    <w:name w:val="样式 Z正文 + 首行缩进:  2 字符1"/>
    <w:basedOn w:val="4"/>
    <w:qFormat/>
    <w:uiPriority w:val="0"/>
    <w:pPr>
      <w:ind w:firstLine="480"/>
    </w:pPr>
    <w:rPr>
      <w:rFonts w:ascii="Times New Roman" w:cs="宋体"/>
    </w:rPr>
  </w:style>
  <w:style w:type="paragraph" w:customStyle="1" w:styleId="4">
    <w:name w:val="Z正文"/>
    <w:basedOn w:val="5"/>
    <w:qFormat/>
    <w:uiPriority w:val="0"/>
    <w:pPr>
      <w:ind w:firstLine="200" w:firstLineChars="200"/>
      <w:outlineLvl w:val="9"/>
    </w:pPr>
    <w:rPr>
      <w:rFonts w:ascii="Times New Roman"/>
      <w:sz w:val="24"/>
      <w:szCs w:val="24"/>
    </w:rPr>
  </w:style>
  <w:style w:type="paragraph" w:customStyle="1" w:styleId="5">
    <w:name w:val="样式 标题 1标题 11Head 1wsah1一、标题2Part'Document章Ch + 加粗"/>
    <w:basedOn w:val="6"/>
    <w:qFormat/>
    <w:uiPriority w:val="0"/>
    <w:rPr>
      <w:rFonts w:ascii="Times New Roman"/>
      <w:sz w:val="32"/>
    </w:rPr>
  </w:style>
  <w:style w:type="paragraph" w:styleId="7">
    <w:name w:val="Title"/>
    <w:basedOn w:val="1"/>
    <w:next w:val="1"/>
    <w:qFormat/>
    <w:uiPriority w:val="0"/>
    <w:pPr>
      <w:spacing w:before="240" w:beforeLines="0" w:beforeAutospacing="0" w:after="60" w:afterLines="0" w:afterAutospacing="0"/>
      <w:jc w:val="center"/>
      <w:outlineLvl w:val="0"/>
    </w:pPr>
    <w:rPr>
      <w:rFonts w:ascii="Times New Roman" w:hAnsi="Arial"/>
      <w:b/>
      <w:sz w:val="32"/>
    </w:rPr>
  </w:style>
  <w:style w:type="paragraph" w:styleId="10">
    <w:name w:val="Normal Indent"/>
    <w:basedOn w:val="1"/>
    <w:next w:val="9"/>
    <w:qFormat/>
    <w:uiPriority w:val="0"/>
    <w:pPr>
      <w:ind w:firstLine="420"/>
    </w:pPr>
    <w:rPr>
      <w:rFonts w:ascii="Times New Roman" w:hAnsi="Calibri" w:cs="Times New Roman"/>
      <w:szCs w:val="22"/>
    </w:rPr>
  </w:style>
  <w:style w:type="paragraph" w:styleId="11">
    <w:name w:val="Body Text"/>
    <w:basedOn w:val="1"/>
    <w:semiHidden/>
    <w:qFormat/>
    <w:uiPriority w:val="0"/>
    <w:rPr>
      <w:rFonts w:ascii="Times New Roman" w:hAnsi="仿宋" w:eastAsia="仿宋" w:cs="仿宋"/>
      <w:sz w:val="31"/>
      <w:szCs w:val="31"/>
      <w:lang w:val="en-US" w:eastAsia="en-US" w:bidi="ar-SA"/>
    </w:rPr>
  </w:style>
  <w:style w:type="paragraph" w:styleId="12">
    <w:name w:val="Body Text Indent"/>
    <w:basedOn w:val="1"/>
    <w:next w:val="13"/>
    <w:qFormat/>
    <w:uiPriority w:val="0"/>
    <w:pPr>
      <w:ind w:left="420" w:leftChars="200"/>
    </w:pPr>
    <w:rPr>
      <w:rFonts w:ascii="Times New Roman"/>
    </w:rPr>
  </w:style>
  <w:style w:type="paragraph" w:styleId="13">
    <w:name w:val="Body Text Indent 2"/>
    <w:basedOn w:val="1"/>
    <w:next w:val="1"/>
    <w:qFormat/>
    <w:uiPriority w:val="0"/>
    <w:pPr>
      <w:spacing w:after="120" w:line="480" w:lineRule="auto"/>
      <w:ind w:left="420" w:leftChars="200"/>
    </w:pPr>
    <w:rPr>
      <w:rFonts w:ascii="Times New Roman"/>
    </w:rPr>
  </w:style>
  <w:style w:type="paragraph" w:styleId="14">
    <w:name w:val="footer"/>
    <w:basedOn w:val="1"/>
    <w:qFormat/>
    <w:uiPriority w:val="0"/>
    <w:pPr>
      <w:tabs>
        <w:tab w:val="center" w:pos="4153"/>
        <w:tab w:val="right" w:pos="8306"/>
      </w:tabs>
      <w:snapToGrid w:val="0"/>
      <w:jc w:val="left"/>
    </w:pPr>
    <w:rPr>
      <w:rFonts w:ascii="Times New Roman"/>
      <w:sz w:val="18"/>
    </w:rPr>
  </w:style>
  <w:style w:type="paragraph" w:styleId="15">
    <w:name w:val="Normal (Web)"/>
    <w:basedOn w:val="1"/>
    <w:qFormat/>
    <w:uiPriority w:val="0"/>
    <w:pPr>
      <w:spacing w:before="0" w:beforeAutospacing="1" w:after="0" w:afterAutospacing="1"/>
      <w:ind w:left="0" w:right="0"/>
      <w:jc w:val="left"/>
    </w:pPr>
    <w:rPr>
      <w:rFonts w:ascii="Times New Roman"/>
      <w:kern w:val="0"/>
      <w:sz w:val="24"/>
      <w:lang w:val="en-US" w:eastAsia="zh-CN" w:bidi="ar"/>
    </w:rPr>
  </w:style>
  <w:style w:type="paragraph" w:styleId="16">
    <w:name w:val="Body Text First Indent"/>
    <w:basedOn w:val="11"/>
    <w:next w:val="17"/>
    <w:unhideWhenUsed/>
    <w:qFormat/>
    <w:uiPriority w:val="99"/>
    <w:pPr>
      <w:snapToGrid/>
      <w:spacing w:before="0" w:after="120" w:line="480" w:lineRule="exact"/>
      <w:ind w:right="0" w:firstLine="420" w:firstLineChars="100"/>
      <w:textAlignment w:val="baseline"/>
    </w:pPr>
    <w:rPr>
      <w:rFonts w:ascii="Times New Roman"/>
      <w:kern w:val="2"/>
      <w:sz w:val="24"/>
      <w:szCs w:val="24"/>
    </w:rPr>
  </w:style>
  <w:style w:type="paragraph" w:styleId="17">
    <w:name w:val="Body Text First Indent 2"/>
    <w:basedOn w:val="12"/>
    <w:next w:val="18"/>
    <w:qFormat/>
    <w:uiPriority w:val="0"/>
    <w:pPr>
      <w:spacing w:after="120"/>
      <w:ind w:firstLine="420" w:firstLineChars="200"/>
    </w:pPr>
    <w:rPr>
      <w:rFonts w:ascii="Times New Roman" w:hAnsi="Calibri" w:eastAsia="等线"/>
      <w:sz w:val="20"/>
      <w:szCs w:val="20"/>
    </w:rPr>
  </w:style>
  <w:style w:type="paragraph" w:customStyle="1" w:styleId="18">
    <w:name w:val="报告正文"/>
    <w:basedOn w:val="1"/>
    <w:qFormat/>
    <w:uiPriority w:val="0"/>
    <w:pPr>
      <w:spacing w:line="240" w:lineRule="auto"/>
      <w:ind w:firstLine="488" w:firstLineChars="200"/>
      <w:jc w:val="both"/>
    </w:pPr>
    <w:rPr>
      <w:rFonts w:ascii="Times New Roman" w:hAnsi="宋体"/>
      <w:spacing w:val="8"/>
      <w:sz w:val="24"/>
    </w:rPr>
  </w:style>
  <w:style w:type="table" w:styleId="20">
    <w:name w:val="Table Grid"/>
    <w:basedOn w:val="19"/>
    <w:qFormat/>
    <w:uiPriority w:val="0"/>
    <w:pPr>
      <w:widowControl w:val="0"/>
      <w:jc w:val="both"/>
    </w:pPr>
    <w:rPr>
      <w:rFonts w:asci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paragraph" w:customStyle="1" w:styleId="23">
    <w:name w:val="11111"/>
    <w:basedOn w:val="1"/>
    <w:next w:val="1"/>
    <w:qFormat/>
    <w:uiPriority w:val="0"/>
    <w:pPr>
      <w:spacing w:line="360" w:lineRule="auto"/>
      <w:ind w:firstLine="200" w:firstLineChars="200"/>
    </w:pPr>
    <w:rPr>
      <w:rFonts w:ascii="Times New Roman" w:hAnsi="宋体" w:cs="宋体"/>
      <w:szCs w:val="20"/>
    </w:rPr>
  </w:style>
  <w:style w:type="paragraph" w:customStyle="1" w:styleId="24">
    <w:name w:val="Default1"/>
    <w:qFormat/>
    <w:uiPriority w:val="99"/>
    <w:pPr>
      <w:widowControl w:val="0"/>
      <w:autoSpaceDE w:val="0"/>
      <w:autoSpaceDN w:val="0"/>
      <w:adjustRightInd w:val="0"/>
      <w:spacing w:line="360" w:lineRule="auto"/>
      <w:jc w:val="both"/>
    </w:pPr>
    <w:rPr>
      <w:rFonts w:ascii="Times New Roman" w:hAnsi="Times New Roman" w:eastAsia="宋体" w:cs="宋体"/>
      <w:color w:val="000000"/>
      <w:sz w:val="24"/>
      <w:szCs w:val="24"/>
      <w:lang w:val="en-US" w:eastAsia="zh-CN" w:bidi="ar-SA"/>
    </w:rPr>
  </w:style>
  <w:style w:type="paragraph" w:styleId="25">
    <w:name w:val="List Paragraph"/>
    <w:basedOn w:val="1"/>
    <w:unhideWhenUsed/>
    <w:qFormat/>
    <w:uiPriority w:val="99"/>
    <w:pPr>
      <w:ind w:firstLine="420" w:firstLineChars="200"/>
    </w:pPr>
    <w:rPr>
      <w:rFonts w:ascii="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1557</Words>
  <Characters>1732</Characters>
  <Lines>0</Lines>
  <Paragraphs>0</Paragraphs>
  <TotalTime>5</TotalTime>
  <ScaleCrop>false</ScaleCrop>
  <LinksUpToDate>false</LinksUpToDate>
  <CharactersWithSpaces>1749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2024-09-23T01:33:00Z</dcterms:created>
  <dc:creator>◆ｋ.尐綯氣.</dc:creator>
  <cp:lastModifiedBy>杨柳凝妆</cp:lastModifiedBy>
  <cp:lastPrinted>2025-01-20T02:10:00Z</cp:lastPrinted>
  <dcterms:modified xsi:type="dcterms:W3CDTF">2026-09-01T07:13:11Z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10F91411E02144C59DD0C0B460446D10_13</vt:lpwstr>
  </property>
  <property fmtid="{D5CDD505-2E9C-101B-9397-08002B2CF9AE}" pid="4" name="KSOTemplateDocerSaveRecord">
    <vt:lpwstr>eyJoZGlkIjoiNTlkMWFiZjdiYTQ3ZDEzYzQwYThiZDU2NmU5MmM0ZjIiLCJ1c2VySWQiOiIxMTY2MzMxMzYyIn0=</vt:lpwstr>
  </property>
</Properties>
</file>