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广西养老机构等级评定评价报告</w:t>
      </w:r>
    </w:p>
    <w:tbl>
      <w:tblPr>
        <w:tblW w:w="85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1272"/>
        <w:gridCol w:w="439"/>
        <w:gridCol w:w="1134"/>
        <w:gridCol w:w="851"/>
        <w:gridCol w:w="566"/>
        <w:gridCol w:w="728"/>
        <w:gridCol w:w="1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被评价方</w:t>
            </w:r>
          </w:p>
        </w:tc>
        <w:tc>
          <w:tcPr>
            <w:tcW w:w="4266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鹿寨县久元养老公寓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default" w:ascii="华文楷体" w:hAnsi="华文楷体" w:eastAsia="华文楷体"/>
                <w:b/>
                <w:sz w:val="18"/>
                <w:szCs w:val="18"/>
              </w:rPr>
              <w:t>申报</w:t>
            </w: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等级</w:t>
            </w:r>
          </w:p>
        </w:tc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运营地址</w:t>
            </w:r>
          </w:p>
        </w:tc>
        <w:tc>
          <w:tcPr>
            <w:tcW w:w="4266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广西壮族自治区柳州市鹿寨县鹿寨县鹿寨镇建中东路28-2号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default" w:ascii="华文楷体" w:hAnsi="华文楷体" w:eastAsia="华文楷体"/>
                <w:b/>
                <w:sz w:val="18"/>
                <w:szCs w:val="18"/>
              </w:rPr>
              <w:t>床位数</w:t>
            </w:r>
          </w:p>
        </w:tc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评价类型</w:t>
            </w:r>
          </w:p>
        </w:tc>
        <w:tc>
          <w:tcPr>
            <w:tcW w:w="4266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❒机构自评    ▉专家评价    ❒监督评价    ❒其他评价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评价时间</w:t>
            </w:r>
          </w:p>
        </w:tc>
        <w:tc>
          <w:tcPr>
            <w:tcW w:w="18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机构属性</w:t>
            </w:r>
          </w:p>
        </w:tc>
        <w:tc>
          <w:tcPr>
            <w:tcW w:w="7425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134" w:lineRule="atLeast"/>
              <w:ind w:left="0" w:right="0" w:firstLine="0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❒公建公营    ▉公建民营    ❒民建民营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人员配备</w:t>
            </w:r>
          </w:p>
        </w:tc>
        <w:tc>
          <w:tcPr>
            <w:tcW w:w="7425" w:type="dxa"/>
            <w:gridSpan w:val="8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员工数量：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92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，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其中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：行政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管理人员：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；护理员：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 73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医师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；护士：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社会工作者：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入住老年人统计</w:t>
            </w:r>
          </w:p>
        </w:tc>
        <w:tc>
          <w:tcPr>
            <w:tcW w:w="7425" w:type="dxa"/>
            <w:gridSpan w:val="8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总入住人数：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名。</w:t>
            </w:r>
          </w:p>
          <w:p>
            <w:pPr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▉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老年人能力评估规范开展，其中：重度失能：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；中度失能：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轻度失能：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；能力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完好：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名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❒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老年人能力评估未开展/不规范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现场评价人员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组长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姓名</w:t>
            </w:r>
          </w:p>
        </w:tc>
        <w:tc>
          <w:tcPr>
            <w:tcW w:w="5583" w:type="dxa"/>
            <w:gridSpan w:val="6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评价项目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田晓华</w:t>
            </w:r>
          </w:p>
        </w:tc>
        <w:tc>
          <w:tcPr>
            <w:tcW w:w="5583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环境评定实施指标与分值,2 设施设备评定实施指标,3 运营管理评定实施指标,4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组员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姓名</w:t>
            </w:r>
          </w:p>
        </w:tc>
        <w:tc>
          <w:tcPr>
            <w:tcW w:w="5583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评价项目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柯德祥</w:t>
            </w:r>
          </w:p>
        </w:tc>
        <w:tc>
          <w:tcPr>
            <w:tcW w:w="5583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环境评定实施指标与分值,2 设施设备评定实施指标,3 运营管理评定实施指标,4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喻玲慧</w:t>
            </w:r>
          </w:p>
        </w:tc>
        <w:tc>
          <w:tcPr>
            <w:tcW w:w="5583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环境评定实施指标与分值,2 设施设备评定实施指标,3 运营管理评定实施指标,4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杨璐</w:t>
            </w:r>
          </w:p>
        </w:tc>
        <w:tc>
          <w:tcPr>
            <w:tcW w:w="5583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环境评定实施指标与分值,2 设施设备评定实施指标,3 运营管理评定实施指标,4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陈骥</w:t>
            </w:r>
          </w:p>
        </w:tc>
        <w:tc>
          <w:tcPr>
            <w:tcW w:w="5583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环境评定实施指标与分值,2 设施设备评定实施指标,3 运营管理评定实施指标,4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杨胜凯</w:t>
            </w:r>
          </w:p>
        </w:tc>
        <w:tc>
          <w:tcPr>
            <w:tcW w:w="5583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4 服务评定实施指标与分值,3 运营管理评定实施指标,2 设施设备评定实施指标,1 环境评定实施指标与分值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基本要求条款不符合记录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 环境评定实施指标与分值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条款号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不符合描述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1.3.1.6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（1）安装牢固、无残缺破损，不会对人员带来安全隐患；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1.3.1.6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（2）位置易于老年人查看，未被照明设施、监控设施、树木等遮挡，且不影响轮椅坡道等无障碍设施及其他设施功能的安全使用；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1.3.1.7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1.5.1.1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1.5.2.6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（2）室内公共活动空间；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1.5.2.6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（3）就餐空间。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1.5.2.7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● 通风条件整体良好，无憋闷感，局部空间有轻微异味，得1分。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1.6.2.1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（1）照度充足、均匀，居室内无明显阴影区；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1.6.2.2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1.6.2.3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（1）照度充足、均匀，卫生间内无明显阴影区；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1.6.2.4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1.6.2.8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1.7.1.1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1.7.1.3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1.2.1.1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（2）25㎡/床≤建筑面积 ≤35㎡/床，得2分；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（2）通行净宽≥1.40m，且局部设有≥1.80m的轮椅回转及错行空间，得1分；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1.4.2.4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（2）采用轮椅坡道或楼梯升降机（爬楼机），得1分。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1.4.3.8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（3）以上条件均不满足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1.4.3.9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1.4.3.15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1.4.3.16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1.1.1.4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2 设施设备评定实施指标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条款号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不符合描述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（3）居室如厕区/卫生间设门或帘子，以起到如厕区/卫生间内外的视线分隔作用。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2.1.1.8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 ● ＞0 且＜50%，得1分。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2.1.5.1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● 部分符合以上描述，得1分；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2.2.2.1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2.2.2.5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2.2.2.6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2.2.2.7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2.2.2.8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（3）以上条件均不满足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2.3.1.3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2.3.1.7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2.3.2.3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2.3.2.5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2.3.2.7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2.4.1.2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2.4.1.3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2.4.2.1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2.4.2.2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2.4.2.3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（4）抹布、墩布、清洁车等清洁工具的存放；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（1）阅读区（室）：配置适合老年人阅读的图书、近期杂志、当日/期报纸；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（2）棋牌活动区（室）：配置象棋、麻将等老年人常用棋牌游具；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（4）书画区（室）：配置适宜老年人使用的书画桌椅与画材，满足书画的挂放；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（5）音乐、舞蹈活动区（室）：满足播放多媒体需求；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（6）电子阅览区（室）：设置可联网的电脑；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（7）教室：具有投影设施或黑（白）板。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 （1）安全、稳固；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（2）绝大多数座椅（含沙发）有靠背，便于起坐；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2.6.6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（3）桌椅、沙发种类丰富，可供老年人选择，形式有居家、温馨感。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2.7.1.3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2.1.7.5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（2）设有≥2种运动康复器械；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（3）设有≥2种作业康复器械。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 （1）康复器械布置合理，无安全隐患；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（3）满足通行需求，方便乘坐轮椅的老年人接近和使用各类康复器械。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（3）设有疗愈性康复景观，提供五感刺激，可供开展园艺疗法等康复活动；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2.11.1.6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● 部分符合以上描述，得1分；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2.12.2.2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（1）具有较好的私密性；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2.8.1.5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（1）设有药柜和分药操作台面；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2.8.1.5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  （2）分药室或药柜设锁。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2.8.1.11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 xml:space="preserve"> ● 完全不符合以上描述，得0分。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3 运营管理评定实施指标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条款号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不符合描述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3.1.1.1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3.1.1.2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计划或总结内容不全面、不清晰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3.1.2.6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3.1.2.7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有行政信息公开措施，通过小黑板、公告栏或电子显示屏发布信息，得0.5分。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3.1.3.1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满足4项及以上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3.2.4.2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3.2.4.3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3.2.7.2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3.2.8.2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服务流程不全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符合2项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3.3.2.9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有服务管理标准、操作规范，得2分。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养老护理员与重度失能老年人配比不低于1:3；养老护理员与中度失能老年人配比不低于1:6；养老护理员与轻度失能及能力完好老年人配比不低于1:15，得2分。注：此处不限定养老护理员等级。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3.3.4.1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3.3.4.3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3.3.4.6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3.4.1.2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3.4.1.4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3.4.1.8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3.6.1.2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3.6.1.4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建立设施设备档案，无维护记录或维修记录，得1分。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每年开展不少于1次满意度测评，得1分。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3.7.2.4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服务对象满意度＜90%，得2分。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3.7.2.5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3.7.4.3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3.7.4.4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3.7.4.5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有预案但无演练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3.5.4.3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3.5.6.1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3.5.6.3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3.5.7.2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4 服务评定实施指标与分值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条款号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不符合描述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4.2.2.4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有记录表但记录不全面、规范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4.2.3.18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符合（1）（2）项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4.2.3.20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有兼职营养师，为老年人搭配饮食，确保营养均衡，得2分。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4.3.2.5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4.3.2.6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机构内餐饮服务单位（或外包膳食服务供应商）量化等级为当地“良好”，得2分。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4.3.3.10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4.3.3.12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留样符合要求，但留样容器上记录不完整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4.3.3.14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记录不规范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4.3.3.16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4.3.3.18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食谱每周更新一次，向老年人公布并存档；临时调整时，需提前1天告知；得1分。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4.3.3.20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4.3.3.21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符合2项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4.4.3.8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4.5.3.2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4.5.3.4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4.7.2.4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4.7.2.5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计划不全或执行率低于90%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日常活动不能完全满足各等级老年人活动需求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每日至少组织2次适宜老年人活动，有记录，但是记录不全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开展3-4次活动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4.7.3.10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4.7.3.11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服务人员为养老护理员（取得养老护理员四级或更高等级职业资格证书），得1分。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有帮助入住机构的老年人熟悉机构环境的适应计划，得2分。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4.8.3.6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4.9.2.2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4.9.3.3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4.9.3.4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4.9.3.7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4.9.3.9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4.10.2.1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4.10.2.2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4.10.3.1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4.10.3.2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记录不全、不准确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4.10.3.3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4.11.1.3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4.11.1.4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4.11.1.5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以上条件均不满足时，得0分。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有经康复知识技能培训的养老护理员，提供康复护理服务，得1分。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4.11.3.9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4.12.2.3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每季度至少举办1次老年课堂或各类知识讲座，得2分。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符合2项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有与其他服务共用的场地，有基本设备且能正常使用，得1分。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提供3种教育内容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4.12.3.6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4.13.1.1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提供4.2-4.12服务中至少1项服务，得1分。（直接上门提供服务或对社区老年人开放均可）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4.13.1.2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未提供专业支持服务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服务计划不全不规范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4.13.3.5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4.13.3.9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年度服务量低于1000人次，得0分。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4.1.2.2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符合2项，且包含老年人日常生活活动能力时，得2分。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根据评估结果和老年人服务需求，制定照护服务计划，包括服务等级、服务项目、膳食要求等，得3分。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4.1.3.6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符合5-6项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4.1.3.7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符合5-7项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4.1.3.12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4.1.3.13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机构入住率为40%-45%，得3分。（不含45%）。 注：申请3级评定的养老机构入住率如低于40%，则自动终止评定程序。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4.6.2.1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未内设医疗机构的养老机构 （1）至少有1名取得执业医师资格，经注册后在医疗、保健机构中执业满5年，身体健康的临床类别执业医师或中医类别执业医师； （2）至少有1名注册护士。 注：满足一条得3分，满足两条得6分。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4.6.3.1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4.6.3.10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4.6.3.14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4.6.3.20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不符合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  <w:lang w:val="en-US" w:eastAsia="zh-CN"/>
              </w:rPr>
              <w:t>4.6.3.22</w:t>
            </w:r>
          </w:p>
        </w:tc>
        <w:tc>
          <w:tcPr>
            <w:tcW w:w="6855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color="auto" w:fill="FFFFFF"/>
              </w:rPr>
              <w:t>无记录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星级评定实施内容与分值评价情况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79" w:type="dxa"/>
            <w:gridSpan w:val="4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评价项目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分值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评价得分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分值比例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3.1 行政办公管理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2593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3.2 人力资源管理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14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3.3 服务管理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3.4 财务管理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11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3.5 安全管理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3.6 后勤管理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11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3.7 评价与改进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96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 运营管理评定实施指标比例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64.00%%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4.1 出入院服务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39</w:t>
            </w:r>
          </w:p>
        </w:tc>
        <w:tc>
          <w:tcPr>
            <w:tcW w:w="2593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4.2 生活照料服务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90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4.3 膳食服务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70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46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4.4 清洁卫生服务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21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4.5 洗涤服务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22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4.6 医疗护理服务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60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48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4.7 文化娱乐服务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29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4.8 心理/精神支持服务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4.9 安宁服务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17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4.10 委托服务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4.11 康复服务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30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4.12 教育服务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4.13 居家上门服务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11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380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4 服务评定实施指标与分值比例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63.33%%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1.1 交通便捷度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  <w:tc>
          <w:tcPr>
            <w:tcW w:w="2593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1.2 周边服务设施（含机构面积）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1.3 公共信息图形标志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8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1.4 院内无障碍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44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1.5 室内温度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12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1.6 室内光照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10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1.7 室内噪声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1.8 绿化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 环境评定实施指标与分值比例</w:t>
            </w:r>
            <w:r>
              <w:rPr>
                <w:rFonts w:hint="eastAsia" w:eastAsia="仿宋_GB2312"/>
                <w:sz w:val="18"/>
                <w:szCs w:val="18"/>
              </w:rPr>
              <w:t>： 83.33%%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2.1 居室（含照料单元）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16</w:t>
            </w:r>
          </w:p>
        </w:tc>
        <w:tc>
          <w:tcPr>
            <w:tcW w:w="2593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2.2 卫生间、洗浴空间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2.3 就餐空间（含厨房）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10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2.4 洗涤空间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2.5 接待空间（含门厅）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2.6 活动场所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8.5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2.7 储物间（含库房）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2.8 医疗卫生用房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12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2.9 停车区域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2.10 评估空间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2.11 康复空间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gridSpan w:val="4"/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2.12 社会工作室/心理咨询空间（含管理服务用房及设施）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9.5</w:t>
            </w:r>
          </w:p>
        </w:tc>
        <w:tc>
          <w:tcPr>
            <w:tcW w:w="2593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得分合计</w:t>
            </w:r>
            <w:r>
              <w:rPr>
                <w:rFonts w:hint="eastAsia" w:eastAsia="仿宋_GB2312"/>
                <w:sz w:val="18"/>
                <w:szCs w:val="18"/>
              </w:rPr>
              <w:t>：100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不参与评定</w:t>
            </w:r>
            <w:r>
              <w:rPr>
                <w:rFonts w:hint="eastAsia" w:eastAsia="仿宋_GB2312"/>
                <w:sz w:val="18"/>
                <w:szCs w:val="18"/>
              </w:rPr>
              <w:t>：0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最终得分： 100</w:t>
            </w:r>
            <w:r>
              <w:rPr>
                <w:rFonts w:hint="default" w:eastAsia="仿宋_GB2312"/>
                <w:sz w:val="18"/>
                <w:szCs w:val="18"/>
              </w:rPr>
              <w:t xml:space="preserve"> 分</w:t>
            </w:r>
          </w:p>
          <w:p>
            <w:pPr>
              <w:spacing w:line="276" w:lineRule="auto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2 设施设备评定实施指标比例</w:t>
            </w:r>
            <w:r>
              <w:rPr>
                <w:rFonts w:hint="eastAsia" w:eastAsia="仿宋_GB2312"/>
                <w:sz w:val="18"/>
                <w:szCs w:val="18"/>
              </w:rPr>
              <w:t>： 76.92%%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评价结果汇总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1．机构入住率</w:t>
            </w:r>
            <w:r>
              <w:rPr>
                <w:rFonts w:hint="eastAsia" w:eastAsia="仿宋_GB2312"/>
                <w:sz w:val="18"/>
                <w:szCs w:val="18"/>
                <w:u w:val="single"/>
              </w:rPr>
              <w:t>0</w:t>
            </w:r>
            <w:r>
              <w:rPr>
                <w:rFonts w:hint="eastAsia" w:eastAsia="仿宋_GB2312"/>
                <w:sz w:val="18"/>
                <w:szCs w:val="18"/>
              </w:rPr>
              <w:t>%；</w:t>
            </w:r>
          </w:p>
          <w:p>
            <w:pPr>
              <w:spacing w:line="360" w:lineRule="exact"/>
              <w:ind w:left="174" w:hanging="175" w:hangingChars="100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2．提供的服务项目：❒出入院服务，❒生活照料服务，❒膳食服务，❒清洁卫生服务，❒洗涤服务，❒医疗护理服务，❒文化娱乐服务，❒心理</w:t>
            </w:r>
            <w:r>
              <w:rPr>
                <w:rFonts w:hint="default" w:eastAsia="仿宋_GB2312"/>
                <w:sz w:val="18"/>
                <w:szCs w:val="18"/>
              </w:rPr>
              <w:t>/精神支持服务</w:t>
            </w:r>
            <w:r>
              <w:rPr>
                <w:rFonts w:hint="eastAsia" w:eastAsia="仿宋_GB2312"/>
                <w:sz w:val="18"/>
                <w:szCs w:val="18"/>
              </w:rPr>
              <w:t>，❒</w:t>
            </w:r>
            <w:r>
              <w:rPr>
                <w:rFonts w:hint="default" w:eastAsia="仿宋_GB2312"/>
                <w:sz w:val="18"/>
                <w:szCs w:val="18"/>
              </w:rPr>
              <w:t>安宁服务</w:t>
            </w:r>
            <w:r>
              <w:rPr>
                <w:rFonts w:hint="eastAsia" w:eastAsia="仿宋_GB2312"/>
                <w:sz w:val="18"/>
                <w:szCs w:val="18"/>
              </w:rPr>
              <w:t>，❒</w:t>
            </w:r>
            <w:r>
              <w:rPr>
                <w:rFonts w:hint="default" w:eastAsia="仿宋_GB2312"/>
                <w:sz w:val="18"/>
                <w:szCs w:val="18"/>
              </w:rPr>
              <w:t>委托服务</w:t>
            </w:r>
            <w:r>
              <w:rPr>
                <w:rFonts w:hint="eastAsia" w:eastAsia="仿宋_GB2312"/>
                <w:sz w:val="18"/>
                <w:szCs w:val="18"/>
              </w:rPr>
              <w:t>，❒</w:t>
            </w:r>
            <w:r>
              <w:rPr>
                <w:rFonts w:hint="default" w:eastAsia="仿宋_GB2312"/>
                <w:sz w:val="18"/>
                <w:szCs w:val="18"/>
              </w:rPr>
              <w:t>康复服务</w:t>
            </w:r>
            <w:r>
              <w:rPr>
                <w:rFonts w:hint="eastAsia" w:eastAsia="仿宋_GB2312"/>
                <w:sz w:val="18"/>
                <w:szCs w:val="18"/>
              </w:rPr>
              <w:t>，❒</w:t>
            </w:r>
            <w:r>
              <w:rPr>
                <w:rFonts w:hint="default" w:eastAsia="仿宋_GB2312"/>
                <w:sz w:val="18"/>
                <w:szCs w:val="18"/>
              </w:rPr>
              <w:t>教育服务</w:t>
            </w:r>
            <w:r>
              <w:rPr>
                <w:rFonts w:hint="eastAsia" w:eastAsia="仿宋_GB2312"/>
                <w:sz w:val="18"/>
                <w:szCs w:val="18"/>
              </w:rPr>
              <w:t>，❒</w:t>
            </w:r>
            <w:r>
              <w:rPr>
                <w:rFonts w:hint="default" w:eastAsia="仿宋_GB2312"/>
                <w:sz w:val="18"/>
                <w:szCs w:val="18"/>
              </w:rPr>
              <w:t>居家上门服务；</w:t>
            </w:r>
          </w:p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3．院长/副院长文化程度：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4．在院老年人数量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Fonts w:hint="default" w:eastAsia="仿宋_GB2312"/>
                <w:sz w:val="18"/>
                <w:szCs w:val="18"/>
              </w:rPr>
              <w:t>位</w:t>
            </w:r>
            <w:r>
              <w:rPr>
                <w:rFonts w:hint="eastAsia" w:eastAsia="仿宋_GB2312"/>
                <w:sz w:val="18"/>
                <w:szCs w:val="18"/>
              </w:rPr>
              <w:t>，专职社会工作者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eastAsia="仿宋_GB2312"/>
                <w:sz w:val="18"/>
                <w:szCs w:val="18"/>
              </w:rPr>
              <w:t>位</w:t>
            </w:r>
            <w:r>
              <w:rPr>
                <w:rFonts w:hint="eastAsia" w:eastAsia="仿宋_GB2312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5．设卫生间的老年人居室占能力完好、轻度失能、中度失能老年人居室总数比例为</w:t>
            </w:r>
            <w:r>
              <w:rPr>
                <w:rFonts w:hint="eastAsia" w:eastAsia="仿宋_GB2312"/>
                <w:sz w:val="18"/>
                <w:szCs w:val="18"/>
                <w:u w:val="single"/>
              </w:rPr>
              <w:t>0</w:t>
            </w:r>
            <w:r>
              <w:rPr>
                <w:rFonts w:hint="eastAsia" w:eastAsia="仿宋_GB2312"/>
                <w:sz w:val="18"/>
                <w:szCs w:val="18"/>
              </w:rPr>
              <w:t>%；</w:t>
            </w:r>
          </w:p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6．</w:t>
            </w:r>
            <w:r>
              <w:rPr>
                <w:rFonts w:hint="default" w:eastAsia="仿宋_GB2312"/>
                <w:sz w:val="18"/>
                <w:szCs w:val="18"/>
              </w:rPr>
              <w:t>为其他养老服务机构提供支持或培训的项目</w:t>
            </w:r>
            <w:r>
              <w:rPr>
                <w:rFonts w:hint="eastAsia" w:eastAsia="仿宋_GB2312"/>
                <w:sz w:val="18"/>
                <w:szCs w:val="18"/>
              </w:rPr>
              <w:t>：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hint="default" w:eastAsia="仿宋_GB2312"/>
                <w:b/>
                <w:sz w:val="18"/>
                <w:szCs w:val="18"/>
                <w:u w:val="single"/>
              </w:rPr>
            </w:pPr>
            <w:r>
              <w:rPr>
                <w:rFonts w:hint="eastAsia" w:eastAsia="仿宋_GB2312"/>
                <w:sz w:val="18"/>
                <w:szCs w:val="18"/>
              </w:rPr>
              <w:t>7．评定总分值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676</w:t>
            </w:r>
            <w:r>
              <w:rPr>
                <w:rFonts w:hint="default" w:eastAsia="仿宋_GB2312"/>
                <w:sz w:val="18"/>
                <w:szCs w:val="18"/>
              </w:rPr>
              <w:t>分，</w:t>
            </w:r>
            <w:r>
              <w:rPr>
                <w:rFonts w:hint="eastAsia" w:eastAsia="仿宋_GB2312"/>
                <w:sz w:val="18"/>
                <w:szCs w:val="18"/>
              </w:rPr>
              <w:t>各</w:t>
            </w:r>
            <w:r>
              <w:rPr>
                <w:rFonts w:hint="default" w:eastAsia="仿宋_GB2312"/>
                <w:sz w:val="18"/>
                <w:szCs w:val="18"/>
              </w:rPr>
              <w:t>项目评定得分比例</w:t>
            </w:r>
            <w:r>
              <w:rPr>
                <w:rFonts w:hint="eastAsia" w:eastAsia="仿宋_GB2312"/>
                <w:sz w:val="18"/>
                <w:szCs w:val="18"/>
              </w:rPr>
              <w:t>：环境</w:t>
            </w:r>
            <w:r>
              <w:rPr>
                <w:rFonts w:hint="default" w:eastAsia="仿宋_GB2312"/>
                <w:sz w:val="18"/>
                <w:szCs w:val="18"/>
              </w:rPr>
              <w:t>指标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83.33</w:t>
            </w:r>
            <w:r>
              <w:rPr>
                <w:rFonts w:hint="default"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；设施设备</w:t>
            </w:r>
            <w:r>
              <w:rPr>
                <w:rFonts w:hint="default" w:eastAsia="仿宋_GB2312"/>
                <w:sz w:val="18"/>
                <w:szCs w:val="18"/>
              </w:rPr>
              <w:t>指标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76.92</w:t>
            </w:r>
            <w:r>
              <w:rPr>
                <w:rFonts w:hint="default"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；运营管理</w:t>
            </w:r>
            <w:r>
              <w:rPr>
                <w:rFonts w:hint="default" w:eastAsia="仿宋_GB2312"/>
                <w:sz w:val="18"/>
                <w:szCs w:val="18"/>
              </w:rPr>
              <w:t>指标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64.00</w:t>
            </w:r>
            <w:r>
              <w:rPr>
                <w:rFonts w:hint="default"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；服务</w:t>
            </w:r>
            <w:r>
              <w:rPr>
                <w:rFonts w:hint="default" w:eastAsia="仿宋_GB2312"/>
                <w:sz w:val="18"/>
                <w:szCs w:val="18"/>
              </w:rPr>
              <w:t>指标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>63.33</w:t>
            </w:r>
            <w:r>
              <w:rPr>
                <w:rFonts w:hint="default" w:eastAsia="仿宋_GB2312"/>
                <w:sz w:val="18"/>
                <w:szCs w:val="18"/>
              </w:rPr>
              <w:t>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华文楷体" w:hAnsi="华文楷体" w:eastAsia="华文楷体"/>
                <w:b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推荐等级</w:t>
            </w:r>
          </w:p>
        </w:tc>
        <w:tc>
          <w:tcPr>
            <w:tcW w:w="7425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134" w:lineRule="atLeast"/>
              <w:ind w:left="0" w:right="0" w:firstLine="0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❒五级 ❒四级  ❒三级 ❒二级 ❒一级  ❒未达申报等级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改进建议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建议</w:t>
            </w:r>
            <w:r>
              <w:rPr>
                <w:rFonts w:hint="eastAsia" w:eastAsia="仿宋_GB2312"/>
                <w:sz w:val="18"/>
                <w:szCs w:val="18"/>
              </w:rPr>
              <w:t>：</w:t>
            </w:r>
          </w:p>
          <w:p>
            <w:pPr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1、</w:t>
            </w:r>
          </w:p>
          <w:p>
            <w:pPr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2、</w:t>
            </w:r>
          </w:p>
          <w:p>
            <w:pPr>
              <w:jc w:val="left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ascii="华文楷体" w:hAnsi="华文楷体" w:eastAsia="华文楷体"/>
                <w:b/>
                <w:sz w:val="18"/>
                <w:szCs w:val="18"/>
              </w:rPr>
              <w:t>评价结论确认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评价组长（签名）：</w:t>
            </w:r>
          </w:p>
          <w:p>
            <w:pPr>
              <w:jc w:val="left"/>
              <w:rPr>
                <w:rFonts w:hint="default" w:ascii="仿宋" w:hAnsi="仿宋" w:eastAsia="仿宋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评价组员（签名）：</w:t>
            </w:r>
          </w:p>
          <w:p>
            <w:pPr>
              <w:ind w:firstLine="350" w:firstLineChars="200"/>
              <w:jc w:val="left"/>
              <w:rPr>
                <w:rFonts w:hint="default" w:ascii="仿宋" w:hAnsi="仿宋" w:eastAsia="仿宋"/>
                <w:b/>
                <w:sz w:val="18"/>
                <w:szCs w:val="18"/>
              </w:rPr>
            </w:pPr>
          </w:p>
          <w:p>
            <w:pPr>
              <w:ind w:firstLine="350" w:firstLineChars="200"/>
              <w:jc w:val="left"/>
              <w:rPr>
                <w:rFonts w:hint="default" w:ascii="仿宋" w:hAnsi="仿宋" w:eastAsia="仿宋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仿宋" w:hAnsi="仿宋" w:eastAsia="仿宋"/>
                <w:sz w:val="18"/>
                <w:szCs w:val="18"/>
              </w:rPr>
            </w:pPr>
            <w:r>
              <w:rPr>
                <w:rFonts w:hint="default" w:ascii="仿宋" w:hAnsi="仿宋" w:eastAsia="仿宋"/>
                <w:b/>
                <w:sz w:val="18"/>
                <w:szCs w:val="18"/>
              </w:rPr>
              <w:t>评价时间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8523" w:type="dxa"/>
            <w:gridSpan w:val="9"/>
            <w:shd w:val="clear" w:color="auto" w:fill="FFFFFF"/>
          </w:tcPr>
          <w:p>
            <w:pPr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被评价机构意见：</w:t>
            </w:r>
          </w:p>
          <w:p>
            <w:pPr>
              <w:spacing w:line="360" w:lineRule="auto"/>
              <w:ind w:firstLine="408"/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sym w:font="Wingdings" w:char="F072"/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同意评价机构结论</w:t>
            </w:r>
          </w:p>
          <w:p>
            <w:pPr>
              <w:spacing w:line="360" w:lineRule="auto"/>
              <w:ind w:firstLine="408"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default" w:eastAsia="仿宋_GB2312"/>
                <w:sz w:val="18"/>
                <w:szCs w:val="18"/>
              </w:rPr>
              <w:sym w:font="Wingdings" w:char="F072"/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不同意评价机构结论，</w:t>
            </w:r>
            <w:r>
              <w:rPr>
                <w:rFonts w:hint="default" w:ascii="华文仿宋" w:hAnsi="华文仿宋" w:eastAsia="华文仿宋"/>
                <w:sz w:val="18"/>
                <w:szCs w:val="18"/>
              </w:rPr>
              <w:t>对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如下条款提出异议：</w:t>
            </w:r>
          </w:p>
          <w:p>
            <w:pPr>
              <w:spacing w:line="360" w:lineRule="auto"/>
              <w:ind w:firstLine="408"/>
              <w:jc w:val="left"/>
              <w:rPr>
                <w:sz w:val="18"/>
                <w:szCs w:val="18"/>
                <w:u w:val="single"/>
              </w:rPr>
            </w:pPr>
          </w:p>
          <w:p>
            <w:pPr>
              <w:spacing w:line="360" w:lineRule="auto"/>
              <w:ind w:firstLine="408"/>
              <w:jc w:val="left"/>
              <w:rPr>
                <w:sz w:val="18"/>
                <w:szCs w:val="18"/>
                <w:u w:val="single"/>
              </w:rPr>
            </w:pPr>
          </w:p>
          <w:p>
            <w:pPr>
              <w:spacing w:line="360" w:lineRule="auto"/>
              <w:ind w:firstLine="3500" w:firstLineChars="2000"/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被评价机构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（盖章）：</w:t>
            </w:r>
          </w:p>
          <w:p>
            <w:pPr>
              <w:spacing w:line="360" w:lineRule="auto"/>
              <w:ind w:firstLine="3500" w:firstLineChars="2000"/>
              <w:jc w:val="left"/>
              <w:rPr>
                <w:rFonts w:hint="default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机构负责人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（签名）：</w:t>
            </w:r>
          </w:p>
          <w:p>
            <w:pPr>
              <w:ind w:firstLine="3500" w:firstLineChars="2000"/>
              <w:jc w:val="left"/>
              <w:rPr>
                <w:rFonts w:hint="default" w:ascii="仿宋" w:hAnsi="仿宋" w:eastAsia="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日期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：</w:t>
            </w:r>
          </w:p>
        </w:tc>
      </w:tr>
    </w:tbl>
    <w:p>
      <w:pPr>
        <w:tabs>
          <w:tab w:val="left" w:pos="2652"/>
        </w:tabs>
        <w:spacing w:line="14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567" w:footer="850" w:gutter="0"/>
      <w:pgNumType w:fmt="numberInDash"/>
      <w:cols w:space="720" w:num="1"/>
      <w:docGrid w:type="linesAndChars" w:linePitch="309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206" w:type="dxa"/>
      <w:jc w:val="center"/>
      <w:tblBorders>
        <w:top w:val="none" w:color="auto" w:sz="4" w:space="0"/>
        <w:left w:val="none" w:color="auto" w:sz="4" w:space="0"/>
        <w:bottom w:val="thinThickSmallGap" w:color="000000" w:sz="18" w:space="0"/>
        <w:right w:val="none" w:color="auto" w:sz="4" w:space="0"/>
        <w:insideH w:val="thinThickSmallGap" w:color="000000" w:sz="18" w:space="0"/>
        <w:insideV w:val="non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206"/>
    </w:tblGrid>
    <w:tr>
      <w:tblPrEx>
        <w:tblBorders>
          <w:top w:val="none" w:color="auto" w:sz="4" w:space="0"/>
          <w:left w:val="none" w:color="auto" w:sz="4" w:space="0"/>
          <w:bottom w:val="thinThickSmallGap" w:color="000000" w:sz="18" w:space="0"/>
          <w:right w:val="none" w:color="auto" w:sz="4" w:space="0"/>
          <w:insideH w:val="thinThickSmallGap" w:color="000000" w:sz="18" w:space="0"/>
          <w:insideV w:val="non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89" w:hRule="atLeast"/>
        <w:jc w:val="center"/>
      </w:trPr>
      <w:tc>
        <w:tcPr>
          <w:tcW w:w="10206" w:type="dxa"/>
          <w:shd w:val="clear" w:color="auto" w:fill="auto"/>
          <w:vAlign w:val="center"/>
        </w:tcPr>
        <w:p>
          <w:pPr>
            <w:widowControl w:val="0"/>
            <w:spacing w:line="276" w:lineRule="auto"/>
            <w:jc w:val="left"/>
            <w:rPr>
              <w:rFonts w:hint="default" w:ascii="黑体" w:hAnsi="黑体" w:eastAsia="黑体"/>
              <w:color w:val="002060"/>
              <w:spacing w:val="20"/>
              <w:sz w:val="20"/>
              <w:szCs w:val="20"/>
            </w:rPr>
          </w:pPr>
          <w:r>
            <w:rPr>
              <w:rFonts w:hint="eastAsia" w:ascii="黑体" w:hAnsi="黑体" w:eastAsia="黑体"/>
              <w:color w:val="002060"/>
              <w:spacing w:val="20"/>
              <w:sz w:val="20"/>
              <w:szCs w:val="20"/>
            </w:rPr>
            <w:drawing>
              <wp:inline distT="0" distB="0" distL="114300" distR="114300">
                <wp:extent cx="3319145" cy="342900"/>
                <wp:effectExtent l="0" t="0" r="14605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1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hAnsi="黑体" w:eastAsia="黑体"/>
              <w:color w:val="002060"/>
              <w:spacing w:val="20"/>
              <w:sz w:val="20"/>
              <w:szCs w:val="20"/>
            </w:rPr>
            <w:t xml:space="preserve">        文件编号：</w:t>
          </w:r>
          <w:r>
            <w:rPr>
              <w:rFonts w:hint="eastAsia" w:ascii="黑体" w:hAnsi="黑体" w:eastAsia="黑体"/>
              <w:color w:val="002060"/>
              <w:spacing w:val="20"/>
              <w:sz w:val="20"/>
              <w:szCs w:val="20"/>
              <w:lang w:val="en-US" w:eastAsia="zh-CN"/>
            </w:rPr>
            <w:t>GX-2022-00142</w:t>
          </w:r>
        </w:p>
      </w:tc>
    </w:tr>
  </w:tbl>
  <w:p>
    <w:pPr>
      <w:pStyle w:val="5"/>
      <w:pBdr>
        <w:bottom w:val="dashed" w:color="auto" w:sz="4" w:space="1"/>
      </w:pBdr>
      <w:tabs>
        <w:tab w:val="center" w:pos="4153"/>
        <w:tab w:val="right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4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等线" w:hAnsi="等线" w:eastAsia="等线" w:cs="黑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2021-09-07T09:49:00Z</dcterms:created>
  <dc:creator>无谓旅人</dc:creator>
  <cp:lastModifiedBy>     </cp:lastModifiedBy>
  <dcterms:modified xsi:type="dcterms:W3CDTF">2023-09-15T00:51:23Z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8FBDB777C9F64C61B59998DFCB716BFA_13</vt:lpwstr>
  </property>
</Properties>
</file>