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color w:val="FF3300"/>
          <w:spacing w:val="120"/>
          <w:sz w:val="56"/>
          <w:szCs w:val="56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b/>
          <w:color w:val="FF0000"/>
          <w:spacing w:val="140"/>
          <w:sz w:val="18"/>
          <w:szCs w:val="18"/>
        </w:rPr>
        <w:pict>
          <v:shape id="Object 3" o:spid="_x0000_s2050" o:spt="75" type="#_x0000_t75" style="position:absolute;left:0pt;margin-left:437.05pt;margin-top:21.65pt;height:118.45pt;width:118.45pt;mso-position-horizontal-relative:page;mso-position-vertical-relative:page;z-index:-251657216;mso-width-relative:page;mso-height-relative:page;" o:ole="t" filled="f" o:preferrelative="t" stroked="f" coordsize="21600,21600">
            <v:path/>
            <v:fill on="f" opacity="0f" o:opacity2="65535f" focussize="0,0"/>
            <v:stroke on="f" joinstyle="miter"/>
            <v:imagedata r:id="rId7" chromakey="#FFFFFF" o:title=""/>
            <o:lock v:ext="edit" aspectratio="t"/>
            <v:shadow on="t" color="#A0A0A4" offset="0pt,0pt"/>
          </v:shape>
          <o:OLEObject Type="Embed" ProgID="" ShapeID="Object 3" DrawAspect="Content" ObjectID="_1468075725" r:id="rId6">
            <o:LockedField>false</o:LockedField>
          </o:OLEObj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color w:val="FF3300"/>
          <w:spacing w:val="120"/>
          <w:sz w:val="56"/>
          <w:szCs w:val="56"/>
        </w:rPr>
      </w:pPr>
      <w:r>
        <w:rPr>
          <w:rFonts w:hint="default" w:ascii="Times New Roman" w:hAnsi="Times New Roman" w:cs="Times New Roman"/>
          <w:b/>
          <w:bCs/>
          <w:color w:val="FF3300"/>
          <w:spacing w:val="120"/>
          <w:sz w:val="56"/>
          <w:szCs w:val="56"/>
        </w:rPr>
        <w:t>鹿寨县人民政府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cs="Times New Roman"/>
          <w:b/>
          <w:color w:val="FF0000"/>
          <w:spacing w:val="18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cs="Times New Roman"/>
          <w:b/>
          <w:color w:val="FF0000"/>
          <w:spacing w:val="18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07" w:leftChars="86" w:hanging="126" w:hangingChars="11"/>
        <w:jc w:val="center"/>
        <w:textAlignment w:val="auto"/>
        <w:rPr>
          <w:rFonts w:hint="default" w:ascii="Times New Roman" w:hAnsi="Times New Roman" w:cs="Times New Roman"/>
          <w:b/>
          <w:color w:val="FF0000"/>
          <w:spacing w:val="300"/>
          <w:sz w:val="100"/>
          <w:szCs w:val="100"/>
        </w:rPr>
      </w:pPr>
      <w:r>
        <w:rPr>
          <w:rFonts w:hint="default" w:ascii="Times New Roman" w:hAnsi="Times New Roman" w:cs="Times New Roman"/>
          <w:b/>
          <w:bCs/>
          <w:color w:val="FF3300"/>
          <w:spacing w:val="120"/>
          <w:w w:val="90"/>
          <w:sz w:val="100"/>
          <w:szCs w:val="96"/>
        </w:rPr>
        <w:t>办</w:t>
      </w:r>
      <w:r>
        <w:rPr>
          <w:rFonts w:hint="default" w:ascii="Times New Roman" w:hAnsi="Times New Roman" w:cs="Times New Roman"/>
          <w:b/>
          <w:bCs/>
          <w:color w:val="FF3300"/>
          <w:spacing w:val="120"/>
          <w:w w:val="90"/>
          <w:sz w:val="44"/>
          <w:szCs w:val="4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3300"/>
          <w:spacing w:val="120"/>
          <w:w w:val="90"/>
          <w:sz w:val="100"/>
          <w:szCs w:val="96"/>
        </w:rPr>
        <w:t>公</w:t>
      </w:r>
      <w:r>
        <w:rPr>
          <w:rFonts w:hint="default" w:ascii="Times New Roman" w:hAnsi="Times New Roman" w:cs="Times New Roman"/>
          <w:b/>
          <w:bCs/>
          <w:color w:val="FF3300"/>
          <w:spacing w:val="120"/>
          <w:w w:val="90"/>
          <w:sz w:val="44"/>
          <w:szCs w:val="4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3300"/>
          <w:spacing w:val="120"/>
          <w:w w:val="90"/>
          <w:sz w:val="100"/>
          <w:szCs w:val="96"/>
        </w:rPr>
        <w:t>室</w:t>
      </w:r>
      <w:r>
        <w:rPr>
          <w:rFonts w:hint="default" w:ascii="Times New Roman" w:hAnsi="Times New Roman" w:cs="Times New Roman"/>
          <w:b/>
          <w:bCs/>
          <w:color w:val="FF3300"/>
          <w:spacing w:val="120"/>
          <w:w w:val="90"/>
          <w:sz w:val="44"/>
          <w:szCs w:val="4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3300"/>
          <w:spacing w:val="120"/>
          <w:w w:val="90"/>
          <w:sz w:val="100"/>
          <w:szCs w:val="96"/>
        </w:rPr>
        <w:t>文</w:t>
      </w:r>
      <w:r>
        <w:rPr>
          <w:rFonts w:hint="default" w:ascii="Times New Roman" w:hAnsi="Times New Roman" w:cs="Times New Roman"/>
          <w:b/>
          <w:bCs/>
          <w:color w:val="FF3300"/>
          <w:spacing w:val="120"/>
          <w:w w:val="90"/>
          <w:sz w:val="44"/>
          <w:szCs w:val="4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3300"/>
          <w:spacing w:val="120"/>
          <w:w w:val="90"/>
          <w:sz w:val="100"/>
          <w:szCs w:val="96"/>
        </w:rPr>
        <w:t>件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color w:val="FF0000"/>
          <w:spacing w:val="300"/>
          <w:sz w:val="30"/>
          <w:szCs w:val="30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鹿政办发〔202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华文中宋" w:cs="Times New Roman"/>
          <w:b/>
          <w:spacing w:val="300"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spacing w:val="3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128905</wp:posOffset>
                </wp:positionV>
                <wp:extent cx="5715000" cy="0"/>
                <wp:effectExtent l="0" t="25400" r="0" b="35560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6pt;margin-top:10.15pt;height:0pt;width:450pt;z-index:251660288;mso-width-relative:page;mso-height-relative:page;" filled="f" stroked="t" coordsize="21600,21600" o:gfxdata="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okDg3VAAAABwEAAA8AAAAAAAAAAQAgAAAAIgAAAGRycy9kb3du&#10;cmV2LnhtbFBLAQIUABQAAAAIAIdO4kCGcyWeAgIAAP0DAAAOAAAAAAAAAAEAIAAAACQBAABkcnMv&#10;ZTJvRG9jLnhtbFBLBQYAAAAABgAGAFkBAACYBQAAAAA=&#10;">
                <v:fill on="f" focussize="0,0"/>
                <v:stroke weight="4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华文中宋" w:cs="Times New Roman"/>
          <w:b/>
          <w:spacing w:val="300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cs="Times New Roman"/>
          <w:color w:val="000000"/>
          <w:sz w:val="44"/>
          <w:szCs w:val="44"/>
        </w:rPr>
        <w:t>鹿寨县人民政府办公室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44"/>
          <w:szCs w:val="44"/>
          <w:lang w:val="en-US" w:eastAsia="zh-CN"/>
        </w:rPr>
        <w:t>关于开展2021年度鹿寨县</w:t>
      </w:r>
      <w:r>
        <w:rPr>
          <w:rFonts w:hint="eastAsia" w:ascii="Times New Roman" w:hAnsi="Times New Roman" w:cs="Times New Roman"/>
          <w:color w:val="00000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cs="Times New Roman"/>
          <w:color w:val="000000"/>
          <w:sz w:val="44"/>
          <w:szCs w:val="44"/>
          <w:lang w:val="en-US" w:eastAsia="zh-CN"/>
        </w:rPr>
        <w:t>三大纠纷</w:t>
      </w:r>
      <w:r>
        <w:rPr>
          <w:rFonts w:hint="eastAsia" w:ascii="Times New Roman" w:hAnsi="Times New Roman" w:cs="Times New Roman"/>
          <w:color w:val="000000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cs="Times New Roman"/>
          <w:color w:val="000000"/>
          <w:sz w:val="44"/>
          <w:szCs w:val="44"/>
          <w:lang w:val="en-US" w:eastAsia="zh-CN"/>
        </w:rPr>
        <w:t>调处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44"/>
          <w:szCs w:val="44"/>
          <w:lang w:val="en-US" w:eastAsia="zh-CN"/>
        </w:rPr>
        <w:t>工作考评的通知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各乡镇人民政府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县自然资源和规划局、县林业局、县水利局、县司法局：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为进一步了解和掌握新形势下全县调处工作开展情况，以及对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年调处工作进行全面总结，深入剖析，更好地推动我县调处工作依法、规范、高效开展。根据工作安排，经研究决定于202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年3月中旬开展202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三大纠纷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调处工作考评。请各乡镇根据《鹿寨县202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三大纠纷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调处工作考评方案》做好相关准备工作。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2022年3月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鹿寨县2021年度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调处工作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考评方案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为进一步了解和掌握2021年各乡镇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调处工作、集中化解跨市跨县（区）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重点积案情况，更好地推动我县调处工作依法、规范、高效开展，根据年度工作安排，拟于2022年3月中旬组织对各乡镇2021年度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调处工作进行考评。具体安排如下：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一、组织领导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成立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鹿寨县“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调处工作考评领导小组，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具体成员名单如下：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组   长：熊启尧   县人民政府副县长、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公安局局长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副组长：方文杰   县政府办副主任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潘承飞   县司法局局长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成   员：韦万初   县司法局副局长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韦建英   县自然资源和规划局副局长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陈自智   县水利局副局长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廖国安   县林业局副局长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潘  涛   县司法局三大纠纷调处股股长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吴  健   县自然资源和规划局法规股股长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刘家才   县林业局法规股副股长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廖永华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县水利局水政监察大队副大队长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9" w:firstLineChars="603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刘人为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县司法局三大纠纷调处股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二级主任科员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领导小组下设办公室，办公室设在县司法局，办公室主任由韦万初同志兼任，具体负责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调处工作考评的日常事务工作，办公室电话：0772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6812377。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二、考评内容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（一）综合考评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各乡镇作为被考评对象。考评内容：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对“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调处工作机构设置和组织领导，健全调处工作制度，完成调处工作任务目标和落实工作保障，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规范使用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级拨付的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专项办案经费情况等方面内容逐项进行考评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具体评分标准参见《鹿寨县2021年度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调处工作考评评分表》（附件1）。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（二）个案考评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主要针对2021年度以协议调结或者政府下文裁决并实现案结事了的跨市、跨县（区）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案件逐一考评。对个案要求做到一案一卷，各种文书制作规范，相关证据材料齐全，案卷装订有序。协议结案的要有规范完整的调解材料：1. 申请书；2. 双方当事人身份证复印件或委托书；3. 乡镇调解或者村民委调解材料；4. 现场勘验及附图；5. 和解或调解协议及附图，且图文表述一致；6. 送达回执。政府下文裁决的案件，以《广西壮族自治区土地山林水利权属纠纷调解处理条例》及《鹿寨县人民政府办公室关于印发鹿寨县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调解处理工作实施方案的通知》（鹿政办发〔2016〕49号）规定的程序和要求进行考评。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三、考评方法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考评主要采取单位自评、书面汇报，考评组查阅资料、综合考评等方法进行。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（一）由各乡镇填写和提交2021年度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工作情况报告、《鹿寨县2021年度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调处工作考评评分表》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、《2021年度已调结的“三大纠纷”案件统计表》（附件2）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和相关案卷材料。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（二）查阅资料。查阅受检单位年度调处工作档案资料是否规范完整、个案卷宗是否齐全。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（三）综合考评。由县考评组对各乡镇年度调处工作开展情况进行综合考评。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四、考评时间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2022年3月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旬。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1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（一）加强领导，认真对待。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各乡镇人民政府和相关职能部门要切实加强对考评工作的领导，明确分工，统筹安排，正确对待考评工作，做好迎检准备。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1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（二）实事求是，充分准备。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各受检单位要端正态度，坚持实事求是的原则，按考评标准充分准备迎检材料，积极配合开展考评工作。请各乡镇于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（星期五）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前将考评相关材料（包括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工作情况报告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附件1、附件2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和相关案卷材料等）交到县司法局三大纠纷调处股。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1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（三）精心组织，公正严明。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考评组要严明考评纪律，严格按照流程和标准开展考评工作，确保考评工作公开、公平、公正。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六、下一步工作措施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1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（一）突出重点，全力攻坚矛盾纠纷和重点积案化解。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请各乡镇高度重视春耕春种时期的矛盾纠纷和重点积案问题，特别是对重点人群和敏感群体或个体的防范和稳控，积极采取有效措施调处化解矛盾纠纷和重点积案，切实维护我县社会和谐稳定。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1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（二）扩大宣传，增强群众法治意识。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为进一步增强广大群众在土地山林水利权属方面的法律意识，推动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调处工作高质量发展，各乡镇要结合工作职能利用各种形式，广泛开展法治宣传活动，提高基层群众法治意识。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1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（三）严格把关，提高数据报送质量。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乡镇要提高工作自觉性和主动性，对报送的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排查调处数据进行严格把关，确保数据报送及时、准确。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附件：1. 鹿寨县2021年度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调处工作考评评分表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2021年度已调结的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三大纠纷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案件统计表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797"/>
          <w:tab w:val="left" w:pos="8364"/>
        </w:tabs>
        <w:kinsoku/>
        <w:wordWrap/>
        <w:overflowPunct/>
        <w:topLinePunct w:val="0"/>
        <w:bidi w:val="0"/>
        <w:snapToGrid/>
        <w:spacing w:line="4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32"/>
          <w:sz w:val="32"/>
          <w:szCs w:val="32"/>
        </w:rPr>
        <w:t>公开方式：</w:t>
      </w:r>
      <w:r>
        <w:rPr>
          <w:rFonts w:hint="default" w:ascii="Times New Roman" w:hAnsi="Times New Roman" w:eastAsia="黑体" w:cs="Times New Roman"/>
          <w:color w:val="000000"/>
          <w:kern w:val="32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                         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鹿寨县人民政府办公室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20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>年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日印发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鹿寨县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年度“三大纠纷”调处工作考评评分表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被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考评单位（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盖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章）：                                 主要领导签字：                                           年    月    日</w:t>
      </w:r>
    </w:p>
    <w:tbl>
      <w:tblPr>
        <w:tblStyle w:val="6"/>
        <w:tblW w:w="14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2"/>
        <w:gridCol w:w="2128"/>
        <w:gridCol w:w="648"/>
        <w:gridCol w:w="8172"/>
        <w:gridCol w:w="780"/>
        <w:gridCol w:w="839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考评内容</w:t>
            </w:r>
          </w:p>
        </w:tc>
        <w:tc>
          <w:tcPr>
            <w:tcW w:w="6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自评分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考评得分</w:t>
            </w:r>
          </w:p>
        </w:tc>
        <w:tc>
          <w:tcPr>
            <w:tcW w:w="86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92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加强机构设置和组织领导</w:t>
            </w:r>
          </w:p>
        </w:tc>
        <w:tc>
          <w:tcPr>
            <w:tcW w:w="212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乡镇调处机构健全，落实专职人员，政府分管领导重视且熟悉调处工作情况。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1. 机构健全（2分）。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6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2. 落实专职人员（3分）。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3. 政府分管领导每年听取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三大纠纷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调处工作专题汇报不少于2次（5分）。少一次扣2.5分，最高扣5分。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92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完善各项工作制度</w:t>
            </w:r>
          </w:p>
        </w:tc>
        <w:tc>
          <w:tcPr>
            <w:tcW w:w="212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建立健全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三大纠纷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排查、信访接待及案件受理和档案管理等工作制度。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1. 建立健全纠纷排查制度或定期组织纠纷排查（2分）。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6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2. 对排查出来的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三大纠纷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案件，落实包案领导（6分）。未落实每起扣0.5分，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最高扣6分。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按要求及时上报排查情况、工作总结及各类报表、稿件（8分）。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4. 建立健全信访接待制度、完善信访接待记录（2分）。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按规定受理调解纠纷案件（6分），在法定期限内办结（6分）。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6. 按时办结上级部门转办的案件（4分），未办结每起扣1分，最高扣4分。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7. 纠纷案件档案整理及管理规范（5分）。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8. 落实法律顾问参与制度（1分）。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考评内容</w:t>
            </w:r>
          </w:p>
        </w:tc>
        <w:tc>
          <w:tcPr>
            <w:tcW w:w="6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自评分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考评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  <w:tc>
          <w:tcPr>
            <w:tcW w:w="86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6" w:hRule="atLeast"/>
          <w:jc w:val="center"/>
        </w:trPr>
        <w:tc>
          <w:tcPr>
            <w:tcW w:w="92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完成各项工作目标任务</w:t>
            </w:r>
          </w:p>
        </w:tc>
        <w:tc>
          <w:tcPr>
            <w:tcW w:w="212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1. 已受理案件稳控率达100%；当年新案调结率不低于90%，上年度积案调结率不低于80%。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2. 坚持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调解为主、裁决为辅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，调解结案数占总结案数的60%以上。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3. 按照属地管理原则，预防并及时处置群体性事件，防止群体性械斗事件发生。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4. 按照属地管理原则，防止非正常上访事件发生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稳控率或调结率达标（15分）。（新案结案率达标90%的，得10分；结案率每降一个百分点扣0.5分，扣完10分为限；积案结案率达标80%的，得5分；结案率每降一个百分点扣0.5分，扣完5分为限。）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6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协议结案数占总调结数80%以上（5分）。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按照属地管理原则，预防并及时处置群体性事件，防止因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三大纠纷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引发的群体性械斗事件发生（10分）。每发生1起拔苗毁林或群体性械斗事件扣3分；发生群体性械斗事件的每死亡一人扣5分，重伤1人扣2分，轻伤1人扣1分。以上累计扣分不超过10分。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9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按照属地管理原则，防止因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三大纠纷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引发的非正常上访事件发生（10分）。发生非正常上访事件，到柳非访：1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10人（含10人）扣1分/批次；10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30人（含30人）扣2分/批次；31人以上扣3分/批次。到邕非访：1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10人（含10人）扣2分/批次；10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30人（含30人）扣3分/批次； 31人以上扣5分/批次。到京非访扣2分/人次。以上累计扣分不超过10分。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92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落实工作保障</w:t>
            </w:r>
          </w:p>
        </w:tc>
        <w:tc>
          <w:tcPr>
            <w:tcW w:w="212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落实调处工作专项经费，落实办公场所、办公设备情况。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1. 落实有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三大纠纷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调处工作专项经费（3分）。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6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2. 规范使用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三大纠纷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专项办案经费（3分）。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3. 落实工作所需的办公场所和办公设备（4分）。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考评内容</w:t>
            </w:r>
          </w:p>
        </w:tc>
        <w:tc>
          <w:tcPr>
            <w:tcW w:w="64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评分标准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自评分</w:t>
            </w:r>
          </w:p>
        </w:tc>
        <w:tc>
          <w:tcPr>
            <w:tcW w:w="83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考评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  <w:tc>
          <w:tcPr>
            <w:tcW w:w="86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92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加分 内容</w:t>
            </w:r>
          </w:p>
        </w:tc>
        <w:tc>
          <w:tcPr>
            <w:tcW w:w="212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工作成效显著，创新调处工作典型经验。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协助调结跨市重点积案的，每起加1.5分。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6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协助调结跨县（区）重点积案的，每起加1.0分。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调结跨乡镇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三大纠纷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案件的，每起加0.5分。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调结乡镇内集体与集体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三大纠纷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案件（含涉及农林场案件）的，每起加0.2分。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调结乡镇内个人与集体、个人与个人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三大纠纷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案件的，每起加0.1分。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考评组成员签字：                                                                    年        月        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both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both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both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both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center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2021年度已调结的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三大纠纷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案件统计表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 w:firstLine="280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填报单位（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盖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章）：           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       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统计区间：  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 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月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日 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—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 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月 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"/>
        <w:gridCol w:w="4674"/>
        <w:gridCol w:w="1526"/>
        <w:gridCol w:w="1447"/>
        <w:gridCol w:w="1634"/>
        <w:gridCol w:w="1671"/>
        <w:gridCol w:w="1663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案件名称、地点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纠纷性质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纠纷面积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（亩）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案发时间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跨界类别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结案时间 、类型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49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467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09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　填报人：　　　　　　　　　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审核人：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　　　　　　　　　　　　填报时间：    年   月  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注：1.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纠纷性质包括：山林纠纷、土地纠纷、水利纠纷。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跨界类别包括：跨省纠纷、跨市纠纷、跨县纠纷、跨乡镇；乡镇内集体与集体（含涉及农林场）；乡镇内个人与集体、个人与个人。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      3.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结案类型包括：协议结案、裁决结案。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AA3F0"/>
    <w:multiLevelType w:val="singleLevel"/>
    <w:tmpl w:val="873AA3F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AD583AC"/>
    <w:multiLevelType w:val="singleLevel"/>
    <w:tmpl w:val="4AD583AC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forms" w:formatting="1" w:enforcement="0"/>
  <w:defaultTabStop w:val="42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ZWNiNTM5Y2Y4YTMxMmZiZTJkZjdjN2I1MjM4YmMifQ=="/>
  </w:docVars>
  <w:rsids>
    <w:rsidRoot w:val="44F46D61"/>
    <w:rsid w:val="003B0253"/>
    <w:rsid w:val="06B64308"/>
    <w:rsid w:val="14C67B3F"/>
    <w:rsid w:val="196F7EBB"/>
    <w:rsid w:val="44F46D61"/>
    <w:rsid w:val="52953FD2"/>
    <w:rsid w:val="58C1672F"/>
    <w:rsid w:val="7E14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8"/>
      <w:lang w:val="en-US" w:eastAsia="zh-CN" w:bidi="th-TH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Default"/>
    <w:basedOn w:val="9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customStyle="1" w:styleId="10">
    <w:name w:val="公文格式"/>
    <w:basedOn w:val="4"/>
    <w:qFormat/>
    <w:locked/>
    <w:uiPriority w:val="0"/>
    <w:pPr>
      <w:widowControl/>
      <w:spacing w:after="200"/>
      <w:ind w:firstLine="270" w:firstLineChars="150"/>
    </w:pPr>
    <w:rPr>
      <w:rFonts w:ascii="Calibri" w:hAnsi="Calibri" w:eastAsia="宋体" w:cs="Times New Roman"/>
      <w:kern w:val="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3355</Words>
  <Characters>3534</Characters>
  <Lines>0</Lines>
  <Paragraphs>0</Paragraphs>
  <TotalTime>15</TotalTime>
  <ScaleCrop>false</ScaleCrop>
  <LinksUpToDate>false</LinksUpToDate>
  <CharactersWithSpaces>4172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2022-03-03T09:46:00Z</dcterms:created>
  <dc:creator>Administrator</dc:creator>
  <cp:lastModifiedBy>Administrator</cp:lastModifiedBy>
  <cp:lastPrinted>2022-03-14T09:46:00Z</cp:lastPrinted>
  <dcterms:modified xsi:type="dcterms:W3CDTF">2022-05-05T01:40:54Z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5064A8F2087045918889ACB1F1169B3D</vt:lpwstr>
  </property>
</Properties>
</file>