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cs="Times New Roman"/>
        </w:rPr>
        <w:drawing>
          <wp:anchor distT="0" distB="0" distL="114300" distR="114300" simplePos="0" relativeHeight="251661312" behindDoc="1" locked="0" layoutInCell="1" allowOverlap="1">
            <wp:simplePos x="0" y="0"/>
            <wp:positionH relativeFrom="page">
              <wp:posOffset>5275580</wp:posOffset>
            </wp:positionH>
            <wp:positionV relativeFrom="page">
              <wp:posOffset>674370</wp:posOffset>
            </wp:positionV>
            <wp:extent cx="1504315" cy="1504315"/>
            <wp:effectExtent l="0" t="0" r="0" b="0"/>
            <wp:wrapNone/>
            <wp:docPr id="1"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2"/>
                    <pic:cNvPicPr>
                      <a:picLocks noChangeAspect="1"/>
                    </pic:cNvPicPr>
                  </pic:nvPicPr>
                  <pic:blipFill>
                    <a:blip r:embed="rId5" cstate="print">
                      <a:clrChange>
                        <a:clrFrom>
                          <a:srgbClr val="FFFFFF"/>
                        </a:clrFrom>
                        <a:clrTo>
                          <a:srgbClr val="FFFFFF">
                            <a:alpha val="0"/>
                          </a:srgbClr>
                        </a:clrTo>
                      </a:clrChange>
                    </a:blip>
                    <a:stretch>
                      <a:fillRect/>
                    </a:stretch>
                  </pic:blipFill>
                  <pic:spPr>
                    <a:xfrm>
                      <a:off x="0" y="0"/>
                      <a:ext cx="1504315" cy="1504315"/>
                    </a:xfrm>
                    <a:prstGeom prst="rect">
                      <a:avLst/>
                    </a:prstGeom>
                    <a:noFill/>
                    <a:ln>
                      <a:noFill/>
                    </a:ln>
                    <a:effectLst>
                      <a:outerShdw algn="ctr" rotWithShape="0">
                        <a:srgbClr val="A0A0A4"/>
                      </a:outerShdw>
                    </a:effectLst>
                  </pic:spPr>
                </pic:pic>
              </a:graphicData>
            </a:graphic>
          </wp:anchor>
        </w:drawing>
      </w:r>
    </w:p>
    <w:p>
      <w:pPr>
        <w:adjustRightInd w:val="0"/>
        <w:snapToGrid w:val="0"/>
        <w:spacing w:line="500" w:lineRule="exact"/>
        <w:jc w:val="center"/>
        <w:rPr>
          <w:rFonts w:hint="default" w:ascii="Times New Roman" w:hAnsi="Times New Roman" w:eastAsia="方正小标宋简体" w:cs="Times New Roman"/>
          <w:sz w:val="44"/>
          <w:szCs w:val="44"/>
        </w:rPr>
      </w:pPr>
    </w:p>
    <w:p>
      <w:pPr>
        <w:spacing w:line="840" w:lineRule="exact"/>
        <w:jc w:val="center"/>
        <w:rPr>
          <w:rFonts w:hint="default" w:ascii="Times New Roman" w:hAnsi="Times New Roman" w:cs="Times New Roman"/>
          <w:b/>
          <w:bCs/>
          <w:color w:val="FF3300"/>
          <w:spacing w:val="120"/>
          <w:sz w:val="56"/>
          <w:szCs w:val="56"/>
        </w:rPr>
      </w:pPr>
    </w:p>
    <w:p>
      <w:pPr>
        <w:spacing w:line="1060" w:lineRule="exact"/>
        <w:jc w:val="center"/>
        <w:rPr>
          <w:rFonts w:hint="default" w:ascii="Times New Roman" w:hAnsi="Times New Roman" w:cs="Times New Roman"/>
          <w:b/>
          <w:bCs/>
          <w:color w:val="FF3300"/>
          <w:spacing w:val="120"/>
          <w:sz w:val="10"/>
          <w:szCs w:val="10"/>
        </w:rPr>
      </w:pPr>
      <w:r>
        <w:rPr>
          <w:rFonts w:hint="default" w:ascii="Times New Roman" w:hAnsi="Times New Roman" w:cs="Times New Roman"/>
          <w:b/>
          <w:bCs/>
          <w:color w:val="FF3300"/>
          <w:spacing w:val="120"/>
          <w:sz w:val="56"/>
          <w:szCs w:val="56"/>
        </w:rPr>
        <w:t>鹿寨县人民政府</w:t>
      </w:r>
    </w:p>
    <w:p>
      <w:pPr>
        <w:spacing w:line="1060" w:lineRule="exact"/>
        <w:jc w:val="center"/>
        <w:rPr>
          <w:rFonts w:hint="default" w:ascii="Times New Roman" w:hAnsi="Times New Roman" w:cs="Times New Roman"/>
          <w:b/>
          <w:color w:val="FF0000"/>
          <w:spacing w:val="180"/>
          <w:sz w:val="10"/>
          <w:szCs w:val="10"/>
        </w:rPr>
      </w:pPr>
    </w:p>
    <w:p>
      <w:pPr>
        <w:spacing w:line="1060" w:lineRule="exact"/>
        <w:ind w:left="305" w:leftChars="86" w:hanging="125" w:hangingChars="11"/>
        <w:jc w:val="center"/>
        <w:rPr>
          <w:rFonts w:hint="default" w:ascii="Times New Roman" w:hAnsi="Times New Roman" w:cs="Times New Roman"/>
          <w:b/>
          <w:color w:val="FF0000"/>
          <w:spacing w:val="300"/>
          <w:sz w:val="100"/>
          <w:szCs w:val="100"/>
        </w:rPr>
      </w:pPr>
      <w:r>
        <w:rPr>
          <w:rFonts w:hint="default" w:ascii="Times New Roman" w:hAnsi="Times New Roman" w:cs="Times New Roman"/>
          <w:b/>
          <w:bCs/>
          <w:color w:val="FF3300"/>
          <w:spacing w:val="120"/>
          <w:w w:val="90"/>
          <w:sz w:val="100"/>
          <w:szCs w:val="96"/>
        </w:rPr>
        <w:t>办</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公</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室</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文</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件</w:t>
      </w:r>
    </w:p>
    <w:p>
      <w:pPr>
        <w:tabs>
          <w:tab w:val="left" w:pos="720"/>
        </w:tabs>
        <w:rPr>
          <w:rFonts w:hint="default" w:ascii="Times New Roman" w:hAnsi="Times New Roman" w:eastAsia="华文中宋" w:cs="Times New Roman"/>
          <w:b/>
          <w:color w:val="FF0000"/>
          <w:spacing w:val="300"/>
          <w:sz w:val="30"/>
          <w:szCs w:val="30"/>
        </w:rPr>
      </w:pPr>
      <w:r>
        <w:rPr>
          <w:rFonts w:hint="default" w:ascii="Times New Roman" w:hAnsi="Times New Roman" w:eastAsia="华文中宋" w:cs="Times New Roman"/>
          <w:b/>
          <w:color w:val="FF0000"/>
          <w:spacing w:val="300"/>
          <w:sz w:val="30"/>
          <w:szCs w:val="30"/>
        </w:rPr>
        <w:t xml:space="preserve">    </w:t>
      </w:r>
    </w:p>
    <w:p>
      <w:pPr>
        <w:tabs>
          <w:tab w:val="left" w:pos="720"/>
        </w:tabs>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鹿政办发〔202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p>
    <w:p>
      <w:pPr>
        <w:tabs>
          <w:tab w:val="right" w:pos="8306"/>
        </w:tabs>
        <w:jc w:val="left"/>
        <w:rPr>
          <w:rFonts w:hint="default" w:ascii="Times New Roman" w:hAnsi="Times New Roman" w:eastAsia="华文中宋" w:cs="Times New Roman"/>
          <w:b/>
          <w:color w:val="FF0000"/>
          <w:spacing w:val="300"/>
          <w:sz w:val="30"/>
          <w:szCs w:val="30"/>
        </w:rPr>
      </w:pPr>
      <w:r>
        <w:rPr>
          <w:rFonts w:hint="default" w:ascii="Times New Roman" w:hAnsi="Times New Roman" w:eastAsia="华文中宋" w:cs="Times New Roman"/>
          <w:b/>
          <w:color w:val="FF0000"/>
          <w:spacing w:val="300"/>
          <w:sz w:val="30"/>
          <w:szCs w:val="3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142875</wp:posOffset>
                </wp:positionV>
                <wp:extent cx="5715000" cy="0"/>
                <wp:effectExtent l="0" t="25400" r="0" b="35560"/>
                <wp:wrapNone/>
                <wp:docPr id="2" name="直接箭头连接符 2"/>
                <wp:cNvGraphicFramePr/>
                <a:graphic xmlns:a="http://schemas.openxmlformats.org/drawingml/2006/main">
                  <a:graphicData uri="http://schemas.microsoft.com/office/word/2010/wordprocessingShape">
                    <wps:wsp>
                      <wps:cNvCnPr/>
                      <wps:spPr>
                        <a:xfrm>
                          <a:off x="0" y="0"/>
                          <a:ext cx="5715000" cy="0"/>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11.25pt;height:0pt;width:450pt;z-index:251659264;mso-width-relative:page;mso-height-relative:page;" filled="f" stroked="t" coordsize="21600,21600" o:gfxdata="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OVsQtUAAAAHAQAADwAAAAAAAAABACAAAAAiAAAAZHJzL2Rvd25yZXYueG1s&#10;UEsBAhQAFAAAAAgAh07iQCFh2QX7AQAA7QMAAA4AAAAAAAAAAQAgAAAAJAEAAGRycy9lMm9Eb2Mu&#10;eG1sUEsFBgAAAAAGAAYAWQEAAJEFA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b/>
          <w:color w:val="FF0000"/>
          <w:spacing w:val="300"/>
          <w:sz w:val="30"/>
          <w:szCs w:val="30"/>
        </w:rPr>
        <w:tab/>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宋体" w:cs="Times New Roman"/>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44"/>
          <w:szCs w:val="44"/>
          <w14:textFill>
            <w14:solidFill>
              <w14:schemeClr w14:val="tx1"/>
            </w14:solidFill>
          </w14:textFill>
        </w:rPr>
        <w:t>鹿寨县人民政府办公室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宋体" w:cs="Times New Roman"/>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44"/>
          <w:szCs w:val="44"/>
          <w14:textFill>
            <w14:solidFill>
              <w14:schemeClr w14:val="tx1"/>
            </w14:solidFill>
          </w14:textFill>
        </w:rPr>
        <w:t>关于印发《鹿寨县202</w:t>
      </w:r>
      <w:r>
        <w:rPr>
          <w:rFonts w:hint="default" w:ascii="Times New Roman" w:hAnsi="Times New Roman" w:cs="Times New Roman"/>
          <w:color w:val="000000" w:themeColor="text1"/>
          <w:sz w:val="44"/>
          <w:szCs w:val="44"/>
          <w:lang w:val="en-US" w:eastAsia="zh-CN"/>
          <w14:textFill>
            <w14:solidFill>
              <w14:schemeClr w14:val="tx1"/>
            </w14:solidFill>
          </w14:textFill>
        </w:rPr>
        <w:t>2</w:t>
      </w:r>
      <w:r>
        <w:rPr>
          <w:rFonts w:hint="default" w:ascii="Times New Roman" w:hAnsi="Times New Roman" w:eastAsia="宋体" w:cs="Times New Roman"/>
          <w:color w:val="000000" w:themeColor="text1"/>
          <w:sz w:val="44"/>
          <w:szCs w:val="44"/>
          <w14:textFill>
            <w14:solidFill>
              <w14:schemeClr w14:val="tx1"/>
            </w14:solidFill>
          </w14:textFill>
        </w:rPr>
        <w:t>年投资促进工作方案》的通知</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各乡镇人民政府，县直各单位：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《鹿寨县202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年投资促进工作方案》已经县人民政府同意，现印发给你们，请认真组织实施。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5440" w:firstLineChars="17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color w:val="000000" w:themeColor="text1"/>
          <w:sz w:val="44"/>
          <w:szCs w:val="44"/>
          <w14:textFill>
            <w14:solidFill>
              <w14:schemeClr w14:val="tx1"/>
            </w14:solidFill>
          </w14:textFill>
        </w:rPr>
      </w:pPr>
      <w:r>
        <w:rPr>
          <w:rFonts w:hint="default" w:ascii="Times New Roman" w:hAnsi="Times New Roman" w:cs="Times New Roman"/>
          <w:color w:val="000000" w:themeColor="text1"/>
          <w:sz w:val="44"/>
          <w:szCs w:val="44"/>
          <w14:textFill>
            <w14:solidFill>
              <w14:schemeClr w14:val="tx1"/>
            </w14:solidFill>
          </w14:textFill>
        </w:rPr>
        <w:t>鹿寨县2022年投资促进工作方案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2022年是党的二十大召开之年，也是实施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十四五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规划的关键之年，做好投资促进工作意义重大。为贯彻县委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政府的工作部署，充分发挥各部门的职能优势，在全县形成招商引资的强大工作合力，</w:t>
      </w:r>
      <w:r>
        <w:rPr>
          <w:rFonts w:hint="default" w:ascii="Times New Roman" w:hAnsi="Times New Roman" w:eastAsia="仿宋_GB2312" w:cs="Times New Roman"/>
          <w:bCs/>
          <w:color w:val="000000" w:themeColor="text1"/>
          <w:sz w:val="32"/>
          <w:szCs w:val="32"/>
          <w:lang w:bidi="th-TH"/>
          <w14:textFill>
            <w14:solidFill>
              <w14:schemeClr w14:val="tx1"/>
            </w14:solidFill>
          </w14:textFill>
        </w:rPr>
        <w:t>锐意开创</w:t>
      </w:r>
      <w:r>
        <w:rPr>
          <w:rFonts w:hint="default" w:ascii="Times New Roman" w:hAnsi="Times New Roman" w:eastAsia="仿宋_GB2312" w:cs="Times New Roman"/>
          <w:color w:val="000000" w:themeColor="text1"/>
          <w:sz w:val="32"/>
          <w:szCs w:val="32"/>
          <w14:textFill>
            <w14:solidFill>
              <w14:schemeClr w14:val="tx1"/>
            </w14:solidFill>
          </w14:textFill>
        </w:rPr>
        <w:t>全员参与、全员抓招商、全员抓项目的</w:t>
      </w:r>
      <w:r>
        <w:rPr>
          <w:rFonts w:hint="default" w:ascii="Times New Roman" w:hAnsi="Times New Roman" w:eastAsia="仿宋_GB2312" w:cs="Times New Roman"/>
          <w:bCs/>
          <w:color w:val="000000" w:themeColor="text1"/>
          <w:sz w:val="32"/>
          <w:szCs w:val="32"/>
          <w:lang w:bidi="th-TH"/>
          <w14:textFill>
            <w14:solidFill>
              <w14:schemeClr w14:val="tx1"/>
            </w14:solidFill>
          </w14:textFill>
        </w:rPr>
        <w:t>新局面，全力推动我县投资促进工作稳健快速发展，</w:t>
      </w:r>
      <w:r>
        <w:rPr>
          <w:rStyle w:val="13"/>
          <w:rFonts w:hint="default" w:ascii="Times New Roman" w:hAnsi="Times New Roman" w:eastAsia="仿宋_GB2312" w:cs="Times New Roman"/>
          <w:b w:val="0"/>
          <w:color w:val="000000" w:themeColor="text1"/>
          <w:sz w:val="32"/>
          <w:szCs w:val="32"/>
          <w14:textFill>
            <w14:solidFill>
              <w14:schemeClr w14:val="tx1"/>
            </w14:solidFill>
          </w14:textFill>
        </w:rPr>
        <w:t>制定如下工作方案。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Style w:val="13"/>
          <w:rFonts w:hint="default" w:ascii="Times New Roman" w:hAnsi="Times New Roman" w:eastAsia="仿宋_GB2312" w:cs="Times New Roman"/>
          <w:b w:val="0"/>
          <w:color w:val="000000" w:themeColor="text1"/>
          <w:kern w:val="0"/>
          <w:sz w:val="32"/>
          <w:szCs w:val="32"/>
          <w14:textFill>
            <w14:solidFill>
              <w14:schemeClr w14:val="tx1"/>
            </w14:solidFill>
          </w14:textFill>
        </w:rPr>
      </w:pPr>
      <w:r>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坚持以习近平新时代中国特色社会主义思想为指导，全面贯彻党的十九大和十九届历次全会精神，深入学习贯彻习近平总书记对广西工作系列重要指示精神，落实好</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四个新</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总要求。坚持</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实业兴鹿，开放强鹿</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战略，牢固树立</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政策为大、项目为王、环境为本、创新为要</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理念，持续推进产业大招商三年攻坚行动，</w:t>
      </w:r>
      <w:r>
        <w:rPr>
          <w:rFonts w:hint="default" w:ascii="Times New Roman" w:hAnsi="Times New Roman" w:eastAsia="仿宋_GB2312" w:cs="Times New Roman"/>
          <w:color w:val="000000" w:themeColor="text1"/>
          <w:sz w:val="32"/>
          <w:szCs w:val="32"/>
          <w14:textFill>
            <w14:solidFill>
              <w14:schemeClr w14:val="tx1"/>
            </w14:solidFill>
          </w14:textFill>
        </w:rPr>
        <w:t>通过建立全县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各乡镇、</w:t>
      </w:r>
      <w:r>
        <w:rPr>
          <w:rFonts w:hint="default" w:ascii="Times New Roman" w:hAnsi="Times New Roman" w:eastAsia="仿宋_GB2312" w:cs="Times New Roman"/>
          <w:color w:val="000000" w:themeColor="text1"/>
          <w:sz w:val="32"/>
          <w:szCs w:val="32"/>
          <w14:textFill>
            <w14:solidFill>
              <w14:schemeClr w14:val="tx1"/>
            </w14:solidFill>
          </w14:textFill>
        </w:rPr>
        <w:t>各部门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、各单位</w:t>
      </w:r>
      <w:r>
        <w:rPr>
          <w:rFonts w:hint="default" w:ascii="Times New Roman" w:hAnsi="Times New Roman" w:eastAsia="仿宋_GB2312" w:cs="Times New Roman"/>
          <w:color w:val="000000" w:themeColor="text1"/>
          <w:sz w:val="32"/>
          <w:szCs w:val="32"/>
          <w14:textFill>
            <w14:solidFill>
              <w14:schemeClr w14:val="tx1"/>
            </w14:solidFill>
          </w14:textFill>
        </w:rPr>
        <w:t>全员招商模式，调动一切积极因素，强力推动产业招商工作做实做深做出成效，营造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抓招商促投资、抓项目促发展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的浓厚氛围，以持续做优存量、做大增量筑牢发展后劲</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，推动我县工业高质量发展，打造工业强县。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pPr>
      <w:r>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t>二、工作目标</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2022年全县招商引资的任务目标为：区外境内到位资金55亿元人民币</w:t>
      </w:r>
      <w:r>
        <w:rPr>
          <w:rFonts w:hint="default" w:ascii="Times New Roman" w:hAnsi="Times New Roman" w:eastAsia="仿宋_GB2312" w:cs="Times New Roman"/>
          <w:color w:val="000000" w:themeColor="text1"/>
          <w:kern w:val="0"/>
          <w:sz w:val="32"/>
          <w:szCs w:val="32"/>
          <w14:textFill>
            <w14:solidFill>
              <w14:schemeClr w14:val="tx1"/>
            </w14:solidFill>
          </w14:textFill>
        </w:rPr>
        <w:t>（统计起点为区外总投资500万元及以上项目），</w:t>
      </w:r>
      <w:r>
        <w:rPr>
          <w:rFonts w:hint="default" w:ascii="Times New Roman" w:hAnsi="Times New Roman" w:eastAsia="仿宋_GB2312" w:cs="Times New Roman"/>
          <w:color w:val="000000" w:themeColor="text1"/>
          <w:sz w:val="32"/>
          <w:szCs w:val="32"/>
          <w14:textFill>
            <w14:solidFill>
              <w14:schemeClr w14:val="tx1"/>
            </w14:solidFill>
          </w14:textFill>
        </w:rPr>
        <w:t>年内新签约引进项目60个（需含30%以上新兴产业项目），其中开工项目50个以上。其中，新引进工业项目目标40个（开工项目25个以上），亿元工业项目目标25个（开工项目18个以上）。2022年度全县各产业招商组招商引资目标任务（详见附件1）。</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pPr>
      <w:r>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t>三、重点任务</w:t>
      </w:r>
    </w:p>
    <w:p>
      <w:pPr>
        <w:pStyle w:val="1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000000" w:themeColor="text1"/>
          <w:kern w:val="2"/>
          <w:sz w:val="32"/>
          <w:szCs w:val="32"/>
          <w:lang w:val="zh-CN" w:eastAsia="zh-CN" w:bidi="ar-SA"/>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zh-CN" w:eastAsia="zh-CN" w:bidi="ar-SA"/>
          <w14:textFill>
            <w14:solidFill>
              <w14:schemeClr w14:val="tx1"/>
            </w14:solidFill>
          </w14:textFill>
        </w:rPr>
        <w:t>（一）围绕重点产业链开展招商攻坚行动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bidi="zh-TW"/>
          <w14:textFill>
            <w14:solidFill>
              <w14:schemeClr w14:val="tx1"/>
            </w14:solidFill>
          </w14:textFill>
        </w:rPr>
        <w:t>坚持</w:t>
      </w:r>
      <w:r>
        <w:rPr>
          <w:rFonts w:hint="eastAsia" w:ascii="Times New Roman" w:hAnsi="Times New Roman" w:eastAsia="仿宋_GB2312" w:cs="Times New Roman"/>
          <w:color w:val="000000" w:themeColor="text1"/>
          <w:kern w:val="0"/>
          <w:sz w:val="32"/>
          <w:szCs w:val="32"/>
          <w:lang w:val="zh-TW" w:eastAsia="zh-CN" w:bidi="zh-TW"/>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bidi="zh-TW"/>
          <w14:textFill>
            <w14:solidFill>
              <w14:schemeClr w14:val="tx1"/>
            </w14:solidFill>
          </w14:textFill>
        </w:rPr>
        <w:t>强龙头、补链条、聚集群</w:t>
      </w:r>
      <w:r>
        <w:rPr>
          <w:rFonts w:hint="eastAsia" w:ascii="Times New Roman" w:hAnsi="Times New Roman" w:eastAsia="仿宋_GB2312" w:cs="Times New Roman"/>
          <w:color w:val="000000" w:themeColor="text1"/>
          <w:kern w:val="0"/>
          <w:sz w:val="32"/>
          <w:szCs w:val="32"/>
          <w:lang w:val="zh-TW" w:eastAsia="zh-CN" w:bidi="zh-TW"/>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bidi="zh-TW"/>
          <w14:textFill>
            <w14:solidFill>
              <w14:schemeClr w14:val="tx1"/>
            </w14:solidFill>
          </w14:textFill>
        </w:rPr>
        <w:t>的工作思路，大力发展支柱产业，培育发展新兴产业，转型升级传统产业，培育</w:t>
      </w:r>
      <w:r>
        <w:rPr>
          <w:rFonts w:hint="default" w:ascii="Times New Roman" w:hAnsi="Times New Roman" w:eastAsia="仿宋_GB2312" w:cs="Times New Roman"/>
          <w:color w:val="000000" w:themeColor="text1"/>
          <w:sz w:val="32"/>
          <w:szCs w:val="32"/>
          <w14:textFill>
            <w14:solidFill>
              <w14:schemeClr w14:val="tx1"/>
            </w14:solidFill>
          </w14:textFill>
        </w:rPr>
        <w:t>以林木产业为主导，以新兴产业为重点，以机械汽配、绿色化工、轻工业三大传统产业为主体、以生产性服务业为支撑的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1131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的产业体系，把鹿寨打造成为新兴工业制造基地。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 推动林木精深加工产业链招商。</w:t>
      </w:r>
      <w:r>
        <w:rPr>
          <w:rFonts w:hint="default" w:ascii="Times New Roman" w:hAnsi="Times New Roman" w:eastAsia="仿宋_GB2312" w:cs="Times New Roman"/>
          <w:color w:val="000000" w:themeColor="text1"/>
          <w:sz w:val="32"/>
          <w:szCs w:val="32"/>
          <w14:textFill>
            <w14:solidFill>
              <w14:schemeClr w14:val="tx1"/>
            </w14:solidFill>
          </w14:textFill>
        </w:rPr>
        <w:t>重点围绕规划建设广西桂中现代林业科技产业园，打造完整林业产业链，延长产业链布局，上游研发设计端和下游的高端家具进行布局补链，在中游的生产环节进一步强链，提高林业产业深加工水平，增加产品附加值，打造国家级现代林业产业园。</w:t>
      </w:r>
    </w:p>
    <w:p>
      <w:pPr>
        <w:pStyle w:val="10"/>
        <w:keepNext w:val="0"/>
        <w:keepLines w:val="0"/>
        <w:pageBreakBefore w:val="0"/>
        <w:widowControl w:val="0"/>
        <w:kinsoku/>
        <w:wordWrap/>
        <w:overflowPunct/>
        <w:topLinePunct w:val="0"/>
        <w:autoSpaceDE/>
        <w:autoSpaceDN/>
        <w:bidi w:val="0"/>
        <w:spacing w:after="0" w:line="600" w:lineRule="exact"/>
        <w:ind w:firstLine="643"/>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 推动商用车共享零部件产业链招商。</w:t>
      </w:r>
      <w:r>
        <w:rPr>
          <w:rFonts w:hint="default" w:ascii="Times New Roman" w:hAnsi="Times New Roman" w:eastAsia="仿宋_GB2312" w:cs="Times New Roman"/>
          <w:color w:val="000000" w:themeColor="text1"/>
          <w:sz w:val="32"/>
          <w:szCs w:val="32"/>
          <w14:textFill>
            <w14:solidFill>
              <w14:schemeClr w14:val="tx1"/>
            </w14:solidFill>
          </w14:textFill>
        </w:rPr>
        <w:t>依托我县毗邻广西柳州汽车城的区位优势以及上汽通用五菱、东风柳汽等整车厂产业优势，重点引进和发展内外饰、车身件、制动器、传动轴总成等汽配生产商，配套发展汽车销售、美容、养护、改装等下游产业。大力提升汽车城电镀工业园发展水平，通过招商引资不断补齐和完善机械汽配产业链、供应链。</w:t>
      </w:r>
    </w:p>
    <w:p>
      <w:pPr>
        <w:pStyle w:val="10"/>
        <w:keepNext w:val="0"/>
        <w:keepLines w:val="0"/>
        <w:pageBreakBefore w:val="0"/>
        <w:widowControl w:val="0"/>
        <w:kinsoku/>
        <w:wordWrap/>
        <w:overflowPunct/>
        <w:topLinePunct w:val="0"/>
        <w:autoSpaceDE/>
        <w:autoSpaceDN/>
        <w:bidi w:val="0"/>
        <w:spacing w:after="0" w:line="600" w:lineRule="exact"/>
        <w:ind w:firstLine="64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 推动新材料和绿色化工产业链招商。</w:t>
      </w:r>
      <w:r>
        <w:rPr>
          <w:rFonts w:hint="default" w:ascii="Times New Roman" w:hAnsi="Times New Roman" w:eastAsia="仿宋_GB2312" w:cs="Times New Roman"/>
          <w:color w:val="000000" w:themeColor="text1"/>
          <w:sz w:val="32"/>
          <w:szCs w:val="32"/>
          <w14:textFill>
            <w14:solidFill>
              <w14:schemeClr w14:val="tx1"/>
            </w14:solidFill>
          </w14:textFill>
        </w:rPr>
        <w:t>招商与招才同步，引资与引智并进，生产与研发共谋，部署战略新兴产业集群。以合成高分子复合材料、石墨烯新材料为主攻方向，培育发展新材料产业。坚持化工产业绿色发展、安全发展，发挥自身优势，打造有特色的绿色化工产业链及化工园区。推动柳化氯碱、隆达丰等企业扩大生产规模，由传统化学原料及化学制品制造业向精细化、高端化、绿色化转变。依托清华紫荆柳州技术转移中心、石墨烯车辆应用研究院等平台，深入对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三类500强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、中国制造业500强产业项目，聚焦隐形冠军企业、专精特新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小巨人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企业、瞪羚企业、独角兽企业招大引强、招新引优。转化更多的科技成果，吸引更多技术含量高、经济效益好的项目，为新旧动能转换提供科技支撑，提升工业总体创新能力。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4. 推动轻工业产业链招商。</w:t>
      </w:r>
      <w:r>
        <w:rPr>
          <w:rFonts w:hint="default" w:ascii="Times New Roman" w:hAnsi="Times New Roman" w:eastAsia="仿宋_GB2312" w:cs="Times New Roman"/>
          <w:color w:val="000000" w:themeColor="text1"/>
          <w:sz w:val="32"/>
          <w:szCs w:val="32"/>
          <w14:textFill>
            <w14:solidFill>
              <w14:schemeClr w14:val="tx1"/>
            </w14:solidFill>
          </w14:textFill>
        </w:rPr>
        <w:t>加快推进纺织、制糖、造纸等轻工产业发展。拉长丝绸加工产业链，</w:t>
      </w:r>
      <w:r>
        <w:rPr>
          <w:rFonts w:hint="eastAsia" w:ascii="仿宋_GB2312" w:hAnsi="仿宋_GB2312" w:eastAsia="仿宋_GB2312" w:cs="仿宋_GB2312"/>
          <w:color w:val="000000" w:themeColor="text1"/>
          <w:sz w:val="32"/>
          <w:szCs w:val="32"/>
          <w14:textFill>
            <w14:solidFill>
              <w14:schemeClr w14:val="tx1"/>
            </w14:solidFill>
          </w14:textFill>
        </w:rPr>
        <w:t>实现茧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家纺和制衣产业一条龙整体发展，打造鹿寨丝绸特色品牌。打造蔗糖产业链，发展以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蔗糖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蔗渣浆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造纸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纸制品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14:textFill>
            <w14:solidFill>
              <w14:schemeClr w14:val="tx1"/>
            </w14:solidFill>
          </w14:textFill>
        </w:rPr>
        <w:t>主的制糖及延伸产业。造纸方面，重点发展涂布纸、生产特种纸、中高档文化生活用纸和包装用纸，培育环保餐具、包装等下游产业。</w:t>
      </w:r>
    </w:p>
    <w:p>
      <w:pPr>
        <w:pStyle w:val="10"/>
        <w:keepNext w:val="0"/>
        <w:keepLines w:val="0"/>
        <w:pageBreakBefore w:val="0"/>
        <w:widowControl w:val="0"/>
        <w:kinsoku/>
        <w:wordWrap/>
        <w:overflowPunct/>
        <w:topLinePunct w:val="0"/>
        <w:autoSpaceDE/>
        <w:autoSpaceDN/>
        <w:bidi w:val="0"/>
        <w:spacing w:after="0" w:line="600" w:lineRule="exact"/>
        <w:ind w:firstLine="64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5. 推动生产性服务业产业链招商。</w:t>
      </w:r>
      <w:r>
        <w:rPr>
          <w:rFonts w:hint="default" w:ascii="Times New Roman" w:hAnsi="Times New Roman" w:eastAsia="仿宋_GB2312" w:cs="Times New Roman"/>
          <w:color w:val="000000" w:themeColor="text1"/>
          <w:sz w:val="32"/>
          <w:szCs w:val="32"/>
          <w14:textFill>
            <w14:solidFill>
              <w14:schemeClr w14:val="tx1"/>
            </w14:solidFill>
          </w14:textFill>
        </w:rPr>
        <w:t>依托韵达桂北电商产业园、江口综合港口物流园等现有园区，立足我县区位优势，积极引进和培育现代龙头物流企业，完善现代物流服务网络。围绕锦绣前程·鹿寨现代企业城、江口工业园、中小企业孵化基地等标准厂房开展招商工作，通过完善生产服务配套，为全县制造业升级提供服务支撑。</w:t>
      </w:r>
    </w:p>
    <w:p>
      <w:pPr>
        <w:pStyle w:val="10"/>
        <w:keepNext w:val="0"/>
        <w:keepLines w:val="0"/>
        <w:pageBreakBefore w:val="0"/>
        <w:widowControl w:val="0"/>
        <w:kinsoku/>
        <w:wordWrap/>
        <w:overflowPunct/>
        <w:topLinePunct w:val="0"/>
        <w:autoSpaceDE/>
        <w:autoSpaceDN/>
        <w:bidi w:val="0"/>
        <w:spacing w:after="0"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鹿寨县林木精深加工、商用车共享零部件两条产业链已列入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《中共柳州市委办公室 柳州市人民政府办公室关于印发〈柳州市产业大招商三年攻坚行动工作方案（2021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2023年）〉的通知》（柳办〔2021〕22号）</w:t>
      </w:r>
      <w:r>
        <w:rPr>
          <w:rFonts w:hint="default" w:ascii="Times New Roman" w:hAnsi="Times New Roman" w:eastAsia="仿宋_GB2312" w:cs="Times New Roman"/>
          <w:color w:val="000000" w:themeColor="text1"/>
          <w:sz w:val="32"/>
          <w:szCs w:val="32"/>
          <w14:textFill>
            <w14:solidFill>
              <w14:schemeClr w14:val="tx1"/>
            </w14:solidFill>
          </w14:textFill>
        </w:rPr>
        <w:t>中，我县积极开展重点产业链专题招商，重点开展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三个一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”，即</w:t>
      </w:r>
      <w:r>
        <w:rPr>
          <w:rFonts w:hint="default" w:ascii="Times New Roman" w:hAnsi="Times New Roman" w:eastAsia="仿宋_GB2312" w:cs="Times New Roman"/>
          <w:color w:val="000000" w:themeColor="text1"/>
          <w:sz w:val="32"/>
          <w:szCs w:val="32"/>
          <w14:textFill>
            <w14:solidFill>
              <w14:schemeClr w14:val="tx1"/>
            </w14:solidFill>
          </w14:textFill>
        </w:rPr>
        <w:t>成立一个工作专班、制定一份行动方案、形成一套政策支持工作。新材料和绿色化工产业链招商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方面</w:t>
      </w:r>
      <w:r>
        <w:rPr>
          <w:rFonts w:hint="default" w:ascii="Times New Roman" w:hAnsi="Times New Roman" w:eastAsia="仿宋_GB2312" w:cs="Times New Roman"/>
          <w:color w:val="000000" w:themeColor="text1"/>
          <w:sz w:val="32"/>
          <w:szCs w:val="32"/>
          <w14:textFill>
            <w14:solidFill>
              <w14:schemeClr w14:val="tx1"/>
            </w14:solidFill>
          </w14:textFill>
        </w:rPr>
        <w:t>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印</w:t>
      </w:r>
      <w:r>
        <w:rPr>
          <w:rFonts w:hint="default" w:ascii="Times New Roman" w:hAnsi="Times New Roman" w:eastAsia="仿宋_GB2312" w:cs="Times New Roman"/>
          <w:color w:val="000000" w:themeColor="text1"/>
          <w:sz w:val="32"/>
          <w:szCs w:val="32"/>
          <w14:textFill>
            <w14:solidFill>
              <w14:schemeClr w14:val="tx1"/>
            </w14:solidFill>
          </w14:textFill>
        </w:rPr>
        <w:t>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《中共鹿寨县委办公室 鹿寨县人民政府办公室关于印发〈鹿寨县产业大招商三年攻坚行动工作方案（2021-2023年）〉的通知》（鹿办〔2021〕22号）</w:t>
      </w:r>
      <w:r>
        <w:rPr>
          <w:rFonts w:hint="default" w:ascii="Times New Roman" w:hAnsi="Times New Roman" w:eastAsia="仿宋_GB2312" w:cs="Times New Roman"/>
          <w:color w:val="000000" w:themeColor="text1"/>
          <w:sz w:val="32"/>
          <w:szCs w:val="32"/>
          <w14:textFill>
            <w14:solidFill>
              <w14:schemeClr w14:val="tx1"/>
            </w14:solidFill>
          </w14:textFill>
        </w:rPr>
        <w:t>，轻工业、生产性服务业招商方案另附文下发。</w:t>
      </w:r>
    </w:p>
    <w:p>
      <w:pPr>
        <w:pStyle w:val="1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000000" w:themeColor="text1"/>
          <w:kern w:val="2"/>
          <w:sz w:val="32"/>
          <w:szCs w:val="32"/>
          <w:lang w:val="zh-CN" w:eastAsia="zh-CN" w:bidi="ar-SA"/>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zh-CN" w:eastAsia="zh-CN" w:bidi="ar-SA"/>
          <w14:textFill>
            <w14:solidFill>
              <w14:schemeClr w14:val="tx1"/>
            </w14:solidFill>
          </w14:textFill>
        </w:rPr>
        <w:t>（二）结合乡村振兴开展现代农业产业招商攻坚行动</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14:textFill>
            <w14:solidFill>
              <w14:schemeClr w14:val="tx1"/>
            </w14:solidFill>
          </w14:textFill>
        </w:rPr>
        <w:t>6. 推动现代农业产业化招商。</w:t>
      </w:r>
      <w:r>
        <w:rPr>
          <w:rFonts w:hint="default" w:ascii="Times New Roman" w:hAnsi="Times New Roman" w:eastAsia="仿宋_GB2312" w:cs="Times New Roman"/>
          <w:color w:val="000000" w:themeColor="text1"/>
          <w:kern w:val="2"/>
          <w:sz w:val="32"/>
          <w:szCs w:val="32"/>
          <w14:textFill>
            <w14:solidFill>
              <w14:schemeClr w14:val="tx1"/>
            </w14:solidFill>
          </w14:textFill>
        </w:rPr>
        <w:t>根据我县现有的中蔬联</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鹿寨智慧农商产业园、正邦生猪养殖、鹿寨县一体化全产业链畜禽屠宰深加工等项目，开展农产品深加工，高效养殖等招商行动，培育新型现代化农业产业。</w:t>
      </w:r>
      <w:r>
        <w:rPr>
          <w:rFonts w:hint="default" w:ascii="Times New Roman" w:hAnsi="Times New Roman" w:eastAsia="仿宋_GB2312" w:cs="Times New Roman"/>
          <w:color w:val="000000" w:themeColor="text1"/>
          <w:sz w:val="32"/>
          <w:szCs w:val="32"/>
          <w14:textFill>
            <w14:solidFill>
              <w14:schemeClr w14:val="tx1"/>
            </w14:solidFill>
          </w14:textFill>
        </w:rPr>
        <w:t>围绕水果、桑蚕、甘蔗等优势特色产业，开展高效规模种养业、农（林）产品精深加工、以及农产品仓储保鲜冷链物流项目精准招商，培育一批农产品初加工企业和基地。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7. 推动大健康产业招商。</w:t>
      </w:r>
      <w:r>
        <w:rPr>
          <w:rFonts w:hint="default" w:ascii="Times New Roman" w:hAnsi="Times New Roman" w:eastAsia="仿宋_GB2312" w:cs="Times New Roman"/>
          <w:color w:val="000000" w:themeColor="text1"/>
          <w:sz w:val="32"/>
          <w:szCs w:val="32"/>
          <w14:textFill>
            <w14:solidFill>
              <w14:schemeClr w14:val="tx1"/>
            </w14:solidFill>
          </w14:textFill>
        </w:rPr>
        <w:t>依托我县文化、旅游等资源积极开展招商，积极开发拉沟红石谷、古报彩虹瀑布景区，持续完善大乐岭茶文化研学基地、鹿鸣谷研学教育基地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打造瑶医康养休闲、龙母水库森林康养圣地，升级打造中渡大兆村观光旅游农业示范区，纵深推进农文旅产业深度融合。</w:t>
      </w:r>
    </w:p>
    <w:p>
      <w:pPr>
        <w:pStyle w:val="1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（三）依托现有园区、产业开展招商攻坚行动</w:t>
      </w:r>
    </w:p>
    <w:p>
      <w:pPr>
        <w:pStyle w:val="1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8. 充分利用园区平台开展招商。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紧紧围绕我县已规划的广西鹿寨</w:t>
      </w:r>
      <w:r>
        <w:rPr>
          <w:rFonts w:hint="default" w:ascii="Times New Roman" w:hAnsi="Times New Roman" w:eastAsia="仿宋_GB2312" w:cs="Times New Roman"/>
          <w:color w:val="000000" w:themeColor="text1"/>
          <w:sz w:val="32"/>
          <w:szCs w:val="32"/>
          <w14:textFill>
            <w14:solidFill>
              <w14:schemeClr w14:val="tx1"/>
            </w14:solidFill>
          </w14:textFill>
        </w:rPr>
        <w:t>高端绿色家居产业城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广西桂中（鹿寨）现代林业科技产业园、广西石墨烯小镇、广西鹿寨经济开发区化工循环经济产业园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鹿寨化工循环经济产业园、广西柳州商用车共享零部件产业园、广西柳州汽车城表面处理产业园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5个重点园区，大力开展招商，有针对性地引进企业，</w:t>
      </w:r>
      <w:r>
        <w:rPr>
          <w:rFonts w:hint="default" w:ascii="Times New Roman" w:hAnsi="Times New Roman" w:eastAsia="仿宋_GB2312" w:cs="Times New Roman"/>
          <w:color w:val="000000" w:themeColor="text1"/>
          <w:sz w:val="32"/>
          <w:szCs w:val="32"/>
          <w14:textFill>
            <w14:solidFill>
              <w14:schemeClr w14:val="tx1"/>
            </w14:solidFill>
          </w14:textFill>
        </w:rPr>
        <w:t>积极承接产业转移，推动优势产业链抱团入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加速打造</w:t>
      </w:r>
      <w:r>
        <w:rPr>
          <w:rFonts w:hint="default" w:ascii="Times New Roman" w:hAnsi="Times New Roman" w:eastAsia="仿宋_GB2312" w:cs="Times New Roman"/>
          <w:color w:val="000000" w:themeColor="text1"/>
          <w:sz w:val="32"/>
          <w:szCs w:val="32"/>
          <w14:textFill>
            <w14:solidFill>
              <w14:schemeClr w14:val="tx1"/>
            </w14:solidFill>
          </w14:textFill>
        </w:rPr>
        <w:t>产业集群。</w:t>
      </w:r>
    </w:p>
    <w:p>
      <w:pPr>
        <w:pStyle w:val="1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（四）依托会议活动开展招商攻坚行动</w:t>
      </w:r>
    </w:p>
    <w:p>
      <w:pPr>
        <w:pStyle w:val="1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9. 积极参加自治区、柳州市组织的重大会议和活动。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自治区组织开展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举办全区招商引资重点项目集中开工仪式、全区产业大招商暨优化营商环境大会、广西传统优势产业转型升级招商大会、广西投资贸易博览会、广西战略性新兴产业招商大会、第19届中国东盟博览会项目签约活动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柳州市以专题推介会、专题对接会、产业链目标企业对接会的形式有针对性地举办系列精准对接招商会议和活动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为契机，抓住机遇，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积极参加自治区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、柳州市组织或召开的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招商推介活动以及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高端绿色家居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产业推介会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，紧紧围绕自身发展方向和产业定位，精准对接行业龙头企业。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（五）积极组织开展驻点招商攻坚行动</w:t>
      </w:r>
    </w:p>
    <w:p>
      <w:pPr>
        <w:pStyle w:val="1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10. 开展精准驻点招商。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柳州市委、市人民政府工作部署，积极开展驻点招商攻坚行动。我县精心选派了常态化驻点招商工作队伍，在长江经济带、粤港澳大湾区等地区全面开展常态化驻点招商工作。围绕我县重点产业，依托商会、行业等机构，加强与企业的联系沟通，了解企业的投资意向，通过召开重点产业推介会、洽谈会等方式，实现有效对接、精准招商，主动走出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pPr>
      <w:r>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t>四、保障措施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（一）以全员招商为抓手，完善招商体系机制</w:t>
      </w:r>
    </w:p>
    <w:p>
      <w:pPr>
        <w:pStyle w:val="3"/>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形成</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全县上下一致、部门联动、合力招商的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一盘棋</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格局，动员各部门都参与到招商引资工作中来，结合工作实际，立足自身职能，制定好本单位招商工作方案，抓好工作落实。</w:t>
      </w:r>
    </w:p>
    <w:p>
      <w:pPr>
        <w:pStyle w:val="3"/>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 xml:space="preserve">1. </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成立鹿寨县投资促进委员会，办公室设在县投促中心</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各成员负责管理各产业招商组工作，加大对项目的服务力度，明确责任主体，压实工作责任，排除一切障碍推动项目早落地、早建设、早投产、早见效。</w:t>
      </w:r>
    </w:p>
    <w:p>
      <w:pPr>
        <w:pStyle w:val="3"/>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 xml:space="preserve">2. </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一把手</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带头招商。由县领导带头亲自招商，坚决做到重大招商活动亲自参加、重要客商亲自接洽、重大项目亲自推动落地、重点问题亲自协调解决，主动带队招商、高效推动项目，在关键环节上踢好</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临门一脚</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，在关键决策上勇于拍板，以上率下推动全员招商引资升温提速。</w:t>
      </w:r>
    </w:p>
    <w:p>
      <w:pPr>
        <w:pStyle w:val="3"/>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 xml:space="preserve">3. </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部门联动招商。各招商组要做好牵头招商工作，各成员单位积极配合，要树立</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管行业就要管招商，更要管落地</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的意识，积极发挥统筹行业、产业发展的工作优势、资源优势和专业优势，根据本行业发展规划和特点，整合招商资源，要在招商项目的研判甄别、要素保障、落户谈判、注册登记、行政审批、建设运营等全过程中，积极调动本部门和本行业的专业力量，主动靠前服务，分工参与。各部门之间要发挥各自优势、协同作战，形成招商资源联动、招商信息联动、招商活动联动、招商成果联动的整体合力。</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4. </w:t>
      </w:r>
      <w:r>
        <w:rPr>
          <w:rFonts w:hint="default" w:ascii="Times New Roman" w:hAnsi="Times New Roman" w:eastAsia="仿宋_GB2312" w:cs="Times New Roman"/>
          <w:color w:val="000000" w:themeColor="text1"/>
          <w:kern w:val="0"/>
          <w:sz w:val="32"/>
          <w:szCs w:val="32"/>
          <w14:textFill>
            <w14:solidFill>
              <w14:schemeClr w14:val="tx1"/>
            </w14:solidFill>
          </w14:textFill>
        </w:rPr>
        <w:t>成立招商引资重大项目谈判组。谈判组成员需</w:t>
      </w:r>
      <w:r>
        <w:rPr>
          <w:rFonts w:hint="default" w:ascii="Times New Roman" w:hAnsi="Times New Roman" w:eastAsia="仿宋_GB2312" w:cs="Times New Roman"/>
          <w:color w:val="000000" w:themeColor="text1"/>
          <w:sz w:val="32"/>
          <w:szCs w:val="32"/>
          <w14:textFill>
            <w14:solidFill>
              <w14:schemeClr w14:val="tx1"/>
            </w14:solidFill>
          </w14:textFill>
        </w:rPr>
        <w:t>参与招商项目考察、洽谈、协调等招商活动，解答投资方关心关切问题，指导投资方用好用足政策。全权代表所在部门、单位，分析论证项目落地可行性，对项目产业类别、技术指标、环境影响、税收贡献、投入产出等方面进行综合评判。牵头拟定和审核项目投资协议，规避经济合同风险、保护政府和企业双方利益。对重点招商项目实行跟踪服务，及时研究协调解决重大招商项目签约过程中遇到的问题和困难，</w:t>
      </w:r>
      <w:r>
        <w:rPr>
          <w:rFonts w:hint="default" w:ascii="Times New Roman" w:hAnsi="Times New Roman" w:eastAsia="仿宋_GB2312" w:cs="Times New Roman"/>
          <w:color w:val="000000" w:themeColor="text1"/>
          <w:kern w:val="0"/>
          <w:sz w:val="32"/>
          <w:szCs w:val="32"/>
          <w14:textFill>
            <w14:solidFill>
              <w14:schemeClr w14:val="tx1"/>
            </w14:solidFill>
          </w14:textFill>
        </w:rPr>
        <w:t>推动招商引资工作法制化、规范化、专业化水平，提升招商项目谈判效率</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5. </w:t>
      </w:r>
      <w:r>
        <w:rPr>
          <w:rFonts w:hint="default" w:ascii="Times New Roman" w:hAnsi="Times New Roman" w:eastAsia="仿宋_GB2312" w:cs="Times New Roman"/>
          <w:color w:val="000000" w:themeColor="text1"/>
          <w:sz w:val="32"/>
          <w:szCs w:val="32"/>
          <w14:textFill>
            <w14:solidFill>
              <w14:schemeClr w14:val="tx1"/>
            </w14:solidFill>
          </w14:textFill>
        </w:rPr>
        <w:t>实行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链长制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招商模式。我县重点按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1131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产业链引进项目，实行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链长制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产业链精准招商，按照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《中共鹿寨县委办公室 鹿寨县人民政府办公室关于印发〈鹿寨县产业大招商三年攻坚行动工作方案（2021-2023年）〉的通知》（鹿办〔2021〕22号）</w:t>
      </w:r>
      <w:r>
        <w:rPr>
          <w:rFonts w:hint="default" w:ascii="Times New Roman" w:hAnsi="Times New Roman" w:eastAsia="仿宋_GB2312" w:cs="Times New Roman"/>
          <w:color w:val="000000" w:themeColor="text1"/>
          <w:sz w:val="32"/>
          <w:szCs w:val="32"/>
          <w14:textFill>
            <w14:solidFill>
              <w14:schemeClr w14:val="tx1"/>
            </w14:solidFill>
          </w14:textFill>
        </w:rPr>
        <w:t>抓好落实。依托原有的或已落地的产业龙头企业、重点企业和核心企业，加大以商引商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力度</w:t>
      </w:r>
      <w:r>
        <w:rPr>
          <w:rFonts w:hint="default" w:ascii="Times New Roman" w:hAnsi="Times New Roman" w:eastAsia="仿宋_GB2312" w:cs="Times New Roman"/>
          <w:color w:val="000000" w:themeColor="text1"/>
          <w:sz w:val="32"/>
          <w:szCs w:val="32"/>
          <w14:textFill>
            <w14:solidFill>
              <w14:schemeClr w14:val="tx1"/>
            </w14:solidFill>
          </w14:textFill>
        </w:rPr>
        <w:t>，着力招引其产业链关联企业，聚焦强链补链育链优链招商，加快引进一批落地见效快、具有造血功能、带动能力强的补链、强链产业项目，加快推动产业规模集群高质量发展，从制度、机制等方面多元发力，为我县经济社会持续健康发展增添新动能和活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（二）强化要素保障，推动项目落地</w:t>
      </w:r>
    </w:p>
    <w:p>
      <w:pPr>
        <w:pStyle w:val="1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 强化规划和用地保障，加大征地拆迁工作力度，我县2022年力争年内新增工业供地 1000亩以上，新建标准厂房35万平米以上，盘活闲置低效土地1500亩以上，实现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地等项目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，推动产业项目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拿地即开工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。进一步提高项目审批效率，持续推行并联审批、多评合一、区域性评估，优化审批服务，在特殊情况下实施容缺审批，全力保障项目落地实施。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（三）各招商组积极配合开展招商引资工作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 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中共鹿寨县委办公室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鹿寨县人民政府办公室关于印发</w:t>
      </w:r>
      <w:r>
        <w:rPr>
          <w:rFonts w:hint="default" w:ascii="Times New Roman" w:hAnsi="Times New Roman" w:eastAsia="仿宋_GB2312" w:cs="Times New Roman"/>
          <w:color w:val="000000" w:themeColor="text1"/>
          <w:sz w:val="32"/>
          <w:szCs w:val="32"/>
          <w14:textFill>
            <w14:solidFill>
              <w14:schemeClr w14:val="tx1"/>
            </w14:solidFill>
          </w14:textFill>
        </w:rPr>
        <w:t>〈鹿寨县重点产业大招商工作实施方案（2020-2022）〉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14:textFill>
            <w14:solidFill>
              <w14:schemeClr w14:val="tx1"/>
            </w14:solidFill>
          </w14:textFill>
        </w:rPr>
        <w:t>》（鹿办〔2020〕40号）、《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鹿寨县人民政府办公室关于印发</w:t>
      </w:r>
      <w:r>
        <w:rPr>
          <w:rFonts w:hint="default" w:ascii="Times New Roman" w:hAnsi="Times New Roman" w:eastAsia="仿宋_GB2312" w:cs="Times New Roman"/>
          <w:color w:val="000000" w:themeColor="text1"/>
          <w:sz w:val="32"/>
          <w:szCs w:val="32"/>
          <w14:textFill>
            <w14:solidFill>
              <w14:schemeClr w14:val="tx1"/>
            </w14:solidFill>
          </w14:textFill>
        </w:rPr>
        <w:t>鹿寨县专业招商组管理工作方案的通知》（鹿政办发〔2017〕30号）文件精神，各招商组牵头单位每季度至少带队外出招商</w:t>
      </w:r>
      <w:r>
        <w:rPr>
          <w:rFonts w:hint="default" w:ascii="Times New Roman" w:hAnsi="Times New Roman" w:eastAsia="仿宋_GB2312" w:cs="Times New Roman"/>
          <w:color w:val="000000" w:themeColor="text1"/>
          <w:kern w:val="0"/>
          <w:sz w:val="32"/>
          <w:szCs w:val="32"/>
          <w14:textFill>
            <w14:solidFill>
              <w14:schemeClr w14:val="tx1"/>
            </w14:solidFill>
          </w14:textFill>
        </w:rPr>
        <w:t>考察一次，并负责对应重点产业招商项目的组织领导和协调推进，包括：</w:t>
      </w:r>
      <w:r>
        <w:rPr>
          <w:rFonts w:hint="default" w:ascii="Times New Roman" w:hAnsi="Times New Roman" w:eastAsia="仿宋_GB2312" w:cs="Times New Roman"/>
          <w:color w:val="000000" w:themeColor="text1"/>
          <w:sz w:val="32"/>
          <w:szCs w:val="32"/>
          <w14:textFill>
            <w14:solidFill>
              <w14:schemeClr w14:val="tx1"/>
            </w14:solidFill>
          </w14:textFill>
        </w:rPr>
        <w:t>招商洽谈、考察、落地方案、协议拟定、项目签约以及项目入驻后的前期准备、项目报批和服务协调工作。各组工作严格按照方案中管理机制开展工作，确保我县招商引资工作任务全面完成。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8. </w:t>
      </w:r>
      <w:r>
        <w:rPr>
          <w:rFonts w:hint="default" w:ascii="Times New Roman" w:hAnsi="Times New Roman" w:eastAsia="仿宋_GB2312" w:cs="Times New Roman"/>
          <w:color w:val="000000" w:themeColor="text1"/>
          <w:kern w:val="0"/>
          <w:sz w:val="32"/>
          <w:szCs w:val="32"/>
          <w14:textFill>
            <w14:solidFill>
              <w14:schemeClr w14:val="tx1"/>
            </w14:solidFill>
          </w14:textFill>
        </w:rPr>
        <w:t>实行重点产业大招商绩效考核机制。为确保全年全县投资促进工作的落实，将招商引资工作纳入绩效考评范围，</w:t>
      </w:r>
      <w:r>
        <w:rPr>
          <w:rFonts w:hint="default" w:ascii="Times New Roman" w:hAnsi="Times New Roman" w:eastAsia="仿宋_GB2312" w:cs="Times New Roman"/>
          <w:color w:val="000000" w:themeColor="text1"/>
          <w:sz w:val="32"/>
          <w:szCs w:val="32"/>
          <w14:textFill>
            <w14:solidFill>
              <w14:schemeClr w14:val="tx1"/>
            </w14:solidFill>
          </w14:textFill>
        </w:rPr>
        <w:t>对未按时间节点完成目标任务的、未按要求按时按质报送报表等材料的纳入年底绩效考核依据。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（四）提升服务能力水平，优化营商环境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 加强项目跟踪服务。全面实施《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鹿寨县人民政府办公室关于印发</w:t>
      </w:r>
      <w:r>
        <w:rPr>
          <w:rFonts w:hint="default" w:ascii="Times New Roman" w:hAnsi="Times New Roman" w:eastAsia="仿宋_GB2312" w:cs="Times New Roman"/>
          <w:color w:val="000000" w:themeColor="text1"/>
          <w:sz w:val="32"/>
          <w:szCs w:val="32"/>
          <w14:textFill>
            <w14:solidFill>
              <w14:schemeClr w14:val="tx1"/>
            </w14:solidFill>
          </w14:textFill>
        </w:rPr>
        <w:t>鹿寨县招商引资项目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保姆式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一站式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跟踪服务管理办法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14:textFill>
            <w14:solidFill>
              <w14:schemeClr w14:val="tx1"/>
            </w14:solidFill>
          </w14:textFill>
        </w:rPr>
        <w:t>》（鹿政办发〔2017〕59号），《鹿寨县人民政府办公室关于印发鹿寨县招商引资项目代办服务平台工作实施方案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14:textFill>
            <w14:solidFill>
              <w14:schemeClr w14:val="tx1"/>
            </w14:solidFill>
          </w14:textFill>
        </w:rPr>
        <w:t>》（鹿政办发〔2019〕2号）</w:t>
      </w:r>
      <w:r>
        <w:rPr>
          <w:rFonts w:hint="default" w:ascii="Times New Roman" w:hAnsi="Times New Roman" w:eastAsia="仿宋_GB2312" w:cs="Times New Roman"/>
          <w:bCs/>
          <w:color w:val="000000" w:themeColor="text1"/>
          <w:sz w:val="32"/>
          <w:szCs w:val="32"/>
          <w14:textFill>
            <w14:solidFill>
              <w14:schemeClr w14:val="tx1"/>
            </w14:solidFill>
          </w14:textFill>
        </w:rPr>
        <w:t>，各产业招商组成员单位重点追踪服务好每年在自治区、柳州市重大活动中的签约项目和我县签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约</w:t>
      </w:r>
      <w:r>
        <w:rPr>
          <w:rFonts w:hint="default" w:ascii="Times New Roman" w:hAnsi="Times New Roman" w:eastAsia="仿宋_GB2312" w:cs="Times New Roman"/>
          <w:bCs/>
          <w:color w:val="000000" w:themeColor="text1"/>
          <w:sz w:val="32"/>
          <w:szCs w:val="32"/>
          <w14:textFill>
            <w14:solidFill>
              <w14:schemeClr w14:val="tx1"/>
            </w14:solidFill>
          </w14:textFill>
        </w:rPr>
        <w:t>的重大招商项目，提高签约项目资金到位率。本年度引进的项目也要早抓早落实，部门与乡镇要联合推动项目履约，力争实现当年签约、当年注册、当年开工。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 用心服务企业，提升亲商安商服务水平。各招商组</w:t>
      </w:r>
      <w:r>
        <w:rPr>
          <w:rFonts w:hint="default" w:ascii="Times New Roman" w:hAnsi="Times New Roman" w:eastAsia="仿宋_GB2312" w:cs="Times New Roman"/>
          <w:color w:val="000000" w:themeColor="text1"/>
          <w:kern w:val="0"/>
          <w:sz w:val="32"/>
          <w:szCs w:val="32"/>
          <w:lang w:bidi="zh-TW"/>
          <w14:textFill>
            <w14:solidFill>
              <w14:schemeClr w14:val="tx1"/>
            </w14:solidFill>
          </w14:textFill>
        </w:rPr>
        <w:t>对招商引资项目进行重点引导扶持和全程跟踪指导，及时解决重大项目在洽谈引进</w:t>
      </w:r>
      <w:r>
        <w:rPr>
          <w:rFonts w:hint="default" w:ascii="Times New Roman" w:hAnsi="Times New Roman" w:eastAsia="仿宋_GB2312" w:cs="Times New Roman"/>
          <w:bCs/>
          <w:color w:val="000000" w:themeColor="text1"/>
          <w:kern w:val="0"/>
          <w:sz w:val="32"/>
          <w:szCs w:val="32"/>
          <w:lang w:bidi="zh-TW"/>
          <w14:textFill>
            <w14:solidFill>
              <w14:schemeClr w14:val="tx1"/>
            </w14:solidFill>
          </w14:textFill>
        </w:rPr>
        <w:t>过程中、</w:t>
      </w:r>
      <w:r>
        <w:rPr>
          <w:rFonts w:hint="default" w:ascii="Times New Roman" w:hAnsi="Times New Roman" w:eastAsia="仿宋_GB2312" w:cs="Times New Roman"/>
          <w:color w:val="000000" w:themeColor="text1"/>
          <w:kern w:val="0"/>
          <w:sz w:val="32"/>
          <w:szCs w:val="32"/>
          <w14:textFill>
            <w14:solidFill>
              <w14:schemeClr w14:val="tx1"/>
            </w14:solidFill>
          </w14:textFill>
        </w:rPr>
        <w:t>在落地推进过程中的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疑难杂症</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通过定期上门走访、电话联系等方式，强化与企业的交流沟通，</w:t>
      </w:r>
      <w:r>
        <w:rPr>
          <w:rFonts w:hint="default" w:ascii="Times New Roman" w:hAnsi="Times New Roman" w:eastAsia="仿宋_GB2312" w:cs="Times New Roman"/>
          <w:color w:val="000000" w:themeColor="text1"/>
          <w:kern w:val="0"/>
          <w:sz w:val="32"/>
          <w:szCs w:val="32"/>
          <w14:textFill>
            <w14:solidFill>
              <w14:schemeClr w14:val="tx1"/>
            </w14:solidFill>
          </w14:textFill>
        </w:rPr>
        <w:t>加强对项目的实地调研服务力度，</w:t>
      </w:r>
      <w:r>
        <w:rPr>
          <w:rFonts w:hint="default" w:ascii="Times New Roman" w:hAnsi="Times New Roman" w:eastAsia="仿宋_GB2312" w:cs="Times New Roman"/>
          <w:color w:val="000000" w:themeColor="text1"/>
          <w:sz w:val="32"/>
          <w:szCs w:val="32"/>
          <w14:textFill>
            <w14:solidFill>
              <w14:schemeClr w14:val="tx1"/>
            </w14:solidFill>
          </w14:textFill>
        </w:rPr>
        <w:t>及时帮助协调解决企业项目建设和生产经营遇到的困难和问题。每年不定期组织业务培训，找准企业问题，精准破解难题，提升服务企业能力，打造优秀队伍。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pPr>
      <w:r>
        <w:rPr>
          <w:rStyle w:val="13"/>
          <w:rFonts w:hint="default" w:ascii="Times New Roman" w:hAnsi="Times New Roman" w:eastAsia="黑体" w:cs="Times New Roman"/>
          <w:b w:val="0"/>
          <w:color w:val="000000" w:themeColor="text1"/>
          <w:kern w:val="0"/>
          <w:sz w:val="32"/>
          <w:szCs w:val="32"/>
          <w14:textFill>
            <w14:solidFill>
              <w14:schemeClr w14:val="tx1"/>
            </w14:solidFill>
          </w14:textFill>
        </w:rPr>
        <w:t>五、招商工作经费与表彰奖励</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（一）招商工作经费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招商引资工作经费专款专用，各招商组于每月5日前将本月预算报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14:textFill>
            <w14:solidFill>
              <w14:schemeClr w14:val="tx1"/>
            </w14:solidFill>
          </w14:textFill>
        </w:rPr>
        <w:t>投促委办公室，由</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14:textFill>
            <w14:solidFill>
              <w14:schemeClr w14:val="tx1"/>
            </w14:solidFill>
          </w14:textFill>
        </w:rPr>
        <w:t>投促委办公室统一向</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14:textFill>
            <w14:solidFill>
              <w14:schemeClr w14:val="tx1"/>
            </w14:solidFill>
          </w14:textFill>
        </w:rPr>
        <w:t>财政局申请招商引资经费预算。招商组考察行程表报县</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kern w:val="0"/>
          <w:sz w:val="32"/>
          <w:szCs w:val="32"/>
          <w14:textFill>
            <w14:solidFill>
              <w14:schemeClr w14:val="tx1"/>
            </w14:solidFill>
          </w14:textFill>
        </w:rPr>
        <w:t>政府审核同意后报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14:textFill>
            <w14:solidFill>
              <w14:schemeClr w14:val="tx1"/>
            </w14:solidFill>
          </w14:textFill>
        </w:rPr>
        <w:t>投促委办公室留存，考察结束后三天内将考察报告、经费使用情况报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14:textFill>
            <w14:solidFill>
              <w14:schemeClr w14:val="tx1"/>
            </w14:solidFill>
          </w14:textFill>
        </w:rPr>
        <w:t>投促委办公室，由</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14:textFill>
            <w14:solidFill>
              <w14:schemeClr w14:val="tx1"/>
            </w14:solidFill>
          </w14:textFill>
        </w:rPr>
        <w:t>投促委办公室统一向</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14:textFill>
            <w14:solidFill>
              <w14:schemeClr w14:val="tx1"/>
            </w14:solidFill>
          </w14:textFill>
        </w:rPr>
        <w:t>财政局报销。</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（二）招商奖励和招商工作表彰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14:textFill>
            <w14:solidFill>
              <w14:schemeClr w14:val="tx1"/>
            </w14:solidFill>
          </w14:textFill>
        </w:rPr>
        <w:t>对社会引资人包括社会团体和委托代理招商、中介招商、以商引商的奖励按照《</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柳州市人民政府印发</w:t>
      </w:r>
      <w:r>
        <w:rPr>
          <w:rFonts w:hint="default" w:ascii="Times New Roman" w:hAnsi="Times New Roman" w:eastAsia="仿宋_GB2312" w:cs="Times New Roman"/>
          <w:bCs/>
          <w:color w:val="000000" w:themeColor="text1"/>
          <w:kern w:val="0"/>
          <w:sz w:val="32"/>
          <w:szCs w:val="32"/>
          <w14:textFill>
            <w14:solidFill>
              <w14:schemeClr w14:val="tx1"/>
            </w14:solidFill>
          </w14:textFill>
        </w:rPr>
        <w:t>柳州市招商引资激励办法</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的通知</w:t>
      </w:r>
      <w:r>
        <w:rPr>
          <w:rFonts w:hint="default" w:ascii="Times New Roman" w:hAnsi="Times New Roman" w:eastAsia="仿宋_GB2312" w:cs="Times New Roman"/>
          <w:bCs/>
          <w:color w:val="000000" w:themeColor="text1"/>
          <w:kern w:val="0"/>
          <w:sz w:val="32"/>
          <w:szCs w:val="32"/>
          <w14:textFill>
            <w14:solidFill>
              <w14:schemeClr w14:val="tx1"/>
            </w14:solidFill>
          </w14:textFill>
        </w:rPr>
        <w:t>》（柳政规〔2022〕8号）文件执行。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14:textFill>
            <w14:solidFill>
              <w14:schemeClr w14:val="tx1"/>
            </w14:solidFill>
          </w14:textFill>
        </w:rPr>
        <w:t>对绩效考评优秀的单位，参照《</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广西壮族自治区人民政府关于印发</w:t>
      </w:r>
      <w:r>
        <w:rPr>
          <w:rFonts w:hint="default" w:ascii="Times New Roman" w:hAnsi="Times New Roman" w:eastAsia="仿宋_GB2312" w:cs="Times New Roman"/>
          <w:bCs/>
          <w:color w:val="000000" w:themeColor="text1"/>
          <w:kern w:val="0"/>
          <w:sz w:val="32"/>
          <w:szCs w:val="32"/>
          <w14:textFill>
            <w14:solidFill>
              <w14:schemeClr w14:val="tx1"/>
            </w14:solidFill>
          </w14:textFill>
        </w:rPr>
        <w:t>广西招商引资激励办法</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的通知</w:t>
      </w:r>
      <w:r>
        <w:rPr>
          <w:rFonts w:hint="default" w:ascii="Times New Roman" w:hAnsi="Times New Roman" w:eastAsia="仿宋_GB2312" w:cs="Times New Roman"/>
          <w:bCs/>
          <w:color w:val="000000" w:themeColor="text1"/>
          <w:kern w:val="0"/>
          <w:sz w:val="32"/>
          <w:szCs w:val="32"/>
          <w14:textFill>
            <w14:solidFill>
              <w14:schemeClr w14:val="tx1"/>
            </w14:solidFill>
          </w14:textFill>
        </w:rPr>
        <w:t>》（桂政发〔2019〕27号）和《</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柳州市人民政府印发</w:t>
      </w:r>
      <w:r>
        <w:rPr>
          <w:rFonts w:hint="default" w:ascii="Times New Roman" w:hAnsi="Times New Roman" w:eastAsia="仿宋_GB2312" w:cs="Times New Roman"/>
          <w:bCs/>
          <w:color w:val="000000" w:themeColor="text1"/>
          <w:kern w:val="0"/>
          <w:sz w:val="32"/>
          <w:szCs w:val="32"/>
          <w14:textFill>
            <w14:solidFill>
              <w14:schemeClr w14:val="tx1"/>
            </w14:solidFill>
          </w14:textFill>
        </w:rPr>
        <w:t>柳州市招商引资激励办法</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的通知</w:t>
      </w:r>
      <w:r>
        <w:rPr>
          <w:rFonts w:hint="default" w:ascii="Times New Roman" w:hAnsi="Times New Roman" w:eastAsia="仿宋_GB2312" w:cs="Times New Roman"/>
          <w:bCs/>
          <w:color w:val="000000" w:themeColor="text1"/>
          <w:kern w:val="0"/>
          <w:sz w:val="32"/>
          <w:szCs w:val="32"/>
          <w14:textFill>
            <w14:solidFill>
              <w14:schemeClr w14:val="tx1"/>
            </w14:solidFill>
          </w14:textFill>
        </w:rPr>
        <w:t>》（柳政规〔2022〕8号）进行表扬。</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附件：1. 鹿寨县2022年各产业招商组招商引资目标任务</w:t>
      </w:r>
    </w:p>
    <w:p>
      <w:pPr>
        <w:keepNext w:val="0"/>
        <w:keepLines w:val="0"/>
        <w:pageBreakBefore w:val="0"/>
        <w:widowControl w:val="0"/>
        <w:kinsoku/>
        <w:wordWrap/>
        <w:overflowPunct/>
        <w:topLinePunct w:val="0"/>
        <w:autoSpaceDE/>
        <w:autoSpaceDN/>
        <w:bidi w:val="0"/>
        <w:adjustRightInd/>
        <w:snapToGrid/>
        <w:spacing w:line="600" w:lineRule="exact"/>
        <w:ind w:firstLine="1980" w:firstLineChars="619"/>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分解表</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 xml:space="preserve">          2. 鹿寨县2022年招商引资项目统计表（样表）</w:t>
      </w: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bCs/>
          <w:color w:val="000000" w:themeColor="text1"/>
          <w:kern w:val="0"/>
          <w:sz w:val="32"/>
          <w:szCs w:val="32"/>
          <w14:textFill>
            <w14:solidFill>
              <w14:schemeClr w14:val="tx1"/>
            </w14:solidFill>
          </w14:textFill>
        </w:rPr>
      </w:pPr>
    </w:p>
    <w:p>
      <w:pPr>
        <w:pStyle w:val="2"/>
        <w:jc w:val="both"/>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pStyle w:val="2"/>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rPr>
          <w:rFonts w:hint="default" w:ascii="Times New Roman" w:hAnsi="Times New Roman" w:eastAsia="仿宋_GB2312" w:cs="Times New Roman"/>
          <w:color w:val="000000" w:themeColor="text1"/>
          <w:kern w:val="0"/>
          <w14:textFill>
            <w14:solidFill>
              <w14:schemeClr w14:val="tx1"/>
            </w14:solidFill>
          </w14:textFill>
        </w:rPr>
      </w:pPr>
    </w:p>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公开方式</w:t>
      </w:r>
      <w:r>
        <w:rPr>
          <w:rFonts w:hint="eastAsia" w:eastAsia="黑体" w:cs="Times New Roman"/>
          <w:sz w:val="32"/>
          <w:szCs w:val="32"/>
        </w:rPr>
        <w:t>：</w:t>
      </w:r>
      <w:r>
        <w:rPr>
          <w:rFonts w:ascii="Times New Roman" w:hAnsi="Times New Roman" w:eastAsia="黑体" w:cs="Times New Roman"/>
          <w:sz w:val="32"/>
          <w:szCs w:val="32"/>
        </w:rPr>
        <w:t>主动公开</w:t>
      </w:r>
    </w:p>
    <w:p>
      <w:pPr>
        <w:adjustRightInd w:val="0"/>
        <w:spacing w:line="460" w:lineRule="exact"/>
        <w:rPr>
          <w:rFonts w:hint="default" w:eastAsia="仿宋_GB2312"/>
          <w:color w:val="auto"/>
          <w:u w:val="single"/>
          <w:lang w:val="en-US" w:eastAsia="zh-CN"/>
        </w:rPr>
      </w:pPr>
      <w:r>
        <w:rPr>
          <w:rFonts w:hint="eastAsia" w:eastAsia="仿宋_GB2312"/>
          <w:color w:val="auto"/>
          <w:u w:val="single"/>
          <w:lang w:val="en-US" w:eastAsia="zh-CN"/>
        </w:rPr>
        <w:t xml:space="preserve">                                                                                          </w:t>
      </w:r>
    </w:p>
    <w:p>
      <w:pPr>
        <w:adjustRightInd w:val="0"/>
        <w:spacing w:line="460" w:lineRule="exact"/>
        <w:rPr>
          <w:rFonts w:ascii="Times New Roman" w:hAnsi="Times New Roman" w:eastAsia="仿宋_GB2312" w:cs="Times New Roman"/>
          <w:sz w:val="28"/>
          <w:u w:val="single"/>
        </w:rPr>
      </w:pPr>
      <w:r>
        <w:rPr>
          <w:rFonts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eastAsia="zh-CN"/>
        </w:rPr>
        <w:t>抄送：县委办、县人大办、县政协办。</w:t>
      </w:r>
      <w:r>
        <w:rPr>
          <w:rFonts w:ascii="Times New Roman" w:hAnsi="Times New Roman" w:eastAsia="仿宋_GB2312" w:cs="Times New Roman"/>
          <w:color w:val="auto"/>
          <w:sz w:val="28"/>
          <w:u w:val="single"/>
        </w:rPr>
        <w:t xml:space="preserve">                                                               </w:t>
      </w:r>
      <w:r>
        <w:rPr>
          <w:rFonts w:ascii="Times New Roman" w:hAnsi="Times New Roman" w:eastAsia="仿宋_GB2312" w:cs="Times New Roman"/>
          <w:sz w:val="28"/>
          <w:u w:val="single"/>
        </w:rPr>
        <w:t xml:space="preserve"> </w:t>
      </w:r>
    </w:p>
    <w:p>
      <w:pPr>
        <w:spacing w:line="460" w:lineRule="exact"/>
        <w:rPr>
          <w:rFonts w:hint="default" w:ascii="Times New Roman" w:hAnsi="Times New Roman" w:eastAsia="仿宋_GB2312" w:cs="Times New Roman"/>
          <w:color w:val="000000" w:themeColor="text1"/>
          <w:kern w:val="0"/>
          <w14:textFill>
            <w14:solidFill>
              <w14:schemeClr w14:val="tx1"/>
            </w14:solidFill>
          </w14:textFill>
        </w:rPr>
      </w:pPr>
      <w:r>
        <w:rPr>
          <w:rFonts w:ascii="Times New Roman" w:hAnsi="Times New Roman" w:eastAsia="仿宋_GB2312" w:cs="Times New Roman"/>
          <w:sz w:val="28"/>
          <w:u w:val="single"/>
        </w:rPr>
        <w:t xml:space="preserve">  鹿寨县人民政府办公室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202</w:t>
      </w:r>
      <w:r>
        <w:rPr>
          <w:rFonts w:hint="eastAsia" w:ascii="Times New Roman" w:hAnsi="Times New Roman" w:eastAsia="仿宋_GB2312" w:cs="Times New Roman"/>
          <w:sz w:val="28"/>
          <w:u w:val="single"/>
          <w:lang w:val="en-US" w:eastAsia="zh-CN"/>
        </w:rPr>
        <w:t>2</w:t>
      </w:r>
      <w:r>
        <w:rPr>
          <w:rFonts w:ascii="Times New Roman" w:hAnsi="Times New Roman" w:eastAsia="仿宋_GB2312" w:cs="Times New Roman"/>
          <w:sz w:val="28"/>
          <w:u w:val="single"/>
        </w:rPr>
        <w:t>年</w:t>
      </w:r>
      <w:r>
        <w:rPr>
          <w:rFonts w:hint="eastAsia" w:ascii="Times New Roman" w:hAnsi="Times New Roman" w:eastAsia="仿宋_GB2312" w:cs="Times New Roman"/>
          <w:sz w:val="28"/>
          <w:u w:val="single"/>
          <w:lang w:val="en-US" w:eastAsia="zh-CN"/>
        </w:rPr>
        <w:t>5</w:t>
      </w:r>
      <w:r>
        <w:rPr>
          <w:rFonts w:ascii="Times New Roman" w:hAnsi="Times New Roman" w:eastAsia="仿宋_GB2312" w:cs="Times New Roman"/>
          <w:sz w:val="28"/>
          <w:u w:val="single"/>
        </w:rPr>
        <w:t>月</w:t>
      </w:r>
      <w:r>
        <w:rPr>
          <w:rFonts w:hint="eastAsia" w:ascii="Times New Roman" w:hAnsi="Times New Roman" w:eastAsia="仿宋_GB2312" w:cs="Times New Roman"/>
          <w:sz w:val="28"/>
          <w:u w:val="single"/>
          <w:lang w:val="en-US" w:eastAsia="zh-CN"/>
        </w:rPr>
        <w:t>25</w:t>
      </w:r>
      <w:r>
        <w:rPr>
          <w:rFonts w:ascii="Times New Roman" w:hAnsi="Times New Roman" w:eastAsia="仿宋_GB2312" w:cs="Times New Roman"/>
          <w:sz w:val="28"/>
          <w:u w:val="single"/>
        </w:rPr>
        <w:t>日印发</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 xml:space="preserve">  </w:t>
      </w:r>
    </w:p>
    <w:p>
      <w:pPr>
        <w:rPr>
          <w:rFonts w:hint="default"/>
        </w:rPr>
        <w:sectPr>
          <w:footerReference r:id="rId3" w:type="default"/>
          <w:pgSz w:w="11906" w:h="16838"/>
          <w:pgMar w:top="1440" w:right="1417" w:bottom="1440" w:left="1418" w:header="851" w:footer="851" w:gutter="0"/>
          <w:pgNumType w:fmt="decimal"/>
          <w:cols w:space="0" w:num="1"/>
          <w:docGrid w:type="linesAndChars" w:linePitch="312" w:charSpace="0"/>
        </w:sectPr>
      </w:pPr>
    </w:p>
    <w:p>
      <w:pPr>
        <w:spacing w:line="540" w:lineRule="exact"/>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附件1</w:t>
      </w: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color w:val="000000" w:themeColor="text1"/>
          <w:sz w:val="44"/>
          <w:szCs w:val="44"/>
          <w14:textFill>
            <w14:solidFill>
              <w14:schemeClr w14:val="tx1"/>
            </w14:solidFill>
          </w14:textFill>
        </w:rPr>
        <w:t>2022年鹿寨县各产业招商组</w:t>
      </w:r>
      <w:r>
        <w:rPr>
          <w:rFonts w:hint="default" w:ascii="Times New Roman" w:hAnsi="Times New Roman" w:cs="Times New Roman"/>
          <w:color w:val="000000" w:themeColor="text1"/>
          <w:spacing w:val="20"/>
          <w:sz w:val="44"/>
          <w:szCs w:val="44"/>
          <w14:textFill>
            <w14:solidFill>
              <w14:schemeClr w14:val="tx1"/>
            </w14:solidFill>
          </w14:textFill>
        </w:rPr>
        <w:t>招商引资目标任务分解表</w:t>
      </w:r>
    </w:p>
    <w:tbl>
      <w:tblPr>
        <w:tblStyle w:val="11"/>
        <w:tblW w:w="15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312"/>
        <w:gridCol w:w="1860"/>
        <w:gridCol w:w="3555"/>
        <w:gridCol w:w="1725"/>
        <w:gridCol w:w="1275"/>
        <w:gridCol w:w="1215"/>
        <w:gridCol w:w="118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5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产业招商组</w:t>
            </w:r>
          </w:p>
        </w:tc>
        <w:tc>
          <w:tcPr>
            <w:tcW w:w="1312"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责任领导</w:t>
            </w:r>
          </w:p>
        </w:tc>
        <w:tc>
          <w:tcPr>
            <w:tcW w:w="1860"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牵头单位</w:t>
            </w:r>
          </w:p>
        </w:tc>
        <w:tc>
          <w:tcPr>
            <w:tcW w:w="3555"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协办单位</w:t>
            </w: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内资到位资金目标（亿元）</w:t>
            </w:r>
          </w:p>
        </w:tc>
        <w:tc>
          <w:tcPr>
            <w:tcW w:w="1275"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新签约项目数（个）</w:t>
            </w:r>
          </w:p>
        </w:tc>
        <w:tc>
          <w:tcPr>
            <w:tcW w:w="1215"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新引进工业项目（个）</w:t>
            </w:r>
          </w:p>
        </w:tc>
        <w:tc>
          <w:tcPr>
            <w:tcW w:w="1185" w:type="dxa"/>
            <w:vMerge w:val="restart"/>
            <w:tcBorders>
              <w:top w:val="single" w:color="auto" w:sz="4" w:space="0"/>
              <w:left w:val="single" w:color="auto" w:sz="4" w:space="0"/>
              <w:right w:val="single" w:color="auto" w:sz="4" w:space="0"/>
            </w:tcBorders>
          </w:tcPr>
          <w:p>
            <w:pPr>
              <w:spacing w:beforeLines="100"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亿元工业项目（个）</w:t>
            </w:r>
          </w:p>
        </w:tc>
        <w:tc>
          <w:tcPr>
            <w:tcW w:w="2149" w:type="dxa"/>
            <w:vMerge w:val="restart"/>
            <w:tcBorders>
              <w:top w:val="single" w:color="auto" w:sz="4" w:space="0"/>
              <w:left w:val="single" w:color="auto" w:sz="4" w:space="0"/>
              <w:right w:val="single" w:color="auto" w:sz="4" w:space="0"/>
            </w:tcBorders>
            <w:vAlign w:val="center"/>
          </w:tcPr>
          <w:p>
            <w:pPr>
              <w:spacing w:beforeLines="100" w:line="36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5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312"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60"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3555"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区外境内</w:t>
            </w:r>
          </w:p>
        </w:tc>
        <w:tc>
          <w:tcPr>
            <w:tcW w:w="1275" w:type="dxa"/>
            <w:vMerge w:val="continue"/>
            <w:tcBorders>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215" w:type="dxa"/>
            <w:vMerge w:val="continue"/>
            <w:tcBorders>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185" w:type="dxa"/>
            <w:vMerge w:val="continue"/>
            <w:tcBorders>
              <w:left w:val="single" w:color="auto" w:sz="4" w:space="0"/>
              <w:bottom w:val="single" w:color="auto" w:sz="4" w:space="0"/>
              <w:right w:val="single" w:color="auto" w:sz="4" w:space="0"/>
            </w:tcBorders>
          </w:tcPr>
          <w:p>
            <w:pPr>
              <w:spacing w:line="36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149" w:type="dxa"/>
            <w:vMerge w:val="continue"/>
            <w:tcBorders>
              <w:left w:val="single" w:color="auto" w:sz="4" w:space="0"/>
              <w:bottom w:val="single" w:color="auto" w:sz="4" w:space="0"/>
              <w:right w:val="single" w:color="auto" w:sz="4" w:space="0"/>
            </w:tcBorders>
          </w:tcPr>
          <w:p>
            <w:pPr>
              <w:spacing w:line="36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9"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合  计</w:t>
            </w: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55</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w:t>
            </w: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40</w:t>
            </w:r>
          </w:p>
        </w:tc>
        <w:tc>
          <w:tcPr>
            <w:tcW w:w="1185"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25</w:t>
            </w:r>
          </w:p>
        </w:tc>
        <w:tc>
          <w:tcPr>
            <w:tcW w:w="2149"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52"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林木加工产业招商组</w:t>
            </w:r>
          </w:p>
        </w:tc>
        <w:tc>
          <w:tcPr>
            <w:tcW w:w="1312"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组长：    王轶      副组长：  韦鸿英   李伟明</w:t>
            </w:r>
          </w:p>
        </w:tc>
        <w:tc>
          <w:tcPr>
            <w:tcW w:w="1860"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县林业局（旋切基地项目）</w:t>
            </w:r>
          </w:p>
        </w:tc>
        <w:tc>
          <w:tcPr>
            <w:tcW w:w="3555"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县发改局、县住建局、县应急管理局、县财政局、鹿寨经开区管委、鹿寨生态环境局、县税务局、驰普公司</w:t>
            </w:r>
          </w:p>
        </w:tc>
        <w:tc>
          <w:tcPr>
            <w:tcW w:w="172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5</w:t>
            </w:r>
          </w:p>
        </w:tc>
        <w:tc>
          <w:tcPr>
            <w:tcW w:w="127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15</w:t>
            </w:r>
          </w:p>
        </w:tc>
        <w:tc>
          <w:tcPr>
            <w:tcW w:w="121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15</w:t>
            </w:r>
          </w:p>
        </w:tc>
        <w:tc>
          <w:tcPr>
            <w:tcW w:w="1185" w:type="dxa"/>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3</w:t>
            </w:r>
          </w:p>
        </w:tc>
        <w:tc>
          <w:tcPr>
            <w:tcW w:w="2149" w:type="dxa"/>
            <w:tcBorders>
              <w:top w:val="single" w:color="auto" w:sz="4" w:space="0"/>
              <w:left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招商引资方向：国家储备林布局规划建设旋切板材8个基地，2022年拟规划建设5个旋切基地，计划引进15家企业，项目保障要素充足。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52" w:type="dxa"/>
            <w:vMerge w:val="continue"/>
            <w:tcBorders>
              <w:left w:val="single" w:color="auto" w:sz="4" w:space="0"/>
              <w:right w:val="single" w:color="auto" w:sz="4" w:space="0"/>
            </w:tcBorders>
            <w:noWrap/>
            <w:vAlign w:val="center"/>
          </w:tcPr>
          <w:p>
            <w:pPr>
              <w:spacing w:line="360" w:lineRule="exact"/>
              <w:jc w:val="center"/>
              <w:rPr>
                <w:rFonts w:hint="default" w:ascii="Times New Roman" w:hAnsi="Times New Roman" w:cs="Times New Roman"/>
                <w:color w:val="000000" w:themeColor="text1"/>
                <w14:textFill>
                  <w14:solidFill>
                    <w14:schemeClr w14:val="tx1"/>
                  </w14:solidFill>
                </w14:textFill>
              </w:rPr>
            </w:pPr>
          </w:p>
        </w:tc>
        <w:tc>
          <w:tcPr>
            <w:tcW w:w="1312" w:type="dxa"/>
            <w:vMerge w:val="continue"/>
            <w:tcBorders>
              <w:left w:val="single" w:color="auto" w:sz="4" w:space="0"/>
              <w:right w:val="single" w:color="auto" w:sz="4" w:space="0"/>
            </w:tcBorders>
            <w:noWrap/>
            <w:vAlign w:val="center"/>
          </w:tcPr>
          <w:p>
            <w:pPr>
              <w:spacing w:line="360" w:lineRule="exact"/>
              <w:jc w:val="center"/>
              <w:rPr>
                <w:rFonts w:hint="default" w:ascii="Times New Roman" w:hAnsi="Times New Roman" w:cs="Times New Roman"/>
                <w:color w:val="000000" w:themeColor="text1"/>
                <w14:textFill>
                  <w14:solidFill>
                    <w14:schemeClr w14:val="tx1"/>
                  </w14:solidFill>
                </w14:textFill>
              </w:rPr>
            </w:pPr>
          </w:p>
        </w:tc>
        <w:tc>
          <w:tcPr>
            <w:tcW w:w="1860"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县投促中心（林木深加工项目）</w:t>
            </w:r>
          </w:p>
        </w:tc>
        <w:tc>
          <w:tcPr>
            <w:tcW w:w="3555" w:type="dxa"/>
            <w:vMerge w:val="continue"/>
            <w:tcBorders>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725" w:type="dxa"/>
            <w:tcBorders>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13</w:t>
            </w:r>
          </w:p>
        </w:tc>
        <w:tc>
          <w:tcPr>
            <w:tcW w:w="1275" w:type="dxa"/>
            <w:tcBorders>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8</w:t>
            </w:r>
          </w:p>
        </w:tc>
        <w:tc>
          <w:tcPr>
            <w:tcW w:w="1215" w:type="dxa"/>
            <w:tcBorders>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7</w:t>
            </w:r>
          </w:p>
        </w:tc>
        <w:tc>
          <w:tcPr>
            <w:tcW w:w="1185"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7</w:t>
            </w:r>
          </w:p>
        </w:tc>
        <w:tc>
          <w:tcPr>
            <w:tcW w:w="2149" w:type="dxa"/>
            <w:tcBorders>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52"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新材料和绿色化工产业招商组</w:t>
            </w:r>
          </w:p>
        </w:tc>
        <w:tc>
          <w:tcPr>
            <w:tcW w:w="1312"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组长：    陈需勤       副组长:  韦永祥   饶冬生</w:t>
            </w:r>
          </w:p>
          <w:p>
            <w:pPr>
              <w:pStyle w:val="10"/>
              <w:spacing w:after="0" w:line="360" w:lineRule="exact"/>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李伟明</w:t>
            </w:r>
          </w:p>
        </w:tc>
        <w:tc>
          <w:tcPr>
            <w:tcW w:w="1860"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鹿寨经开区管委（新材料）</w:t>
            </w:r>
          </w:p>
        </w:tc>
        <w:tc>
          <w:tcPr>
            <w:tcW w:w="3555" w:type="dxa"/>
            <w:vMerge w:val="restart"/>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县发改局、县自然资源和规划局、县住建局、县科工贸局、县财政局、县应急管理局、鹿寨生态环境局、县税务局、柳州紫荆技术转移中心</w:t>
            </w:r>
          </w:p>
        </w:tc>
        <w:tc>
          <w:tcPr>
            <w:tcW w:w="172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6</w:t>
            </w:r>
          </w:p>
        </w:tc>
        <w:tc>
          <w:tcPr>
            <w:tcW w:w="127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121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1185" w:type="dxa"/>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2149" w:type="dxa"/>
            <w:tcBorders>
              <w:top w:val="single" w:color="auto" w:sz="4" w:space="0"/>
              <w:left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vMerge w:val="continue"/>
            <w:tcBorders>
              <w:left w:val="single" w:color="auto" w:sz="4" w:space="0"/>
              <w:right w:val="single" w:color="auto" w:sz="4" w:space="0"/>
            </w:tcBorders>
            <w:noWrap/>
            <w:vAlign w:val="center"/>
          </w:tcPr>
          <w:p>
            <w:pPr>
              <w:spacing w:line="360" w:lineRule="exact"/>
              <w:jc w:val="center"/>
              <w:rPr>
                <w:rFonts w:hint="default" w:ascii="Times New Roman" w:hAnsi="Times New Roman" w:cs="Times New Roman"/>
                <w:color w:val="000000" w:themeColor="text1"/>
                <w14:textFill>
                  <w14:solidFill>
                    <w14:schemeClr w14:val="tx1"/>
                  </w14:solidFill>
                </w14:textFill>
              </w:rPr>
            </w:pPr>
          </w:p>
        </w:tc>
        <w:tc>
          <w:tcPr>
            <w:tcW w:w="1312" w:type="dxa"/>
            <w:vMerge w:val="continue"/>
            <w:tcBorders>
              <w:left w:val="single" w:color="auto" w:sz="4" w:space="0"/>
              <w:right w:val="single" w:color="auto" w:sz="4" w:space="0"/>
            </w:tcBorders>
            <w:noWrap/>
            <w:vAlign w:val="center"/>
          </w:tcPr>
          <w:p>
            <w:pPr>
              <w:spacing w:line="360" w:lineRule="exact"/>
              <w:jc w:val="center"/>
              <w:rPr>
                <w:rFonts w:hint="default" w:ascii="Times New Roman" w:hAnsi="Times New Roman" w:cs="Times New Roman"/>
                <w:color w:val="000000" w:themeColor="text1"/>
                <w14:textFill>
                  <w14:solidFill>
                    <w14:schemeClr w14:val="tx1"/>
                  </w14:solidFill>
                </w14:textFill>
              </w:rPr>
            </w:pPr>
          </w:p>
        </w:tc>
        <w:tc>
          <w:tcPr>
            <w:tcW w:w="1860"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县投促中心（绿色化工）</w:t>
            </w:r>
          </w:p>
        </w:tc>
        <w:tc>
          <w:tcPr>
            <w:tcW w:w="3555" w:type="dxa"/>
            <w:vMerge w:val="continue"/>
            <w:tcBorders>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725" w:type="dxa"/>
            <w:tcBorders>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6</w:t>
            </w:r>
          </w:p>
        </w:tc>
        <w:tc>
          <w:tcPr>
            <w:tcW w:w="1275" w:type="dxa"/>
            <w:tcBorders>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4</w:t>
            </w:r>
          </w:p>
        </w:tc>
        <w:tc>
          <w:tcPr>
            <w:tcW w:w="1215" w:type="dxa"/>
            <w:tcBorders>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4</w:t>
            </w:r>
          </w:p>
        </w:tc>
        <w:tc>
          <w:tcPr>
            <w:tcW w:w="1185"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4</w:t>
            </w:r>
          </w:p>
        </w:tc>
        <w:tc>
          <w:tcPr>
            <w:tcW w:w="2149" w:type="dxa"/>
            <w:tcBorders>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452"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表面处理产业招商组</w:t>
            </w:r>
          </w:p>
        </w:tc>
        <w:tc>
          <w:tcPr>
            <w:tcW w:w="1312"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组长：    邓芳军       副组长：      饶冬生</w:t>
            </w:r>
          </w:p>
        </w:tc>
        <w:tc>
          <w:tcPr>
            <w:tcW w:w="1860"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江口乡</w:t>
            </w:r>
          </w:p>
        </w:tc>
        <w:tc>
          <w:tcPr>
            <w:tcW w:w="355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县投促中心、鹿寨经开区管委、县发改局、县科工贸局、鹿寨生态环境局、县应急管理局、县税务局、县财政局、荣凯华源公司</w:t>
            </w:r>
          </w:p>
        </w:tc>
        <w:tc>
          <w:tcPr>
            <w:tcW w:w="172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127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6</w:t>
            </w: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5</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3</w:t>
            </w:r>
          </w:p>
        </w:tc>
        <w:tc>
          <w:tcPr>
            <w:tcW w:w="21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招商引资方向：</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拟</w:t>
            </w:r>
            <w:r>
              <w:rPr>
                <w:rFonts w:hint="default" w:ascii="Times New Roman" w:hAnsi="Times New Roman" w:eastAsia="仿宋_GB2312" w:cs="Times New Roman"/>
                <w:color w:val="000000" w:themeColor="text1"/>
                <w:sz w:val="21"/>
                <w:szCs w:val="21"/>
                <w14:textFill>
                  <w14:solidFill>
                    <w14:schemeClr w14:val="tx1"/>
                  </w14:solidFill>
                </w14:textFill>
              </w:rPr>
              <w:t>新建标准厂房</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10万</w:t>
            </w:r>
            <w:r>
              <w:rPr>
                <w:rFonts w:hint="default" w:ascii="Times New Roman" w:hAnsi="Times New Roman" w:eastAsia="仿宋_GB2312" w:cs="Times New Roman"/>
                <w:color w:val="000000" w:themeColor="text1"/>
                <w:sz w:val="21"/>
                <w:szCs w:val="21"/>
                <w14:textFill>
                  <w14:solidFill>
                    <w14:schemeClr w14:val="tx1"/>
                  </w14:solidFill>
                </w14:textFill>
              </w:rPr>
              <w:t>平方米，项目保障要素充足。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452"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商用车</w:t>
            </w:r>
            <w:r>
              <w:rPr>
                <w:rFonts w:hint="eastAsia" w:ascii="Times New Roman" w:hAnsi="Times New Roman" w:eastAsia="仿宋_GB2312" w:cs="Times New Roman"/>
                <w:color w:val="000000" w:themeColor="text1"/>
                <w:sz w:val="24"/>
                <w:lang w:eastAsia="zh-CN"/>
                <w14:textFill>
                  <w14:solidFill>
                    <w14:schemeClr w14:val="tx1"/>
                  </w14:solidFill>
                </w14:textFill>
              </w:rPr>
              <w:t>共享</w:t>
            </w:r>
            <w:r>
              <w:rPr>
                <w:rFonts w:hint="default" w:ascii="Times New Roman" w:hAnsi="Times New Roman" w:eastAsia="仿宋_GB2312" w:cs="Times New Roman"/>
                <w:color w:val="000000" w:themeColor="text1"/>
                <w:sz w:val="24"/>
                <w14:textFill>
                  <w14:solidFill>
                    <w14:schemeClr w14:val="tx1"/>
                  </w14:solidFill>
                </w14:textFill>
              </w:rPr>
              <w:t>零部件产业招商组</w:t>
            </w:r>
          </w:p>
        </w:tc>
        <w:tc>
          <w:tcPr>
            <w:tcW w:w="1312"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组长：    杨毅     副组长：  李伟明   秦邦登</w:t>
            </w:r>
          </w:p>
        </w:tc>
        <w:tc>
          <w:tcPr>
            <w:tcW w:w="1860"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鹿寨经开区管委</w:t>
            </w:r>
          </w:p>
        </w:tc>
        <w:tc>
          <w:tcPr>
            <w:tcW w:w="355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县投促中心、县发改局、县自然资源和规划局、县住建局、县科工贸局、鹿寨生态环境局、县应急管理局、县税务局、县财政局、县土地和房屋征收中心</w:t>
            </w:r>
          </w:p>
        </w:tc>
        <w:tc>
          <w:tcPr>
            <w:tcW w:w="172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3</w:t>
            </w:r>
          </w:p>
        </w:tc>
        <w:tc>
          <w:tcPr>
            <w:tcW w:w="127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5</w:t>
            </w: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5</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4</w:t>
            </w:r>
          </w:p>
        </w:tc>
        <w:tc>
          <w:tcPr>
            <w:tcW w:w="21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招商引资方向：1.规划和建设商用车共享零部件基地；2.盘活鹿化低效闲置土地，提供土地保障要素。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4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商贸物流产业招商组</w:t>
            </w:r>
          </w:p>
        </w:tc>
        <w:tc>
          <w:tcPr>
            <w:tcW w:w="13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组长：    杨毅      副组长：  吴志峰   李伟明</w:t>
            </w:r>
          </w:p>
        </w:tc>
        <w:tc>
          <w:tcPr>
            <w:tcW w:w="186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eastAsia="zh-CN"/>
                <w14:textFill>
                  <w14:solidFill>
                    <w14:schemeClr w14:val="tx1"/>
                  </w14:solidFill>
                </w14:textFill>
              </w:rPr>
              <w:t>县</w:t>
            </w:r>
            <w:r>
              <w:rPr>
                <w:rFonts w:hint="default" w:ascii="Times New Roman" w:hAnsi="Times New Roman" w:eastAsia="仿宋_GB2312" w:cs="Times New Roman"/>
                <w:color w:val="000000" w:themeColor="text1"/>
                <w:sz w:val="24"/>
                <w14:textFill>
                  <w14:solidFill>
                    <w14:schemeClr w14:val="tx1"/>
                  </w14:solidFill>
                </w14:textFill>
              </w:rPr>
              <w:t>科工贸局</w:t>
            </w:r>
          </w:p>
        </w:tc>
        <w:tc>
          <w:tcPr>
            <w:tcW w:w="355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县投促中心、县发改局、县自然资源和规划局、县住建局、县交通局、鹿寨经开区管委、县财政局、鹿寨生态环境局、县税务局、江口乡</w:t>
            </w: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12</w:t>
            </w: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0</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0</w:t>
            </w:r>
          </w:p>
        </w:tc>
        <w:tc>
          <w:tcPr>
            <w:tcW w:w="21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招商引资方向：1.商用车共享销售基地拟计划引进16家企业；2.农贸市场改造项目；3.其他商贸销售项目。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452"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农业产业招商组</w:t>
            </w:r>
          </w:p>
        </w:tc>
        <w:tc>
          <w:tcPr>
            <w:tcW w:w="1312"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组长：    黄旭慧      副组长：  秦邦登</w:t>
            </w:r>
          </w:p>
        </w:tc>
        <w:tc>
          <w:tcPr>
            <w:tcW w:w="1860"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eastAsia="zh-CN"/>
                <w14:textFill>
                  <w14:solidFill>
                    <w14:schemeClr w14:val="tx1"/>
                  </w14:solidFill>
                </w14:textFill>
              </w:rPr>
              <w:t>县</w:t>
            </w:r>
            <w:r>
              <w:rPr>
                <w:rFonts w:hint="default" w:ascii="Times New Roman" w:hAnsi="Times New Roman" w:eastAsia="仿宋_GB2312" w:cs="Times New Roman"/>
                <w:color w:val="000000" w:themeColor="text1"/>
                <w:sz w:val="24"/>
                <w14:textFill>
                  <w14:solidFill>
                    <w14:schemeClr w14:val="tx1"/>
                  </w14:solidFill>
                </w14:textFill>
              </w:rPr>
              <w:t>农业农村局</w:t>
            </w:r>
          </w:p>
        </w:tc>
        <w:tc>
          <w:tcPr>
            <w:tcW w:w="355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县投促中心、县发改局、县水利局、县自然资源和规划局、县住建局、鹿寨生态环境局、县税务局</w:t>
            </w:r>
          </w:p>
        </w:tc>
        <w:tc>
          <w:tcPr>
            <w:tcW w:w="172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4</w:t>
            </w:r>
          </w:p>
        </w:tc>
        <w:tc>
          <w:tcPr>
            <w:tcW w:w="1275" w:type="dxa"/>
            <w:tcBorders>
              <w:top w:val="single" w:color="auto" w:sz="4" w:space="0"/>
              <w:left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21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招商引资方向:1.鹿寨县一体化全产业链畜禽屠宰深加工项目以及其他意向企业；2.农产品深加工项目。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基础设施及房地产产业招商组</w:t>
            </w:r>
          </w:p>
        </w:tc>
        <w:tc>
          <w:tcPr>
            <w:tcW w:w="13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组长：      雷翔</w:t>
            </w:r>
          </w:p>
        </w:tc>
        <w:tc>
          <w:tcPr>
            <w:tcW w:w="186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eastAsia="zh-CN"/>
                <w14:textFill>
                  <w14:solidFill>
                    <w14:schemeClr w14:val="tx1"/>
                  </w14:solidFill>
                </w14:textFill>
              </w:rPr>
              <w:t>县</w:t>
            </w:r>
            <w:r>
              <w:rPr>
                <w:rFonts w:hint="default" w:ascii="Times New Roman" w:hAnsi="Times New Roman" w:eastAsia="仿宋_GB2312" w:cs="Times New Roman"/>
                <w:color w:val="000000" w:themeColor="text1"/>
                <w:sz w:val="24"/>
                <w14:textFill>
                  <w14:solidFill>
                    <w14:schemeClr w14:val="tx1"/>
                  </w14:solidFill>
                </w14:textFill>
              </w:rPr>
              <w:t>住建局</w:t>
            </w:r>
          </w:p>
        </w:tc>
        <w:tc>
          <w:tcPr>
            <w:tcW w:w="355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县投促中心、县发改局、县自然资源和规划局、县交通局、县水利局、县财政局、县税务局</w:t>
            </w: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10</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5</w:t>
            </w: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0</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0</w:t>
            </w:r>
          </w:p>
        </w:tc>
        <w:tc>
          <w:tcPr>
            <w:tcW w:w="21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招商引资方向：1.龙岭山庄、国际家具城市综合体等项目；2.基础设施和路网建设。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文旅产业与教育卫生招商组</w:t>
            </w:r>
          </w:p>
        </w:tc>
        <w:tc>
          <w:tcPr>
            <w:tcW w:w="1312" w:type="dxa"/>
            <w:tcBorders>
              <w:top w:val="single" w:color="auto" w:sz="4" w:space="0"/>
              <w:left w:val="single" w:color="auto" w:sz="4" w:space="0"/>
              <w:bottom w:val="single" w:color="auto" w:sz="4" w:space="0"/>
              <w:right w:val="single" w:color="auto" w:sz="4" w:space="0"/>
            </w:tcBorders>
            <w:noWrap/>
            <w:vAlign w:val="center"/>
          </w:tcPr>
          <w:p>
            <w:pPr>
              <w:pStyle w:val="10"/>
              <w:spacing w:line="360" w:lineRule="exact"/>
              <w:ind w:firstLine="0" w:firstLineChars="0"/>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组长：    朱燕文       副组长：  雷翔</w:t>
            </w:r>
          </w:p>
        </w:tc>
        <w:tc>
          <w:tcPr>
            <w:tcW w:w="186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eastAsia="zh-CN"/>
                <w14:textFill>
                  <w14:solidFill>
                    <w14:schemeClr w14:val="tx1"/>
                  </w14:solidFill>
                </w14:textFill>
              </w:rPr>
              <w:t>县</w:t>
            </w:r>
            <w:r>
              <w:rPr>
                <w:rFonts w:hint="default" w:ascii="Times New Roman" w:hAnsi="Times New Roman" w:eastAsia="仿宋_GB2312" w:cs="Times New Roman"/>
                <w:color w:val="000000" w:themeColor="text1"/>
                <w:sz w:val="24"/>
                <w14:textFill>
                  <w14:solidFill>
                    <w14:schemeClr w14:val="tx1"/>
                  </w14:solidFill>
                </w14:textFill>
              </w:rPr>
              <w:t>文体广旅局</w:t>
            </w:r>
          </w:p>
        </w:tc>
        <w:tc>
          <w:tcPr>
            <w:tcW w:w="355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县投促中心、县发改局、县住建局、县教育局、县卫健局、县自然资源和规划局、县财政局、鹿寨生态环境局、县税务局、祥鹿公司</w:t>
            </w: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w:t>
            </w: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0</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0</w:t>
            </w:r>
          </w:p>
        </w:tc>
        <w:tc>
          <w:tcPr>
            <w:tcW w:w="21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招商引资方向：教育投资、医疗器械投资、文旅投资项目等。</w:t>
            </w:r>
          </w:p>
        </w:tc>
      </w:tr>
    </w:tbl>
    <w:p>
      <w:pPr>
        <w:spacing w:line="360" w:lineRule="exact"/>
        <w:ind w:right="-722" w:rightChars="-344"/>
        <w:jc w:val="both"/>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注：1</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表格内各牵头单位的招商引资数据由县投促中心根据行业范围对各牵头单位按项目属地原则统一上报的数据进行统计整理。</w:t>
      </w:r>
    </w:p>
    <w:p>
      <w:pPr>
        <w:numPr>
          <w:ilvl w:val="0"/>
          <w:numId w:val="1"/>
        </w:numPr>
        <w:spacing w:line="360" w:lineRule="exact"/>
        <w:ind w:right="-722" w:rightChars="-344" w:firstLine="480" w:firstLineChars="200"/>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表格内各牵头单位直接引进的项目，应知会县投促中心，以便于县投促中心及时统计。</w:t>
      </w:r>
    </w:p>
    <w:p>
      <w:pPr>
        <w:spacing w:line="360" w:lineRule="exact"/>
        <w:ind w:right="-722" w:rightChars="-344" w:firstLine="480" w:firstLineChars="200"/>
        <w:jc w:val="left"/>
        <w:rPr>
          <w:rFonts w:hint="default" w:ascii="Times New Roman" w:hAnsi="Times New Roman" w:eastAsia="仿宋" w:cs="Times New Roman"/>
          <w:sz w:val="24"/>
        </w:rPr>
        <w:sectPr>
          <w:pgSz w:w="16838" w:h="11906" w:orient="landscape"/>
          <w:pgMar w:top="1418" w:right="1304" w:bottom="1304" w:left="1304" w:header="851" w:footer="851" w:gutter="0"/>
          <w:pgNumType w:fmt="decimal"/>
          <w:cols w:space="0" w:num="1"/>
          <w:docGrid w:type="linesAndChars" w:linePitch="312" w:charSpace="0"/>
        </w:sectPr>
      </w:pPr>
      <w:r>
        <w:rPr>
          <w:rFonts w:hint="default" w:ascii="Times New Roman" w:hAnsi="Times New Roman" w:eastAsia="仿宋" w:cs="Times New Roman"/>
          <w:color w:val="000000" w:themeColor="text1"/>
          <w:sz w:val="24"/>
          <w14:textFill>
            <w14:solidFill>
              <w14:schemeClr w14:val="tx1"/>
            </w14:solidFill>
          </w14:textFill>
        </w:rPr>
        <w:t>3</w:t>
      </w:r>
      <w:r>
        <w:rPr>
          <w:rFonts w:hint="default"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各牵头单位目标完成情况以录入</w:t>
      </w:r>
      <w:r>
        <w:rPr>
          <w:rFonts w:hint="eastAsia"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广西投资促进信息管理系统</w:t>
      </w:r>
      <w:r>
        <w:rPr>
          <w:rFonts w:hint="eastAsia"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数据为准，</w:t>
      </w:r>
      <w:r>
        <w:rPr>
          <w:rFonts w:hint="eastAsia"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广西投资促进信息管理系统</w:t>
      </w:r>
      <w:r>
        <w:rPr>
          <w:rFonts w:hint="eastAsia"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由县投促中心统一录入</w:t>
      </w:r>
      <w:r>
        <w:rPr>
          <w:rFonts w:hint="default" w:ascii="Times New Roman" w:hAnsi="Times New Roman" w:eastAsia="仿宋" w:cs="Times New Roman"/>
          <w:sz w:val="24"/>
        </w:rPr>
        <w:t>。</w:t>
      </w:r>
    </w:p>
    <w:p>
      <w:pPr>
        <w:spacing w:line="54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附件2 </w:t>
      </w:r>
    </w:p>
    <w:p>
      <w:pPr>
        <w:spacing w:line="600" w:lineRule="exact"/>
        <w:jc w:val="center"/>
        <w:rPr>
          <w:rFonts w:hint="default" w:ascii="Times New Roman" w:hAnsi="Times New Roman" w:cs="Times New Roman"/>
          <w:sz w:val="44"/>
          <w:szCs w:val="44"/>
        </w:rPr>
      </w:pPr>
      <w:r>
        <w:rPr>
          <w:rFonts w:hint="default" w:ascii="Times New Roman" w:hAnsi="Times New Roman" w:cs="Times New Roman"/>
          <w:sz w:val="44"/>
          <w:szCs w:val="44"/>
        </w:rPr>
        <w:t>鹿寨县2022年招商引资项目统计表（样表）</w:t>
      </w:r>
    </w:p>
    <w:tbl>
      <w:tblPr>
        <w:tblStyle w:val="11"/>
        <w:tblpPr w:leftFromText="180" w:rightFromText="180" w:vertAnchor="text" w:horzAnchor="page" w:tblpX="349" w:tblpY="689"/>
        <w:tblOverlap w:val="never"/>
        <w:tblW w:w="16307" w:type="dxa"/>
        <w:tblInd w:w="0" w:type="dxa"/>
        <w:tblLayout w:type="fixed"/>
        <w:tblCellMar>
          <w:top w:w="0" w:type="dxa"/>
          <w:left w:w="108" w:type="dxa"/>
          <w:bottom w:w="0" w:type="dxa"/>
          <w:right w:w="108" w:type="dxa"/>
        </w:tblCellMar>
      </w:tblPr>
      <w:tblGrid>
        <w:gridCol w:w="916"/>
        <w:gridCol w:w="1319"/>
        <w:gridCol w:w="2128"/>
        <w:gridCol w:w="3579"/>
        <w:gridCol w:w="2100"/>
        <w:gridCol w:w="1140"/>
        <w:gridCol w:w="1276"/>
        <w:gridCol w:w="1276"/>
        <w:gridCol w:w="1516"/>
        <w:gridCol w:w="1057"/>
      </w:tblGrid>
      <w:tr>
        <w:tblPrEx>
          <w:tblCellMar>
            <w:top w:w="0" w:type="dxa"/>
            <w:left w:w="108" w:type="dxa"/>
            <w:bottom w:w="0" w:type="dxa"/>
            <w:right w:w="108" w:type="dxa"/>
          </w:tblCellMar>
        </w:tblPrEx>
        <w:trPr>
          <w:trHeight w:val="6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序号</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行业</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项目名称</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项目方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投资总额（亿元）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投资来源</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项目负责人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联系电话</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项目入驻时间</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进展情况</w:t>
            </w:r>
          </w:p>
        </w:tc>
      </w:tr>
      <w:tr>
        <w:tblPrEx>
          <w:tblCellMar>
            <w:top w:w="0" w:type="dxa"/>
            <w:left w:w="108" w:type="dxa"/>
            <w:bottom w:w="0" w:type="dxa"/>
            <w:right w:w="108" w:type="dxa"/>
          </w:tblCellMar>
        </w:tblPrEx>
        <w:trPr>
          <w:trHeight w:val="115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2"/>
                <w:szCs w:val="22"/>
              </w:rPr>
            </w:pPr>
            <w:r>
              <w:rPr>
                <w:rStyle w:val="18"/>
                <w:rFonts w:hint="default" w:ascii="Times New Roman" w:hAnsi="Times New Roman" w:cs="Times New Roman"/>
              </w:rPr>
              <w:t>例：</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房地产业</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集美江山项目</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柳州鹿寨金润房地产开发有限公司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重庆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韦安</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180×××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20"/>
                <w:rFonts w:hint="default" w:ascii="Times New Roman" w:hAnsi="Times New Roman" w:cs="Times New Roman"/>
              </w:rPr>
              <w:t>2022</w:t>
            </w:r>
            <w:r>
              <w:rPr>
                <w:rStyle w:val="19"/>
                <w:rFonts w:hint="default" w:ascii="Times New Roman" w:hAnsi="Times New Roman" w:cs="Times New Roman"/>
              </w:rPr>
              <w:t>年</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已开工</w:t>
            </w:r>
          </w:p>
        </w:tc>
      </w:tr>
      <w:tr>
        <w:tblPrEx>
          <w:tblCellMar>
            <w:top w:w="0" w:type="dxa"/>
            <w:left w:w="108" w:type="dxa"/>
            <w:bottom w:w="0" w:type="dxa"/>
            <w:right w:w="108" w:type="dxa"/>
          </w:tblCellMar>
        </w:tblPrEx>
        <w:trPr>
          <w:trHeight w:val="9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林木业</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旋切基地配套项目</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广西畔森装饰材料有限公司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山东</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毛石玉</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189×××</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20"/>
                <w:rFonts w:hint="default" w:ascii="Times New Roman" w:hAnsi="Times New Roman" w:cs="Times New Roman"/>
              </w:rPr>
              <w:t>2022</w:t>
            </w:r>
            <w:r>
              <w:rPr>
                <w:rStyle w:val="19"/>
                <w:rFonts w:hint="default" w:ascii="Times New Roman" w:hAnsi="Times New Roman" w:cs="Times New Roman"/>
              </w:rPr>
              <w:t>年</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Style w:val="19"/>
                <w:rFonts w:hint="default" w:ascii="Times New Roman" w:hAnsi="Times New Roman" w:cs="Times New Roman"/>
              </w:rPr>
              <w:t>已开工</w:t>
            </w:r>
          </w:p>
        </w:tc>
      </w:tr>
      <w:tr>
        <w:tblPrEx>
          <w:tblCellMar>
            <w:top w:w="0" w:type="dxa"/>
            <w:left w:w="108" w:type="dxa"/>
            <w:bottom w:w="0" w:type="dxa"/>
            <w:right w:w="108" w:type="dxa"/>
          </w:tblCellMar>
        </w:tblPrEx>
        <w:trPr>
          <w:trHeight w:val="9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9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939" w:hRule="atLeast"/>
        </w:trPr>
        <w:tc>
          <w:tcPr>
            <w:tcW w:w="16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rPr>
              <w:t>注：</w:t>
            </w:r>
          </w:p>
          <w:p>
            <w:pPr>
              <w:widowControl/>
              <w:jc w:val="left"/>
              <w:textAlignment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rPr>
              <w:t>报送材料包括</w:t>
            </w:r>
          </w:p>
          <w:p>
            <w:pPr>
              <w:widowControl/>
              <w:numPr>
                <w:ilvl w:val="0"/>
                <w:numId w:val="2"/>
              </w:numPr>
              <w:jc w:val="left"/>
              <w:textAlignment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rPr>
              <w:t>统计表（附件）</w:t>
            </w:r>
          </w:p>
          <w:p>
            <w:pPr>
              <w:widowControl/>
              <w:numPr>
                <w:ilvl w:val="0"/>
                <w:numId w:val="2"/>
              </w:numPr>
              <w:ind w:left="0" w:leftChars="0" w:firstLine="0" w:firstLineChars="0"/>
              <w:jc w:val="left"/>
              <w:textAlignment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rPr>
              <w:t>企业营业执照复印件</w:t>
            </w:r>
          </w:p>
          <w:p>
            <w:pPr>
              <w:widowControl/>
              <w:numPr>
                <w:ilvl w:val="0"/>
                <w:numId w:val="2"/>
              </w:numPr>
              <w:ind w:left="0" w:leftChars="0" w:firstLine="0" w:firstLineChars="0"/>
              <w:jc w:val="left"/>
              <w:textAlignment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rPr>
              <w:t>法人身份证复印件</w:t>
            </w:r>
          </w:p>
          <w:p>
            <w:pPr>
              <w:widowControl/>
              <w:jc w:val="left"/>
              <w:textAlignment w:val="center"/>
              <w:rPr>
                <w:rFonts w:hint="default" w:ascii="Times New Roman" w:hAnsi="Times New Roman" w:cs="Times New Roman"/>
                <w:b/>
                <w:bCs/>
                <w:color w:val="000000"/>
                <w:sz w:val="22"/>
                <w:szCs w:val="22"/>
              </w:rPr>
            </w:pPr>
            <w:r>
              <w:rPr>
                <w:rFonts w:hint="eastAsia" w:ascii="仿宋_GB2312" w:hAnsi="仿宋_GB2312" w:eastAsia="仿宋_GB2312" w:cs="仿宋_GB2312"/>
                <w:b/>
                <w:bCs/>
                <w:color w:val="000000"/>
                <w:kern w:val="0"/>
                <w:sz w:val="22"/>
                <w:szCs w:val="22"/>
              </w:rPr>
              <w:t>企业营业执照和法人身份证复印件单独报送。</w:t>
            </w:r>
          </w:p>
        </w:tc>
      </w:tr>
    </w:tbl>
    <w:p>
      <w:pPr>
        <w:pStyle w:val="10"/>
        <w:ind w:firstLine="420"/>
        <w:rPr>
          <w:rFonts w:hint="default" w:ascii="Times New Roman" w:hAnsi="Times New Roman" w:cs="Times New Roman"/>
        </w:rPr>
      </w:pPr>
    </w:p>
    <w:sectPr>
      <w:pgSz w:w="16838" w:h="11906" w:orient="landscape"/>
      <w:pgMar w:top="1418" w:right="1304" w:bottom="1304" w:left="1304" w:header="851" w:footer="851"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2kFobywEAAKADAAAOAAAAAAAAAAEAIAAAAB8BAABkcnMvZTJv&#10;RG9jLnhtbFBLBQYAAAAABgAGAFkBAABc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rPr>
                              <w:sz w:val="28"/>
                              <w:szCs w:val="28"/>
                            </w:rPr>
                          </w:pP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9boDaAQAAtw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Wb6myTthaeaX798uP35d&#10;fn5lq6RQH7CixPtwB5OHZCa6Qws2/YkIG7Kq56uqaohMUnC5Xq3XJQku6Wx2CKd4uB4A41vlLUtG&#10;zYHGltUUp/cYx9Q5JVVz/lYbQ3FRGfdXgDDHiMqzn26n/seOkxWH/TDR2PvmTPTpNVDVzsMXznra&#10;hZo7Wn3OzDtHUqe1mQ2Yjf1sCCfpYs0jZ8cA+tDlFUtNYXhzjNRpJpAKj9WIeHJonlmCaffSwvzp&#10;56yH97b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C6/W6A2gEAALcDAAAOAAAAAAAAAAEA&#10;IAAAAB8BAABkcnMvZTJvRG9jLnhtbFBLBQYAAAAABgAGAFkBAABrBQAAAAA=&#10;">
              <v:fill on="f" focussize="0,0"/>
              <v:stroke on="f"/>
              <v:imagedata o:title=""/>
              <o:lock v:ext="edit" aspectratio="f"/>
              <v:textbox inset="0mm,0mm,0mm,0mm" style="mso-fit-shape-to-text:t;">
                <w:txbxContent>
                  <w:p>
                    <w:pPr>
                      <w:pStyle w:val="6"/>
                      <w:rPr>
                        <w:sz w:val="28"/>
                        <w:szCs w:val="28"/>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B526C"/>
    <w:multiLevelType w:val="singleLevel"/>
    <w:tmpl w:val="8CAB526C"/>
    <w:lvl w:ilvl="0" w:tentative="0">
      <w:start w:val="2"/>
      <w:numFmt w:val="decimal"/>
      <w:suff w:val="space"/>
      <w:lvlText w:val="%1."/>
      <w:lvlJc w:val="left"/>
    </w:lvl>
  </w:abstractNum>
  <w:abstractNum w:abstractNumId="1">
    <w:nsid w:val="C2B35D33"/>
    <w:multiLevelType w:val="singleLevel"/>
    <w:tmpl w:val="C2B35D3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formatting="1"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WMyYjk5Mzc3ZjM3ZDJmZDZmYWNkZjI5MTY1ZTQifQ=="/>
  </w:docVars>
  <w:rsids>
    <w:rsidRoot w:val="00A9752D"/>
    <w:rsid w:val="00090CF6"/>
    <w:rsid w:val="001F3A65"/>
    <w:rsid w:val="00223C9F"/>
    <w:rsid w:val="002A3640"/>
    <w:rsid w:val="002C109B"/>
    <w:rsid w:val="00311250"/>
    <w:rsid w:val="003B2B8B"/>
    <w:rsid w:val="004F4739"/>
    <w:rsid w:val="007E62C8"/>
    <w:rsid w:val="00A72B31"/>
    <w:rsid w:val="00A9752D"/>
    <w:rsid w:val="00AC00A3"/>
    <w:rsid w:val="00C47BD5"/>
    <w:rsid w:val="00E414E1"/>
    <w:rsid w:val="01813D2E"/>
    <w:rsid w:val="04D232C5"/>
    <w:rsid w:val="0A0C260E"/>
    <w:rsid w:val="0A202081"/>
    <w:rsid w:val="0D6351D8"/>
    <w:rsid w:val="0ED91961"/>
    <w:rsid w:val="202866F7"/>
    <w:rsid w:val="20CF4C51"/>
    <w:rsid w:val="236D0090"/>
    <w:rsid w:val="2C212915"/>
    <w:rsid w:val="2D946D02"/>
    <w:rsid w:val="31C875C6"/>
    <w:rsid w:val="31D515AB"/>
    <w:rsid w:val="382E44EE"/>
    <w:rsid w:val="3CFC3141"/>
    <w:rsid w:val="3DD93A32"/>
    <w:rsid w:val="40A614D2"/>
    <w:rsid w:val="451048B7"/>
    <w:rsid w:val="4A6A162B"/>
    <w:rsid w:val="509F2CB5"/>
    <w:rsid w:val="51412628"/>
    <w:rsid w:val="52584C35"/>
    <w:rsid w:val="56B0752C"/>
    <w:rsid w:val="5BB30938"/>
    <w:rsid w:val="5BB47970"/>
    <w:rsid w:val="5D7D714A"/>
    <w:rsid w:val="72A276BC"/>
    <w:rsid w:val="747E5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Body Text"/>
    <w:basedOn w:val="1"/>
    <w:next w:val="5"/>
    <w:qFormat/>
    <w:uiPriority w:val="99"/>
    <w:pPr>
      <w:spacing w:after="120"/>
    </w:pPr>
  </w:style>
  <w:style w:type="paragraph" w:styleId="5">
    <w:name w:val="Intense Quote"/>
    <w:basedOn w:val="1"/>
    <w:next w:val="1"/>
    <w:qFormat/>
    <w:uiPriority w:val="0"/>
    <w:pPr>
      <w:wordWrap w:val="0"/>
      <w:spacing w:before="360" w:after="360"/>
      <w:ind w:left="950" w:right="950"/>
      <w:jc w:val="center"/>
    </w:pPr>
    <w:rPr>
      <w:rFonts w:ascii="Times New Roman" w:hAnsi="Times New Roman"/>
      <w:i/>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17"/>
    <w:qFormat/>
    <w:uiPriority w:val="99"/>
    <w:pPr>
      <w:snapToGrid w:val="0"/>
      <w:jc w:val="left"/>
    </w:pPr>
    <w:rPr>
      <w:rFonts w:ascii="Times New Roman" w:hAnsi="Times New Roman" w:cs="Times New Roman"/>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styleId="10">
    <w:name w:val="Body Text First Indent"/>
    <w:basedOn w:val="4"/>
    <w:qFormat/>
    <w:uiPriority w:val="0"/>
    <w:pPr>
      <w:spacing w:line="600" w:lineRule="exact"/>
      <w:ind w:firstLine="800" w:firstLineChars="200"/>
    </w:pPr>
  </w:style>
  <w:style w:type="character" w:styleId="13">
    <w:name w:val="Strong"/>
    <w:basedOn w:val="12"/>
    <w:qFormat/>
    <w:uiPriority w:val="22"/>
    <w:rPr>
      <w:b/>
      <w:bCs/>
    </w:rPr>
  </w:style>
  <w:style w:type="character" w:styleId="14">
    <w:name w:val="page number"/>
    <w:basedOn w:val="12"/>
    <w:qFormat/>
    <w:uiPriority w:val="0"/>
  </w:style>
  <w:style w:type="character" w:styleId="15">
    <w:name w:val="footnote reference"/>
    <w:qFormat/>
    <w:uiPriority w:val="0"/>
    <w:rPr>
      <w:vertAlign w:val="superscript"/>
    </w:rPr>
  </w:style>
  <w:style w:type="paragraph" w:customStyle="1" w:styleId="16">
    <w:name w:val="Body text|1"/>
    <w:qFormat/>
    <w:uiPriority w:val="0"/>
    <w:pPr>
      <w:widowControl w:val="0"/>
      <w:spacing w:line="413" w:lineRule="auto"/>
      <w:ind w:firstLine="400"/>
    </w:pPr>
    <w:rPr>
      <w:rFonts w:ascii="宋体" w:hAnsi="宋体" w:eastAsia="宋体" w:cs="宋体"/>
      <w:sz w:val="28"/>
      <w:szCs w:val="28"/>
      <w:lang w:val="zh-TW" w:eastAsia="zh-TW" w:bidi="zh-TW"/>
    </w:rPr>
  </w:style>
  <w:style w:type="character" w:customStyle="1" w:styleId="17">
    <w:name w:val="脚注文本 Char"/>
    <w:basedOn w:val="12"/>
    <w:link w:val="8"/>
    <w:qFormat/>
    <w:uiPriority w:val="99"/>
    <w:rPr>
      <w:kern w:val="2"/>
      <w:sz w:val="18"/>
      <w:szCs w:val="18"/>
    </w:rPr>
  </w:style>
  <w:style w:type="character" w:customStyle="1" w:styleId="18">
    <w:name w:val="font71"/>
    <w:basedOn w:val="12"/>
    <w:qFormat/>
    <w:uiPriority w:val="0"/>
    <w:rPr>
      <w:rFonts w:ascii="仿宋_GB2312" w:eastAsia="仿宋_GB2312" w:cs="仿宋_GB2312"/>
      <w:color w:val="000000"/>
      <w:sz w:val="22"/>
      <w:szCs w:val="22"/>
      <w:u w:val="none"/>
    </w:rPr>
  </w:style>
  <w:style w:type="character" w:customStyle="1" w:styleId="19">
    <w:name w:val="font61"/>
    <w:basedOn w:val="12"/>
    <w:qFormat/>
    <w:uiPriority w:val="0"/>
    <w:rPr>
      <w:rFonts w:hint="eastAsia" w:ascii="仿宋_GB2312" w:eastAsia="仿宋_GB2312" w:cs="仿宋_GB2312"/>
      <w:color w:val="000000"/>
      <w:sz w:val="20"/>
      <w:szCs w:val="20"/>
      <w:u w:val="none"/>
    </w:rPr>
  </w:style>
  <w:style w:type="character" w:customStyle="1" w:styleId="20">
    <w:name w:val="font4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6898</Words>
  <Characters>7119</Characters>
  <Lines>50</Lines>
  <Paragraphs>14</Paragraphs>
  <TotalTime>28</TotalTime>
  <ScaleCrop>false</ScaleCrop>
  <LinksUpToDate>false</LinksUpToDate>
  <CharactersWithSpaces>7467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2022-01-29T01:21:00Z</dcterms:created>
  <dc:creator>Healer</dc:creator>
  <cp:lastModifiedBy>Administrator</cp:lastModifiedBy>
  <cp:lastPrinted>2022-05-25T02:39:00Z</cp:lastPrinted>
  <dcterms:modified xsi:type="dcterms:W3CDTF">2022-08-02T00:48:09Z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4C93E9BBAE5945E3B0A3B87BFE144208</vt:lpwstr>
  </property>
</Properties>
</file>