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center"/>
        <w:rPr>
          <w:rFonts w:hint="eastAsia" w:ascii="黑体" w:hAnsi="黑体" w:eastAsia="黑体" w:cs="黑体"/>
          <w:color w:val="000000"/>
          <w:sz w:val="32"/>
          <w:szCs w:val="32"/>
          <w:lang w:val="en" w:eastAsia="zh-CN"/>
        </w:rPr>
      </w:pPr>
      <w:r>
        <w:rPr>
          <w:rFonts w:hint="eastAsia" w:ascii="黑体" w:hAnsi="黑体" w:eastAsia="黑体" w:cs="黑体"/>
          <w:color w:val="000000"/>
          <w:sz w:val="32"/>
          <w:szCs w:val="32"/>
          <w:lang w:val="en" w:eastAsia="zh-CN"/>
        </w:rPr>
        <w:t>附件</w:t>
      </w:r>
    </w:p>
    <w:tbl>
      <w:tblPr>
        <w:tblStyle w:val="5"/>
        <w:tblW w:w="14135" w:type="dxa"/>
        <w:tblInd w:w="0" w:type="dxa"/>
        <w:tblLayout w:type="fixed"/>
        <w:tblCellMar>
          <w:top w:w="0" w:type="dxa"/>
          <w:left w:w="0" w:type="dxa"/>
          <w:bottom w:w="0" w:type="dxa"/>
          <w:right w:w="0" w:type="dxa"/>
        </w:tblCellMar>
      </w:tblPr>
      <w:tblGrid>
        <w:gridCol w:w="2190"/>
        <w:gridCol w:w="8990"/>
        <w:gridCol w:w="1410"/>
        <w:gridCol w:w="1545"/>
      </w:tblGrid>
      <w:tr>
        <w:tblPrEx>
          <w:tblCellMar>
            <w:top w:w="0" w:type="dxa"/>
            <w:left w:w="0" w:type="dxa"/>
            <w:bottom w:w="0" w:type="dxa"/>
            <w:right w:w="0" w:type="dxa"/>
          </w:tblCellMar>
        </w:tblPrEx>
        <w:trPr>
          <w:trHeight w:val="1080" w:hRule="atLeast"/>
        </w:trPr>
        <w:tc>
          <w:tcPr>
            <w:tcW w:w="14135" w:type="dxa"/>
            <w:gridSpan w:val="4"/>
            <w:tcBorders>
              <w:top w:val="nil"/>
              <w:left w:val="nil"/>
              <w:bottom w:val="single" w:color="000000" w:sz="4" w:space="0"/>
              <w:right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宋体" w:hAnsi="宋体" w:eastAsia="方正小标宋简体" w:cs="宋体"/>
                <w:b/>
                <w:color w:val="auto"/>
                <w:sz w:val="48"/>
                <w:szCs w:val="48"/>
                <w:highlight w:val="none"/>
                <w:lang w:eastAsia="zh-CN"/>
              </w:rPr>
            </w:pPr>
            <w:r>
              <w:rPr>
                <w:rFonts w:hint="eastAsia" w:ascii="宋体" w:hAnsi="宋体" w:eastAsia="宋体" w:cs="宋体"/>
                <w:color w:val="000000"/>
                <w:sz w:val="44"/>
                <w:szCs w:val="44"/>
                <w:lang w:val="en" w:eastAsia="zh-CN"/>
              </w:rPr>
              <w:t>鹿寨县健全重特大疾病医疗保险和救助制度任务清单</w:t>
            </w:r>
          </w:p>
        </w:tc>
      </w:tr>
      <w:tr>
        <w:tblPrEx>
          <w:tblCellMar>
            <w:top w:w="0" w:type="dxa"/>
            <w:left w:w="0" w:type="dxa"/>
            <w:bottom w:w="0" w:type="dxa"/>
            <w:right w:w="0" w:type="dxa"/>
          </w:tblCellMar>
        </w:tblPrEx>
        <w:trPr>
          <w:trHeight w:val="597"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440" w:lineRule="exact"/>
              <w:jc w:val="center"/>
              <w:textAlignment w:val="center"/>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kern w:val="0"/>
                <w:sz w:val="32"/>
                <w:szCs w:val="32"/>
                <w:highlight w:val="none"/>
              </w:rPr>
              <w:t>项目</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440" w:lineRule="exact"/>
              <w:jc w:val="center"/>
              <w:textAlignment w:val="center"/>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kern w:val="0"/>
                <w:sz w:val="32"/>
                <w:szCs w:val="32"/>
                <w:highlight w:val="none"/>
              </w:rPr>
              <w:t>工作任务</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440" w:lineRule="exact"/>
              <w:jc w:val="center"/>
              <w:textAlignment w:val="center"/>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牵头单位</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440" w:lineRule="exact"/>
              <w:jc w:val="center"/>
              <w:textAlignment w:val="center"/>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kern w:val="0"/>
                <w:sz w:val="32"/>
                <w:szCs w:val="32"/>
                <w:highlight w:val="none"/>
              </w:rPr>
              <w:t>责任单位</w:t>
            </w:r>
          </w:p>
        </w:tc>
      </w:tr>
      <w:tr>
        <w:tblPrEx>
          <w:tblCellMar>
            <w:top w:w="0" w:type="dxa"/>
            <w:left w:w="0" w:type="dxa"/>
            <w:bottom w:w="0" w:type="dxa"/>
            <w:right w:w="0" w:type="dxa"/>
          </w:tblCellMar>
        </w:tblPrEx>
        <w:trPr>
          <w:trHeight w:val="3199"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b/>
                <w:color w:val="auto"/>
                <w:sz w:val="28"/>
                <w:szCs w:val="28"/>
                <w:highlight w:val="none"/>
                <w:lang w:eastAsia="zh-CN"/>
              </w:rPr>
            </w:pPr>
            <w:r>
              <w:rPr>
                <w:rFonts w:hint="eastAsia" w:ascii="黑体" w:hAnsi="黑体" w:eastAsia="黑体" w:cs="黑体"/>
                <w:b w:val="0"/>
                <w:bCs/>
                <w:color w:val="auto"/>
                <w:kern w:val="0"/>
                <w:sz w:val="28"/>
                <w:szCs w:val="28"/>
                <w:highlight w:val="none"/>
              </w:rPr>
              <w:t>一、</w:t>
            </w:r>
            <w:r>
              <w:rPr>
                <w:rFonts w:hint="eastAsia" w:ascii="黑体" w:hAnsi="黑体" w:eastAsia="黑体" w:cs="黑体"/>
                <w:b w:val="0"/>
                <w:bCs/>
                <w:color w:val="auto"/>
                <w:kern w:val="0"/>
                <w:sz w:val="28"/>
                <w:szCs w:val="28"/>
                <w:highlight w:val="none"/>
                <w:lang w:eastAsia="zh-CN"/>
              </w:rPr>
              <w:t>精准确定医疗救助对象范围</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县</w:t>
            </w:r>
            <w:r>
              <w:rPr>
                <w:rFonts w:hint="default" w:ascii="Times New Roman" w:hAnsi="Times New Roman" w:eastAsia="仿宋_GB2312" w:cs="Times New Roman"/>
                <w:color w:val="auto"/>
                <w:sz w:val="28"/>
                <w:szCs w:val="28"/>
                <w:highlight w:val="none"/>
                <w:lang w:eastAsia="zh-CN"/>
              </w:rPr>
              <w:t>民政部门定期将认定的低保对象、特困人员、孤儿、事实无人抚养儿童等救助对象数据信息提供给</w:t>
            </w:r>
            <w:r>
              <w:rPr>
                <w:rFonts w:hint="default" w:ascii="Times New Roman" w:hAnsi="Times New Roman" w:eastAsia="仿宋_GB2312" w:cs="Times New Roman"/>
                <w:color w:val="auto"/>
                <w:kern w:val="0"/>
                <w:sz w:val="28"/>
                <w:szCs w:val="28"/>
                <w:highlight w:val="none"/>
                <w:lang w:eastAsia="zh-CN"/>
              </w:rPr>
              <w:t>县</w:t>
            </w:r>
            <w:r>
              <w:rPr>
                <w:rFonts w:hint="default" w:ascii="Times New Roman" w:hAnsi="Times New Roman" w:eastAsia="仿宋_GB2312" w:cs="Times New Roman"/>
                <w:color w:val="auto"/>
                <w:sz w:val="28"/>
                <w:szCs w:val="28"/>
                <w:highlight w:val="none"/>
                <w:lang w:eastAsia="zh-CN"/>
              </w:rPr>
              <w:t>医保部门；对低保边缘对象进行认定并出具证明；会同相关部门</w:t>
            </w:r>
            <w:r>
              <w:rPr>
                <w:rFonts w:hint="default" w:ascii="Times New Roman" w:hAnsi="Times New Roman" w:eastAsia="仿宋_GB2312" w:cs="Times New Roman"/>
                <w:color w:val="auto"/>
                <w:sz w:val="28"/>
                <w:szCs w:val="28"/>
                <w:highlight w:val="none"/>
              </w:rPr>
              <w:t>做好</w:t>
            </w:r>
            <w:r>
              <w:rPr>
                <w:rFonts w:hint="default" w:ascii="Times New Roman" w:hAnsi="Times New Roman" w:eastAsia="仿宋_GB2312" w:cs="Times New Roman"/>
                <w:color w:val="auto"/>
                <w:sz w:val="28"/>
                <w:szCs w:val="28"/>
                <w:highlight w:val="none"/>
                <w:lang w:eastAsia="zh-CN"/>
              </w:rPr>
              <w:t>因病支出型困难家庭认定和</w:t>
            </w:r>
            <w:r>
              <w:rPr>
                <w:rFonts w:hint="default" w:ascii="Times New Roman" w:hAnsi="Times New Roman" w:eastAsia="仿宋_GB2312" w:cs="Times New Roman"/>
                <w:color w:val="auto"/>
                <w:sz w:val="28"/>
                <w:szCs w:val="28"/>
                <w:highlight w:val="none"/>
              </w:rPr>
              <w:t>相关信息共享。</w:t>
            </w:r>
            <w:r>
              <w:rPr>
                <w:rFonts w:hint="default" w:ascii="Times New Roman" w:hAnsi="Times New Roman" w:eastAsia="仿宋_GB2312" w:cs="Times New Roman"/>
                <w:color w:val="auto"/>
                <w:kern w:val="0"/>
                <w:sz w:val="28"/>
                <w:szCs w:val="28"/>
                <w:highlight w:val="none"/>
                <w:lang w:eastAsia="zh-CN"/>
              </w:rPr>
              <w:t>县乡村振</w:t>
            </w:r>
            <w:r>
              <w:rPr>
                <w:rFonts w:hint="default" w:ascii="Times New Roman" w:hAnsi="Times New Roman" w:eastAsia="仿宋_GB2312" w:cs="Times New Roman"/>
                <w:color w:val="auto"/>
                <w:sz w:val="28"/>
                <w:szCs w:val="28"/>
                <w:highlight w:val="none"/>
              </w:rPr>
              <w:t>兴部门定期向</w:t>
            </w:r>
            <w:r>
              <w:rPr>
                <w:rFonts w:hint="default" w:ascii="Times New Roman" w:hAnsi="Times New Roman" w:eastAsia="仿宋_GB2312" w:cs="Times New Roman"/>
                <w:color w:val="auto"/>
                <w:kern w:val="0"/>
                <w:sz w:val="28"/>
                <w:szCs w:val="28"/>
                <w:highlight w:val="none"/>
                <w:lang w:eastAsia="zh-CN"/>
              </w:rPr>
              <w:t>县</w:t>
            </w:r>
            <w:r>
              <w:rPr>
                <w:rFonts w:hint="default" w:ascii="Times New Roman" w:hAnsi="Times New Roman" w:eastAsia="仿宋_GB2312" w:cs="Times New Roman"/>
                <w:color w:val="auto"/>
                <w:sz w:val="28"/>
                <w:szCs w:val="28"/>
                <w:highlight w:val="none"/>
              </w:rPr>
              <w:t>医保部门提供本辖区脱贫人口、监测人口、返贫致贫人口名单。</w:t>
            </w:r>
            <w:r>
              <w:rPr>
                <w:rFonts w:hint="default" w:ascii="Times New Roman" w:hAnsi="Times New Roman" w:eastAsia="仿宋_GB2312" w:cs="Times New Roman"/>
                <w:color w:val="auto"/>
                <w:kern w:val="0"/>
                <w:sz w:val="28"/>
                <w:szCs w:val="28"/>
                <w:highlight w:val="none"/>
                <w:lang w:eastAsia="zh-CN"/>
              </w:rPr>
              <w:t>县</w:t>
            </w:r>
            <w:r>
              <w:rPr>
                <w:rFonts w:hint="default" w:ascii="Times New Roman" w:hAnsi="Times New Roman" w:eastAsia="仿宋_GB2312" w:cs="Times New Roman"/>
                <w:color w:val="auto"/>
                <w:sz w:val="28"/>
                <w:szCs w:val="28"/>
                <w:highlight w:val="none"/>
                <w:lang w:eastAsia="zh-CN"/>
              </w:rPr>
              <w:t>残联部门要按时向</w:t>
            </w:r>
            <w:r>
              <w:rPr>
                <w:rFonts w:hint="default" w:ascii="Times New Roman" w:hAnsi="Times New Roman" w:eastAsia="仿宋_GB2312" w:cs="Times New Roman"/>
                <w:color w:val="auto"/>
                <w:kern w:val="0"/>
                <w:sz w:val="28"/>
                <w:szCs w:val="28"/>
                <w:highlight w:val="none"/>
                <w:lang w:eastAsia="zh-CN"/>
              </w:rPr>
              <w:t>县</w:t>
            </w:r>
            <w:r>
              <w:rPr>
                <w:rFonts w:hint="default" w:ascii="Times New Roman" w:hAnsi="Times New Roman" w:eastAsia="仿宋_GB2312" w:cs="Times New Roman"/>
                <w:color w:val="auto"/>
                <w:sz w:val="28"/>
                <w:szCs w:val="28"/>
                <w:highlight w:val="none"/>
                <w:lang w:eastAsia="zh-CN"/>
              </w:rPr>
              <w:t>医保部门提供本地区重度残疾人员名单（要求区分城镇和农村居民）。各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人民政府认真落实依申请救助对象认定工作。医保部门按桂政办发〔</w:t>
            </w:r>
            <w:r>
              <w:rPr>
                <w:rFonts w:hint="default" w:ascii="Times New Roman" w:hAnsi="Times New Roman" w:eastAsia="仿宋_GB2312" w:cs="Times New Roman"/>
                <w:color w:val="auto"/>
                <w:sz w:val="28"/>
                <w:szCs w:val="28"/>
                <w:highlight w:val="none"/>
                <w:lang w:val="en-US" w:eastAsia="zh-CN"/>
              </w:rPr>
              <w:t>2022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5号文件</w:t>
            </w:r>
            <w:r>
              <w:rPr>
                <w:rFonts w:hint="default" w:ascii="Times New Roman" w:hAnsi="Times New Roman" w:eastAsia="仿宋_GB2312" w:cs="Times New Roman"/>
                <w:color w:val="auto"/>
                <w:sz w:val="28"/>
                <w:szCs w:val="28"/>
                <w:highlight w:val="none"/>
                <w:lang w:eastAsia="zh-CN"/>
              </w:rPr>
              <w:t>确定的医疗救助对象类别实施分类救助。</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lang w:eastAsia="zh-CN"/>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eastAsia="zh-CN"/>
              </w:rPr>
              <w:t>民政局，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eastAsia="zh-CN"/>
              </w:rPr>
              <w:t>乡村振兴局，</w:t>
            </w: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eastAsia="zh-CN"/>
              </w:rPr>
              <w:t>残联，各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183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color w:val="auto"/>
                <w:sz w:val="28"/>
                <w:szCs w:val="28"/>
                <w:highlight w:val="none"/>
              </w:rPr>
            </w:pPr>
            <w:r>
              <w:rPr>
                <w:rFonts w:hint="eastAsia" w:ascii="黑体" w:hAnsi="黑体" w:eastAsia="黑体" w:cs="黑体"/>
                <w:b w:val="0"/>
                <w:bCs/>
                <w:color w:val="auto"/>
                <w:kern w:val="0"/>
                <w:sz w:val="28"/>
                <w:szCs w:val="28"/>
                <w:highlight w:val="none"/>
              </w:rPr>
              <w:t>二、确保困难群众应保尽保</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做好基本医保保费征缴相关工作，适应人口流动和参保需求变化，灵活调整医疗救助对象参保缴费方式，确保困难群众依法</w:t>
            </w:r>
            <w:r>
              <w:rPr>
                <w:rFonts w:hint="default" w:ascii="Times New Roman" w:hAnsi="Times New Roman" w:eastAsia="仿宋_GB2312" w:cs="Times New Roman"/>
                <w:color w:val="auto"/>
                <w:sz w:val="28"/>
                <w:szCs w:val="28"/>
                <w:highlight w:val="none"/>
                <w:lang w:eastAsia="zh-CN"/>
              </w:rPr>
              <w:t>、及时</w:t>
            </w:r>
            <w:r>
              <w:rPr>
                <w:rFonts w:hint="default" w:ascii="Times New Roman" w:hAnsi="Times New Roman" w:eastAsia="仿宋_GB2312" w:cs="Times New Roman"/>
                <w:color w:val="auto"/>
                <w:sz w:val="28"/>
                <w:szCs w:val="28"/>
                <w:highlight w:val="none"/>
              </w:rPr>
              <w:t>参保</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应保尽保。</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kern w:val="0"/>
                <w:sz w:val="28"/>
                <w:szCs w:val="28"/>
                <w:highlight w:val="none"/>
                <w:lang w:eastAsia="zh-CN"/>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lang w:eastAsia="zh-CN"/>
              </w:rPr>
              <w:t>医保局</w:t>
            </w:r>
          </w:p>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kern w:val="0"/>
                <w:sz w:val="28"/>
                <w:szCs w:val="28"/>
                <w:highlight w:val="none"/>
                <w:lang w:eastAsia="zh-CN"/>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lang w:eastAsia="zh-CN"/>
              </w:rPr>
              <w:t>税务局</w:t>
            </w:r>
          </w:p>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sz w:val="28"/>
                <w:szCs w:val="28"/>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财政局</w:t>
            </w: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民政局</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4524"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color w:val="auto"/>
                <w:kern w:val="0"/>
                <w:sz w:val="28"/>
                <w:szCs w:val="28"/>
                <w:highlight w:val="none"/>
              </w:rPr>
            </w:pPr>
            <w:r>
              <w:rPr>
                <w:rFonts w:hint="eastAsia" w:ascii="黑体" w:hAnsi="黑体" w:eastAsia="黑体" w:cs="黑体"/>
                <w:b w:val="0"/>
                <w:bCs/>
                <w:color w:val="auto"/>
                <w:kern w:val="0"/>
                <w:sz w:val="28"/>
                <w:szCs w:val="28"/>
                <w:highlight w:val="none"/>
              </w:rPr>
              <w:t>三、强化三重制度互补衔接</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eastAsia" w:ascii="仿宋_GB2312" w:hAnsi="仿宋_GB2312" w:eastAsia="仿宋_GB2312" w:cs="仿宋_GB2312"/>
                <w:color w:val="auto"/>
                <w:sz w:val="28"/>
                <w:szCs w:val="28"/>
                <w:highlight w:val="none"/>
              </w:rPr>
              <w:t>发挥基本医保主体保障功能，严格执行基本医保支付范围和标准，实施公平适度保障。落实城乡居民大病保险减负功能，城乡居民大病保险继续对一类人员、二类人员、城乡低保边缘对象和返贫致贫人口等困难群众实施倾斜支付政策，发挥补充保障作用。在规定的</w:t>
            </w:r>
            <w:r>
              <w:rPr>
                <w:rFonts w:hint="default" w:ascii="Times New Roman" w:hAnsi="Times New Roman" w:eastAsia="仿宋_GB2312" w:cs="Times New Roman"/>
                <w:color w:val="auto"/>
                <w:sz w:val="28"/>
                <w:szCs w:val="28"/>
                <w:highlight w:val="none"/>
              </w:rPr>
              <w:t>5</w:t>
            </w:r>
            <w:r>
              <w:rPr>
                <w:rFonts w:hint="eastAsia" w:ascii="仿宋_GB2312" w:hAnsi="仿宋_GB2312" w:eastAsia="仿宋_GB2312" w:cs="仿宋_GB2312"/>
                <w:color w:val="auto"/>
                <w:sz w:val="28"/>
                <w:szCs w:val="28"/>
                <w:highlight w:val="none"/>
              </w:rPr>
              <w:t>年过渡期内，城乡居民大病保险对脱贫不稳定人口实施倾斜支付政策。夯实医疗救助托底保障功能，按照“先保险后救助”的原则，对基本医保、城乡居民大病保险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或职工大额医疗费用补助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等支付后个人医疗费用负担仍然较重的救助对象按规定实施救助，合力防范致贫返贫风险。推动实现巩固拓展医疗保障脱贫攻坚成果同乡村振兴有效衔接，按规定落实农村易返贫致贫人口医保帮扶措施。</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民政局</w:t>
            </w: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乡村振兴局</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1406"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color w:val="auto"/>
                <w:sz w:val="28"/>
                <w:szCs w:val="28"/>
                <w:highlight w:val="none"/>
              </w:rPr>
            </w:pPr>
            <w:r>
              <w:rPr>
                <w:rFonts w:hint="eastAsia" w:ascii="黑体" w:hAnsi="黑体" w:eastAsia="黑体" w:cs="黑体"/>
                <w:b w:val="0"/>
                <w:bCs/>
                <w:color w:val="auto"/>
                <w:kern w:val="0"/>
                <w:sz w:val="28"/>
                <w:szCs w:val="28"/>
                <w:highlight w:val="none"/>
              </w:rPr>
              <w:t>四、做好</w:t>
            </w:r>
            <w:r>
              <w:rPr>
                <w:rFonts w:hint="eastAsia" w:ascii="黑体" w:hAnsi="黑体" w:eastAsia="黑体" w:cs="黑体"/>
                <w:b w:val="0"/>
                <w:bCs/>
                <w:color w:val="auto"/>
                <w:kern w:val="0"/>
                <w:sz w:val="28"/>
                <w:szCs w:val="28"/>
                <w:highlight w:val="none"/>
                <w:lang w:eastAsia="zh-CN"/>
              </w:rPr>
              <w:t>医疗</w:t>
            </w:r>
            <w:r>
              <w:rPr>
                <w:rFonts w:hint="eastAsia" w:ascii="黑体" w:hAnsi="黑体" w:eastAsia="黑体" w:cs="黑体"/>
                <w:b w:val="0"/>
                <w:bCs/>
                <w:color w:val="auto"/>
                <w:kern w:val="0"/>
                <w:sz w:val="28"/>
                <w:szCs w:val="28"/>
                <w:highlight w:val="none"/>
              </w:rPr>
              <w:t>救助</w:t>
            </w:r>
            <w:r>
              <w:rPr>
                <w:rFonts w:hint="eastAsia" w:ascii="黑体" w:hAnsi="黑体" w:eastAsia="黑体" w:cs="黑体"/>
                <w:b w:val="0"/>
                <w:bCs/>
                <w:color w:val="auto"/>
                <w:kern w:val="0"/>
                <w:sz w:val="28"/>
                <w:szCs w:val="28"/>
                <w:highlight w:val="none"/>
                <w:lang w:eastAsia="zh-CN"/>
              </w:rPr>
              <w:t>资金</w:t>
            </w:r>
            <w:r>
              <w:rPr>
                <w:rFonts w:hint="eastAsia" w:ascii="黑体" w:hAnsi="黑体" w:eastAsia="黑体" w:cs="黑体"/>
                <w:b w:val="0"/>
                <w:bCs/>
                <w:color w:val="auto"/>
                <w:kern w:val="0"/>
                <w:sz w:val="28"/>
                <w:szCs w:val="28"/>
                <w:highlight w:val="none"/>
              </w:rPr>
              <w:t>保障</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根据医疗救助需求、工作开展情况等因素，科学合理安排医疗救助金，保障资金支持。</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财政局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sz w:val="28"/>
                <w:szCs w:val="28"/>
                <w:highlight w:val="none"/>
                <w:lang w:eastAsia="zh-CN"/>
              </w:rPr>
            </w:pPr>
          </w:p>
        </w:tc>
      </w:tr>
      <w:tr>
        <w:tblPrEx>
          <w:tblCellMar>
            <w:top w:w="0" w:type="dxa"/>
            <w:left w:w="0" w:type="dxa"/>
            <w:bottom w:w="0" w:type="dxa"/>
            <w:right w:w="0" w:type="dxa"/>
          </w:tblCellMar>
        </w:tblPrEx>
        <w:trPr>
          <w:trHeight w:val="2056"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color w:val="auto"/>
                <w:sz w:val="28"/>
                <w:szCs w:val="28"/>
                <w:highlight w:val="none"/>
              </w:rPr>
            </w:pPr>
            <w:r>
              <w:rPr>
                <w:rFonts w:hint="eastAsia" w:ascii="黑体" w:hAnsi="黑体" w:eastAsia="黑体" w:cs="黑体"/>
                <w:b w:val="0"/>
                <w:bCs/>
                <w:color w:val="auto"/>
                <w:kern w:val="0"/>
                <w:sz w:val="28"/>
                <w:szCs w:val="28"/>
                <w:highlight w:val="none"/>
              </w:rPr>
              <w:t>五、</w:t>
            </w:r>
            <w:r>
              <w:rPr>
                <w:rFonts w:hint="eastAsia" w:ascii="黑体" w:hAnsi="黑体" w:eastAsia="黑体" w:cs="黑体"/>
                <w:b w:val="0"/>
                <w:bCs/>
                <w:color w:val="auto"/>
                <w:kern w:val="0"/>
                <w:sz w:val="28"/>
                <w:szCs w:val="28"/>
                <w:highlight w:val="none"/>
                <w:lang w:eastAsia="zh-CN"/>
              </w:rPr>
              <w:t>严格执行</w:t>
            </w:r>
            <w:r>
              <w:rPr>
                <w:rFonts w:hint="eastAsia" w:ascii="黑体" w:hAnsi="黑体" w:eastAsia="黑体" w:cs="黑体"/>
                <w:b w:val="0"/>
                <w:bCs/>
                <w:color w:val="auto"/>
                <w:kern w:val="0"/>
                <w:sz w:val="28"/>
                <w:szCs w:val="28"/>
                <w:highlight w:val="none"/>
              </w:rPr>
              <w:t>医疗救助标准</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对住院、门诊特殊慢性病、重特大门诊慢性病等不同类别的救助对象严格执行救助标准，</w:t>
            </w:r>
            <w:r>
              <w:rPr>
                <w:rFonts w:hint="default" w:ascii="Times New Roman" w:hAnsi="Times New Roman" w:eastAsia="仿宋_GB2312" w:cs="Times New Roman"/>
                <w:color w:val="auto"/>
                <w:sz w:val="28"/>
                <w:szCs w:val="28"/>
                <w:highlight w:val="none"/>
              </w:rPr>
              <w:t>医疗救助</w:t>
            </w:r>
            <w:r>
              <w:rPr>
                <w:rFonts w:hint="default" w:ascii="Times New Roman" w:hAnsi="Times New Roman" w:eastAsia="仿宋_GB2312" w:cs="Times New Roman"/>
                <w:color w:val="auto"/>
                <w:sz w:val="28"/>
                <w:szCs w:val="28"/>
                <w:highlight w:val="none"/>
                <w:lang w:eastAsia="zh-CN"/>
              </w:rPr>
              <w:t>标准</w:t>
            </w:r>
            <w:r>
              <w:rPr>
                <w:rFonts w:hint="default" w:ascii="Times New Roman" w:hAnsi="Times New Roman" w:eastAsia="仿宋_GB2312" w:cs="Times New Roman"/>
                <w:color w:val="auto"/>
                <w:sz w:val="28"/>
                <w:szCs w:val="28"/>
                <w:highlight w:val="none"/>
              </w:rPr>
              <w:t>按</w:t>
            </w:r>
            <w:r>
              <w:rPr>
                <w:rFonts w:hint="default" w:ascii="Times New Roman" w:hAnsi="Times New Roman" w:eastAsia="仿宋_GB2312" w:cs="Times New Roman"/>
                <w:color w:val="auto"/>
                <w:sz w:val="28"/>
                <w:szCs w:val="28"/>
                <w:highlight w:val="none"/>
                <w:lang w:eastAsia="zh-CN"/>
              </w:rPr>
              <w:t>桂政办发〔</w:t>
            </w:r>
            <w:r>
              <w:rPr>
                <w:rFonts w:hint="default" w:ascii="Times New Roman" w:hAnsi="Times New Roman" w:eastAsia="仿宋_GB2312" w:cs="Times New Roman"/>
                <w:color w:val="auto"/>
                <w:sz w:val="28"/>
                <w:szCs w:val="28"/>
                <w:highlight w:val="none"/>
                <w:lang w:val="en-US" w:eastAsia="zh-CN"/>
              </w:rPr>
              <w:t>2022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5号文件执行</w:t>
            </w:r>
            <w:r>
              <w:rPr>
                <w:rFonts w:hint="default" w:ascii="Times New Roman" w:hAnsi="Times New Roman" w:eastAsia="仿宋_GB2312" w:cs="Times New Roman"/>
                <w:color w:val="auto"/>
                <w:sz w:val="28"/>
                <w:szCs w:val="28"/>
                <w:highlight w:val="none"/>
              </w:rPr>
              <w:t>。</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民政局</w:t>
            </w: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乡村振兴局</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90" w:hRule="atLeast"/>
        </w:trPr>
        <w:tc>
          <w:tcPr>
            <w:tcW w:w="2190" w:type="dxa"/>
            <w:vMerge w:val="restar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eastAsia" w:ascii="黑体" w:hAnsi="黑体" w:eastAsia="黑体" w:cs="黑体"/>
                <w:b w:val="0"/>
                <w:bCs/>
                <w:color w:val="auto"/>
                <w:kern w:val="0"/>
                <w:sz w:val="28"/>
                <w:szCs w:val="28"/>
                <w:highlight w:val="none"/>
              </w:rPr>
            </w:pPr>
            <w:r>
              <w:rPr>
                <w:rFonts w:hint="eastAsia" w:ascii="黑体" w:hAnsi="黑体" w:eastAsia="黑体" w:cs="黑体"/>
                <w:b w:val="0"/>
                <w:bCs/>
                <w:color w:val="auto"/>
                <w:kern w:val="0"/>
                <w:sz w:val="28"/>
                <w:szCs w:val="28"/>
                <w:highlight w:val="none"/>
              </w:rPr>
              <w:t>六、建立防范和化解因病致贫返贫长效机制</w:t>
            </w:r>
          </w:p>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b/>
                <w:color w:val="auto"/>
                <w:kern w:val="0"/>
                <w:sz w:val="28"/>
                <w:szCs w:val="28"/>
                <w:highlight w:val="none"/>
              </w:rPr>
            </w:pPr>
            <w:bookmarkStart w:id="0" w:name="_GoBack"/>
            <w:bookmarkEnd w:id="0"/>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560" w:firstLineChars="200"/>
              <w:jc w:val="left"/>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一</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强化高额医疗费用支出预警监测。实行医疗救助对象信息动态管理。重点监测经基本医保、城乡居民大病保险</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或职工大额医疗费用补助</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等支付后个人年度医疗费用负担仍然较重的低保边缘家庭成员和农村易返贫致贫人口，做到及时预警。加强部门间信息共享和核查比对，协同做好风险研判和处置。加强对监测人群的动态管理，符合条件的及时纳入救助范围。</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民政局</w:t>
            </w:r>
            <w:r>
              <w:rPr>
                <w:rFonts w:hint="default" w:ascii="Times New Roman" w:hAnsi="Times New Roman" w:eastAsia="仿宋_GB2312" w:cs="Times New Roman"/>
                <w:color w:val="auto"/>
                <w:kern w:val="0"/>
                <w:sz w:val="28"/>
                <w:szCs w:val="28"/>
                <w:highlight w:val="none"/>
                <w:lang w:eastAsia="zh-CN"/>
              </w:rPr>
              <w:t>，</w:t>
            </w:r>
            <w:r>
              <w:rPr>
                <w:rFonts w:hint="eastAsia" w:ascii="Times New Roman" w:hAnsi="Times New Roman" w:eastAsia="仿宋_GB2312" w:cs="Times New Roman"/>
                <w:color w:val="auto"/>
                <w:kern w:val="0"/>
                <w:sz w:val="28"/>
                <w:szCs w:val="28"/>
                <w:highlight w:val="none"/>
                <w:lang w:val="en-US" w:eastAsia="zh-CN"/>
              </w:rPr>
              <w:t>县</w:t>
            </w:r>
            <w:r>
              <w:rPr>
                <w:rFonts w:hint="default" w:ascii="Times New Roman" w:hAnsi="Times New Roman" w:eastAsia="仿宋_GB2312" w:cs="Times New Roman"/>
                <w:color w:val="auto"/>
                <w:kern w:val="0"/>
                <w:sz w:val="28"/>
                <w:szCs w:val="28"/>
                <w:highlight w:val="none"/>
              </w:rPr>
              <w:t>乡村振兴局</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5164" w:hRule="atLeast"/>
        </w:trPr>
        <w:tc>
          <w:tcPr>
            <w:tcW w:w="2190" w:type="dxa"/>
            <w:vMerge w:val="continue"/>
            <w:tcBorders>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b/>
                <w:color w:val="auto"/>
                <w:kern w:val="0"/>
                <w:sz w:val="28"/>
                <w:szCs w:val="28"/>
                <w:highlight w:val="none"/>
              </w:rPr>
            </w:pP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after="0" w:line="360" w:lineRule="exact"/>
              <w:ind w:firstLine="560" w:firstLineChars="200"/>
              <w:jc w:val="both"/>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二</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依申请落实综合保障政策。</w:t>
            </w:r>
          </w:p>
          <w:p>
            <w:pPr>
              <w:keepNext w:val="0"/>
              <w:keepLines w:val="0"/>
              <w:pageBreakBefore w:val="0"/>
              <w:widowControl/>
              <w:kinsoku/>
              <w:wordWrap/>
              <w:overflowPunct/>
              <w:topLinePunct w:val="0"/>
              <w:autoSpaceDE/>
              <w:autoSpaceDN/>
              <w:bidi w:val="0"/>
              <w:adjustRightInd w:val="0"/>
              <w:snapToGrid/>
              <w:spacing w:after="0" w:line="360" w:lineRule="exact"/>
              <w:ind w:firstLine="560" w:firstLineChars="200"/>
              <w:jc w:val="both"/>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对参加当年基本医保，因高额医疗费用支出导致家庭基本生活出现严重困难的大病患者，且认定为因病支出型困难家庭的成员，经基本医保、城乡居民大病保险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或职工大额医疗费用补助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及其他补充医疗保险报销后，政策范围内个人自付医疗费用采取依申请救助的方式给予一次性救助。</w:t>
            </w:r>
            <w:r>
              <w:rPr>
                <w:rFonts w:hint="default" w:ascii="Times New Roman" w:hAnsi="Times New Roman" w:eastAsia="仿宋_GB2312" w:cs="Times New Roman"/>
                <w:color w:val="auto"/>
                <w:sz w:val="28"/>
                <w:szCs w:val="28"/>
                <w:highlight w:val="none"/>
                <w:lang w:eastAsia="zh-CN"/>
              </w:rPr>
              <w:t>救助标准及方式按桂政办发〔</w:t>
            </w:r>
            <w:r>
              <w:rPr>
                <w:rFonts w:hint="default" w:ascii="Times New Roman" w:hAnsi="Times New Roman" w:eastAsia="仿宋_GB2312" w:cs="Times New Roman"/>
                <w:color w:val="auto"/>
                <w:sz w:val="28"/>
                <w:szCs w:val="28"/>
                <w:highlight w:val="none"/>
                <w:lang w:val="en-US" w:eastAsia="zh-CN"/>
              </w:rPr>
              <w:t>2022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5号文件执行。</w:t>
            </w:r>
            <w:r>
              <w:rPr>
                <w:rFonts w:hint="default" w:ascii="Times New Roman" w:hAnsi="Times New Roman" w:eastAsia="仿宋_GB2312" w:cs="Times New Roman"/>
                <w:color w:val="auto"/>
                <w:sz w:val="28"/>
                <w:szCs w:val="28"/>
                <w:highlight w:val="none"/>
              </w:rPr>
              <w:t>因病支出型困难家庭认定办法</w:t>
            </w:r>
            <w:r>
              <w:rPr>
                <w:rFonts w:hint="default" w:ascii="Times New Roman" w:hAnsi="Times New Roman" w:eastAsia="仿宋_GB2312" w:cs="Times New Roman"/>
                <w:color w:val="auto"/>
                <w:sz w:val="28"/>
                <w:szCs w:val="28"/>
                <w:highlight w:val="none"/>
                <w:lang w:eastAsia="zh-CN"/>
              </w:rPr>
              <w:t>按桂民规〔</w:t>
            </w:r>
            <w:r>
              <w:rPr>
                <w:rFonts w:hint="default" w:ascii="Times New Roman" w:hAnsi="Times New Roman" w:eastAsia="仿宋_GB2312" w:cs="Times New Roman"/>
                <w:color w:val="auto"/>
                <w:sz w:val="28"/>
                <w:szCs w:val="28"/>
                <w:highlight w:val="none"/>
                <w:lang w:val="en-US" w:eastAsia="zh-CN"/>
              </w:rPr>
              <w:t>2020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6号文件执行</w:t>
            </w:r>
            <w:r>
              <w:rPr>
                <w:rFonts w:hint="default" w:ascii="Times New Roman" w:hAnsi="Times New Roman" w:eastAsia="仿宋_GB2312" w:cs="Times New Roman"/>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spacing w:after="0" w:line="360" w:lineRule="exact"/>
              <w:ind w:firstLine="560" w:firstLineChars="200"/>
              <w:jc w:val="both"/>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对规范转诊且在自治区内就医的医疗救助对象，经三重制度综合保障后，政策范围内个人负担仍然较重的，给予倾斜救助。具体救助标准根据医疗救助基金筹资情况科学确定，避免过度保障。</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z w:val="28"/>
                <w:szCs w:val="28"/>
                <w:highlight w:val="none"/>
                <w:lang w:eastAsia="zh-CN"/>
              </w:rPr>
              <w:t>县</w:t>
            </w:r>
            <w:r>
              <w:rPr>
                <w:rFonts w:hint="default" w:ascii="Times New Roman" w:hAnsi="Times New Roman" w:eastAsia="仿宋_GB2312" w:cs="Times New Roman"/>
                <w:color w:val="auto"/>
                <w:sz w:val="28"/>
                <w:szCs w:val="28"/>
                <w:highlight w:val="none"/>
              </w:rPr>
              <w:t>医保</w:t>
            </w:r>
            <w:r>
              <w:rPr>
                <w:rFonts w:hint="eastAsia" w:ascii="Times New Roman" w:hAnsi="Times New Roman" w:eastAsia="仿宋_GB2312" w:cs="Times New Roman"/>
                <w:color w:val="auto"/>
                <w:sz w:val="28"/>
                <w:szCs w:val="28"/>
                <w:highlight w:val="none"/>
                <w:lang w:val="en-US" w:eastAsia="zh-CN"/>
              </w:rPr>
              <w:t>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lang w:eastAsia="zh-CN"/>
              </w:rPr>
              <w:t>民政</w:t>
            </w:r>
            <w:r>
              <w:rPr>
                <w:rFonts w:hint="eastAsia" w:ascii="Times New Roman" w:hAnsi="Times New Roman" w:eastAsia="仿宋_GB2312" w:cs="Times New Roman"/>
                <w:color w:val="auto"/>
                <w:sz w:val="28"/>
                <w:szCs w:val="28"/>
                <w:highlight w:val="none"/>
                <w:lang w:val="en-US" w:eastAsia="zh-CN"/>
              </w:rPr>
              <w:t>局</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县乡村振兴局，</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651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color w:val="auto"/>
                <w:sz w:val="28"/>
                <w:szCs w:val="28"/>
                <w:highlight w:val="none"/>
              </w:rPr>
            </w:pPr>
            <w:r>
              <w:rPr>
                <w:rFonts w:hint="eastAsia" w:ascii="黑体" w:hAnsi="黑体" w:eastAsia="黑体" w:cs="黑体"/>
                <w:b w:val="0"/>
                <w:bCs/>
                <w:color w:val="auto"/>
                <w:kern w:val="0"/>
                <w:sz w:val="28"/>
                <w:szCs w:val="28"/>
                <w:highlight w:val="none"/>
              </w:rPr>
              <w:t>七、规范经办管理服务</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after="0" w:line="360" w:lineRule="exact"/>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快推进一体化经办。细化完善救助服务事项清单，出台医疗救助经办管理服务规程，做好救助对象信息共享互认、资助参保、待遇给付等经办服务。推动基本医保和医疗救助服务融合，依托全国统一的医疗保障信息平台，依法依规加强数据归口管理。统一协议管理，强化定点医疗机构费用管控主体责任。统一基金监管，做好费用监控、稽查审核，保持打击欺诈骗保高压态势，对开展医疗救助服务的定点医疗机构实行重点监控，确保基金安全高效、合理使用。</w:t>
            </w:r>
          </w:p>
          <w:p>
            <w:pPr>
              <w:keepNext w:val="0"/>
              <w:keepLines w:val="0"/>
              <w:pageBreakBefore w:val="0"/>
              <w:widowControl/>
              <w:kinsoku/>
              <w:wordWrap/>
              <w:overflowPunct/>
              <w:topLinePunct w:val="0"/>
              <w:autoSpaceDE/>
              <w:autoSpaceDN/>
              <w:bidi w:val="0"/>
              <w:adjustRightInd w:val="0"/>
              <w:snapToGrid/>
              <w:spacing w:after="0" w:line="360" w:lineRule="exact"/>
              <w:ind w:firstLine="465"/>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加快推进“一站式”直接结算。继续扩大异地就医结算范围，简化备案手续，对明确身份标识的医疗救助对象住院费用逐步实现自治区内三重制度综合保障“一站式”直接结算。对不能通过“一站式”直接结算系统进行医疗费用结算的医疗救助对象，各医疗保障部门要加快推行“一站式”服务、“一窗口”办理，提高结算服务便利性，确保符合条件的困难群众能及时得到医疗救助。</w:t>
            </w:r>
          </w:p>
          <w:p>
            <w:pPr>
              <w:keepNext w:val="0"/>
              <w:keepLines w:val="0"/>
              <w:pageBreakBefore w:val="0"/>
              <w:widowControl/>
              <w:kinsoku/>
              <w:wordWrap/>
              <w:overflowPunct/>
              <w:topLinePunct w:val="0"/>
              <w:autoSpaceDE/>
              <w:autoSpaceDN/>
              <w:bidi w:val="0"/>
              <w:adjustRightInd w:val="0"/>
              <w:snapToGrid/>
              <w:spacing w:after="0" w:line="360" w:lineRule="exact"/>
              <w:ind w:firstLine="560" w:firstLineChars="2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大力推动医疗救助经办服务下沉，重点提升信息化和经办服务水平。建立覆盖自治区、市、县、乡、村五级医疗保障服务网络。强化业务培训，提升干部履职能力，努力打造“懂医药、精保险、善管理”的高素质专业化符合性医疗保障人才队伍。</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lang w:eastAsia="zh-CN"/>
              </w:rPr>
              <w:t>卫生健</w:t>
            </w:r>
            <w:r>
              <w:rPr>
                <w:rFonts w:hint="eastAsia" w:ascii="仿宋_GB2312" w:hAnsi="仿宋_GB2312" w:eastAsia="仿宋_GB2312" w:cs="仿宋_GB2312"/>
                <w:color w:val="auto"/>
                <w:kern w:val="0"/>
                <w:sz w:val="28"/>
                <w:szCs w:val="28"/>
                <w:highlight w:val="none"/>
                <w:lang w:val="en-US" w:eastAsia="zh-CN"/>
              </w:rPr>
              <w:t>康局</w:t>
            </w:r>
            <w:r>
              <w:rPr>
                <w:rFonts w:hint="eastAsia" w:ascii="仿宋_GB2312" w:hAnsi="仿宋_GB2312" w:eastAsia="仿宋_GB2312" w:cs="仿宋_GB2312"/>
                <w:color w:val="auto"/>
                <w:kern w:val="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各</w:t>
            </w:r>
            <w:r>
              <w:rPr>
                <w:rFonts w:hint="eastAsia" w:ascii="Times New Roman" w:hAnsi="Times New Roman" w:eastAsia="仿宋_GB2312" w:cs="Times New Roman"/>
                <w:color w:val="auto"/>
                <w:sz w:val="28"/>
                <w:szCs w:val="28"/>
                <w:highlight w:val="none"/>
                <w:lang w:val="en-US" w:eastAsia="zh-CN"/>
              </w:rPr>
              <w:t>乡镇</w:t>
            </w:r>
            <w:r>
              <w:rPr>
                <w:rFonts w:hint="default" w:ascii="Times New Roman" w:hAnsi="Times New Roman" w:eastAsia="仿宋_GB2312" w:cs="Times New Roman"/>
                <w:color w:val="auto"/>
                <w:sz w:val="28"/>
                <w:szCs w:val="28"/>
                <w:highlight w:val="none"/>
                <w:lang w:eastAsia="zh-CN"/>
              </w:rPr>
              <w:t>人民政府</w:t>
            </w:r>
          </w:p>
        </w:tc>
      </w:tr>
      <w:tr>
        <w:tblPrEx>
          <w:tblCellMar>
            <w:top w:w="0" w:type="dxa"/>
            <w:left w:w="0" w:type="dxa"/>
            <w:bottom w:w="0" w:type="dxa"/>
            <w:right w:w="0" w:type="dxa"/>
          </w:tblCellMar>
        </w:tblPrEx>
        <w:trPr>
          <w:trHeight w:val="3527" w:hRule="atLeast"/>
        </w:trPr>
        <w:tc>
          <w:tcPr>
            <w:tcW w:w="2190" w:type="dxa"/>
            <w:vMerge w:val="restar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b/>
                <w:color w:val="auto"/>
                <w:kern w:val="0"/>
                <w:sz w:val="28"/>
                <w:szCs w:val="28"/>
                <w:highlight w:val="none"/>
              </w:rPr>
            </w:pPr>
            <w:r>
              <w:rPr>
                <w:rFonts w:hint="eastAsia" w:ascii="黑体" w:hAnsi="黑体" w:eastAsia="黑体" w:cs="黑体"/>
                <w:b w:val="0"/>
                <w:bCs/>
                <w:color w:val="auto"/>
                <w:kern w:val="0"/>
                <w:sz w:val="28"/>
                <w:szCs w:val="28"/>
                <w:highlight w:val="none"/>
              </w:rPr>
              <w:t>七、规范经办管理服务</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560" w:firstLineChars="2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优化救助申请审核程序。加强部门</w:t>
            </w:r>
            <w:r>
              <w:rPr>
                <w:rFonts w:hint="eastAsia" w:ascii="仿宋_GB2312" w:hAnsi="仿宋_GB2312" w:eastAsia="仿宋_GB2312" w:cs="仿宋_GB2312"/>
                <w:color w:val="auto"/>
                <w:sz w:val="28"/>
                <w:szCs w:val="28"/>
                <w:highlight w:val="none"/>
                <w:lang w:eastAsia="zh-CN"/>
              </w:rPr>
              <w:t>协作</w:t>
            </w:r>
            <w:r>
              <w:rPr>
                <w:rFonts w:hint="eastAsia" w:ascii="仿宋_GB2312" w:hAnsi="仿宋_GB2312" w:eastAsia="仿宋_GB2312" w:cs="仿宋_GB2312"/>
                <w:color w:val="auto"/>
                <w:sz w:val="28"/>
                <w:szCs w:val="28"/>
                <w:highlight w:val="none"/>
              </w:rPr>
              <w:t>，全面对接社会救助经办服务，按照职责分工做好困难群众医疗救助申请受理、分办转办及结果反馈。对困难群众主动申请医疗救助的，由乡镇人民政府实行“一门式”办理，并按有关规定提出初审意见，报县医疗保障</w:t>
            </w:r>
            <w:r>
              <w:rPr>
                <w:rFonts w:hint="eastAsia" w:ascii="仿宋_GB2312" w:hAnsi="仿宋_GB2312" w:eastAsia="仿宋_GB2312" w:cs="仿宋_GB2312"/>
                <w:color w:val="auto"/>
                <w:sz w:val="28"/>
                <w:szCs w:val="28"/>
                <w:highlight w:val="none"/>
                <w:lang w:val="en-US" w:eastAsia="zh-CN"/>
              </w:rPr>
              <w:t>局</w:t>
            </w:r>
            <w:r>
              <w:rPr>
                <w:rFonts w:hint="eastAsia" w:ascii="仿宋_GB2312" w:hAnsi="仿宋_GB2312" w:eastAsia="仿宋_GB2312" w:cs="仿宋_GB2312"/>
                <w:color w:val="auto"/>
                <w:sz w:val="28"/>
                <w:szCs w:val="28"/>
                <w:highlight w:val="none"/>
              </w:rPr>
              <w:t>审批，符合条件的应及时拨付医疗救助费用。动员基层干部，依托基层医疗卫生机构，做好政策宣传和救助申请委托代办等，及时主动帮助困难群众。</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各</w:t>
            </w:r>
            <w:r>
              <w:rPr>
                <w:rFonts w:hint="eastAsia" w:ascii="仿宋_GB2312" w:hAnsi="仿宋_GB2312" w:eastAsia="仿宋_GB2312" w:cs="仿宋_GB2312"/>
                <w:color w:val="auto"/>
                <w:kern w:val="0"/>
                <w:sz w:val="28"/>
                <w:szCs w:val="28"/>
                <w:highlight w:val="none"/>
                <w:lang w:val="en-US" w:eastAsia="zh-CN"/>
              </w:rPr>
              <w:t>乡镇</w:t>
            </w:r>
            <w:r>
              <w:rPr>
                <w:rFonts w:hint="eastAsia" w:ascii="仿宋_GB2312" w:hAnsi="仿宋_GB2312" w:eastAsia="仿宋_GB2312" w:cs="仿宋_GB2312"/>
                <w:color w:val="auto"/>
                <w:kern w:val="0"/>
                <w:sz w:val="28"/>
                <w:szCs w:val="28"/>
                <w:highlight w:val="none"/>
              </w:rPr>
              <w:t>人民政府</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lang w:eastAsia="zh-CN"/>
              </w:rPr>
              <w:t>医保局，</w:t>
            </w: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民政局</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lang w:eastAsia="zh-CN"/>
              </w:rPr>
              <w:t>卫生健康</w:t>
            </w:r>
            <w:r>
              <w:rPr>
                <w:rFonts w:hint="eastAsia" w:ascii="仿宋_GB2312" w:hAnsi="仿宋_GB2312" w:eastAsia="仿宋_GB2312" w:cs="仿宋_GB2312"/>
                <w:color w:val="auto"/>
                <w:kern w:val="0"/>
                <w:sz w:val="28"/>
                <w:szCs w:val="28"/>
                <w:highlight w:val="none"/>
                <w:lang w:val="en-US" w:eastAsia="zh-CN"/>
              </w:rPr>
              <w:t>局</w:t>
            </w:r>
          </w:p>
        </w:tc>
      </w:tr>
      <w:tr>
        <w:tblPrEx>
          <w:tblCellMar>
            <w:top w:w="0" w:type="dxa"/>
            <w:left w:w="0" w:type="dxa"/>
            <w:bottom w:w="0" w:type="dxa"/>
            <w:right w:w="0" w:type="dxa"/>
          </w:tblCellMar>
        </w:tblPrEx>
        <w:trPr>
          <w:trHeight w:val="4087" w:hRule="atLeast"/>
        </w:trPr>
        <w:tc>
          <w:tcPr>
            <w:tcW w:w="2190" w:type="dxa"/>
            <w:vMerge w:val="continue"/>
            <w:tcBorders>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楷体_GB2312" w:hAnsi="楷体_GB2312" w:eastAsia="楷体_GB2312" w:cs="楷体_GB2312"/>
                <w:b/>
                <w:color w:val="auto"/>
                <w:kern w:val="0"/>
                <w:sz w:val="28"/>
                <w:szCs w:val="28"/>
                <w:highlight w:val="none"/>
              </w:rPr>
            </w:pP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560" w:firstLineChars="200"/>
              <w:jc w:val="left"/>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提高综合服务管理水平。加强对医疗救助对象就医行为的引导，推行基层首诊，规范转诊，实施合理诊疗促进有序就医。完善定点医疗机构医疗救助服务内容，提高服务质量，按规定做好基本医保和医疗救助费用结算。按照安全有效、经济适宜、救助基本的原则，引导医疗救助对象和定点医疗机构优先选择纳入基本医保支付范围的药品、医用耗材和诊疗项目，严控不合理费用支出。经基层首诊转诊的一类、二类人员，在市域内定点医疗机构住院，实行“先诊疗后付费”，全面免除其住院押金。</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lang w:eastAsia="zh-CN"/>
              </w:rPr>
              <w:t>卫生健康</w:t>
            </w:r>
            <w:r>
              <w:rPr>
                <w:rFonts w:hint="eastAsia" w:ascii="仿宋_GB2312" w:hAnsi="仿宋_GB2312" w:eastAsia="仿宋_GB2312" w:cs="仿宋_GB2312"/>
                <w:color w:val="auto"/>
                <w:kern w:val="0"/>
                <w:sz w:val="28"/>
                <w:szCs w:val="28"/>
                <w:highlight w:val="none"/>
                <w:lang w:val="en-US" w:eastAsia="zh-CN"/>
              </w:rPr>
              <w:t>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医保局</w:t>
            </w:r>
          </w:p>
        </w:tc>
      </w:tr>
      <w:tr>
        <w:tblPrEx>
          <w:tblCellMar>
            <w:top w:w="0" w:type="dxa"/>
            <w:left w:w="0" w:type="dxa"/>
            <w:bottom w:w="0" w:type="dxa"/>
            <w:right w:w="0" w:type="dxa"/>
          </w:tblCellMar>
        </w:tblPrEx>
        <w:trPr>
          <w:trHeight w:val="2979" w:hRule="atLeast"/>
        </w:trPr>
        <w:tc>
          <w:tcPr>
            <w:tcW w:w="2190" w:type="dxa"/>
            <w:vMerge w:val="restar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textAlignment w:val="center"/>
              <w:rPr>
                <w:rFonts w:hint="eastAsia" w:ascii="楷体_GB2312" w:hAnsi="楷体_GB2312" w:eastAsia="楷体_GB2312" w:cs="楷体_GB2312"/>
                <w:color w:val="auto"/>
                <w:sz w:val="28"/>
                <w:szCs w:val="28"/>
                <w:highlight w:val="none"/>
              </w:rPr>
            </w:pPr>
            <w:r>
              <w:rPr>
                <w:rFonts w:hint="eastAsia" w:ascii="黑体" w:hAnsi="黑体" w:eastAsia="黑体" w:cs="黑体"/>
                <w:b w:val="0"/>
                <w:bCs/>
                <w:color w:val="auto"/>
                <w:kern w:val="0"/>
                <w:sz w:val="28"/>
                <w:szCs w:val="28"/>
                <w:highlight w:val="none"/>
              </w:rPr>
              <w:t>八、积极引导慈善等社会力量参与救助保障</w:t>
            </w: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ind w:firstLine="420" w:firstLineChars="150"/>
              <w:jc w:val="both"/>
              <w:textAlignment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一</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发展壮大慈善救助。加大对慈善组织的监督管理，提高慈善医疗救助公信力。加强对慈善医疗救助的宣传，通过明确宣传重点、拓宽宣传渠道和单位，</w:t>
            </w:r>
            <w:r>
              <w:rPr>
                <w:rFonts w:hint="eastAsia" w:ascii="仿宋_GB2312" w:hAnsi="仿宋_GB2312" w:eastAsia="仿宋_GB2312" w:cs="仿宋_GB2312"/>
                <w:color w:val="auto"/>
                <w:kern w:val="0"/>
                <w:sz w:val="28"/>
                <w:szCs w:val="28"/>
                <w:highlight w:val="none"/>
                <w:lang w:eastAsia="zh-CN"/>
              </w:rPr>
              <w:t>让群众</w:t>
            </w:r>
            <w:r>
              <w:rPr>
                <w:rFonts w:hint="eastAsia" w:ascii="仿宋_GB2312" w:hAnsi="仿宋_GB2312" w:eastAsia="仿宋_GB2312" w:cs="仿宋_GB2312"/>
                <w:color w:val="auto"/>
                <w:kern w:val="0"/>
                <w:sz w:val="28"/>
                <w:szCs w:val="28"/>
                <w:highlight w:val="none"/>
              </w:rPr>
              <w:t>了解慈善医疗救助的重要意义，吸引更多社会组织和个人参与慈善医疗救助捐赠。支持医疗救助领域社会工作服务和志愿服务发展，丰富救助服务内容，共同关爱和帮扶重特大疾病患者。</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民政局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医保局</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lang w:eastAsia="zh-CN"/>
              </w:rPr>
              <w:t>卫生健康</w:t>
            </w:r>
            <w:r>
              <w:rPr>
                <w:rFonts w:hint="eastAsia" w:ascii="仿宋_GB2312" w:hAnsi="仿宋_GB2312" w:eastAsia="仿宋_GB2312" w:cs="仿宋_GB2312"/>
                <w:color w:val="auto"/>
                <w:kern w:val="0"/>
                <w:sz w:val="28"/>
                <w:szCs w:val="28"/>
                <w:highlight w:val="none"/>
                <w:lang w:val="en-US" w:eastAsia="zh-CN"/>
              </w:rPr>
              <w:t>局</w:t>
            </w:r>
          </w:p>
        </w:tc>
      </w:tr>
      <w:tr>
        <w:tblPrEx>
          <w:tblCellMar>
            <w:top w:w="0" w:type="dxa"/>
            <w:left w:w="0" w:type="dxa"/>
            <w:bottom w:w="0" w:type="dxa"/>
            <w:right w:w="0" w:type="dxa"/>
          </w:tblCellMar>
        </w:tblPrEx>
        <w:trPr>
          <w:trHeight w:val="3385" w:hRule="atLeast"/>
        </w:trPr>
        <w:tc>
          <w:tcPr>
            <w:tcW w:w="2190" w:type="dxa"/>
            <w:vMerge w:val="continue"/>
            <w:tcBorders>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left"/>
              <w:textAlignment w:val="center"/>
              <w:rPr>
                <w:rFonts w:hint="eastAsia" w:ascii="仿宋_GB2312" w:hAnsi="仿宋_GB2312" w:eastAsia="仿宋_GB2312" w:cs="仿宋_GB2312"/>
                <w:b/>
                <w:color w:val="auto"/>
                <w:kern w:val="0"/>
                <w:sz w:val="28"/>
                <w:szCs w:val="28"/>
                <w:highlight w:val="none"/>
              </w:rPr>
            </w:pPr>
          </w:p>
        </w:tc>
        <w:tc>
          <w:tcPr>
            <w:tcW w:w="89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firstLine="560" w:firstLineChars="200"/>
              <w:jc w:val="left"/>
              <w:textAlignment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二</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鼓励医疗互助和商业健康保险发展。支持开展职工医疗互助，坚持职工医疗互助的互济性和非营利性，支持医疗互助有序健康发展。支持商业健康保险发展，鼓励、引导和支持商业保险机构探索实施与基本医保、城乡居民大病保险</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或职工大额医疗费用补助</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相衔接的普惠型商业医疗保险，保障医保目录外用药大额支出，补齐多层次医疗保障体系中商业健康保险的短板。鼓励将医疗新技术、新药品、新器械应用纳入商业健康保险保障范围。</w:t>
            </w:r>
          </w:p>
        </w:tc>
        <w:tc>
          <w:tcPr>
            <w:tcW w:w="14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snapToGrid/>
              <w:spacing w:after="0" w:line="360" w:lineRule="exact"/>
              <w:jc w:val="center"/>
              <w:textAlignment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县</w:t>
            </w:r>
            <w:r>
              <w:rPr>
                <w:rFonts w:hint="eastAsia" w:ascii="仿宋_GB2312" w:hAnsi="仿宋_GB2312" w:eastAsia="仿宋_GB2312" w:cs="仿宋_GB2312"/>
                <w:color w:val="auto"/>
                <w:kern w:val="0"/>
                <w:sz w:val="28"/>
                <w:szCs w:val="28"/>
                <w:highlight w:val="none"/>
              </w:rPr>
              <w:t>医保局</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spacing w:after="0" w:line="360" w:lineRule="exact"/>
              <w:jc w:val="both"/>
              <w:textAlignment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县总工会，</w:t>
            </w:r>
            <w:r>
              <w:rPr>
                <w:rFonts w:hint="eastAsia" w:ascii="仿宋_GB2312" w:hAnsi="仿宋_GB2312" w:eastAsia="仿宋_GB2312" w:cs="仿宋_GB2312"/>
                <w:color w:val="auto"/>
                <w:kern w:val="0"/>
                <w:sz w:val="28"/>
                <w:szCs w:val="28"/>
                <w:highlight w:val="none"/>
              </w:rPr>
              <w:t>银保监</w:t>
            </w:r>
            <w:r>
              <w:rPr>
                <w:rFonts w:hint="eastAsia" w:ascii="仿宋_GB2312" w:hAnsi="仿宋_GB2312" w:eastAsia="仿宋_GB2312" w:cs="仿宋_GB2312"/>
                <w:color w:val="auto"/>
                <w:kern w:val="0"/>
                <w:sz w:val="28"/>
                <w:szCs w:val="28"/>
                <w:highlight w:val="none"/>
                <w:lang w:val="en-US" w:eastAsia="zh-CN"/>
              </w:rPr>
              <w:t>鹿寨监管组</w:t>
            </w:r>
          </w:p>
        </w:tc>
      </w:tr>
    </w:tbl>
    <w:p>
      <w:pPr>
        <w:pStyle w:val="2"/>
        <w:keepNext w:val="0"/>
        <w:keepLines w:val="0"/>
        <w:pageBreakBefore w:val="0"/>
        <w:widowControl/>
        <w:numPr>
          <w:ilvl w:val="0"/>
          <w:numId w:val="0"/>
        </w:numPr>
        <w:kinsoku/>
        <w:wordWrap/>
        <w:overflowPunct/>
        <w:topLinePunct w:val="0"/>
        <w:autoSpaceDE/>
        <w:autoSpaceDN/>
        <w:bidi w:val="0"/>
        <w:snapToGrid/>
        <w:spacing w:after="0" w:line="360" w:lineRule="exact"/>
        <w:rPr>
          <w:rFonts w:hint="eastAsia" w:ascii="仿宋_GB2312" w:hAnsi="仿宋_GB2312" w:eastAsia="仿宋_GB2312" w:cs="仿宋_GB2312"/>
          <w:sz w:val="28"/>
          <w:szCs w:val="28"/>
          <w:lang w:eastAsia="zh-CN"/>
        </w:rPr>
      </w:pPr>
    </w:p>
    <w:p>
      <w:pPr>
        <w:pStyle w:val="2"/>
        <w:keepNext w:val="0"/>
        <w:keepLines w:val="0"/>
        <w:pageBreakBefore w:val="0"/>
        <w:widowControl/>
        <w:numPr>
          <w:ilvl w:val="0"/>
          <w:numId w:val="0"/>
        </w:numPr>
        <w:kinsoku/>
        <w:wordWrap/>
        <w:overflowPunct/>
        <w:topLinePunct w:val="0"/>
        <w:autoSpaceDE/>
        <w:autoSpaceDN/>
        <w:bidi w:val="0"/>
        <w:snapToGrid/>
        <w:spacing w:after="0" w:line="360" w:lineRule="exact"/>
        <w:rPr>
          <w:rFonts w:hint="eastAsia" w:ascii="仿宋_GB2312" w:hAnsi="仿宋_GB2312" w:eastAsia="仿宋_GB2312" w:cs="仿宋_GB2312"/>
          <w:sz w:val="28"/>
          <w:szCs w:val="28"/>
          <w:lang w:eastAsia="zh-CN"/>
        </w:rPr>
      </w:pPr>
    </w:p>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EB1A7"/>
    <w:multiLevelType w:val="singleLevel"/>
    <w:tmpl w:val="9E2EB1A7"/>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DBkZmNmODQ2YjNkMjY1MzY4NGEyNDkxNGQ2ZjgifQ=="/>
  </w:docVars>
  <w:rsids>
    <w:rsidRoot w:val="00000000"/>
    <w:rsid w:val="09BB1AD7"/>
    <w:rsid w:val="108B046A"/>
    <w:rsid w:val="270A2936"/>
    <w:rsid w:val="2DB56490"/>
    <w:rsid w:val="33723105"/>
    <w:rsid w:val="3B264DDF"/>
    <w:rsid w:val="40DA0BEE"/>
    <w:rsid w:val="4C4858A2"/>
    <w:rsid w:val="597F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kern w:val="0"/>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Bullet"/>
    <w:basedOn w:val="1"/>
    <w:qFormat/>
    <w:uiPriority w:val="0"/>
    <w:pPr>
      <w:numPr>
        <w:ilvl w:val="0"/>
        <w:numId w:val="1"/>
      </w:numPr>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2750</Words>
  <Characters>2762</Characters>
  <Lines>0</Lines>
  <Paragraphs>0</Paragraphs>
  <TotalTime>0</TotalTime>
  <ScaleCrop>false</ScaleCrop>
  <LinksUpToDate>false</LinksUpToDate>
  <CharactersWithSpaces>2766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2022-06-23T07:36:00Z</dcterms:created>
  <dc:creator>Administrator</dc:creator>
  <cp:lastModifiedBy>西瓜玉玉</cp:lastModifiedBy>
  <cp:lastPrinted>2022-07-01T00:58:00Z</cp:lastPrinted>
  <dcterms:modified xsi:type="dcterms:W3CDTF">2022-07-21T07:52:32Z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D6C66576C3664F53BFB68D9557B283B0</vt:lpwstr>
  </property>
</Properties>
</file>