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hint="default" w:ascii="Times New Roman" w:hAnsi="Times New Roman" w:eastAsia="华文中宋" w:cs="Times New Roman"/>
          <w:b/>
          <w:spacing w:val="3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鹿政办发〔202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sz w:val="44"/>
          <w:szCs w:val="44"/>
        </w:rPr>
        <w:t>鹿寨县人民政府办公室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关于印发</w:t>
      </w:r>
      <w:r>
        <w:rPr>
          <w:rFonts w:hint="default" w:ascii="Times New Roman" w:hAnsi="Times New Roman" w:eastAsia="宋体" w:cs="Times New Roman"/>
          <w:color w:val="000000"/>
          <w:sz w:val="44"/>
          <w:szCs w:val="44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color w:val="000000"/>
          <w:sz w:val="44"/>
          <w:szCs w:val="44"/>
          <w:lang w:val="en-US" w:eastAsia="zh-CN"/>
        </w:rPr>
        <w:t>鹿寨县志（2006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000000"/>
          <w:sz w:val="44"/>
          <w:szCs w:val="44"/>
          <w:lang w:val="en-US" w:eastAsia="zh-CN"/>
        </w:rPr>
        <w:t>2025）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color w:val="000000"/>
          <w:sz w:val="44"/>
          <w:szCs w:val="44"/>
          <w:lang w:val="en-US" w:eastAsia="zh-CN"/>
        </w:rPr>
        <w:t>编修大纲》的通知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各乡镇人民政府，各有关单位：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鹿寨县志（2006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&gt;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编修大纲》已经县人民政府同意，现印发给你们，请认真组织实施。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 w:themeColor="text1"/>
          <w:sz w:val="44"/>
          <w:szCs w:val="44"/>
          <w:lang w:eastAsia="zh-CN"/>
        </w:rPr>
        <w:t>《鹿寨县志（</w:t>
      </w:r>
      <w:r>
        <w:rPr>
          <w:rFonts w:hint="default" w:ascii="Times New Roman" w:hAnsi="Times New Roman" w:eastAsia="宋体" w:cs="Times New Roman"/>
          <w:color w:val="000000" w:themeColor="text1"/>
          <w:sz w:val="44"/>
          <w:szCs w:val="44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color w:val="000000" w:themeColor="text1"/>
          <w:sz w:val="44"/>
          <w:szCs w:val="44"/>
          <w:lang w:eastAsia="zh-CN"/>
        </w:rPr>
        <w:t>）》编修大纲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《柳州市人民政府办公室关于印发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2022年柳州市政府工作报告重点工作分工细化方案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的通知》（柳政办〔2022〕30号）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、《柳州市人民政府办公室关于印发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柳州市第三轮地方志书编修工作方案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（柳政办〔2022〕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《柳州市人民政府办公室关于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《柳州市志（2006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2025）》编纂工作方案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》（柳政办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鹿寨县人民政府办公室关于印发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鹿寨县第三轮地方志书编修工作方案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的通知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鹿政办发〔2022〕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），为做好《鹿寨县志（2006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2025）》编修相关工作，特制定本大纲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一、指导思想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和编修规范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《鹿寨县志（2006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2025）》编修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以马克思列宁主义、毛泽东思想、邓小平理论、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三个代表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重要思想、科学发展观、习近平新时代中国特色社会主义思想为指导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，以国务院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《地方志工作条例》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《广西壮族自治区地方志工作办法》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和公开出版物相关法律法规、中国地方志指导小组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《地方志书质量规定》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，自治区、柳州市地方志工作机构规范性文件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《凡例》（附件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）为规范。为便于各承编单位实际运用，可由县地方志编纂委员会办公室将常用规范整合形成《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鹿寨县志（2006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实操规定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》印发各承编单位。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第三轮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地方志书编修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规划工作期限内，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组织做好资料报送、资料长编、初稿撰写、统稿总纂、志稿评议、审查验收、志稿修订、出版发行等工作，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全面完成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《鹿寨县志（2006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2025）》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编修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三、篇目设置及编纂任务分解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内容详见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篇目设置及承编单位任务分解表》（附件2），并视工作实际由县史志办修正相关内容。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四、编修进程及工作要点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lang w:eastAsia="zh-CN"/>
        </w:rPr>
        <w:t>资料收集和资料长编整理编辑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时间安排。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自2023年起，各承编单位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篇目设置及承编单位任务分解表》承担的篇目任务，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全面、系统地开展资料收集工作，同步对所收集到的资料进行系统整理，形成资料长编。具体任务：2023年收集2006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年资料，2024年收集201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年资料，2025年收集20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 资料范围。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收集的资料包括但不限于：各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单位组织机构及职能变更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历任领导人名录及任职时间变更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历年单位大事记、工作总结、绩效报告、重要的调研报告、领导在重要会议的讲话稿，典型人物资料（革命烈士、先进模范人物、科学技术人才、退役荣誉军人、其他有重大影响的人物），重要统计资料、专题资料和著述，重要文件及各类图照（含地图、数据图、示意图和照片等），其他入志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（二）志稿撰写、评议和审查验收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初稿撰写。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各承编单位于202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起（可视各自工作实际提前），按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篇目设置及承编单位任务分解表》的承编任务和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《凡例》规定，组织工作人员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以所收集和整理的资料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和形成的资料长编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撰写初稿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。编撰过程中，宜结合实际对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篇目设置及承编单位任务分解表》（附件2）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涉及本单位、本行业（事业）的篇目架构进行细化和优化调整。初稿形成后经单位领导审订，至迟于202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月底送交至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县史志办，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此后再据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县史志办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提出的修订意见修订志稿，直至成稿质量达标为止。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全书汇纂。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全书汇纂由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县史志办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单位配合开展。汇纂工作以各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单位提供的志稿为基础进行，按先单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、再全书的流程推进。此项工作可前置于初稿编纂环节进行，至迟于2028年6月总纂全书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形成评议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志稿评议。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按照自治区关于地方志书评议的相关规定，由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年组织召开评议会，广泛听取意见建议。各承编单位在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志办的指导下，根据评议会的意见建议完成资料核补和志稿修订。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志办负责对各承编单位的修订稿进行第二次总纂，形成送审稿。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志稿审查验收。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按照自治区关于地方志书审查验收的相关规定，由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年年底前组织召开审查验收会，对送审稿进行审查验收。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志办负责对审查验收后的志稿进行修订完善。各承编单位全程配合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志办根据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会意见建议完成志稿修订。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（三）出版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lang w:eastAsia="zh-CN"/>
        </w:rPr>
        <w:t>发行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审查验收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通过之日起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志办用2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3年时间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对志稿作进一步修订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迟在203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年完成《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鹿寨县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）》公开出版。志书出版后3个月内，将成品图书（含电子版）报送上级地方志工作机构备案，并按有关规定向各级方志馆、公共图书馆、档案馆等公共文化机构无偿提供馆藏书。结合成书发行做好读志推广和历史信息资源开发利用工作，有效发挥本志在存史、资政、育人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（一）提高认识，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lang w:eastAsia="zh-CN"/>
        </w:rPr>
        <w:t>强化担当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充分认识地方志是中华优秀传统文化的重要载体，地方志书编修是深入贯彻落实党的二十大提出的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推进文化自信自强，铸就社会主义文化新辉煌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的重要举措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第三轮地方志书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编修工作，对于传承创新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鹿寨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传统文化，提高我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文化软实力，促进社会主义文化繁荣兴盛有着十分积极的意义。各承编单位要切实增强历史自觉，强化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担当，为高质量完成《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鹿寨县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2025）》编修贡献力量。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（二）加强领导，强化保障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充分依托党委领导、政府主持、地方志工作机构组织实施、社会各界有序参与的地方志工作机制，强化依法修志意识，加强领导，将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修志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工作纳入日常工作日程，组建好熟知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行业（事业）情况又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有一定文字工作经验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的编修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队伍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，并为编修提供必备的经费、设备等条件保障和时间保障。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（三）提升效率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质量为本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县史志办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要按照既定目标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节点有序推进编修工作开展，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提升工作效率，同时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将质量标准贯穿于从篇目设计、资料收集、编纂修订到出版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的各环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《鹿寨县志（2006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编成一部经得起历史检验的精品佳志。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</w:rPr>
        <w:t>（四）跟进指导，强化督查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县史志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办要依法加强对地方志工作的统筹规划、组织协调、督促指导，及时通报情况，适时组织业务培训，开展常态化业务交流，推广各单位的好经验好做法，努力营造全社会共同参与修志的良好氛围，确保本志编修按计划顺利推进，如期实现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鹿寨县志（2006—2025）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篇目设置及承编单位任务分解表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400" w:lineRule="exact"/>
        <w:jc w:val="left"/>
        <w:rPr>
          <w:rFonts w:hint="default"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公开方式：主动公开</w:t>
      </w:r>
    </w:p>
    <w:p>
      <w:pPr>
        <w:pStyle w:val="5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30"/>
          <w:szCs w:val="30"/>
          <w:u w:val="single"/>
          <w:lang w:val="en-US" w:eastAsia="zh-CN"/>
        </w:rPr>
        <w:t xml:space="preserve">                                                             </w:t>
      </w:r>
    </w:p>
    <w:p>
      <w:pPr>
        <w:pStyle w:val="5"/>
        <w:rPr>
          <w:rFonts w:hint="default"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lang w:val="en-US" w:eastAsia="zh-CN"/>
        </w:rPr>
        <w:t xml:space="preserve">  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</w:rPr>
        <w:t>送：县委办、县人大办、县政协办，市地方志办。</w:t>
      </w:r>
    </w:p>
    <w:p>
      <w:pPr>
        <w:pBdr>
          <w:top w:val="single" w:color="auto" w:sz="6" w:space="2"/>
          <w:bottom w:val="single" w:color="auto" w:sz="6" w:space="0"/>
        </w:pBdr>
        <w:spacing w:line="320" w:lineRule="exact"/>
        <w:rPr>
          <w:rFonts w:hint="default" w:ascii="Times New Roman" w:hAnsi="Times New Roman" w:eastAsia="仿宋_GB2312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 xml:space="preserve">  鹿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  <w:t xml:space="preserve">寨县人民政府办公室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3D235"/>
    <w:multiLevelType w:val="singleLevel"/>
    <w:tmpl w:val="2FF3D2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2NWMwOWQ5NjgxMjhhNWM2ODhjYmMzZDljYWY2ZTgifQ=="/>
  </w:docVars>
  <w:rsids>
    <w:rsidRoot w:val="0086546A"/>
    <w:rsid w:val="00025895"/>
    <w:rsid w:val="0010118F"/>
    <w:rsid w:val="00103B92"/>
    <w:rsid w:val="00107468"/>
    <w:rsid w:val="0012306A"/>
    <w:rsid w:val="00150332"/>
    <w:rsid w:val="00192281"/>
    <w:rsid w:val="0019594E"/>
    <w:rsid w:val="001964BB"/>
    <w:rsid w:val="001A6F57"/>
    <w:rsid w:val="001B7AED"/>
    <w:rsid w:val="001F44AD"/>
    <w:rsid w:val="00202D15"/>
    <w:rsid w:val="00223418"/>
    <w:rsid w:val="002E2E9D"/>
    <w:rsid w:val="003079FE"/>
    <w:rsid w:val="00324779"/>
    <w:rsid w:val="003B50D3"/>
    <w:rsid w:val="003C2AF1"/>
    <w:rsid w:val="003F2067"/>
    <w:rsid w:val="00411903"/>
    <w:rsid w:val="00432BFE"/>
    <w:rsid w:val="004451EF"/>
    <w:rsid w:val="004541C3"/>
    <w:rsid w:val="00494B87"/>
    <w:rsid w:val="00496355"/>
    <w:rsid w:val="004E290E"/>
    <w:rsid w:val="005348AB"/>
    <w:rsid w:val="005374E0"/>
    <w:rsid w:val="005A20DD"/>
    <w:rsid w:val="005B1F96"/>
    <w:rsid w:val="005D00BC"/>
    <w:rsid w:val="00654D1A"/>
    <w:rsid w:val="006607A9"/>
    <w:rsid w:val="00691797"/>
    <w:rsid w:val="006B7E8A"/>
    <w:rsid w:val="006E7493"/>
    <w:rsid w:val="00735B3F"/>
    <w:rsid w:val="00757617"/>
    <w:rsid w:val="00787084"/>
    <w:rsid w:val="007D4431"/>
    <w:rsid w:val="007F051C"/>
    <w:rsid w:val="00837134"/>
    <w:rsid w:val="0086546A"/>
    <w:rsid w:val="00890F60"/>
    <w:rsid w:val="008B2541"/>
    <w:rsid w:val="00950B84"/>
    <w:rsid w:val="00966292"/>
    <w:rsid w:val="009B1746"/>
    <w:rsid w:val="009F5E61"/>
    <w:rsid w:val="00A279CA"/>
    <w:rsid w:val="00A8202B"/>
    <w:rsid w:val="00AF3647"/>
    <w:rsid w:val="00B079AD"/>
    <w:rsid w:val="00B27F20"/>
    <w:rsid w:val="00B97D6F"/>
    <w:rsid w:val="00C21A49"/>
    <w:rsid w:val="00C24BD9"/>
    <w:rsid w:val="00C3396E"/>
    <w:rsid w:val="00C35A91"/>
    <w:rsid w:val="00C3604C"/>
    <w:rsid w:val="00C71C0B"/>
    <w:rsid w:val="00C72845"/>
    <w:rsid w:val="00C84305"/>
    <w:rsid w:val="00C9011B"/>
    <w:rsid w:val="00CE754E"/>
    <w:rsid w:val="00CF1739"/>
    <w:rsid w:val="00D0087B"/>
    <w:rsid w:val="00D24D77"/>
    <w:rsid w:val="00D76020"/>
    <w:rsid w:val="00DA3574"/>
    <w:rsid w:val="00DA72FC"/>
    <w:rsid w:val="00DC3764"/>
    <w:rsid w:val="00DD07DC"/>
    <w:rsid w:val="00E37E28"/>
    <w:rsid w:val="00E953ED"/>
    <w:rsid w:val="00EA6713"/>
    <w:rsid w:val="00ED1E97"/>
    <w:rsid w:val="00EE5BD4"/>
    <w:rsid w:val="00EF2C10"/>
    <w:rsid w:val="00F10710"/>
    <w:rsid w:val="00F70188"/>
    <w:rsid w:val="00F82484"/>
    <w:rsid w:val="00FC1DDC"/>
    <w:rsid w:val="00FD41E6"/>
    <w:rsid w:val="00FE1299"/>
    <w:rsid w:val="04CE74EC"/>
    <w:rsid w:val="05325349"/>
    <w:rsid w:val="12694A24"/>
    <w:rsid w:val="143902A2"/>
    <w:rsid w:val="1C3D2B1D"/>
    <w:rsid w:val="1E4570EE"/>
    <w:rsid w:val="1F9951FF"/>
    <w:rsid w:val="207A011A"/>
    <w:rsid w:val="228B15E2"/>
    <w:rsid w:val="28201ABA"/>
    <w:rsid w:val="29583A35"/>
    <w:rsid w:val="2A603004"/>
    <w:rsid w:val="30A67568"/>
    <w:rsid w:val="34384B8F"/>
    <w:rsid w:val="352D221A"/>
    <w:rsid w:val="35BF0C44"/>
    <w:rsid w:val="35F5085E"/>
    <w:rsid w:val="371C3386"/>
    <w:rsid w:val="38B273DF"/>
    <w:rsid w:val="396054F7"/>
    <w:rsid w:val="3C4F1A1D"/>
    <w:rsid w:val="401B746E"/>
    <w:rsid w:val="40507836"/>
    <w:rsid w:val="44D9132F"/>
    <w:rsid w:val="49894517"/>
    <w:rsid w:val="4B72278D"/>
    <w:rsid w:val="4E3D2974"/>
    <w:rsid w:val="53B65435"/>
    <w:rsid w:val="586867AB"/>
    <w:rsid w:val="59767AD7"/>
    <w:rsid w:val="5BC17C66"/>
    <w:rsid w:val="5BE64C08"/>
    <w:rsid w:val="614A099D"/>
    <w:rsid w:val="61A66B65"/>
    <w:rsid w:val="63546461"/>
    <w:rsid w:val="6678594B"/>
    <w:rsid w:val="67F87BB6"/>
    <w:rsid w:val="6800633A"/>
    <w:rsid w:val="6A5A561C"/>
    <w:rsid w:val="6DF52207"/>
    <w:rsid w:val="6E602011"/>
    <w:rsid w:val="6F2F34E9"/>
    <w:rsid w:val="73B82D08"/>
    <w:rsid w:val="77F90C72"/>
    <w:rsid w:val="79380B23"/>
    <w:rsid w:val="79905018"/>
    <w:rsid w:val="7A72618A"/>
    <w:rsid w:val="7ABD2CC5"/>
    <w:rsid w:val="7C4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i/>
    </w:rPr>
  </w:style>
  <w:style w:type="paragraph" w:styleId="4">
    <w:name w:val="Balloon Text"/>
    <w:basedOn w:val="1"/>
    <w:link w:val="16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等线" w:hAnsi="等线" w:eastAsia="等线"/>
      <w:sz w:val="18"/>
      <w:szCs w:val="18"/>
    </w:rPr>
  </w:style>
  <w:style w:type="character" w:customStyle="1" w:styleId="12">
    <w:name w:val="页眉 Char1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等线" w:hAnsi="等线" w:eastAsia="等线"/>
      <w:sz w:val="18"/>
      <w:szCs w:val="18"/>
    </w:rPr>
  </w:style>
  <w:style w:type="character" w:customStyle="1" w:styleId="14">
    <w:name w:val="页脚 Char1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等线" w:hAnsi="等线" w:eastAsia="等线"/>
      <w:sz w:val="18"/>
      <w:szCs w:val="18"/>
    </w:rPr>
  </w:style>
  <w:style w:type="character" w:customStyle="1" w:styleId="16">
    <w:name w:val="批注框文本 Char1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2466</Words>
  <Characters>2688</Characters>
  <Lines>26</Lines>
  <Paragraphs>7</Paragraphs>
  <TotalTime>6</TotalTime>
  <ScaleCrop>false</ScaleCrop>
  <LinksUpToDate>false</LinksUpToDate>
  <CharactersWithSpaces>2784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2021-12-20T07:22:00Z</dcterms:created>
  <dc:creator>Administrator</dc:creator>
  <cp:lastModifiedBy>乌龙茶de-su</cp:lastModifiedBy>
  <cp:lastPrinted>2022-09-22T01:50:00Z</cp:lastPrinted>
  <dcterms:modified xsi:type="dcterms:W3CDTF">2023-03-17T08:35:55Z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A1B90F49CCEE4462806CE6CD3FD2BB18</vt:lpwstr>
  </property>
</Properties>
</file>