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color w:val="auto"/>
          <w:sz w:val="44"/>
          <w:szCs w:val="44"/>
          <w:lang w:eastAsia="zh-CN"/>
        </w:rPr>
      </w:pPr>
      <w:bookmarkStart w:id="0" w:name="_GoBack"/>
      <w:bookmarkEnd w:id="0"/>
      <w:r>
        <w:rPr>
          <w:rFonts w:hint="default" w:ascii="Times New Roman" w:hAnsi="Times New Roman" w:eastAsia="华文中宋" w:cs="Times New Roman"/>
          <w:b/>
          <w:color w:val="FF0000"/>
          <w:spacing w:val="140"/>
          <w:sz w:val="18"/>
          <w:szCs w:val="18"/>
        </w:rPr>
        <w:pict>
          <v:shape id="Object 4" o:spid="_x0000_s2051" o:spt="75" type="#_x0000_t75" style="position:absolute;left:0pt;margin-left:438.7pt;margin-top:49.65pt;height:118.45pt;width:118.45pt;mso-position-horizontal-relative:page;mso-position-vertical-relative:page;z-index:-251656192;mso-width-relative:page;mso-height-relative:page;" o:ole="t" filled="f" stroked="f" coordsize="21600,21600">
            <v:path/>
            <v:fill on="f" opacity="0f" o:opacity2="65535f" alignshape="1" focussize="0,0"/>
            <v:stroke on="f"/>
            <v:imagedata r:id="rId7" chromakey="#FFFFFF" o:title=""/>
            <o:lock v:ext="edit" aspectratio="t"/>
            <v:shadow on="t" color="#A0A0A4" offset="0pt,0pt"/>
          </v:shape>
          <o:OLEObject Type="Embed" ProgID="" ShapeID="Object 4" DrawAspect="Content" ObjectID="_1468075725" r:id="rId6">
            <o:LockedField>false</o:LockedField>
          </o:OLEObject>
        </w:pict>
      </w:r>
    </w:p>
    <w:p>
      <w:pPr>
        <w:jc w:val="center"/>
        <w:rPr>
          <w:rFonts w:hint="default" w:ascii="Times New Roman" w:hAnsi="Times New Roman" w:cs="Times New Roman" w:eastAsiaTheme="minorEastAsia"/>
          <w:color w:val="auto"/>
          <w:sz w:val="44"/>
          <w:szCs w:val="44"/>
          <w:lang w:eastAsia="zh-CN"/>
        </w:rPr>
      </w:pPr>
    </w:p>
    <w:p>
      <w:pPr>
        <w:jc w:val="center"/>
        <w:rPr>
          <w:rFonts w:hint="default" w:ascii="Times New Roman" w:hAnsi="Times New Roman" w:cs="Times New Roman" w:eastAsiaTheme="minorEastAsia"/>
          <w:color w:val="auto"/>
          <w:sz w:val="44"/>
          <w:szCs w:val="44"/>
          <w:lang w:eastAsia="zh-CN"/>
        </w:rPr>
      </w:pPr>
    </w:p>
    <w:p>
      <w:pPr>
        <w:jc w:val="center"/>
        <w:rPr>
          <w:rFonts w:hint="default" w:ascii="Times New Roman" w:hAnsi="Times New Roman" w:cs="Times New Roman"/>
          <w:b/>
          <w:bCs/>
          <w:color w:val="FF3300"/>
          <w:spacing w:val="120"/>
          <w:w w:val="90"/>
          <w:sz w:val="56"/>
          <w:szCs w:val="56"/>
        </w:rPr>
      </w:pPr>
      <w:r>
        <w:rPr>
          <w:rFonts w:hint="default" w:ascii="Times New Roman" w:hAnsi="Times New Roman" w:cs="Times New Roman"/>
          <w:b/>
          <w:bCs/>
          <w:color w:val="FF3300"/>
          <w:spacing w:val="120"/>
          <w:w w:val="90"/>
          <w:sz w:val="56"/>
          <w:szCs w:val="56"/>
        </w:rPr>
        <w:t>广西壮族自治区</w:t>
      </w:r>
    </w:p>
    <w:p>
      <w:pPr>
        <w:jc w:val="center"/>
        <w:rPr>
          <w:rFonts w:hint="default" w:ascii="Times New Roman" w:hAnsi="Times New Roman" w:cs="Times New Roman"/>
          <w:b/>
          <w:color w:val="FF0000"/>
          <w:spacing w:val="140"/>
          <w:sz w:val="10"/>
          <w:szCs w:val="10"/>
        </w:rPr>
      </w:pPr>
    </w:p>
    <w:p>
      <w:pPr>
        <w:jc w:val="center"/>
        <w:rPr>
          <w:rFonts w:hint="default" w:ascii="Times New Roman" w:hAnsi="Times New Roman" w:cs="Times New Roman"/>
          <w:b/>
          <w:color w:val="FF0000"/>
          <w:spacing w:val="140"/>
          <w:sz w:val="10"/>
          <w:szCs w:val="10"/>
        </w:rPr>
      </w:pPr>
    </w:p>
    <w:p>
      <w:pPr>
        <w:jc w:val="center"/>
        <w:rPr>
          <w:rFonts w:hint="default" w:ascii="Times New Roman" w:hAnsi="Times New Roman" w:cs="Times New Roman"/>
          <w:b/>
          <w:bCs/>
          <w:color w:val="FF3300"/>
          <w:spacing w:val="120"/>
          <w:w w:val="86"/>
          <w:sz w:val="88"/>
          <w:szCs w:val="96"/>
        </w:rPr>
      </w:pPr>
      <w:r>
        <w:rPr>
          <w:rFonts w:hint="default" w:ascii="Times New Roman" w:hAnsi="Times New Roman" w:cs="Times New Roman"/>
          <w:b/>
          <w:bCs/>
          <w:color w:val="FF3300"/>
          <w:spacing w:val="120"/>
          <w:w w:val="86"/>
          <w:sz w:val="88"/>
          <w:szCs w:val="96"/>
        </w:rPr>
        <w:t>鹿寨县人民政府文件</w:t>
      </w:r>
    </w:p>
    <w:p>
      <w:pPr>
        <w:spacing w:line="50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鹿政规〔20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9</w:t>
      </w:r>
      <w:r>
        <w:rPr>
          <w:rFonts w:hint="default" w:ascii="Times New Roman" w:hAnsi="Times New Roman" w:eastAsia="仿宋_GB2312" w:cs="Times New Roman"/>
          <w:sz w:val="32"/>
        </w:rPr>
        <w:t>号</w:t>
      </w:r>
    </w:p>
    <w:p>
      <w:pPr>
        <w:spacing w:line="50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179070</wp:posOffset>
                </wp:positionV>
                <wp:extent cx="5600700" cy="0"/>
                <wp:effectExtent l="0" t="25400" r="0" b="31750"/>
                <wp:wrapNone/>
                <wp:docPr id="2" name="直接箭头连接符 2"/>
                <wp:cNvGraphicFramePr/>
                <a:graphic xmlns:a="http://schemas.openxmlformats.org/drawingml/2006/main">
                  <a:graphicData uri="http://schemas.microsoft.com/office/word/2010/wordprocessingShape">
                    <wps:wsp>
                      <wps:cNvCnPr/>
                      <wps:spPr>
                        <a:xfrm>
                          <a:off x="0" y="0"/>
                          <a:ext cx="5600700" cy="0"/>
                        </a:xfrm>
                        <a:prstGeom prst="straightConnector1">
                          <a:avLst/>
                        </a:prstGeom>
                        <a:ln w="508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5pt;margin-top:14.1pt;height:0pt;width:441pt;z-index:251659264;mso-width-relative:page;mso-height-relative:page;" filled="f" stroked="t" coordsize="21600,21600" o:gfxdata="UEsDBAoAAAAAAIdO4kAAAAAAAAAAAAAAAAAEAAAAZHJzL1BLAwQUAAAACACHTuJAhjfYGtgAAAAI&#10;AQAADwAAAGRycy9kb3ducmV2LnhtbE2PzUvDQBDF70L/h2UKXsTuJn4QYzYFBU+CrbFYvG2z0ySY&#10;nQ3Z7dd/70gPehrmveHN7xXzo+vFHsfQedKQzBQIpNrbjhoNq4+X6wxEiIas6T2hhhMGmJeTi8Lk&#10;1h/oHfdVbASHUMiNhjbGIZcy1C06E2Z+QGJv60dnIq9jI+1oDhzuepkqdS+d6Yg/tGbA5xbr72rn&#10;NGRP2efXYuvfXm/t8nS3Xq+qcKW0vpwm6hFExGP8O4ZffEaHkpk2fkc2iF5DmnCVyDNLQbD/oG5Y&#10;2JwFWRbyf4HyB1BLAwQUAAAACACHTuJAd5FWUf0BAADtAwAADgAAAGRycy9lMm9Eb2MueG1srVPN&#10;jtMwEL4j8Q6W7zRpJZZV1HQPLeWCoBLwAFPHSSz5Tx5v074EL4DECTgBp73v08DyGIydbheWyx7I&#10;wRl7PN/M93lmfrE3mu1kQOVszaeTkjNphWuU7Wr+7u36yTlnGME2oJ2VNT9I5BeLx4/mg6/kzPVO&#10;NzIwArFYDb7mfYy+KgoUvTSAE+elJWfrgoFI29AVTYCB0I0uZmV5VgwuND44IRHpdDU6+RExPATQ&#10;ta0ScuXEpZE2jqhBaohECXvlkS9ytW0rRXzdtigj0zUnpjGvlITsbVqLxRyqLoDvlTiWAA8p4R4n&#10;A8pS0hPUCiKwy6D+gTJKBIeujRPhTDESyYoQi2l5T5s3PXiZuZDU6E+i4/+DFa92m8BUU/MZZxYM&#10;PfjNh6uf7z/ffP/249PVr+uPyf76hc2SVIPHiiKWdhOOO/SbkHjv22DSnxixfZb3cJJX7iMTdPj0&#10;rCyflaS8uPUVd4E+YHwhnWHJqDnGAKrr49JZS4/owjTLC7uXGCk1Bd4GpKzasoHwy/OMDtSVLXUD&#10;JTKemKHtcjA6rZq10jqFYOi2Sx3YDqgz1uuSvsSQgP+6lrKsAPvxXnaNPdNLaJ7bhsWDJ80sjQpP&#10;NRjZcKYlTVayCBCqCEo/5Cal1pYqSCKPsiZr65pDVjufUxfkGo8dm9rsz32OvpvS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N9ga2AAAAAgBAAAPAAAAAAAAAAEAIAAAACIAAABkcnMvZG93bnJl&#10;di54bWxQSwECFAAUAAAACACHTuJAd5FWUf0BAADtAwAADgAAAAAAAAABACAAAAAnAQAAZHJzL2Uy&#10;b0RvYy54bWxQSwUGAAAAAAYABgBZAQAAlgUAAAAA&#10;">
                <v:fill on="f" focussize="0,0"/>
                <v:stroke weight="4pt" color="#FF0000" joinstyle="round"/>
                <v:imagedata o:title=""/>
                <o:lock v:ext="edit" aspectratio="f"/>
              </v:shape>
            </w:pict>
          </mc:Fallback>
        </mc:AlternateConten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cs="Times New Roman"/>
          <w:sz w:val="44"/>
        </w:rPr>
      </w:pPr>
      <w:r>
        <w:rPr>
          <w:rFonts w:hint="default" w:ascii="Times New Roman" w:hAnsi="Times New Roman" w:cs="Times New Roman"/>
          <w:sz w:val="44"/>
        </w:rPr>
        <w:t>鹿寨县人民政府</w:t>
      </w:r>
    </w:p>
    <w:p>
      <w:pPr>
        <w:pStyle w:val="8"/>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cs="Times New Roman"/>
          <w:color w:val="auto"/>
          <w:sz w:val="44"/>
          <w:szCs w:val="44"/>
          <w:lang w:eastAsia="zh-CN"/>
        </w:rPr>
      </w:pPr>
      <w:r>
        <w:rPr>
          <w:rFonts w:hint="default" w:ascii="Times New Roman" w:hAnsi="Times New Roman" w:cs="Times New Roman"/>
          <w:color w:val="auto"/>
          <w:sz w:val="44"/>
          <w:szCs w:val="44"/>
          <w:lang w:eastAsia="zh-CN"/>
        </w:rPr>
        <w:t>关于印发</w:t>
      </w:r>
      <w:r>
        <w:rPr>
          <w:rFonts w:hint="eastAsia" w:ascii="Times New Roman" w:hAnsi="Times New Roman" w:cs="Times New Roman"/>
          <w:color w:val="auto"/>
          <w:sz w:val="44"/>
          <w:szCs w:val="44"/>
          <w:lang w:eastAsia="zh-CN"/>
        </w:rPr>
        <w:t>《鹿寨县油茶产业高质量发展</w:t>
      </w:r>
    </w:p>
    <w:p>
      <w:pPr>
        <w:pStyle w:val="8"/>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cs="Times New Roman"/>
          <w:color w:val="auto"/>
          <w:sz w:val="44"/>
          <w:szCs w:val="44"/>
          <w:lang w:eastAsia="zh-CN"/>
        </w:rPr>
      </w:pPr>
      <w:r>
        <w:rPr>
          <w:rFonts w:hint="eastAsia" w:ascii="Times New Roman" w:hAnsi="Times New Roman" w:cs="Times New Roman"/>
          <w:color w:val="auto"/>
          <w:sz w:val="44"/>
          <w:szCs w:val="44"/>
          <w:lang w:eastAsia="zh-CN"/>
        </w:rPr>
        <w:t>实施方案》</w:t>
      </w:r>
      <w:r>
        <w:rPr>
          <w:rFonts w:hint="default" w:ascii="Times New Roman" w:hAnsi="Times New Roman" w:cs="Times New Roman"/>
          <w:color w:val="auto"/>
          <w:sz w:val="44"/>
          <w:szCs w:val="44"/>
          <w:lang w:eastAsia="zh-CN"/>
        </w:rPr>
        <w:t>的通知</w:t>
      </w:r>
    </w:p>
    <w:p>
      <w:pPr>
        <w:pStyle w:val="8"/>
        <w:keepNext w:val="0"/>
        <w:keepLines w:val="0"/>
        <w:pageBreakBefore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color w:val="auto"/>
          <w:sz w:val="32"/>
          <w:szCs w:val="32"/>
          <w:lang w:eastAsia="zh-CN"/>
        </w:rPr>
      </w:pPr>
    </w:p>
    <w:p>
      <w:pPr>
        <w:pStyle w:val="8"/>
        <w:keepNext w:val="0"/>
        <w:keepLines w:val="0"/>
        <w:pageBreakBefore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各乡镇人民政府，县直各单位：</w:t>
      </w:r>
    </w:p>
    <w:p>
      <w:pPr>
        <w:ind w:firstLine="640" w:firstLineChars="200"/>
        <w:jc w:val="both"/>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《鹿寨县油茶产业高质量发展实施方案》</w:t>
      </w:r>
      <w:r>
        <w:rPr>
          <w:rFonts w:hint="default" w:ascii="Times New Roman" w:hAnsi="Times New Roman" w:eastAsia="仿宋_GB2312" w:cs="Times New Roman"/>
          <w:color w:val="auto"/>
          <w:sz w:val="32"/>
          <w:szCs w:val="32"/>
          <w:lang w:val="en-US" w:eastAsia="zh-CN"/>
        </w:rPr>
        <w:t>已经县十</w:t>
      </w:r>
      <w:r>
        <w:rPr>
          <w:rFonts w:hint="eastAsia"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lang w:val="en-US" w:eastAsia="zh-CN"/>
        </w:rPr>
        <w:t>届人民政府常务会第</w:t>
      </w:r>
      <w:r>
        <w:rPr>
          <w:rFonts w:hint="eastAsia"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lang w:val="en-US" w:eastAsia="zh-CN"/>
        </w:rPr>
        <w:t>次会议审议通过，现印发给你们，</w:t>
      </w:r>
      <w:r>
        <w:rPr>
          <w:rFonts w:hint="default" w:ascii="Times New Roman" w:hAnsi="Times New Roman" w:eastAsia="仿宋_GB2312" w:cs="Times New Roman"/>
          <w:sz w:val="32"/>
          <w:szCs w:val="32"/>
        </w:rPr>
        <w:t>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Theme="minorEastAsia" w:hAnsiTheme="minorEastAsia" w:eastAsiaTheme="minorEastAsia" w:cstheme="minorEastAsia"/>
          <w:color w:val="auto"/>
          <w:spacing w:val="0"/>
          <w:sz w:val="44"/>
          <w:szCs w:val="44"/>
          <w:lang w:eastAsia="zh-CN"/>
        </w:rPr>
      </w:pPr>
      <w:r>
        <w:rPr>
          <w:rFonts w:hint="eastAsia" w:ascii="宋体" w:hAnsi="宋体" w:eastAsia="宋体" w:cs="宋体"/>
          <w:color w:val="auto"/>
          <w:spacing w:val="0"/>
          <w:sz w:val="44"/>
          <w:szCs w:val="44"/>
          <w:lang w:eastAsia="zh-CN"/>
        </w:rPr>
        <w:t>鹿寨县油茶产业高质量发展实施方案</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Theme="minorEastAsia" w:hAnsiTheme="minorEastAsia" w:eastAsiaTheme="minorEastAsia" w:cstheme="minorEastAsia"/>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为加快推进油茶产业发展，巩固脱贫成果，助推乡村产业振兴，根据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广西壮族自治区人民政府关于实施油茶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计划助推乡村产业振兴的意见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桂政发〔2018〕52号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中共柳州市委办公室 柳州市人民政府办公室关于印发〈加快特色产业发展打造柳州油茶精深加工基地引领广西油茶产业高质量发展工作总体实施方案〉的通知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柳办〔2022〕28号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精神，结合我县实际，制定本方案。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以习近平新时代中国特色社会主义思想为指导</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全面贯彻落实党的十九大和十九届历次全会精神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落实新发展理念和高质量发展要求，践行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绿水青山就是金山银山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理念，贯彻落实自治区关于林业高质量发展意见和实施油茶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计划有关意见，认真落实市委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实业兴市，开放强柳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战略部署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切实加大政策引导力度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扩大油茶种植规模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推广良种油茶种植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优化产业结构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实现油茶产业发展质量、效益双提升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将油茶产业打造成为我县农民增收致富的有效途径、实施乡村振兴战略的新亮点。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sz w:val="32"/>
          <w:szCs w:val="32"/>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到2025年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全县完成油茶新造林2.8万亩，油茶低产林改造0.4万亩，建成200亩以上油茶种植示范基地7个。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sz w:val="32"/>
          <w:szCs w:val="32"/>
        </w:rPr>
        <w:t>三、支持政策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油茶新造林项目补助政策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企业、国有林场、合作社、种植大户和农户等实施的油茶新造林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经验收合格后，按3500元/亩的标准给予补助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其中自治区</w:t>
      </w:r>
      <w:r>
        <w:rPr>
          <w:rFonts w:hint="eastAsia"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按1000元/亩</w:t>
      </w:r>
      <w:r>
        <w:rPr>
          <w:rFonts w:hint="eastAsia" w:ascii="Times New Roman" w:hAnsi="Times New Roman" w:eastAsia="仿宋_GB2312" w:cs="Times New Roman"/>
          <w:sz w:val="32"/>
          <w:szCs w:val="32"/>
          <w:lang w:eastAsia="zh-CN"/>
        </w:rPr>
        <w:t>的标准</w:t>
      </w:r>
      <w:r>
        <w:rPr>
          <w:rFonts w:hint="default" w:ascii="Times New Roman" w:hAnsi="Times New Roman" w:eastAsia="仿宋_GB2312" w:cs="Times New Roman"/>
          <w:sz w:val="32"/>
          <w:szCs w:val="32"/>
        </w:rPr>
        <w:t>给予补助，市级按1500元/亩</w:t>
      </w:r>
      <w:r>
        <w:rPr>
          <w:rFonts w:hint="eastAsia" w:ascii="Times New Roman" w:hAnsi="Times New Roman" w:eastAsia="仿宋_GB2312" w:cs="Times New Roman"/>
          <w:sz w:val="32"/>
          <w:szCs w:val="32"/>
          <w:lang w:eastAsia="zh-CN"/>
        </w:rPr>
        <w:t>的标准</w:t>
      </w:r>
      <w:r>
        <w:rPr>
          <w:rFonts w:hint="default" w:ascii="Times New Roman" w:hAnsi="Times New Roman" w:eastAsia="仿宋_GB2312" w:cs="Times New Roman"/>
          <w:sz w:val="32"/>
          <w:szCs w:val="32"/>
        </w:rPr>
        <w:t>给予补助，县级按1000元/亩</w:t>
      </w:r>
      <w:r>
        <w:rPr>
          <w:rFonts w:hint="eastAsia" w:ascii="Times New Roman" w:hAnsi="Times New Roman" w:eastAsia="仿宋_GB2312" w:cs="Times New Roman"/>
          <w:sz w:val="32"/>
          <w:szCs w:val="32"/>
          <w:lang w:eastAsia="zh-CN"/>
        </w:rPr>
        <w:t>的标准</w:t>
      </w:r>
      <w:r>
        <w:rPr>
          <w:rFonts w:hint="default" w:ascii="Times New Roman" w:hAnsi="Times New Roman" w:eastAsia="仿宋_GB2312" w:cs="Times New Roman"/>
          <w:sz w:val="32"/>
          <w:szCs w:val="32"/>
        </w:rPr>
        <w:t>给予补助。分4年兑现到位：第1年按2000元/亩的标准给予造林补助，其中自治区</w:t>
      </w:r>
      <w:r>
        <w:rPr>
          <w:rFonts w:hint="eastAsia"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补助500元/亩、市级补助1000元/亩、县级补助500元/亩；第2年按500元/亩的标准给予补助，其中自治区</w:t>
      </w:r>
      <w:r>
        <w:rPr>
          <w:rFonts w:hint="eastAsia"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补助500元/亩；第3年按500元/亩的标准给予补助，其中市级补助250元/亩、县级补助250元/亩；第4年按500元/亩的标准给予补助，其中市级补助250元/亩、县级补助250元/亩。油茶低产林更新改造按新造林补助标准执行。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油茶低产林抚育改造项目补助政策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油茶低产林抚育改造，按1500元/亩的标准给予补助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其中自治区</w:t>
      </w:r>
      <w:r>
        <w:rPr>
          <w:rFonts w:hint="eastAsia"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按400元/亩</w:t>
      </w:r>
      <w:r>
        <w:rPr>
          <w:rFonts w:hint="eastAsia" w:ascii="Times New Roman" w:hAnsi="Times New Roman" w:eastAsia="仿宋_GB2312" w:cs="Times New Roman"/>
          <w:sz w:val="32"/>
          <w:szCs w:val="32"/>
          <w:lang w:eastAsia="zh-CN"/>
        </w:rPr>
        <w:t>的标准</w:t>
      </w:r>
      <w:r>
        <w:rPr>
          <w:rFonts w:hint="default" w:ascii="Times New Roman" w:hAnsi="Times New Roman" w:eastAsia="仿宋_GB2312" w:cs="Times New Roman"/>
          <w:sz w:val="32"/>
          <w:szCs w:val="32"/>
        </w:rPr>
        <w:t>给予补助，市级按1000元/亩</w:t>
      </w:r>
      <w:r>
        <w:rPr>
          <w:rFonts w:hint="eastAsia" w:ascii="Times New Roman" w:hAnsi="Times New Roman" w:eastAsia="仿宋_GB2312" w:cs="Times New Roman"/>
          <w:sz w:val="32"/>
          <w:szCs w:val="32"/>
          <w:lang w:eastAsia="zh-CN"/>
        </w:rPr>
        <w:t>的标准</w:t>
      </w:r>
      <w:r>
        <w:rPr>
          <w:rFonts w:hint="default" w:ascii="Times New Roman" w:hAnsi="Times New Roman" w:eastAsia="仿宋_GB2312" w:cs="Times New Roman"/>
          <w:sz w:val="32"/>
          <w:szCs w:val="32"/>
        </w:rPr>
        <w:t>给予补助，县级按100元/亩</w:t>
      </w:r>
      <w:r>
        <w:rPr>
          <w:rFonts w:hint="eastAsia" w:ascii="Times New Roman" w:hAnsi="Times New Roman" w:eastAsia="仿宋_GB2312" w:cs="Times New Roman"/>
          <w:sz w:val="32"/>
          <w:szCs w:val="32"/>
          <w:lang w:eastAsia="zh-CN"/>
        </w:rPr>
        <w:t>的标准</w:t>
      </w:r>
      <w:r>
        <w:rPr>
          <w:rFonts w:hint="default" w:ascii="Times New Roman" w:hAnsi="Times New Roman" w:eastAsia="仿宋_GB2312" w:cs="Times New Roman"/>
          <w:sz w:val="32"/>
          <w:szCs w:val="32"/>
        </w:rPr>
        <w:t>给予补助。分3年兑现到位：第1年按500元/亩的标准给予补助，其中自治区</w:t>
      </w:r>
      <w:r>
        <w:rPr>
          <w:rFonts w:hint="eastAsia"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补助200元/亩、市级补助300元/亩；第2年按500元/亩的标准给予补助，其中自治区</w:t>
      </w:r>
      <w:r>
        <w:rPr>
          <w:rFonts w:hint="eastAsia"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补助200元/亩、市级补助300元/亩；第3年按500元/亩的标准给予补助，其中市级补助400元/亩、县级补助100元/亩。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sz w:val="32"/>
          <w:szCs w:val="32"/>
        </w:rPr>
        <w:t>四、申请条件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新造林项目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油茶新造林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含低产林更新改造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要求使用2年以上、来源符合有关规定的油茶良种大苗，要求百分之百大苗、百分之百良种、百分之百结果。项目申请面积要求相对集中连片20亩以上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含20亩，指在项目实施地块间水平距离1公里范围内的面积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，鼓励农户将零星土地以流转或入股形式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通过合作社或企业申报项目补助。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造林地无权属纠纷，未享受过自治区其他林业补助政策，并且不在生态公益林、耕地、饮用水水源保护区范围内，禁止采伐天然林种植油茶。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在同一地块上，已实施过油茶造林补助项目，3年内不能重复享受同一项目的造林补助政策。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低产林抚育改造项目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项目申请面积要求相对集中连片20亩以上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含20亩，指在项目实施地块间水平距离1公里范围内的面积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，鼓励农户将零星土地以流转或入股形式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通过合作社或企业申报项目补助。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申请抚育改造项目的油茶林分，应为年产油量在10 kg/亩以下的油茶成林。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sz w:val="32"/>
          <w:szCs w:val="32"/>
        </w:rPr>
        <w:t>五、实施步骤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20"/>
          <w:sz w:val="32"/>
          <w:szCs w:val="32"/>
          <w:lang w:val="en-US" w:eastAsia="zh-CN"/>
        </w:rPr>
      </w:pPr>
      <w:r>
        <w:rPr>
          <w:rFonts w:hint="default" w:ascii="Times New Roman" w:hAnsi="Times New Roman" w:eastAsia="仿宋_GB2312" w:cs="Times New Roman"/>
          <w:sz w:val="32"/>
          <w:szCs w:val="32"/>
        </w:rPr>
        <w:t>乡镇宣传发动→林农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农村经济合作组织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提出申请报乡镇乡村建设综合服务中心→乡镇乡村建设综合服务中心核实统计造册→上报乡镇人民政府审定、县林业局备案汇总→乡镇组织实施→</w:t>
      </w:r>
      <w:r>
        <w:rPr>
          <w:rFonts w:hint="eastAsia" w:ascii="Times New Roman" w:hAnsi="Times New Roman" w:eastAsia="仿宋_GB2312" w:cs="Times New Roman"/>
          <w:sz w:val="32"/>
          <w:szCs w:val="32"/>
          <w:lang w:eastAsia="zh-CN"/>
        </w:rPr>
        <w:t>乡镇及县林业局</w:t>
      </w:r>
      <w:r>
        <w:rPr>
          <w:rFonts w:hint="default" w:ascii="Times New Roman" w:hAnsi="Times New Roman" w:eastAsia="仿宋_GB2312" w:cs="Times New Roman"/>
          <w:sz w:val="32"/>
          <w:szCs w:val="32"/>
        </w:rPr>
        <w:t>技术指导→乡镇</w:t>
      </w:r>
      <w:r>
        <w:rPr>
          <w:rFonts w:hint="eastAsia" w:ascii="Times New Roman" w:hAnsi="Times New Roman" w:eastAsia="仿宋_GB2312" w:cs="Times New Roman"/>
          <w:sz w:val="32"/>
          <w:szCs w:val="32"/>
          <w:lang w:eastAsia="zh-CN"/>
        </w:rPr>
        <w:t>及县</w:t>
      </w:r>
      <w:r>
        <w:rPr>
          <w:rFonts w:hint="default" w:ascii="Times New Roman" w:hAnsi="Times New Roman" w:eastAsia="仿宋_GB2312" w:cs="Times New Roman"/>
          <w:sz w:val="32"/>
          <w:szCs w:val="32"/>
        </w:rPr>
        <w:t>林业</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组织验收→兑现补助→项目实施完成。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宣传发动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各乡镇、各有关单位要采取群众喜闻乐见的方式，广泛开展政策宣传，严明申报纪律，要认真落实发动林农积极参与项目建设。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项目申请对象以书面形式向林地所在乡镇乡村建设综合服务中心递交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诚信承诺书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鹿寨县油茶产业发展项目申请表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提出申请。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核实造册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各乡镇乡村建设综合服务中心按照申请先后顺序组织技术人员开展现场核实，符合项目实施要求的予以受理，不符合项目实施要求</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不予受理，并说明原因，填写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鹿寨县油茶产业发展新造林项目申报与核实登记表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鹿寨县油茶产业发展低产林抚育改造项目申报与核实登记表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登记造册存档。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审定备案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各乡镇乡村建设综合服务中心将符合项目实施条件的申请汇总填写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鹿寨县油茶产业发展新造林项目实施汇总表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鹿寨县油茶产业发展低产林抚育改造项目实施汇总表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报乡镇人民政府审定，经审定同意后填写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鹿寨县油茶产业发展项目实施主体公示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在项目林地所在村委会公示7天，公示无异议后由各乡镇人民政府与确定的各项目实施主体签订造林或抚育改造合同，并</w:t>
      </w:r>
      <w:r>
        <w:rPr>
          <w:rFonts w:hint="eastAsia" w:ascii="Times New Roman" w:hAnsi="Times New Roman" w:eastAsia="仿宋_GB2312" w:cs="Times New Roman"/>
          <w:sz w:val="32"/>
          <w:szCs w:val="32"/>
          <w:lang w:eastAsia="zh-CN"/>
        </w:rPr>
        <w:t>报</w:t>
      </w:r>
      <w:r>
        <w:rPr>
          <w:rFonts w:hint="default" w:ascii="Times New Roman" w:hAnsi="Times New Roman" w:eastAsia="仿宋_GB2312" w:cs="Times New Roman"/>
          <w:sz w:val="32"/>
          <w:szCs w:val="32"/>
        </w:rPr>
        <w:t>送县林业局备案。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五</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各乡镇人民政府负责组织各项目实施主体按照广西油茶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计划新造林项目或低产林改造项目检查验收技术标准完成造林或抚育改造，县林业局负责规划设计、组织开展技术服务。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六</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各乡镇人民政府按照我县年度营造林检查验收工作安排，通知各项目实施主体做好自检及项目验收申请，并组织人员按照广西油茶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计划新造林项目或低产林</w:t>
      </w:r>
      <w:r>
        <w:rPr>
          <w:rFonts w:hint="eastAsia" w:ascii="Times New Roman" w:hAnsi="Times New Roman" w:eastAsia="仿宋_GB2312" w:cs="Times New Roman"/>
          <w:sz w:val="32"/>
          <w:szCs w:val="32"/>
          <w:lang w:eastAsia="zh-CN"/>
        </w:rPr>
        <w:t>抚育</w:t>
      </w:r>
      <w:r>
        <w:rPr>
          <w:rFonts w:hint="default" w:ascii="Times New Roman" w:hAnsi="Times New Roman" w:eastAsia="仿宋_GB2312" w:cs="Times New Roman"/>
          <w:sz w:val="32"/>
          <w:szCs w:val="32"/>
        </w:rPr>
        <w:t>改造项目检查验收技术标准和办法，逐小班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开展项目验收，并填写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鹿寨县油茶产业发展新造林项目验收卡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附件10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鹿寨县油茶产业发展新造林项目检查验收外业调查表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附件11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鹿寨县油茶产业发展低产林抚育改造项目验收卡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附件12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鹿寨县油茶产业发展低产林抚育改造项目验收调查表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附件13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连同项目地块比例尺为1：10000的验收地形图一</w:t>
      </w:r>
      <w:r>
        <w:rPr>
          <w:rFonts w:hint="eastAsia" w:ascii="Times New Roman" w:hAnsi="Times New Roman" w:eastAsia="仿宋_GB2312" w:cs="Times New Roman"/>
          <w:sz w:val="32"/>
          <w:szCs w:val="32"/>
          <w:lang w:eastAsia="zh-CN"/>
        </w:rPr>
        <w:t>并报</w:t>
      </w:r>
      <w:r>
        <w:rPr>
          <w:rFonts w:hint="default" w:ascii="Times New Roman" w:hAnsi="Times New Roman" w:eastAsia="仿宋_GB2312" w:cs="Times New Roman"/>
          <w:sz w:val="32"/>
          <w:szCs w:val="32"/>
        </w:rPr>
        <w:t>送县林业局申请县级验收，县林业局组织人员按照各乡镇验收合格小班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总数及总面积≧10%比例进行抽查核验。由各乡镇人民政府填写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油茶产业发展项目验收及兑现公示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附件14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，将验收结果及补助情况在项目林地所在村委会公示7天。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七</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兑现补助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　　公示</w:t>
      </w:r>
      <w:r>
        <w:rPr>
          <w:rFonts w:hint="eastAsia" w:ascii="Times New Roman" w:hAnsi="Times New Roman" w:eastAsia="仿宋_GB2312" w:cs="Times New Roman"/>
          <w:sz w:val="32"/>
          <w:szCs w:val="32"/>
          <w:lang w:eastAsia="zh-CN"/>
        </w:rPr>
        <w:t>结束</w:t>
      </w:r>
      <w:r>
        <w:rPr>
          <w:rFonts w:hint="default" w:ascii="Times New Roman" w:hAnsi="Times New Roman" w:eastAsia="仿宋_GB2312" w:cs="Times New Roman"/>
          <w:sz w:val="32"/>
          <w:szCs w:val="32"/>
        </w:rPr>
        <w:t>后，各乡镇人民政府将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公示回执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附件15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鹿寨县油茶产业发展新造林项目补助兑现统计汇总表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附件16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鹿寨县油茶产业发展低产林抚育改造项目补助兑现统计汇总表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附件17</w:t>
      </w:r>
      <w:r>
        <w:rPr>
          <w:rFonts w:hint="eastAsia" w:ascii="Times New Roman" w:hAnsi="Times New Roman" w:eastAsia="仿宋_GB2312" w:cs="Times New Roman"/>
          <w:sz w:val="32"/>
          <w:szCs w:val="32"/>
          <w:lang w:eastAsia="zh-CN"/>
        </w:rPr>
        <w:t>）报</w:t>
      </w:r>
      <w:r>
        <w:rPr>
          <w:rFonts w:hint="default" w:ascii="Times New Roman" w:hAnsi="Times New Roman" w:eastAsia="仿宋_GB2312" w:cs="Times New Roman"/>
          <w:sz w:val="32"/>
          <w:szCs w:val="32"/>
        </w:rPr>
        <w:t>送县林业局，由县林业局汇总报县财政局兑现补助。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sz w:val="32"/>
          <w:szCs w:val="32"/>
        </w:rPr>
        <w:t>六、保障措施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成立县委</w:t>
      </w:r>
      <w:r>
        <w:rPr>
          <w:rFonts w:hint="eastAsia" w:ascii="Times New Roman" w:hAnsi="Times New Roman" w:eastAsia="仿宋_GB2312" w:cs="Times New Roman"/>
          <w:sz w:val="32"/>
          <w:szCs w:val="32"/>
          <w:lang w:eastAsia="zh-CN"/>
        </w:rPr>
        <w:t>副</w:t>
      </w:r>
      <w:r>
        <w:rPr>
          <w:rFonts w:hint="default" w:ascii="Times New Roman" w:hAnsi="Times New Roman" w:eastAsia="仿宋_GB2312" w:cs="Times New Roman"/>
          <w:sz w:val="32"/>
          <w:szCs w:val="32"/>
        </w:rPr>
        <w:t>书记、县长为组长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分管副县长为副组长，县政府办、县林业局、县财政局、县乡村振兴局、各乡镇人民政府等</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主要领导</w:t>
      </w:r>
      <w:r>
        <w:rPr>
          <w:rFonts w:hint="default" w:ascii="Times New Roman" w:hAnsi="Times New Roman" w:eastAsia="仿宋_GB2312" w:cs="Times New Roman"/>
          <w:sz w:val="32"/>
          <w:szCs w:val="32"/>
        </w:rPr>
        <w:t>为成员的鹿寨县油茶产业高质量发展工作领导小组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领导小组下设办公室，办公室设在县林业局。各乡镇要成立相应的领导小组，切实加强</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油茶产业高质量发展工作的领导。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强化部门联动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各乡镇人民政府是实施油茶产业高质量发展项目的责任主体</w:t>
      </w:r>
      <w:r>
        <w:rPr>
          <w:rFonts w:hint="eastAsia"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组织项目实施。县林业局要加强统筹协调、技术指导和服务支撑，指导各乡镇油茶产业</w:t>
      </w:r>
      <w:r>
        <w:rPr>
          <w:rFonts w:hint="eastAsia" w:ascii="Times New Roman" w:hAnsi="Times New Roman" w:eastAsia="仿宋_GB2312" w:cs="Times New Roman"/>
          <w:sz w:val="32"/>
          <w:szCs w:val="32"/>
          <w:lang w:eastAsia="zh-CN"/>
        </w:rPr>
        <w:t>高质量</w:t>
      </w:r>
      <w:r>
        <w:rPr>
          <w:rFonts w:hint="default" w:ascii="Times New Roman" w:hAnsi="Times New Roman" w:eastAsia="仿宋_GB2312" w:cs="Times New Roman"/>
          <w:sz w:val="32"/>
          <w:szCs w:val="32"/>
        </w:rPr>
        <w:t>发展</w:t>
      </w:r>
      <w:r>
        <w:rPr>
          <w:rFonts w:hint="eastAsia" w:ascii="Times New Roman" w:hAnsi="Times New Roman" w:eastAsia="仿宋_GB2312" w:cs="Times New Roman"/>
          <w:sz w:val="32"/>
          <w:szCs w:val="32"/>
          <w:lang w:eastAsia="zh-CN"/>
        </w:rPr>
        <w:t>项目实施</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成员单位要积极整合有关项目及资金支持油茶产业高质量发展项目建设，形成部门合力，共同推进油茶产业</w:t>
      </w:r>
      <w:r>
        <w:rPr>
          <w:rFonts w:hint="eastAsia" w:ascii="Times New Roman" w:hAnsi="Times New Roman" w:eastAsia="仿宋_GB2312" w:cs="Times New Roman"/>
          <w:sz w:val="32"/>
          <w:szCs w:val="32"/>
          <w:lang w:eastAsia="zh-CN"/>
        </w:rPr>
        <w:t>高质量</w:t>
      </w:r>
      <w:r>
        <w:rPr>
          <w:rFonts w:hint="default" w:ascii="Times New Roman" w:hAnsi="Times New Roman" w:eastAsia="仿宋_GB2312" w:cs="Times New Roman"/>
          <w:sz w:val="32"/>
          <w:szCs w:val="32"/>
        </w:rPr>
        <w:t>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强化宣传发动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各乡镇、各有关部门要积极宣传</w:t>
      </w:r>
      <w:r>
        <w:rPr>
          <w:rFonts w:hint="eastAsia" w:ascii="Times New Roman" w:hAnsi="Times New Roman" w:eastAsia="仿宋_GB2312" w:cs="Times New Roman"/>
          <w:sz w:val="32"/>
          <w:szCs w:val="32"/>
          <w:lang w:eastAsia="zh-CN"/>
        </w:rPr>
        <w:t>发动，</w:t>
      </w:r>
      <w:r>
        <w:rPr>
          <w:rFonts w:hint="default" w:ascii="Times New Roman" w:hAnsi="Times New Roman" w:eastAsia="仿宋_GB2312" w:cs="Times New Roman"/>
          <w:sz w:val="32"/>
          <w:szCs w:val="32"/>
        </w:rPr>
        <w:t>以培训、讲座、现场会、印发资料等多种形式宣传油茶产业扶持政策和种植管护技术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指导群众开展项目申报、造林等，确保宣传到村、到户、到人。要挖掘和推广油茶产业</w:t>
      </w:r>
      <w:r>
        <w:rPr>
          <w:rFonts w:hint="eastAsia" w:ascii="Times New Roman" w:hAnsi="Times New Roman" w:eastAsia="仿宋_GB2312" w:cs="Times New Roman"/>
          <w:sz w:val="32"/>
          <w:szCs w:val="32"/>
          <w:lang w:eastAsia="zh-CN"/>
        </w:rPr>
        <w:t>高质量</w:t>
      </w:r>
      <w:r>
        <w:rPr>
          <w:rFonts w:hint="default" w:ascii="Times New Roman" w:hAnsi="Times New Roman" w:eastAsia="仿宋_GB2312" w:cs="Times New Roman"/>
          <w:sz w:val="32"/>
          <w:szCs w:val="32"/>
        </w:rPr>
        <w:t>发展先进典型经验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为油茶产业发展营造良好的舆论氛围。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优化发展模式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通过政府扶持，引导农户通过土地入股参与经营，鼓励油茶企业、合作社等与农户形成利益共同体，增加农民的财产性收入、经营性收入和工资性收入，形成散户自主经营、大户承包</w:t>
      </w:r>
      <w:r>
        <w:rPr>
          <w:rFonts w:hint="eastAsia"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合作社联营、企业规模经营等多种</w:t>
      </w:r>
      <w:r>
        <w:rPr>
          <w:rFonts w:hint="default" w:ascii="Times New Roman" w:hAnsi="Times New Roman" w:eastAsia="仿宋_GB2312" w:cs="Times New Roman"/>
          <w:sz w:val="32"/>
          <w:szCs w:val="32"/>
        </w:rPr>
        <w:t>模式共同发展的格局。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五</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加强科技支撑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县林业局要加强油茶的选育、研究、推广等技术服务，对全县2家油茶苗圃进行科学育苗，加大优质大苗培育，保障油茶种苗供应；组织开展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科技下乡、技术入户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送技术课堂，培育一批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乡土专家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，切实做到县有技术专家、乡有技术骨干、村有技术能人，为油茶产业</w:t>
      </w:r>
      <w:r>
        <w:rPr>
          <w:rFonts w:hint="eastAsia" w:ascii="Times New Roman" w:hAnsi="Times New Roman" w:eastAsia="仿宋_GB2312" w:cs="Times New Roman"/>
          <w:sz w:val="32"/>
          <w:szCs w:val="32"/>
          <w:lang w:eastAsia="zh-CN"/>
        </w:rPr>
        <w:t>高质量</w:t>
      </w:r>
      <w:r>
        <w:rPr>
          <w:rFonts w:hint="default" w:ascii="Times New Roman" w:hAnsi="Times New Roman" w:eastAsia="仿宋_GB2312" w:cs="Times New Roman"/>
          <w:sz w:val="32"/>
          <w:szCs w:val="32"/>
        </w:rPr>
        <w:t xml:space="preserve">发展提供全方位的技术服务。 </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958" w:leftChars="304" w:hanging="320" w:hangingChars="100"/>
        <w:jc w:val="both"/>
        <w:textAlignment w:val="auto"/>
        <w:rPr>
          <w:rFonts w:hint="default" w:ascii="Times New Roman" w:hAnsi="Times New Roman" w:eastAsia="仿宋_GB2312" w:cs="Times New Roman"/>
          <w:color w:val="auto"/>
          <w:w w:val="95"/>
          <w:sz w:val="32"/>
          <w:szCs w:val="32"/>
          <w:lang w:val="en-US" w:eastAsia="zh-CN"/>
        </w:rPr>
      </w:pPr>
      <w:r>
        <w:rPr>
          <w:rFonts w:hint="default" w:ascii="Times New Roman" w:hAnsi="Times New Roman" w:eastAsia="仿宋_GB2312" w:cs="Times New Roman"/>
          <w:sz w:val="32"/>
          <w:szCs w:val="32"/>
        </w:rPr>
        <w:t>附件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1. 鹿寨县油茶产业高质量发展工作领导小组成员名单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诚信承诺书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鹿寨县油茶产业发展项目申请表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4. </w:t>
      </w:r>
      <w:r>
        <w:rPr>
          <w:rFonts w:hint="default" w:ascii="Times New Roman" w:hAnsi="Times New Roman" w:eastAsia="仿宋_GB2312" w:cs="Times New Roman"/>
          <w:sz w:val="32"/>
          <w:szCs w:val="32"/>
        </w:rPr>
        <w:t>鹿寨县油茶产业发展新造林项目申报与核实登记表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80" w:leftChars="760" w:hanging="384" w:hangingChars="12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 xml:space="preserve">5. </w:t>
      </w:r>
      <w:r>
        <w:rPr>
          <w:rFonts w:hint="default" w:ascii="Times New Roman" w:hAnsi="Times New Roman" w:eastAsia="仿宋_GB2312" w:cs="Times New Roman"/>
          <w:sz w:val="32"/>
          <w:szCs w:val="32"/>
        </w:rPr>
        <w:t>鹿寨县油茶产业发展低产林抚育改造项目申报与</w:t>
      </w:r>
      <w:r>
        <w:rPr>
          <w:rFonts w:hint="default" w:ascii="Times New Roman" w:hAnsi="Times New Roman" w:eastAsia="仿宋_GB2312" w:cs="Times New Roman"/>
          <w:sz w:val="32"/>
          <w:szCs w:val="32"/>
          <w:lang w:val="en-US" w:eastAsia="zh-CN"/>
        </w:rPr>
        <w:t>核实登记表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仿宋_GB2312" w:cs="Times New Roman"/>
          <w:color w:val="auto"/>
          <w:w w:val="95"/>
          <w:sz w:val="32"/>
          <w:szCs w:val="32"/>
          <w:lang w:val="en-US" w:eastAsia="zh-CN"/>
        </w:rPr>
      </w:pPr>
      <w:r>
        <w:rPr>
          <w:rFonts w:hint="default" w:ascii="Times New Roman" w:hAnsi="Times New Roman" w:eastAsia="仿宋_GB2312" w:cs="Times New Roman"/>
          <w:color w:val="auto"/>
          <w:sz w:val="32"/>
          <w:szCs w:val="32"/>
          <w:lang w:val="en-US" w:eastAsia="zh-CN"/>
        </w:rPr>
        <w:t xml:space="preserve">6. </w:t>
      </w:r>
      <w:r>
        <w:rPr>
          <w:rFonts w:hint="default" w:ascii="Times New Roman" w:hAnsi="Times New Roman" w:eastAsia="仿宋_GB2312" w:cs="Times New Roman"/>
          <w:sz w:val="32"/>
          <w:szCs w:val="32"/>
        </w:rPr>
        <w:t>鹿寨县油茶产业发展新造林项目实施汇总表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z w:val="32"/>
          <w:szCs w:val="32"/>
          <w:lang w:val="en-US" w:eastAsia="zh-CN"/>
        </w:rPr>
        <w:t xml:space="preserve">7. </w:t>
      </w:r>
      <w:r>
        <w:rPr>
          <w:rFonts w:hint="default" w:ascii="Times New Roman" w:hAnsi="Times New Roman" w:eastAsia="仿宋_GB2312" w:cs="Times New Roman"/>
          <w:spacing w:val="-11"/>
          <w:sz w:val="32"/>
          <w:szCs w:val="32"/>
        </w:rPr>
        <w:t>鹿寨县油茶产业发展低产林抚育改造项目实施汇总表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8. </w:t>
      </w:r>
      <w:r>
        <w:rPr>
          <w:rFonts w:hint="default" w:ascii="Times New Roman" w:hAnsi="Times New Roman" w:eastAsia="仿宋_GB2312" w:cs="Times New Roman"/>
          <w:sz w:val="32"/>
          <w:szCs w:val="32"/>
        </w:rPr>
        <w:t>鹿寨县油茶产业发展项目实施主体公示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9. </w:t>
      </w:r>
      <w:r>
        <w:rPr>
          <w:rFonts w:hint="default" w:ascii="Times New Roman" w:hAnsi="Times New Roman" w:eastAsia="仿宋_GB2312" w:cs="Times New Roman"/>
          <w:sz w:val="32"/>
          <w:szCs w:val="32"/>
        </w:rPr>
        <w:t>油茶产业发展项目验收申请书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10. </w:t>
      </w:r>
      <w:r>
        <w:rPr>
          <w:rFonts w:hint="default" w:ascii="Times New Roman" w:hAnsi="Times New Roman" w:eastAsia="仿宋_GB2312" w:cs="Times New Roman"/>
          <w:sz w:val="32"/>
          <w:szCs w:val="32"/>
        </w:rPr>
        <w:t>鹿寨县油茶产业发展新造林项目验收卡</w:t>
      </w:r>
    </w:p>
    <w:p>
      <w:pPr>
        <w:keepNext w:val="0"/>
        <w:keepLines w:val="0"/>
        <w:pageBreakBefore w:val="0"/>
        <w:widowControl w:val="0"/>
        <w:numPr>
          <w:ilvl w:val="0"/>
          <w:numId w:val="0"/>
        </w:numPr>
        <w:tabs>
          <w:tab w:val="left" w:pos="2031"/>
        </w:tabs>
        <w:kinsoku/>
        <w:wordWrap/>
        <w:overflowPunct/>
        <w:topLinePunct w:val="0"/>
        <w:autoSpaceDE/>
        <w:autoSpaceDN/>
        <w:bidi w:val="0"/>
        <w:adjustRightInd/>
        <w:snapToGrid/>
        <w:spacing w:line="560" w:lineRule="exact"/>
        <w:ind w:left="2140" w:leftChars="760" w:hanging="544" w:hangingChars="17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 xml:space="preserve">11. </w:t>
      </w:r>
      <w:r>
        <w:rPr>
          <w:rFonts w:hint="default" w:ascii="Times New Roman" w:hAnsi="Times New Roman" w:eastAsia="仿宋_GB2312" w:cs="Times New Roman"/>
          <w:sz w:val="32"/>
          <w:szCs w:val="32"/>
        </w:rPr>
        <w:t>鹿寨县油茶产业发展新造林项目检查验收外业调</w:t>
      </w:r>
      <w:r>
        <w:rPr>
          <w:rFonts w:hint="default" w:ascii="Times New Roman" w:hAnsi="Times New Roman" w:eastAsia="仿宋_GB2312" w:cs="Times New Roman"/>
          <w:sz w:val="32"/>
          <w:szCs w:val="32"/>
          <w:lang w:val="en-US" w:eastAsia="zh-CN"/>
        </w:rPr>
        <w:t>查表</w:t>
      </w:r>
    </w:p>
    <w:p>
      <w:pPr>
        <w:keepNext w:val="0"/>
        <w:keepLines w:val="0"/>
        <w:pageBreakBefore w:val="0"/>
        <w:widowControl w:val="0"/>
        <w:numPr>
          <w:ilvl w:val="0"/>
          <w:numId w:val="0"/>
        </w:numPr>
        <w:tabs>
          <w:tab w:val="left" w:pos="2031"/>
        </w:tabs>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12. </w:t>
      </w:r>
      <w:r>
        <w:rPr>
          <w:rFonts w:hint="default" w:ascii="Times New Roman" w:hAnsi="Times New Roman" w:eastAsia="仿宋_GB2312" w:cs="Times New Roman"/>
          <w:sz w:val="32"/>
          <w:szCs w:val="32"/>
        </w:rPr>
        <w:t>鹿寨县油茶产业发展低产林抚育改造项目验收卡</w:t>
      </w:r>
    </w:p>
    <w:p>
      <w:pPr>
        <w:keepNext w:val="0"/>
        <w:keepLines w:val="0"/>
        <w:pageBreakBefore w:val="0"/>
        <w:widowControl w:val="0"/>
        <w:numPr>
          <w:ilvl w:val="0"/>
          <w:numId w:val="0"/>
        </w:numPr>
        <w:tabs>
          <w:tab w:val="left" w:pos="2031"/>
        </w:tabs>
        <w:kinsoku/>
        <w:wordWrap/>
        <w:overflowPunct/>
        <w:topLinePunct w:val="0"/>
        <w:autoSpaceDE/>
        <w:autoSpaceDN/>
        <w:bidi w:val="0"/>
        <w:adjustRightInd/>
        <w:snapToGrid/>
        <w:spacing w:line="560" w:lineRule="exact"/>
        <w:ind w:left="638" w:leftChars="304" w:firstLine="960" w:firstLineChars="3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 xml:space="preserve">13. </w:t>
      </w:r>
      <w:r>
        <w:rPr>
          <w:rFonts w:hint="default" w:ascii="Times New Roman" w:hAnsi="Times New Roman" w:eastAsia="仿宋_GB2312" w:cs="Times New Roman"/>
          <w:sz w:val="32"/>
          <w:szCs w:val="32"/>
        </w:rPr>
        <w:t>鹿寨县油茶产业发展低产林抚育改造项目验收调</w:t>
      </w:r>
    </w:p>
    <w:p>
      <w:pPr>
        <w:keepNext w:val="0"/>
        <w:keepLines w:val="0"/>
        <w:pageBreakBefore w:val="0"/>
        <w:widowControl w:val="0"/>
        <w:numPr>
          <w:ilvl w:val="0"/>
          <w:numId w:val="0"/>
        </w:numPr>
        <w:tabs>
          <w:tab w:val="left" w:pos="2031"/>
        </w:tabs>
        <w:kinsoku/>
        <w:wordWrap/>
        <w:overflowPunct/>
        <w:topLinePunct w:val="0"/>
        <w:autoSpaceDE/>
        <w:autoSpaceDN/>
        <w:bidi w:val="0"/>
        <w:adjustRightInd/>
        <w:snapToGrid/>
        <w:spacing w:line="560" w:lineRule="exact"/>
        <w:ind w:left="0" w:leftChars="0" w:firstLine="2140" w:firstLineChars="669"/>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14. </w:t>
      </w:r>
      <w:r>
        <w:rPr>
          <w:rFonts w:hint="default" w:ascii="Times New Roman" w:hAnsi="Times New Roman" w:eastAsia="仿宋_GB2312" w:cs="Times New Roman"/>
          <w:sz w:val="32"/>
          <w:szCs w:val="32"/>
        </w:rPr>
        <w:t>油茶产业发展项目验收及兑现公示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15. </w:t>
      </w:r>
      <w:r>
        <w:rPr>
          <w:rFonts w:hint="default" w:ascii="Times New Roman" w:hAnsi="Times New Roman" w:eastAsia="仿宋_GB2312" w:cs="Times New Roman"/>
          <w:sz w:val="32"/>
          <w:szCs w:val="32"/>
        </w:rPr>
        <w:t>公示回执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68" w:leftChars="760" w:hanging="572" w:hangingChars="179"/>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 xml:space="preserve">16. </w:t>
      </w:r>
      <w:r>
        <w:rPr>
          <w:rFonts w:hint="default" w:ascii="Times New Roman" w:hAnsi="Times New Roman" w:eastAsia="仿宋_GB2312" w:cs="Times New Roman"/>
          <w:sz w:val="32"/>
          <w:szCs w:val="32"/>
        </w:rPr>
        <w:t>鹿寨县油茶产业发展新造林项目补助兑现统计汇总表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236" w:leftChars="760" w:hanging="640" w:hanging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 xml:space="preserve">17. </w:t>
      </w:r>
      <w:r>
        <w:rPr>
          <w:rFonts w:hint="default" w:ascii="Times New Roman" w:hAnsi="Times New Roman" w:eastAsia="仿宋_GB2312" w:cs="Times New Roman"/>
          <w:sz w:val="32"/>
          <w:szCs w:val="32"/>
        </w:rPr>
        <w:t>鹿寨县油茶产业发展低产林抚育改造项目补助兑现统计汇总表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65" w:leftChars="760" w:hanging="569" w:hangingChars="178"/>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18. 鹿寨县2022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2025年油茶新造林和低产林改造任务分解表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公开方式</w:t>
      </w:r>
      <w:r>
        <w:rPr>
          <w:rFonts w:hint="eastAsia" w:eastAsia="黑体" w:cs="Times New Roman"/>
          <w:sz w:val="32"/>
          <w:szCs w:val="32"/>
          <w:lang w:eastAsia="zh-CN"/>
        </w:rPr>
        <w:t>：</w:t>
      </w:r>
      <w:r>
        <w:rPr>
          <w:rFonts w:hint="default" w:ascii="Times New Roman" w:hAnsi="Times New Roman" w:eastAsia="黑体" w:cs="Times New Roman"/>
          <w:sz w:val="32"/>
          <w:szCs w:val="32"/>
        </w:rPr>
        <w:t>主动公开</w:t>
      </w:r>
    </w:p>
    <w:p>
      <w:pPr>
        <w:keepNext w:val="0"/>
        <w:keepLines w:val="0"/>
        <w:pageBreakBefore w:val="0"/>
        <w:widowControl w:val="0"/>
        <w:kinsoku/>
        <w:wordWrap/>
        <w:overflowPunct/>
        <w:topLinePunct w:val="0"/>
        <w:autoSpaceDE/>
        <w:autoSpaceDN/>
        <w:bidi w:val="0"/>
        <w:adjustRightInd w:val="0"/>
        <w:spacing w:line="560" w:lineRule="exact"/>
        <w:textAlignment w:val="auto"/>
        <w:rPr>
          <w:rFonts w:hint="default" w:ascii="Times New Roman" w:hAnsi="Times New Roman" w:eastAsia="仿宋_GB2312" w:cs="Times New Roman"/>
          <w:sz w:val="28"/>
          <w:u w:val="single"/>
        </w:rPr>
      </w:pPr>
      <w:r>
        <w:rPr>
          <w:rFonts w:hint="default" w:ascii="Times New Roman" w:hAnsi="Times New Roman" w:eastAsia="仿宋_GB2312" w:cs="Times New Roman"/>
          <w:sz w:val="28"/>
          <w:u w:val="single"/>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28"/>
          <w:u w:val="single"/>
        </w:rPr>
        <w:t xml:space="preserve">  鹿寨县人民政府办公室      </w:t>
      </w:r>
      <w:r>
        <w:rPr>
          <w:rFonts w:hint="eastAsia" w:ascii="Times New Roman" w:hAnsi="Times New Roman" w:eastAsia="仿宋_GB2312" w:cs="Times New Roman"/>
          <w:sz w:val="28"/>
          <w:u w:val="single"/>
          <w:lang w:val="en-US" w:eastAsia="zh-CN"/>
        </w:rPr>
        <w:t xml:space="preserve"> </w:t>
      </w:r>
      <w:r>
        <w:rPr>
          <w:rFonts w:hint="default" w:ascii="Times New Roman" w:hAnsi="Times New Roman" w:eastAsia="仿宋_GB2312" w:cs="Times New Roman"/>
          <w:sz w:val="28"/>
          <w:u w:val="single"/>
        </w:rPr>
        <w:t xml:space="preserve">          </w:t>
      </w:r>
      <w:r>
        <w:rPr>
          <w:rFonts w:hint="eastAsia" w:eastAsia="仿宋_GB2312" w:cs="Times New Roman"/>
          <w:sz w:val="28"/>
          <w:u w:val="single"/>
          <w:lang w:val="en-US" w:eastAsia="zh-CN"/>
        </w:rPr>
        <w:t xml:space="preserve"> </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u w:val="single"/>
          <w:lang w:eastAsia="zh-CN"/>
        </w:rPr>
        <w:t>202</w:t>
      </w:r>
      <w:r>
        <w:rPr>
          <w:rFonts w:hint="eastAsia" w:ascii="Times New Roman" w:hAnsi="Times New Roman" w:eastAsia="仿宋_GB2312" w:cs="Times New Roman"/>
          <w:sz w:val="28"/>
          <w:u w:val="single"/>
          <w:lang w:val="en-US" w:eastAsia="zh-CN"/>
        </w:rPr>
        <w:t>2</w:t>
      </w:r>
      <w:r>
        <w:rPr>
          <w:rFonts w:hint="default" w:ascii="Times New Roman" w:hAnsi="Times New Roman" w:eastAsia="仿宋_GB2312" w:cs="Times New Roman"/>
          <w:sz w:val="28"/>
          <w:u w:val="single"/>
        </w:rPr>
        <w:t>年</w:t>
      </w:r>
      <w:r>
        <w:rPr>
          <w:rFonts w:hint="eastAsia" w:ascii="Times New Roman" w:hAnsi="Times New Roman" w:eastAsia="仿宋_GB2312" w:cs="Times New Roman"/>
          <w:sz w:val="28"/>
          <w:u w:val="single"/>
          <w:lang w:val="en-US" w:eastAsia="zh-CN"/>
        </w:rPr>
        <w:t>11</w:t>
      </w:r>
      <w:r>
        <w:rPr>
          <w:rFonts w:hint="default" w:ascii="Times New Roman" w:hAnsi="Times New Roman" w:eastAsia="仿宋_GB2312" w:cs="Times New Roman"/>
          <w:sz w:val="28"/>
          <w:u w:val="single"/>
        </w:rPr>
        <w:t>月</w:t>
      </w:r>
      <w:r>
        <w:rPr>
          <w:rFonts w:hint="eastAsia" w:ascii="Times New Roman" w:hAnsi="Times New Roman" w:eastAsia="仿宋_GB2312" w:cs="Times New Roman"/>
          <w:sz w:val="28"/>
          <w:u w:val="single"/>
          <w:lang w:val="en-US" w:eastAsia="zh-CN"/>
        </w:rPr>
        <w:t>21</w:t>
      </w:r>
      <w:r>
        <w:rPr>
          <w:rFonts w:hint="default" w:ascii="Times New Roman" w:hAnsi="Times New Roman" w:eastAsia="仿宋_GB2312" w:cs="Times New Roman"/>
          <w:sz w:val="28"/>
          <w:u w:val="single"/>
        </w:rPr>
        <w:t>日印发</w:t>
      </w:r>
      <w:r>
        <w:rPr>
          <w:rFonts w:hint="eastAsia" w:ascii="Times New Roman" w:hAnsi="Times New Roman" w:eastAsia="仿宋_GB2312" w:cs="Times New Roman"/>
          <w:sz w:val="28"/>
          <w:u w:val="single"/>
          <w:lang w:val="en-US" w:eastAsia="zh-CN"/>
        </w:rPr>
        <w:t xml:space="preserve"> </w:t>
      </w:r>
      <w:r>
        <w:rPr>
          <w:rFonts w:hint="default" w:ascii="Times New Roman" w:hAnsi="Times New Roman" w:eastAsia="仿宋_GB2312" w:cs="Times New Roman"/>
          <w:sz w:val="28"/>
          <w:u w:val="single"/>
        </w:rPr>
        <w:t xml:space="preserve">  </w:t>
      </w:r>
    </w:p>
    <w:sectPr>
      <w:headerReference r:id="rId3" w:type="default"/>
      <w:footerReference r:id="rId4" w:type="default"/>
      <w:pgSz w:w="11906" w:h="16838"/>
      <w:pgMar w:top="1440" w:right="1417" w:bottom="1440"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rdia New">
    <w:panose1 w:val="020B0304020202020204"/>
    <w:charset w:val="DE"/>
    <w:family w:val="roman"/>
    <w:pitch w:val="default"/>
    <w:sig w:usb0="81000003" w:usb1="00000000" w:usb2="00000000" w:usb3="00000000" w:csb0="0001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both"/>
                            <w:rPr>
                              <w:rFonts w:hint="eastAsia" w:eastAsiaTheme="minorEastAsia"/>
                              <w:lang w:eastAsia="zh-CN"/>
                            </w:rPr>
                          </w:pPr>
                          <w:r>
                            <w:rPr>
                              <w:rFonts w:hint="eastAsia" w:ascii="宋体" w:hAnsi="宋体" w:eastAsia="宋体" w:cs="宋体"/>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- 1 -</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jc w:val="both"/>
                      <w:rPr>
                        <w:rFonts w:hint="eastAsia" w:eastAsiaTheme="minorEastAsia"/>
                        <w:lang w:eastAsia="zh-CN"/>
                      </w:rPr>
                    </w:pPr>
                    <w:r>
                      <w:rPr>
                        <w:rFonts w:hint="eastAsia" w:ascii="宋体" w:hAnsi="宋体" w:eastAsia="宋体" w:cs="宋体"/>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- 1 -</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D6A80"/>
    <w:multiLevelType w:val="singleLevel"/>
    <w:tmpl w:val="C66D6A8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YWMyYjk5Mzc3ZjM3ZDJmZDZmYWNkZjI5MTY1ZTQifQ=="/>
  </w:docVars>
  <w:rsids>
    <w:rsidRoot w:val="51A51FC1"/>
    <w:rsid w:val="000C4D5B"/>
    <w:rsid w:val="00467520"/>
    <w:rsid w:val="005663CC"/>
    <w:rsid w:val="00943502"/>
    <w:rsid w:val="00B173FF"/>
    <w:rsid w:val="029634A9"/>
    <w:rsid w:val="02E27D4A"/>
    <w:rsid w:val="03BF3C83"/>
    <w:rsid w:val="03C0462B"/>
    <w:rsid w:val="044B775C"/>
    <w:rsid w:val="04755B42"/>
    <w:rsid w:val="051E0F7F"/>
    <w:rsid w:val="054E3A0F"/>
    <w:rsid w:val="054F4CF5"/>
    <w:rsid w:val="061876D0"/>
    <w:rsid w:val="066B42E0"/>
    <w:rsid w:val="06F27AB6"/>
    <w:rsid w:val="070A71A0"/>
    <w:rsid w:val="07BE1F5F"/>
    <w:rsid w:val="081524D7"/>
    <w:rsid w:val="08894BE1"/>
    <w:rsid w:val="08F6464F"/>
    <w:rsid w:val="08FA16BC"/>
    <w:rsid w:val="09555405"/>
    <w:rsid w:val="09BC076B"/>
    <w:rsid w:val="09EA17FE"/>
    <w:rsid w:val="0A9D4457"/>
    <w:rsid w:val="0AC77C8A"/>
    <w:rsid w:val="0AF96E93"/>
    <w:rsid w:val="0B384256"/>
    <w:rsid w:val="0CB92AA6"/>
    <w:rsid w:val="0D493C1B"/>
    <w:rsid w:val="0D6259D4"/>
    <w:rsid w:val="0DAC4A93"/>
    <w:rsid w:val="0DC35A7B"/>
    <w:rsid w:val="0DE260FA"/>
    <w:rsid w:val="0E0E1662"/>
    <w:rsid w:val="0E477002"/>
    <w:rsid w:val="0E936F1D"/>
    <w:rsid w:val="0EC47527"/>
    <w:rsid w:val="0F397425"/>
    <w:rsid w:val="0F681A7C"/>
    <w:rsid w:val="0F8C2D12"/>
    <w:rsid w:val="104906FF"/>
    <w:rsid w:val="10B728D9"/>
    <w:rsid w:val="10C7690A"/>
    <w:rsid w:val="11950CEE"/>
    <w:rsid w:val="12555556"/>
    <w:rsid w:val="12A8795F"/>
    <w:rsid w:val="12EA529A"/>
    <w:rsid w:val="1308328E"/>
    <w:rsid w:val="131B7C46"/>
    <w:rsid w:val="13347667"/>
    <w:rsid w:val="13811D02"/>
    <w:rsid w:val="13AA70FA"/>
    <w:rsid w:val="154B3149"/>
    <w:rsid w:val="15C23985"/>
    <w:rsid w:val="15CE12F2"/>
    <w:rsid w:val="162564C6"/>
    <w:rsid w:val="16DF04CC"/>
    <w:rsid w:val="17370C30"/>
    <w:rsid w:val="17C02862"/>
    <w:rsid w:val="19992214"/>
    <w:rsid w:val="199B7D97"/>
    <w:rsid w:val="1A91084F"/>
    <w:rsid w:val="1AB7554B"/>
    <w:rsid w:val="1AD0563F"/>
    <w:rsid w:val="1B9A7C60"/>
    <w:rsid w:val="1BE960CF"/>
    <w:rsid w:val="1C12553C"/>
    <w:rsid w:val="1C7B3136"/>
    <w:rsid w:val="1D2F4154"/>
    <w:rsid w:val="1D58767D"/>
    <w:rsid w:val="1D604886"/>
    <w:rsid w:val="1D6270C7"/>
    <w:rsid w:val="1DA62FF1"/>
    <w:rsid w:val="1EFA0580"/>
    <w:rsid w:val="1F9C265E"/>
    <w:rsid w:val="206076A8"/>
    <w:rsid w:val="21077F5B"/>
    <w:rsid w:val="214754D7"/>
    <w:rsid w:val="22A5771E"/>
    <w:rsid w:val="2342216B"/>
    <w:rsid w:val="2347231E"/>
    <w:rsid w:val="23F14B43"/>
    <w:rsid w:val="24642676"/>
    <w:rsid w:val="2475324A"/>
    <w:rsid w:val="24A062E5"/>
    <w:rsid w:val="24D41D42"/>
    <w:rsid w:val="253E3FF9"/>
    <w:rsid w:val="261663EB"/>
    <w:rsid w:val="26290765"/>
    <w:rsid w:val="2632526C"/>
    <w:rsid w:val="26C6576F"/>
    <w:rsid w:val="26CA45B2"/>
    <w:rsid w:val="27005389"/>
    <w:rsid w:val="274C0DBA"/>
    <w:rsid w:val="276A5228"/>
    <w:rsid w:val="289A04A8"/>
    <w:rsid w:val="28C85D87"/>
    <w:rsid w:val="291C5961"/>
    <w:rsid w:val="29A72463"/>
    <w:rsid w:val="29BD6121"/>
    <w:rsid w:val="2C567F92"/>
    <w:rsid w:val="2C867052"/>
    <w:rsid w:val="2C9E2436"/>
    <w:rsid w:val="2CAF077C"/>
    <w:rsid w:val="2CCA3A7D"/>
    <w:rsid w:val="2CEF3108"/>
    <w:rsid w:val="2CF534E7"/>
    <w:rsid w:val="2E03604C"/>
    <w:rsid w:val="2E040951"/>
    <w:rsid w:val="2E074F91"/>
    <w:rsid w:val="2E14244D"/>
    <w:rsid w:val="2E9C2DDA"/>
    <w:rsid w:val="2ED27265"/>
    <w:rsid w:val="2FFF0EFA"/>
    <w:rsid w:val="307C070A"/>
    <w:rsid w:val="30942F74"/>
    <w:rsid w:val="323557A2"/>
    <w:rsid w:val="325274E3"/>
    <w:rsid w:val="327A0CCF"/>
    <w:rsid w:val="327E5AEE"/>
    <w:rsid w:val="329F73B0"/>
    <w:rsid w:val="32A327BA"/>
    <w:rsid w:val="34341DBA"/>
    <w:rsid w:val="34E06B0E"/>
    <w:rsid w:val="350F51FD"/>
    <w:rsid w:val="35213CCC"/>
    <w:rsid w:val="355D5207"/>
    <w:rsid w:val="3653159F"/>
    <w:rsid w:val="365719C2"/>
    <w:rsid w:val="36602241"/>
    <w:rsid w:val="36C06685"/>
    <w:rsid w:val="36F67200"/>
    <w:rsid w:val="37A400C2"/>
    <w:rsid w:val="37C121C4"/>
    <w:rsid w:val="37E96FCC"/>
    <w:rsid w:val="381960F3"/>
    <w:rsid w:val="399E17DE"/>
    <w:rsid w:val="39FB06DB"/>
    <w:rsid w:val="3A5551E9"/>
    <w:rsid w:val="3A800C88"/>
    <w:rsid w:val="3AB56092"/>
    <w:rsid w:val="3B493685"/>
    <w:rsid w:val="3BB74B16"/>
    <w:rsid w:val="3C36792B"/>
    <w:rsid w:val="3C5A6E51"/>
    <w:rsid w:val="3CD16366"/>
    <w:rsid w:val="3D1636A3"/>
    <w:rsid w:val="3D175406"/>
    <w:rsid w:val="3D71542E"/>
    <w:rsid w:val="3E582058"/>
    <w:rsid w:val="3ECA4103"/>
    <w:rsid w:val="3ECC3B18"/>
    <w:rsid w:val="3EE507E9"/>
    <w:rsid w:val="3F102D9C"/>
    <w:rsid w:val="3FA900AE"/>
    <w:rsid w:val="402E7F44"/>
    <w:rsid w:val="405E662B"/>
    <w:rsid w:val="407A0392"/>
    <w:rsid w:val="40B32D0E"/>
    <w:rsid w:val="40DC1D3D"/>
    <w:rsid w:val="411F4FF1"/>
    <w:rsid w:val="414B02B9"/>
    <w:rsid w:val="41B92982"/>
    <w:rsid w:val="41C252BD"/>
    <w:rsid w:val="437E6337"/>
    <w:rsid w:val="439662FD"/>
    <w:rsid w:val="43C3169D"/>
    <w:rsid w:val="44522CFF"/>
    <w:rsid w:val="4526059E"/>
    <w:rsid w:val="46417C10"/>
    <w:rsid w:val="46F176B1"/>
    <w:rsid w:val="47062AA9"/>
    <w:rsid w:val="47151E0F"/>
    <w:rsid w:val="47B5396A"/>
    <w:rsid w:val="47E143FB"/>
    <w:rsid w:val="47FD3753"/>
    <w:rsid w:val="48004AE0"/>
    <w:rsid w:val="48903DD5"/>
    <w:rsid w:val="489325DE"/>
    <w:rsid w:val="48CB31D1"/>
    <w:rsid w:val="48E109EB"/>
    <w:rsid w:val="48E378AF"/>
    <w:rsid w:val="49423278"/>
    <w:rsid w:val="49836455"/>
    <w:rsid w:val="4994161E"/>
    <w:rsid w:val="49AC6C91"/>
    <w:rsid w:val="4A401812"/>
    <w:rsid w:val="4ADB35AB"/>
    <w:rsid w:val="4B7B5863"/>
    <w:rsid w:val="4B9D37FF"/>
    <w:rsid w:val="4D1A4230"/>
    <w:rsid w:val="4D9F61E7"/>
    <w:rsid w:val="4DA8184F"/>
    <w:rsid w:val="4F9F50D5"/>
    <w:rsid w:val="4FC429D0"/>
    <w:rsid w:val="503A5409"/>
    <w:rsid w:val="50E41966"/>
    <w:rsid w:val="50F1292C"/>
    <w:rsid w:val="51020C41"/>
    <w:rsid w:val="511B74BB"/>
    <w:rsid w:val="51A51FC1"/>
    <w:rsid w:val="51C31FBC"/>
    <w:rsid w:val="51D17E45"/>
    <w:rsid w:val="52A0135D"/>
    <w:rsid w:val="52E72014"/>
    <w:rsid w:val="54554036"/>
    <w:rsid w:val="5472049B"/>
    <w:rsid w:val="548B7A81"/>
    <w:rsid w:val="54AD0E9E"/>
    <w:rsid w:val="55324726"/>
    <w:rsid w:val="55A76037"/>
    <w:rsid w:val="56003B71"/>
    <w:rsid w:val="568A6E26"/>
    <w:rsid w:val="56CA3E9E"/>
    <w:rsid w:val="572E4CDF"/>
    <w:rsid w:val="577E46FF"/>
    <w:rsid w:val="579A391E"/>
    <w:rsid w:val="57AA3717"/>
    <w:rsid w:val="57CA0E12"/>
    <w:rsid w:val="5952165B"/>
    <w:rsid w:val="596A5063"/>
    <w:rsid w:val="5A25362E"/>
    <w:rsid w:val="5A37785A"/>
    <w:rsid w:val="5A65653D"/>
    <w:rsid w:val="5A66362A"/>
    <w:rsid w:val="5A772EFC"/>
    <w:rsid w:val="5A7D2CF2"/>
    <w:rsid w:val="5A856990"/>
    <w:rsid w:val="5A9F2DEE"/>
    <w:rsid w:val="5AAD6089"/>
    <w:rsid w:val="5ACE5FC5"/>
    <w:rsid w:val="5AD32E6F"/>
    <w:rsid w:val="5B201B28"/>
    <w:rsid w:val="5B7A1FDD"/>
    <w:rsid w:val="5C446B5F"/>
    <w:rsid w:val="5D0C3312"/>
    <w:rsid w:val="5D9873D0"/>
    <w:rsid w:val="5EB65B1A"/>
    <w:rsid w:val="5FA779BE"/>
    <w:rsid w:val="60702E4D"/>
    <w:rsid w:val="60927B9A"/>
    <w:rsid w:val="60EE0425"/>
    <w:rsid w:val="613B76EB"/>
    <w:rsid w:val="620707A2"/>
    <w:rsid w:val="62305857"/>
    <w:rsid w:val="62CB5039"/>
    <w:rsid w:val="62DB324A"/>
    <w:rsid w:val="632768DA"/>
    <w:rsid w:val="635A0AA6"/>
    <w:rsid w:val="63B476EA"/>
    <w:rsid w:val="640341AB"/>
    <w:rsid w:val="6435434B"/>
    <w:rsid w:val="644B6016"/>
    <w:rsid w:val="65B44EB4"/>
    <w:rsid w:val="66E363C3"/>
    <w:rsid w:val="67EF56E1"/>
    <w:rsid w:val="6831516A"/>
    <w:rsid w:val="685915E0"/>
    <w:rsid w:val="68F627B9"/>
    <w:rsid w:val="69971BA7"/>
    <w:rsid w:val="6ACF73A1"/>
    <w:rsid w:val="6B093320"/>
    <w:rsid w:val="6B490B4B"/>
    <w:rsid w:val="6C6360EE"/>
    <w:rsid w:val="6C6F34D4"/>
    <w:rsid w:val="6D307DBF"/>
    <w:rsid w:val="6D5E0875"/>
    <w:rsid w:val="70060BD1"/>
    <w:rsid w:val="70D314EF"/>
    <w:rsid w:val="70E11854"/>
    <w:rsid w:val="70F964D6"/>
    <w:rsid w:val="71A1655A"/>
    <w:rsid w:val="73351DE2"/>
    <w:rsid w:val="7359498E"/>
    <w:rsid w:val="735A7772"/>
    <w:rsid w:val="736C0199"/>
    <w:rsid w:val="736D501C"/>
    <w:rsid w:val="73D56388"/>
    <w:rsid w:val="73DE5E1E"/>
    <w:rsid w:val="73FD1B08"/>
    <w:rsid w:val="74B16EBF"/>
    <w:rsid w:val="75164AF5"/>
    <w:rsid w:val="7521752E"/>
    <w:rsid w:val="757A6BDE"/>
    <w:rsid w:val="75807099"/>
    <w:rsid w:val="762D72D7"/>
    <w:rsid w:val="767F02C5"/>
    <w:rsid w:val="7681484E"/>
    <w:rsid w:val="76BD7047"/>
    <w:rsid w:val="770270BD"/>
    <w:rsid w:val="780A4098"/>
    <w:rsid w:val="784848E0"/>
    <w:rsid w:val="78727EEB"/>
    <w:rsid w:val="78F16620"/>
    <w:rsid w:val="791E1085"/>
    <w:rsid w:val="79714B51"/>
    <w:rsid w:val="7A0B030F"/>
    <w:rsid w:val="7AD3557E"/>
    <w:rsid w:val="7AE234E1"/>
    <w:rsid w:val="7B0134D5"/>
    <w:rsid w:val="7B0D1EE1"/>
    <w:rsid w:val="7B29288E"/>
    <w:rsid w:val="7BFB1CE9"/>
    <w:rsid w:val="7C3924BE"/>
    <w:rsid w:val="7CC12262"/>
    <w:rsid w:val="7CF7204E"/>
    <w:rsid w:val="7DEB54CB"/>
    <w:rsid w:val="7E41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spacing w:before="100" w:beforeAutospacing="1" w:after="100" w:afterAutospacing="1"/>
    </w:pPr>
    <w:rPr>
      <w:rFonts w:ascii="宋体" w:hAnsi="宋体" w:eastAsia="宋体" w:cs="宋体"/>
      <w:sz w:val="24"/>
      <w:szCs w:val="22"/>
      <w:lang w:val="en-US" w:eastAsia="zh-CN" w:bidi="ar-SA"/>
    </w:rPr>
  </w:style>
  <w:style w:type="character" w:styleId="7">
    <w:name w:val="page number"/>
    <w:basedOn w:val="6"/>
    <w:qFormat/>
    <w:uiPriority w:val="0"/>
  </w:style>
  <w:style w:type="paragraph" w:customStyle="1" w:styleId="8">
    <w:name w:val="0"/>
    <w:basedOn w:val="1"/>
    <w:qFormat/>
    <w:uiPriority w:val="0"/>
    <w:pPr>
      <w:widowControl/>
      <w:snapToGrid w:val="0"/>
      <w:spacing w:line="365" w:lineRule="atLeast"/>
      <w:ind w:left="1"/>
    </w:pPr>
    <w:rPr>
      <w:rFonts w:ascii="Calibri" w:hAnsi="Calibri" w:cs="Cordia New"/>
      <w:kern w:val="0"/>
      <w:sz w:val="20"/>
      <w:szCs w:val="28"/>
      <w:lang w:bidi="th-TH"/>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3753</Words>
  <Characters>3909</Characters>
  <Lines>0</Lines>
  <Paragraphs>0</Paragraphs>
  <TotalTime>62</TotalTime>
  <ScaleCrop>false</ScaleCrop>
  <LinksUpToDate>false</LinksUpToDate>
  <CharactersWithSpaces>4063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2021-03-03T01:02:00Z</dcterms:created>
  <dc:creator>Administrator</dc:creator>
  <cp:lastModifiedBy>Administrator</cp:lastModifiedBy>
  <cp:lastPrinted>2022-11-10T09:11:00Z</cp:lastPrinted>
  <dcterms:modified xsi:type="dcterms:W3CDTF">2022-11-28T08:15:01Z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1D07FC0D15974E05A83C9EAC2A40E32A</vt:lpwstr>
  </property>
</Properties>
</file>