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1EC05">
      <w:pPr>
        <w:spacing w:line="580" w:lineRule="exact"/>
        <w:ind w:firstLine="3200" w:firstLineChars="1000"/>
        <w:jc w:val="both"/>
        <w:rPr>
          <w:rFonts w:hint="eastAsia"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rPr>
        <w:t>鹿政</w:t>
      </w:r>
      <w:r>
        <w:rPr>
          <w:rFonts w:hint="eastAsia"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p>
    <w:p w14:paraId="39ADB330">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sz w:val="44"/>
          <w:szCs w:val="44"/>
          <w:lang w:eastAsia="zh-CN"/>
        </w:rPr>
      </w:pPr>
      <w:r>
        <w:rPr>
          <w:rFonts w:hint="default" w:ascii="Times New Roman" w:hAnsi="Times New Roman" w:cs="Times New Roman"/>
          <w:sz w:val="44"/>
          <w:szCs w:val="44"/>
          <w:lang w:val="en-US" w:eastAsia="zh-CN"/>
        </w:rPr>
        <w:t xml:space="preserve">                     </w:t>
      </w:r>
    </w:p>
    <w:p w14:paraId="0C852B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6</w:t>
      </w:r>
      <w:r>
        <w:rPr>
          <w:rFonts w:hint="eastAsia" w:ascii="方正小标宋简体" w:hAnsi="方正小标宋简体" w:eastAsia="方正小标宋简体" w:cs="方正小标宋简体"/>
          <w:sz w:val="44"/>
          <w:szCs w:val="44"/>
          <w:lang w:eastAsia="zh-CN"/>
        </w:rPr>
        <w:t>年鹿寨县耕地地力保护补贴</w:t>
      </w:r>
    </w:p>
    <w:p w14:paraId="4A2724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项目实施方案》的通知</w:t>
      </w:r>
    </w:p>
    <w:p w14:paraId="2B3A01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p>
    <w:p w14:paraId="5B104A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各乡（镇）人民政府，各有关单位：</w:t>
      </w:r>
    </w:p>
    <w:p w14:paraId="5B841EA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lang w:eastAsia="zh-CN"/>
        </w:rPr>
        <w:t>202</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eastAsia="zh-CN"/>
        </w:rPr>
        <w:t>年鹿寨县耕地地力保护补贴项目实施方案》已经县人民政府常务会第</w:t>
      </w:r>
      <w:r>
        <w:rPr>
          <w:rFonts w:hint="eastAsia" w:ascii="Times New Roman" w:hAnsi="Times New Roman" w:eastAsia="仿宋_GB2312" w:cs="仿宋_GB2312"/>
          <w:sz w:val="32"/>
          <w:szCs w:val="32"/>
          <w:lang w:val="en-US" w:eastAsia="zh-CN"/>
        </w:rPr>
        <w:t>137</w:t>
      </w:r>
      <w:r>
        <w:rPr>
          <w:rFonts w:hint="eastAsia" w:ascii="仿宋_GB2312" w:hAnsi="仿宋_GB2312" w:eastAsia="仿宋_GB2312" w:cs="仿宋_GB2312"/>
          <w:sz w:val="32"/>
          <w:szCs w:val="32"/>
          <w:lang w:val="en-US" w:eastAsia="zh-CN"/>
        </w:rPr>
        <w:t>次会议</w:t>
      </w:r>
      <w:r>
        <w:rPr>
          <w:rFonts w:hint="eastAsia" w:ascii="仿宋_GB2312" w:hAnsi="仿宋_GB2312" w:eastAsia="仿宋_GB2312" w:cs="仿宋_GB2312"/>
          <w:sz w:val="32"/>
          <w:szCs w:val="32"/>
          <w:lang w:eastAsia="zh-CN"/>
        </w:rPr>
        <w:t>审议通过，现印发给你们，请认真组织实施。</w:t>
      </w:r>
    </w:p>
    <w:p w14:paraId="12B1211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lang w:val="en-US" w:eastAsia="zh-CN"/>
        </w:rPr>
      </w:pPr>
    </w:p>
    <w:p w14:paraId="62DE516C">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lang w:val="en-US" w:eastAsia="zh-CN"/>
        </w:rPr>
      </w:pPr>
    </w:p>
    <w:p w14:paraId="24A7A5F4">
      <w:pPr>
        <w:keepNext w:val="0"/>
        <w:keepLines w:val="0"/>
        <w:pageBreakBefore w:val="0"/>
        <w:widowControl w:val="0"/>
        <w:kinsoku/>
        <w:wordWrap/>
        <w:overflowPunct/>
        <w:topLinePunct w:val="0"/>
        <w:autoSpaceDE/>
        <w:autoSpaceDN/>
        <w:bidi w:val="0"/>
        <w:adjustRightInd/>
        <w:snapToGrid/>
        <w:spacing w:line="600" w:lineRule="exact"/>
        <w:ind w:firstLine="5766" w:firstLineChars="1802"/>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5月</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lang w:val="en-US" w:eastAsia="zh-CN"/>
        </w:rPr>
        <w:t>日</w:t>
      </w:r>
    </w:p>
    <w:p w14:paraId="54A89FC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（此件公开发布）</w:t>
      </w:r>
    </w:p>
    <w:p w14:paraId="61031CE4">
      <w:pPr>
        <w:keepNext w:val="0"/>
        <w:keepLines w:val="0"/>
        <w:pageBreakBefore w:val="0"/>
        <w:widowControl w:val="0"/>
        <w:kinsoku/>
        <w:wordWrap/>
        <w:overflowPunct/>
        <w:topLinePunct w:val="0"/>
        <w:autoSpaceDE/>
        <w:autoSpaceDN/>
        <w:bidi w:val="0"/>
        <w:adjustRightInd/>
        <w:snapToGrid/>
        <w:spacing w:line="600" w:lineRule="exact"/>
        <w:textAlignment w:val="auto"/>
      </w:pPr>
    </w:p>
    <w:p w14:paraId="6679C273">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14:paraId="17938F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val="en-US" w:eastAsia="zh-CN"/>
        </w:rPr>
        <w:t>2026</w:t>
      </w:r>
      <w:r>
        <w:rPr>
          <w:rFonts w:hint="eastAsia" w:ascii="方正小标宋简体" w:hAnsi="方正小标宋简体" w:eastAsia="方正小标宋简体" w:cs="方正小标宋简体"/>
          <w:sz w:val="44"/>
          <w:szCs w:val="44"/>
          <w:lang w:val="en-US" w:eastAsia="zh-CN"/>
        </w:rPr>
        <w:t>年鹿寨县耕地地力保护补贴项目实施方案</w:t>
      </w:r>
    </w:p>
    <w:p w14:paraId="7E1ED3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14:paraId="18DE1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根据《自治区农业农村厅</w:t>
      </w:r>
      <w:r>
        <w:rPr>
          <w:rFonts w:hint="eastAsia" w:ascii="仿宋_GB2312" w:hAnsi="仿宋_GB2312" w:eastAsia="仿宋_GB2312" w:cs="仿宋_GB2312"/>
          <w:sz w:val="32"/>
          <w:szCs w:val="32"/>
          <w:lang w:val="en-US" w:eastAsia="zh-CN"/>
        </w:rPr>
        <w:t>、自治区财政厅关于做好</w:t>
      </w:r>
      <w:r>
        <w:rPr>
          <w:rFonts w:hint="eastAsia" w:ascii="Times New Roman" w:hAnsi="Times New Roman"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年耕地地力保护补贴项目实施工作的通知</w:t>
      </w:r>
      <w:r>
        <w:rPr>
          <w:rFonts w:hint="eastAsia" w:ascii="仿宋_GB2312" w:hAnsi="仿宋_GB2312" w:eastAsia="仿宋_GB2312" w:cs="仿宋_GB2312"/>
          <w:sz w:val="32"/>
          <w:szCs w:val="32"/>
          <w:lang w:eastAsia="zh-CN"/>
        </w:rPr>
        <w:t>》（桂农厅发</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lang w:val="en-US" w:eastAsia="zh-CN"/>
        </w:rPr>
        <w:t>16</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《广西壮族自治区财政厅关于提前下达</w:t>
      </w:r>
      <w:r>
        <w:rPr>
          <w:rFonts w:hint="eastAsia" w:ascii="Times New Roman" w:hAnsi="Times New Roman" w:eastAsia="仿宋_GB2312" w:cs="仿宋_GB2312"/>
          <w:sz w:val="32"/>
          <w:szCs w:val="32"/>
        </w:rPr>
        <w:t>2026</w:t>
      </w:r>
      <w:r>
        <w:rPr>
          <w:rFonts w:hint="eastAsia" w:ascii="仿宋_GB2312" w:hAnsi="仿宋_GB2312" w:eastAsia="仿宋_GB2312" w:cs="仿宋_GB2312"/>
          <w:sz w:val="32"/>
          <w:szCs w:val="32"/>
        </w:rPr>
        <w:t>年中央农业相关转移支付资金的通知》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桂财农〔</w:t>
      </w:r>
      <w:r>
        <w:rPr>
          <w:rFonts w:hint="eastAsia" w:ascii="Times New Roman" w:hAnsi="Times New Roman" w:eastAsia="仿宋_GB2312" w:cs="仿宋_GB2312"/>
          <w:sz w:val="32"/>
          <w:szCs w:val="32"/>
        </w:rPr>
        <w:t>2025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等文件要求，</w:t>
      </w:r>
      <w:r>
        <w:rPr>
          <w:rFonts w:hint="eastAsia" w:ascii="仿宋_GB2312" w:hAnsi="仿宋_GB2312" w:eastAsia="仿宋_GB2312" w:cs="仿宋_GB2312"/>
          <w:sz w:val="32"/>
          <w:szCs w:val="32"/>
          <w:lang w:eastAsia="zh-CN"/>
        </w:rPr>
        <w:t>现结合我县实际，制定本方案。</w:t>
      </w:r>
    </w:p>
    <w:p w14:paraId="2BDBB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一、重点工作</w:t>
      </w:r>
    </w:p>
    <w:p w14:paraId="0CD57D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2026</w:t>
      </w:r>
      <w:r>
        <w:rPr>
          <w:rFonts w:hint="eastAsia" w:ascii="仿宋_GB2312" w:hAnsi="仿宋_GB2312" w:eastAsia="仿宋_GB2312" w:cs="仿宋_GB2312"/>
          <w:sz w:val="32"/>
          <w:szCs w:val="32"/>
        </w:rPr>
        <w:t>年，耕地地力保护补贴项目继续列入自治区人民政府为民办实事工程项目，项目有关的补贴对象、范围、依据、标准和补贴资金发放方式方法等内容，按照</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年经自治区人民政府同意印发的《广西壮族自治区农业三项补贴改革方案》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桂财农〔</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94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执行。结合</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实际，科学、合理制定耕地地力保护补贴项目实施方案，规范补贴面积登记、审核、公示和资金拨付、发放等重点环节，确保</w:t>
      </w:r>
      <w:r>
        <w:rPr>
          <w:rFonts w:hint="eastAsia" w:ascii="Times New Roman" w:hAnsi="Times New Roman" w:eastAsia="仿宋_GB2312" w:cs="仿宋_GB2312"/>
          <w:sz w:val="32"/>
          <w:szCs w:val="32"/>
        </w:rPr>
        <w:t>2026</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rPr>
        <w:t>日前完成补贴资金的发放工作。</w:t>
      </w:r>
    </w:p>
    <w:p w14:paraId="7286BE0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准确把握补贴对象。</w:t>
      </w:r>
      <w:r>
        <w:rPr>
          <w:rFonts w:hint="eastAsia" w:ascii="仿宋_GB2312" w:hAnsi="仿宋_GB2312" w:eastAsia="仿宋_GB2312" w:cs="仿宋_GB2312"/>
          <w:sz w:val="32"/>
          <w:szCs w:val="32"/>
        </w:rPr>
        <w:t>补贴对象为全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所有拥有耕地承包权的农户和承包国有农场耕地的农场职工。严禁公职人员领取或代领补贴。严禁将补贴资金发放到死亡人</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eastAsia="zh-CN"/>
        </w:rPr>
        <w:t>账号</w:t>
      </w:r>
      <w:r>
        <w:rPr>
          <w:rFonts w:hint="eastAsia" w:ascii="仿宋_GB2312" w:hAnsi="仿宋_GB2312" w:eastAsia="仿宋_GB2312" w:cs="仿宋_GB2312"/>
          <w:color w:val="auto"/>
          <w:sz w:val="32"/>
          <w:szCs w:val="32"/>
        </w:rPr>
        <w:t>。</w:t>
      </w:r>
    </w:p>
    <w:p w14:paraId="7197C23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明确补贴范围。</w:t>
      </w:r>
      <w:r>
        <w:rPr>
          <w:rFonts w:hint="eastAsia" w:ascii="仿宋_GB2312" w:hAnsi="仿宋_GB2312" w:eastAsia="仿宋_GB2312" w:cs="仿宋_GB2312"/>
          <w:sz w:val="32"/>
          <w:szCs w:val="32"/>
        </w:rPr>
        <w:t>以农村土地承包确权登记颁证面积为基础，按照严格耕地用途管制有关要求，据实核减不符合补贴条件的面积，暂未完成登记颁证工作的地方以家庭联产承包土地面积为基础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土地承包权确权登记后，以确权登记颁证面积为基础及时更新补贴面积。有下列情况之一的耕地，不纳入补贴范围</w:t>
      </w:r>
      <w:r>
        <w:rPr>
          <w:rFonts w:hint="eastAsia" w:ascii="仿宋_GB2312" w:hAnsi="仿宋_GB2312" w:eastAsia="仿宋_GB2312" w:cs="仿宋_GB2312"/>
          <w:sz w:val="32"/>
          <w:szCs w:val="32"/>
          <w:lang w:eastAsia="zh-CN"/>
        </w:rPr>
        <w:t>：</w:t>
      </w:r>
    </w:p>
    <w:p w14:paraId="0A13F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因非农建设、退耕还林、挖塘、畜禽养殖、发展林果业、绿化景观建设、转为设施农业用地等原因已改变用途的耕地，以及占补平衡中“补”的耕地面积和质量未能通过验收确认的耕地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对于种植多年生或木本的果树、茶叶等作物的耕地</w:t>
      </w:r>
      <w:r>
        <w:rPr>
          <w:rFonts w:hint="eastAsia" w:ascii="仿宋_GB2312" w:hAnsi="仿宋_GB2312" w:eastAsia="仿宋_GB2312" w:cs="仿宋_GB2312"/>
          <w:sz w:val="32"/>
          <w:szCs w:val="32"/>
          <w:lang w:eastAsia="zh-CN"/>
        </w:rPr>
        <w:t>；撂</w:t>
      </w:r>
      <w:r>
        <w:rPr>
          <w:rFonts w:hint="eastAsia" w:ascii="仿宋_GB2312" w:hAnsi="仿宋_GB2312" w:eastAsia="仿宋_GB2312" w:cs="仿宋_GB2312"/>
          <w:sz w:val="32"/>
          <w:szCs w:val="32"/>
        </w:rPr>
        <w:t>荒一年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以上的耕地。</w:t>
      </w:r>
    </w:p>
    <w:p w14:paraId="53F3C4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对于种植一年生草本果品类作物且对耕地质量不造成影响的耕地，可予以补贴。各级国有农场职工承包经营的耕地属于耕地地力保护补贴范围，且符合补贴条件的，都应予以补贴，按照属地管理原则，</w:t>
      </w:r>
      <w:r>
        <w:rPr>
          <w:rFonts w:hint="eastAsia" w:ascii="仿宋_GB2312" w:hAnsi="仿宋_GB2312" w:eastAsia="仿宋_GB2312" w:cs="仿宋_GB2312"/>
          <w:color w:val="auto"/>
          <w:sz w:val="32"/>
          <w:szCs w:val="32"/>
        </w:rPr>
        <w:t>承包经营国有农场耕地的职工向耕地所在地的</w:t>
      </w:r>
      <w:r>
        <w:rPr>
          <w:rFonts w:hint="eastAsia" w:ascii="仿宋_GB2312" w:hAnsi="仿宋_GB2312" w:eastAsia="仿宋_GB2312" w:cs="仿宋_GB2312"/>
          <w:color w:val="auto"/>
          <w:sz w:val="32"/>
          <w:szCs w:val="32"/>
          <w:lang w:eastAsia="zh-CN"/>
        </w:rPr>
        <w:t>乡（镇）人民政府</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sz w:val="32"/>
          <w:szCs w:val="32"/>
        </w:rPr>
        <w:t>耕地地力保护补贴。</w:t>
      </w:r>
    </w:p>
    <w:p w14:paraId="550D3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严格奖惩措施。</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鼓励和引导农户保护、提升耕地地力以及调动农户种粮积极性。视情况可适当提高对种植粮、油、蔗作物的耕地以及采取冬种绿肥、秸秆还田、畜禽粪肥还田、病虫害绿色防控、双季稻轮作等措施的耕地的亩均补贴标准，最高不超过</w:t>
      </w:r>
      <w:r>
        <w:rPr>
          <w:rFonts w:hint="eastAsia" w:ascii="Times New Roman" w:hAnsi="Times New Roman" w:eastAsia="仿宋_GB2312" w:cs="仿宋_GB2312"/>
          <w:sz w:val="32"/>
          <w:szCs w:val="32"/>
        </w:rPr>
        <w:t>200</w:t>
      </w:r>
      <w:r>
        <w:rPr>
          <w:rFonts w:hint="eastAsia" w:ascii="仿宋_GB2312" w:hAnsi="仿宋_GB2312" w:eastAsia="仿宋_GB2312" w:cs="仿宋_GB2312"/>
          <w:sz w:val="32"/>
          <w:szCs w:val="32"/>
        </w:rPr>
        <w:t>元/亩。</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将耕地地力保护补贴与加强环境保护和防止面源污染工作相结合。对违规露天焚烧秸秆，以及违规使用不合格肥料、禁限用农药等投入品，造成因污染农田受到生态环境、农业农村等相关部门处罚的生产者，取消其当年补贴资格。</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必须如实填报补贴面积。对弄虚作假、挤占、截留、挪用和套取补贴资金等违规行为依法依规进行严肃处理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加大失信惩戒力度。鼓励建立农户个人诚信记录，对不如实登记补贴面积进而骗取和套取补贴资金等行为记入个人失信记录。对失信者，视情节可取消其当年及下一年的补贴资格。</w:t>
      </w:r>
    </w:p>
    <w:p w14:paraId="11EE95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县域内统一补贴依据。</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在</w:t>
      </w:r>
      <w:r>
        <w:rPr>
          <w:rFonts w:hint="eastAsia" w:ascii="Times New Roman" w:hAnsi="Times New Roman" w:eastAsia="仿宋_GB2312" w:cs="仿宋_GB2312"/>
          <w:sz w:val="32"/>
          <w:szCs w:val="32"/>
        </w:rPr>
        <w:t>2026</w:t>
      </w:r>
      <w:r>
        <w:rPr>
          <w:rFonts w:hint="eastAsia" w:ascii="仿宋_GB2312" w:hAnsi="仿宋_GB2312" w:eastAsia="仿宋_GB2312" w:cs="仿宋_GB2312"/>
          <w:sz w:val="32"/>
          <w:szCs w:val="32"/>
        </w:rPr>
        <w:t>年度执行统一的补贴面积依据，统一以农村土地承包经营权确权登记面积为补贴依据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个别农户因客观原因未确权的除外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。未确权登记的国有农场耕地补贴面积可继续以承包面积为基础核减不</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补贴面积后确定补贴面积</w:t>
      </w:r>
      <w:r>
        <w:rPr>
          <w:rFonts w:hint="eastAsia" w:ascii="仿宋_GB2312" w:hAnsi="仿宋_GB2312" w:eastAsia="仿宋_GB2312" w:cs="仿宋_GB2312"/>
          <w:sz w:val="32"/>
          <w:szCs w:val="32"/>
          <w:lang w:eastAsia="zh-CN"/>
        </w:rPr>
        <w:t>。</w:t>
      </w:r>
    </w:p>
    <w:p w14:paraId="72387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规范补贴面积登记。</w:t>
      </w:r>
      <w:r>
        <w:rPr>
          <w:rFonts w:hint="eastAsia" w:ascii="仿宋_GB2312" w:hAnsi="仿宋_GB2312" w:eastAsia="仿宋_GB2312" w:cs="仿宋_GB2312"/>
          <w:sz w:val="32"/>
          <w:szCs w:val="32"/>
        </w:rPr>
        <w:t>按照地域管理权限，在耕地所属地域登记补贴面积，并录入广西惠民惠农财政补贴资金“一卡通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网址:</w:t>
      </w:r>
      <w:r>
        <w:rPr>
          <w:rFonts w:hint="eastAsia" w:ascii="Times New Roman" w:hAnsi="Times New Roman" w:eastAsia="仿宋_GB2312" w:cs="仿宋_GB2312"/>
          <w:sz w:val="32"/>
          <w:szCs w:val="32"/>
        </w:rPr>
        <w:t>59</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211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147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以下简称“一卡通”系统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。在“一卡通”系统补贴登记中，所有核实后的补贴面积应统一登记在“确权登记面积”栏，以便准确汇总统计数据。各国有农场负责收集本农场符合申领补贴条件的职工基本信息、补贴面积，并报送</w:t>
      </w:r>
      <w:r>
        <w:rPr>
          <w:rFonts w:hint="eastAsia" w:ascii="仿宋_GB2312" w:hAnsi="仿宋_GB2312" w:eastAsia="仿宋_GB2312" w:cs="仿宋_GB2312"/>
          <w:sz w:val="32"/>
          <w:szCs w:val="32"/>
          <w:lang w:eastAsia="zh-CN"/>
        </w:rPr>
        <w:t>耕地</w:t>
      </w:r>
      <w:r>
        <w:rPr>
          <w:rFonts w:hint="eastAsia" w:ascii="仿宋_GB2312" w:hAnsi="仿宋_GB2312" w:eastAsia="仿宋_GB2312" w:cs="仿宋_GB2312"/>
          <w:sz w:val="32"/>
          <w:szCs w:val="32"/>
        </w:rPr>
        <w:t>所在</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登记补贴面积。补贴农户信息录入、数据审核、公示管理、补贴发放等工作都必须通过“一卡通”系统进行操作。</w:t>
      </w:r>
      <w:r>
        <w:rPr>
          <w:rFonts w:hint="eastAsia" w:ascii="仿宋_GB2312" w:hAnsi="仿宋_GB2312" w:eastAsia="仿宋_GB2312" w:cs="仿宋_GB2312"/>
          <w:color w:val="auto"/>
          <w:sz w:val="32"/>
          <w:szCs w:val="32"/>
          <w:lang w:eastAsia="zh-CN"/>
        </w:rPr>
        <w:t>县财政局</w:t>
      </w:r>
      <w:r>
        <w:rPr>
          <w:rFonts w:hint="eastAsia" w:ascii="仿宋_GB2312" w:hAnsi="仿宋_GB2312" w:eastAsia="仿宋_GB2312" w:cs="仿宋_GB2312"/>
          <w:sz w:val="32"/>
          <w:szCs w:val="32"/>
        </w:rPr>
        <w:t>要加强对“一卡通”系统基础数据的维护和更新，建立健全资金预警防控机制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sz w:val="32"/>
          <w:szCs w:val="32"/>
        </w:rPr>
        <w:t>及时组织相关业务干部和乡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工作人员开展“一卡通”系统的操作培训。</w:t>
      </w:r>
    </w:p>
    <w:p w14:paraId="69051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落实补贴公示制度。</w:t>
      </w:r>
      <w:r>
        <w:rPr>
          <w:rFonts w:hint="eastAsia" w:ascii="仿宋_GB2312" w:hAnsi="仿宋_GB2312" w:eastAsia="仿宋_GB2312" w:cs="仿宋_GB2312"/>
          <w:sz w:val="32"/>
          <w:szCs w:val="32"/>
        </w:rPr>
        <w:t>根据《广西壮族自治区农业三项补贴改革方案》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桂财农〔</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94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文件要求，</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要严格落实补贴发放公示制度要求，负责通过“一卡通”系统生成每个村组的农民补贴情况公示表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包括农户姓名、补贴面积、核减面积等内容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,加盖公章后在村内公示</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天。公示无异议后，</w:t>
      </w:r>
      <w:r>
        <w:rPr>
          <w:rFonts w:hint="eastAsia" w:ascii="仿宋_GB2312" w:hAnsi="仿宋_GB2312" w:eastAsia="仿宋_GB2312" w:cs="仿宋_GB2312"/>
          <w:sz w:val="32"/>
          <w:szCs w:val="32"/>
          <w:lang w:eastAsia="zh-CN"/>
        </w:rPr>
        <w:t>各乡（镇）将《</w:t>
      </w:r>
      <w:r>
        <w:rPr>
          <w:rFonts w:hint="eastAsia" w:ascii="Times New Roman" w:hAnsi="Times New Roman" w:eastAsia="仿宋_GB2312" w:cs="仿宋_GB2312"/>
          <w:color w:val="auto"/>
          <w:sz w:val="32"/>
          <w:szCs w:val="32"/>
          <w:lang w:val="en-US" w:eastAsia="zh-CN"/>
        </w:rPr>
        <w:t>2026</w:t>
      </w:r>
      <w:r>
        <w:rPr>
          <w:rFonts w:hint="eastAsia" w:ascii="仿宋_GB2312" w:hAnsi="仿宋_GB2312" w:eastAsia="仿宋_GB2312" w:cs="仿宋_GB2312"/>
          <w:color w:val="auto"/>
          <w:sz w:val="32"/>
          <w:szCs w:val="32"/>
          <w:lang w:val="en-US" w:eastAsia="zh-CN"/>
        </w:rPr>
        <w:t>年耕地地力保护补贴面积汇总表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报送县农业农村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。可通过政府门户网站、微信群等多形式做好公示工作</w:t>
      </w:r>
      <w:r>
        <w:rPr>
          <w:rFonts w:hint="eastAsia" w:ascii="仿宋_GB2312" w:hAnsi="仿宋_GB2312" w:eastAsia="仿宋_GB2312" w:cs="仿宋_GB2312"/>
          <w:sz w:val="32"/>
          <w:szCs w:val="32"/>
          <w:lang w:eastAsia="zh-CN"/>
        </w:rPr>
        <w:t>。</w:t>
      </w:r>
    </w:p>
    <w:p w14:paraId="0C9F2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严格补贴面积审核。</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要抓实补贴对象和面积核实工作，加强与组织、人社、公安、民政等部门协作，强化对非补贴对象的筛查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加强与自然资源、林业、统计等部门的沟通协作，不断规范基础数据，及时共享农村土地经营权确权登记、退耕还林、非农业征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耕地、占补平衡、撂荒耕地、各类农作物面积等相关数据，据实扣减不符合条件的耕地面积，确保补贴面积核实信息真实准确，严禁虚报、重报、漏报等现象发生。由县农业农村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牵头会同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，并邀请</w:t>
      </w:r>
      <w:r>
        <w:rPr>
          <w:rFonts w:hint="eastAsia" w:ascii="仿宋_GB2312" w:hAnsi="仿宋_GB2312" w:eastAsia="仿宋_GB2312" w:cs="仿宋_GB2312"/>
          <w:sz w:val="32"/>
          <w:szCs w:val="32"/>
          <w:lang w:eastAsia="zh-CN"/>
        </w:rPr>
        <w:t>县自然资源和规划局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县统计局</w:t>
      </w:r>
      <w:r>
        <w:rPr>
          <w:rFonts w:hint="eastAsia" w:ascii="仿宋_GB2312" w:hAnsi="仿宋_GB2312" w:eastAsia="仿宋_GB2312" w:cs="仿宋_GB2312"/>
          <w:sz w:val="32"/>
          <w:szCs w:val="32"/>
        </w:rPr>
        <w:t>等部门参与补贴相关数据审核;每个乡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随机抽取</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个村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每个村抽取</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个农户进行审核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如发现问题，要及时通知乡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重新核实、公示，并在“一卡通”系统中进行修改</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补贴面积大于自然资源部门公布的最新国土变更调查耕地面积的，县</w:t>
      </w:r>
      <w:r>
        <w:rPr>
          <w:rFonts w:hint="eastAsia" w:ascii="仿宋_GB2312" w:hAnsi="仿宋_GB2312" w:eastAsia="仿宋_GB2312" w:cs="仿宋_GB2312"/>
          <w:sz w:val="32"/>
          <w:szCs w:val="32"/>
          <w:lang w:eastAsia="zh-CN"/>
        </w:rPr>
        <w:t>农业农村局</w:t>
      </w:r>
      <w:r>
        <w:rPr>
          <w:rFonts w:hint="eastAsia" w:ascii="仿宋_GB2312" w:hAnsi="仿宋_GB2312" w:eastAsia="仿宋_GB2312" w:cs="仿宋_GB2312"/>
          <w:sz w:val="32"/>
          <w:szCs w:val="32"/>
        </w:rPr>
        <w:t>要倒查补贴面积情况并书面说明原因。</w:t>
      </w:r>
    </w:p>
    <w:p w14:paraId="0A538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按程序报审和批复。</w:t>
      </w:r>
      <w:r>
        <w:rPr>
          <w:rFonts w:hint="eastAsia" w:ascii="仿宋_GB2312" w:hAnsi="仿宋_GB2312" w:eastAsia="仿宋_GB2312" w:cs="仿宋_GB2312"/>
          <w:sz w:val="32"/>
          <w:szCs w:val="32"/>
        </w:rPr>
        <w:t>各乡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的补贴面积通过审核后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由县农业农村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汇总，统筹以前年度结余资金和</w:t>
      </w:r>
      <w:r>
        <w:rPr>
          <w:rFonts w:hint="eastAsia" w:ascii="Times New Roman" w:hAnsi="Times New Roman" w:eastAsia="仿宋_GB2312" w:cs="仿宋_GB2312"/>
          <w:sz w:val="32"/>
          <w:szCs w:val="32"/>
        </w:rPr>
        <w:t>2026</w:t>
      </w:r>
      <w:r>
        <w:rPr>
          <w:rFonts w:hint="eastAsia" w:ascii="仿宋_GB2312" w:hAnsi="仿宋_GB2312" w:eastAsia="仿宋_GB2312" w:cs="仿宋_GB2312"/>
          <w:sz w:val="32"/>
          <w:szCs w:val="32"/>
        </w:rPr>
        <w:t>年耕地地力保护补贴下达资金用于测算全县补贴标准，并会同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制定补贴资金分配方案，联合行文报请县人民政府审</w:t>
      </w:r>
      <w:r>
        <w:rPr>
          <w:rFonts w:hint="eastAsia" w:ascii="仿宋_GB2312" w:hAnsi="仿宋_GB2312" w:eastAsia="仿宋_GB2312" w:cs="仿宋_GB2312"/>
          <w:sz w:val="32"/>
          <w:szCs w:val="32"/>
          <w:lang w:eastAsia="zh-CN"/>
        </w:rPr>
        <w:t>批</w:t>
      </w:r>
      <w:r>
        <w:rPr>
          <w:rFonts w:hint="eastAsia" w:ascii="仿宋_GB2312" w:hAnsi="仿宋_GB2312" w:eastAsia="仿宋_GB2312" w:cs="仿宋_GB2312"/>
          <w:sz w:val="32"/>
          <w:szCs w:val="32"/>
        </w:rPr>
        <w:t>。补贴资金分配方案通过县人民政府审</w:t>
      </w:r>
      <w:r>
        <w:rPr>
          <w:rFonts w:hint="eastAsia" w:ascii="仿宋_GB2312" w:hAnsi="仿宋_GB2312" w:eastAsia="仿宋_GB2312" w:cs="仿宋_GB2312"/>
          <w:sz w:val="32"/>
          <w:szCs w:val="32"/>
          <w:lang w:eastAsia="zh-CN"/>
        </w:rPr>
        <w:t>批</w:t>
      </w:r>
      <w:r>
        <w:rPr>
          <w:rFonts w:hint="eastAsia" w:ascii="仿宋_GB2312" w:hAnsi="仿宋_GB2312" w:eastAsia="仿宋_GB2312" w:cs="仿宋_GB2312"/>
          <w:sz w:val="32"/>
          <w:szCs w:val="32"/>
        </w:rPr>
        <w:t>后，县农业农村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要会同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对各乡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的补贴面积和补贴资金拨付申请进行书面</w:t>
      </w:r>
      <w:r>
        <w:rPr>
          <w:rFonts w:hint="eastAsia" w:ascii="仿宋_GB2312" w:hAnsi="仿宋_GB2312" w:eastAsia="仿宋_GB2312" w:cs="仿宋_GB2312"/>
          <w:sz w:val="32"/>
          <w:szCs w:val="32"/>
          <w:lang w:eastAsia="zh-CN"/>
        </w:rPr>
        <w:t>回</w:t>
      </w:r>
      <w:r>
        <w:rPr>
          <w:rFonts w:hint="eastAsia" w:ascii="仿宋_GB2312" w:hAnsi="仿宋_GB2312" w:eastAsia="仿宋_GB2312" w:cs="仿宋_GB2312"/>
          <w:sz w:val="32"/>
          <w:szCs w:val="32"/>
        </w:rPr>
        <w:t>复，同时在“一卡通”系统录入补贴标准，以确保公示内容、审核批复与实际发放情况完全一致。</w:t>
      </w:r>
    </w:p>
    <w:p w14:paraId="6EFF2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（九）</w:t>
      </w:r>
      <w:r>
        <w:rPr>
          <w:rFonts w:hint="eastAsia" w:ascii="楷体_GB2312" w:hAnsi="楷体_GB2312" w:eastAsia="楷体_GB2312" w:cs="楷体_GB2312"/>
          <w:sz w:val="32"/>
          <w:szCs w:val="32"/>
        </w:rPr>
        <w:t>及时发放补贴资金。</w:t>
      </w:r>
      <w:r>
        <w:rPr>
          <w:rFonts w:hint="eastAsia" w:ascii="Times New Roman" w:hAnsi="Times New Roman" w:eastAsia="仿宋_GB2312" w:cs="仿宋_GB2312"/>
          <w:sz w:val="32"/>
          <w:szCs w:val="32"/>
        </w:rPr>
        <w:t>2026</w:t>
      </w:r>
      <w:r>
        <w:rPr>
          <w:rFonts w:hint="eastAsia" w:ascii="仿宋_GB2312" w:hAnsi="仿宋_GB2312" w:eastAsia="仿宋_GB2312" w:cs="仿宋_GB2312"/>
          <w:sz w:val="32"/>
          <w:szCs w:val="32"/>
        </w:rPr>
        <w:t>年耕地地力保护补贴资金纳入直达专户管理，专款专用，严禁统筹用于其他项目。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组织各乡（镇）</w:t>
      </w:r>
      <w:r>
        <w:rPr>
          <w:rFonts w:hint="eastAsia" w:ascii="仿宋_GB2312" w:hAnsi="仿宋_GB2312" w:eastAsia="仿宋_GB2312" w:cs="仿宋_GB2312"/>
          <w:sz w:val="32"/>
          <w:szCs w:val="32"/>
        </w:rPr>
        <w:t>按照国库集中支付制度的资金拨付程序，及时将补贴款发放到农户“一卡通”账户。发放程序要严而有序、公开透明。</w:t>
      </w:r>
    </w:p>
    <w:p w14:paraId="5E6CC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sz w:val="32"/>
          <w:szCs w:val="32"/>
        </w:rPr>
        <w:t>完善档案管理。</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要收集实施耕地地力保护补贴项目的有关材料，并按照规范的档案管理要求归档保存。归档材料主要包括</w:t>
      </w:r>
      <w:r>
        <w:rPr>
          <w:rFonts w:hint="eastAsia" w:ascii="仿宋_GB2312" w:hAnsi="仿宋_GB2312" w:eastAsia="仿宋_GB2312" w:cs="仿宋_GB2312"/>
          <w:sz w:val="32"/>
          <w:szCs w:val="32"/>
          <w:lang w:eastAsia="zh-CN"/>
        </w:rPr>
        <w:t>乡（镇）人民政府已盖章的补贴面积公示正式文件</w:t>
      </w:r>
      <w:r>
        <w:rPr>
          <w:rFonts w:hint="eastAsia" w:ascii="仿宋_GB2312" w:hAnsi="仿宋_GB2312" w:eastAsia="仿宋_GB2312" w:cs="仿宋_GB2312"/>
          <w:sz w:val="32"/>
          <w:szCs w:val="32"/>
        </w:rPr>
        <w:t>和图片资料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以村为基本单位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，经村委会盖章以及具体核实人签字的各村分户登记、审核、汇总清册的纸质材料，县、乡两级上报、批复实施方案、补贴面积的正式文件,补贴资金分配方案及批复文件、补贴资金拨付凭证等</w:t>
      </w:r>
      <w:r>
        <w:rPr>
          <w:rFonts w:hint="eastAsia" w:ascii="仿宋_GB2312" w:hAnsi="仿宋_GB2312" w:eastAsia="仿宋_GB2312" w:cs="仿宋_GB2312"/>
          <w:sz w:val="32"/>
          <w:szCs w:val="32"/>
          <w:lang w:eastAsia="zh-CN"/>
        </w:rPr>
        <w:t>。</w:t>
      </w:r>
    </w:p>
    <w:p w14:paraId="02227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二、责任分工</w:t>
      </w:r>
    </w:p>
    <w:p w14:paraId="539B0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（一）县、乡（镇）</w:t>
      </w:r>
      <w:r>
        <w:rPr>
          <w:rFonts w:hint="eastAsia" w:ascii="楷体_GB2312" w:hAnsi="楷体_GB2312" w:eastAsia="楷体_GB2312" w:cs="楷体_GB2312"/>
          <w:sz w:val="32"/>
          <w:szCs w:val="32"/>
        </w:rPr>
        <w:t>人民政府。</w:t>
      </w:r>
      <w:r>
        <w:rPr>
          <w:rFonts w:hint="eastAsia" w:ascii="仿宋_GB2312" w:hAnsi="仿宋_GB2312" w:eastAsia="仿宋_GB2312" w:cs="仿宋_GB2312"/>
          <w:sz w:val="32"/>
          <w:szCs w:val="32"/>
        </w:rPr>
        <w:t>县人民政府全面负责本区域内的耕地地力保护补贴项目的实施工作，主要负责制定印发年度项目实施工作方案，审批补贴标准和资金分配方案，协调组织核实补贴面积、兑付资金、监督检查及信访等工作，并落实所需的工作经费。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人民政府负责辖区内补贴面积的申报、核实和张榜公示，信息的审核和录入，以及本乡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补贴工作的培训、总结、汇总上报等工作。</w:t>
      </w:r>
    </w:p>
    <w:p w14:paraId="469E8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（二）县</w:t>
      </w:r>
      <w:r>
        <w:rPr>
          <w:rFonts w:hint="eastAsia" w:ascii="楷体_GB2312" w:hAnsi="楷体_GB2312" w:eastAsia="楷体_GB2312" w:cs="楷体_GB2312"/>
          <w:sz w:val="32"/>
          <w:szCs w:val="32"/>
        </w:rPr>
        <w:t>农业农村</w:t>
      </w:r>
      <w:r>
        <w:rPr>
          <w:rFonts w:hint="eastAsia" w:ascii="楷体_GB2312" w:hAnsi="楷体_GB2312" w:eastAsia="楷体_GB2312" w:cs="楷体_GB2312"/>
          <w:sz w:val="32"/>
          <w:szCs w:val="32"/>
          <w:lang w:eastAsia="zh-CN"/>
        </w:rPr>
        <w:t>局</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农业农村</w:t>
      </w:r>
      <w:r>
        <w:rPr>
          <w:rFonts w:hint="eastAsia" w:ascii="仿宋_GB2312" w:hAnsi="仿宋_GB2312" w:eastAsia="仿宋_GB2312" w:cs="仿宋_GB2312"/>
          <w:color w:val="auto"/>
          <w:sz w:val="32"/>
          <w:szCs w:val="32"/>
          <w:lang w:eastAsia="zh-CN"/>
        </w:rPr>
        <w:t>局负责指导各乡（镇）</w:t>
      </w:r>
      <w:r>
        <w:rPr>
          <w:rFonts w:hint="eastAsia" w:ascii="仿宋_GB2312" w:hAnsi="仿宋_GB2312" w:eastAsia="仿宋_GB2312" w:cs="仿宋_GB2312"/>
          <w:color w:val="auto"/>
          <w:sz w:val="32"/>
          <w:szCs w:val="32"/>
        </w:rPr>
        <w:t>做好基础数据采集审核，做好政策解读、项目总结、绩效考核和审计、信访反馈问题整改等工作，并协同</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指导督促</w:t>
      </w:r>
      <w:r>
        <w:rPr>
          <w:rFonts w:hint="eastAsia" w:ascii="仿宋_GB2312" w:hAnsi="仿宋_GB2312" w:eastAsia="仿宋_GB2312" w:cs="仿宋_GB2312"/>
          <w:color w:val="auto"/>
          <w:sz w:val="32"/>
          <w:szCs w:val="32"/>
          <w:lang w:eastAsia="zh-CN"/>
        </w:rPr>
        <w:t>各乡（镇）</w:t>
      </w:r>
      <w:r>
        <w:rPr>
          <w:rFonts w:hint="eastAsia" w:ascii="仿宋_GB2312" w:hAnsi="仿宋_GB2312" w:eastAsia="仿宋_GB2312" w:cs="仿宋_GB2312"/>
          <w:color w:val="auto"/>
          <w:sz w:val="32"/>
          <w:szCs w:val="32"/>
        </w:rPr>
        <w:t>及时足额准确兑付补贴资金。牵头组织做好农户基础数据采集、审核、汇</w:t>
      </w:r>
      <w:r>
        <w:rPr>
          <w:rFonts w:hint="eastAsia" w:ascii="仿宋_GB2312" w:hAnsi="仿宋_GB2312" w:eastAsia="仿宋_GB2312" w:cs="仿宋_GB2312"/>
          <w:sz w:val="32"/>
          <w:szCs w:val="32"/>
        </w:rPr>
        <w:t>总、分析，测算补贴标准，向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提供审核后的补贴面积基础数据及资金分配方案等工作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牵头做好补贴项目实施绩效评价、信访受理、总结等工作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开展补贴工作的培训、检查指导等</w:t>
      </w:r>
      <w:r>
        <w:rPr>
          <w:rFonts w:hint="eastAsia" w:ascii="仿宋_GB2312" w:hAnsi="仿宋_GB2312" w:eastAsia="仿宋_GB2312" w:cs="仿宋_GB2312"/>
          <w:sz w:val="32"/>
          <w:szCs w:val="32"/>
          <w:lang w:eastAsia="zh-CN"/>
        </w:rPr>
        <w:t>。</w:t>
      </w:r>
    </w:p>
    <w:p w14:paraId="4F27F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县财政局。</w:t>
      </w:r>
      <w:r>
        <w:rPr>
          <w:rFonts w:hint="eastAsia" w:ascii="仿宋_GB2312" w:hAnsi="仿宋_GB2312" w:eastAsia="仿宋_GB2312" w:cs="仿宋_GB2312"/>
          <w:sz w:val="32"/>
          <w:szCs w:val="32"/>
          <w:lang w:eastAsia="zh-CN"/>
        </w:rPr>
        <w:t>县财政局会同县农业农村局负责指导督促各乡（镇）落实补贴政策，加强资金监管，指导和督促各乡（镇）做好基础数据采集审核和及时足额准确兑付补贴资金，做好政策解读、项目总结、绩效考核和审计、信访反馈问题整改等工作。县财政局负责补贴资金的拨付、兑付情况审核、旬报等工作；补贴资金监督管理，严格执行专账管理；牵头开展补贴工作的培训、资金检查等工作；配合县农业农村局制定年度补贴资金分配方案报县人民政府审批；配合县农业农村局做好补贴政策绩效考核、信访受理等工作。</w:t>
      </w:r>
    </w:p>
    <w:p w14:paraId="5A7A04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三、有关工作要求</w:t>
      </w:r>
    </w:p>
    <w:p w14:paraId="500D74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县财政局要加强配合、牵头抓总，确保补贴工作平稳推进。要加强与自然资源、林业、人社、民政、公安等有关部门协同配合，强化数据共享，推动补贴发放工作顺利实施。加强信息公开，按照职责分工和“谁主管、谁负责、谁公开”的原则，做好补贴信息公开工作。及时公布补贴政策清单，加强政策解读。要做好政策宣传和舆论引导工作，通过政府门户网站、明白纸、广播电视、喇叭广播、微信、短信等形式做好政策宣传工作，确保政策宣传到位，提高政策知晓度和群众满意度。各乡（镇）要设立并公布补贴政策咨询监督电话，做好受理政策咨询、查证举报事项等工作。对因政策调整造成补贴减少的农户要宣传解释到位，获得农户的理解和支持。各乡（镇）要认真做好信访办理，把农民群众反映的实际问题解决在基层。持续加强监管和指导，落实日常监管、定期指导和重点抽查相结合的监督机制，严防“跑冒滴漏”，严格核实补贴对象和面积，严禁对不符合补贴条件的耕地给予补贴，一经发现，按照骗取、套取补贴资金行为依法依规严肃处理。要加强大数据核实比对，将申报面积与确权登记面积、实际耕地面积等进行横向对比;将上下年度间的补贴面积、补贴资金、补贴对象等进行纵向对比，相互验证，依托卫星遥感、无人机飞测等现代化手段，加大对耕地使用情况的核实力度，切实减轻基层负担。</w:t>
      </w:r>
    </w:p>
    <w:p w14:paraId="2E7A5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四、材料报送要求</w:t>
      </w:r>
    </w:p>
    <w:p w14:paraId="7DDAE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各乡（镇）要及时做好</w:t>
      </w:r>
      <w:r>
        <w:rPr>
          <w:rFonts w:hint="eastAsia" w:ascii="Times New Roman" w:hAnsi="Times New Roman" w:eastAsia="仿宋_GB2312" w:cs="仿宋_GB2312"/>
          <w:sz w:val="32"/>
          <w:szCs w:val="32"/>
          <w:lang w:eastAsia="zh-CN"/>
        </w:rPr>
        <w:t>2026</w:t>
      </w:r>
      <w:r>
        <w:rPr>
          <w:rFonts w:hint="eastAsia" w:ascii="仿宋_GB2312" w:hAnsi="仿宋_GB2312" w:eastAsia="仿宋_GB2312" w:cs="仿宋_GB2312"/>
          <w:sz w:val="32"/>
          <w:szCs w:val="32"/>
          <w:lang w:eastAsia="zh-CN"/>
        </w:rPr>
        <w:t>年鹿寨县耕地地力保护补贴项目实施工作总结和项目绩效评价工作，并于</w:t>
      </w:r>
      <w:r>
        <w:rPr>
          <w:rFonts w:hint="eastAsia" w:ascii="Times New Roman" w:hAnsi="Times New Roman" w:eastAsia="仿宋_GB2312" w:cs="仿宋_GB2312"/>
          <w:sz w:val="32"/>
          <w:szCs w:val="32"/>
          <w:lang w:eastAsia="zh-CN"/>
        </w:rPr>
        <w:t>2026</w:t>
      </w:r>
      <w:r>
        <w:rPr>
          <w:rFonts w:hint="eastAsia" w:ascii="仿宋_GB2312" w:hAnsi="仿宋_GB2312" w:eastAsia="仿宋_GB2312" w:cs="仿宋_GB2312"/>
          <w:sz w:val="32"/>
          <w:szCs w:val="32"/>
          <w:lang w:eastAsia="zh-CN"/>
        </w:rPr>
        <w:t>年</w:t>
      </w:r>
      <w:r>
        <w:rPr>
          <w:rFonts w:hint="eastAsia" w:ascii="Times New Roman" w:hAnsi="Times New Roman" w:eastAsia="仿宋_GB2312" w:cs="仿宋_GB2312"/>
          <w:sz w:val="32"/>
          <w:szCs w:val="32"/>
          <w:lang w:eastAsia="zh-CN"/>
        </w:rPr>
        <w:t>11</w:t>
      </w:r>
      <w:r>
        <w:rPr>
          <w:rFonts w:hint="eastAsia" w:ascii="仿宋_GB2312" w:hAnsi="仿宋_GB2312" w:eastAsia="仿宋_GB2312" w:cs="仿宋_GB2312"/>
          <w:sz w:val="32"/>
          <w:szCs w:val="32"/>
          <w:lang w:eastAsia="zh-CN"/>
        </w:rPr>
        <w:t>月</w:t>
      </w:r>
      <w:r>
        <w:rPr>
          <w:rFonts w:hint="eastAsia" w:ascii="Times New Roman" w:hAnsi="Times New Roman" w:eastAsia="仿宋_GB2312" w:cs="仿宋_GB2312"/>
          <w:sz w:val="32"/>
          <w:szCs w:val="32"/>
          <w:lang w:val="en-US" w:eastAsia="zh-CN"/>
        </w:rPr>
        <w:t>20</w:t>
      </w:r>
      <w:r>
        <w:rPr>
          <w:rFonts w:hint="eastAsia" w:ascii="仿宋_GB2312" w:hAnsi="仿宋_GB2312" w:eastAsia="仿宋_GB2312" w:cs="仿宋_GB2312"/>
          <w:sz w:val="32"/>
          <w:szCs w:val="32"/>
          <w:lang w:eastAsia="zh-CN"/>
        </w:rPr>
        <w:t>日前将</w:t>
      </w:r>
      <w:r>
        <w:rPr>
          <w:rFonts w:hint="eastAsia" w:ascii="Times New Roman" w:hAnsi="Times New Roman" w:eastAsia="仿宋_GB2312" w:cs="仿宋_GB2312"/>
          <w:sz w:val="32"/>
          <w:szCs w:val="32"/>
          <w:lang w:eastAsia="zh-CN"/>
        </w:rPr>
        <w:t>2026</w:t>
      </w:r>
      <w:r>
        <w:rPr>
          <w:rFonts w:hint="eastAsia" w:ascii="仿宋_GB2312" w:hAnsi="仿宋_GB2312" w:eastAsia="仿宋_GB2312" w:cs="仿宋_GB2312"/>
          <w:sz w:val="32"/>
          <w:szCs w:val="32"/>
          <w:lang w:eastAsia="zh-CN"/>
        </w:rPr>
        <w:t>年工作成效总结（含附件）和补贴资金拨付凭证等材料报送至县农业农村局、县财政局。</w:t>
      </w:r>
    </w:p>
    <w:p w14:paraId="2450E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县农业农村局联系人：莫新媛，联系电话:</w:t>
      </w:r>
      <w:r>
        <w:rPr>
          <w:rFonts w:hint="eastAsia" w:ascii="Times New Roman" w:hAnsi="Times New Roman" w:eastAsia="仿宋_GB2312" w:cs="仿宋_GB2312"/>
          <w:sz w:val="32"/>
          <w:szCs w:val="32"/>
          <w:lang w:eastAsia="zh-CN"/>
        </w:rPr>
        <w:t>077</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6820722</w:t>
      </w:r>
      <w:r>
        <w:rPr>
          <w:rFonts w:hint="eastAsia" w:ascii="仿宋_GB2312" w:hAnsi="仿宋_GB2312" w:eastAsia="仿宋_GB2312" w:cs="仿宋_GB2312"/>
          <w:sz w:val="32"/>
          <w:szCs w:val="32"/>
          <w:lang w:eastAsia="zh-CN"/>
        </w:rPr>
        <w:t>，电子邮箱:</w:t>
      </w:r>
      <w:r>
        <w:rPr>
          <w:rFonts w:hint="default" w:ascii="Times New Roman" w:hAnsi="Times New Roman" w:eastAsia="仿宋_GB2312" w:cs="Times New Roman"/>
          <w:sz w:val="32"/>
          <w:szCs w:val="32"/>
          <w:lang w:val="en-US" w:eastAsia="zh-CN"/>
        </w:rPr>
        <w:t>lzxtgz@163.com</w:t>
      </w:r>
      <w:r>
        <w:rPr>
          <w:rFonts w:hint="eastAsia" w:ascii="仿宋_GB2312" w:hAnsi="仿宋_GB2312" w:eastAsia="仿宋_GB2312" w:cs="仿宋_GB2312"/>
          <w:sz w:val="32"/>
          <w:szCs w:val="32"/>
          <w:lang w:eastAsia="zh-CN"/>
        </w:rPr>
        <w:t>;县财政局联系人：</w:t>
      </w:r>
      <w:r>
        <w:rPr>
          <w:rFonts w:hint="eastAsia" w:ascii="仿宋_GB2312" w:hAnsi="仿宋_GB2312" w:eastAsia="仿宋_GB2312" w:cs="仿宋_GB2312"/>
          <w:sz w:val="32"/>
          <w:szCs w:val="32"/>
          <w:lang w:val="en-US" w:eastAsia="zh-CN"/>
        </w:rPr>
        <w:t>陈麒蓉</w:t>
      </w:r>
      <w:r>
        <w:rPr>
          <w:rFonts w:hint="eastAsia" w:ascii="仿宋_GB2312" w:hAnsi="仿宋_GB2312" w:eastAsia="仿宋_GB2312" w:cs="仿宋_GB2312"/>
          <w:sz w:val="32"/>
          <w:szCs w:val="32"/>
          <w:lang w:eastAsia="zh-CN"/>
        </w:rPr>
        <w:t>，联系电话：</w:t>
      </w:r>
      <w:r>
        <w:rPr>
          <w:rFonts w:hint="eastAsia" w:ascii="Times New Roman" w:hAnsi="Times New Roman" w:eastAsia="仿宋_GB2312" w:cs="仿宋_GB2312"/>
          <w:sz w:val="32"/>
          <w:szCs w:val="32"/>
          <w:lang w:eastAsia="zh-CN"/>
        </w:rPr>
        <w:t>077</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lang w:val="en-US" w:eastAsia="zh-CN"/>
        </w:rPr>
        <w:t>6813637</w:t>
      </w:r>
      <w:r>
        <w:rPr>
          <w:rFonts w:hint="eastAsia" w:ascii="仿宋_GB2312" w:hAnsi="仿宋_GB2312" w:eastAsia="仿宋_GB2312" w:cs="仿宋_GB2312"/>
          <w:sz w:val="32"/>
          <w:szCs w:val="32"/>
          <w:lang w:eastAsia="zh-CN"/>
        </w:rPr>
        <w:t>，电子邮箱：</w:t>
      </w:r>
      <w:r>
        <w:rPr>
          <w:rFonts w:hint="default" w:ascii="Times New Roman" w:hAnsi="Times New Roman" w:eastAsia="仿宋_GB2312" w:cs="Times New Roman"/>
          <w:sz w:val="32"/>
          <w:szCs w:val="32"/>
          <w:lang w:eastAsia="zh-CN"/>
        </w:rPr>
        <w:t>Lzxnyg@163.com</w:t>
      </w:r>
      <w:r>
        <w:rPr>
          <w:rFonts w:hint="eastAsia" w:ascii="Times New Roman" w:hAnsi="Times New Roman" w:eastAsia="仿宋_GB2312" w:cs="仿宋_GB2312"/>
          <w:sz w:val="32"/>
          <w:szCs w:val="32"/>
          <w:lang w:eastAsia="zh-CN"/>
        </w:rPr>
        <w:t>。</w:t>
      </w:r>
    </w:p>
    <w:p w14:paraId="6EE9B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0C77C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Times New Roman" w:hAnsi="Times New Roman" w:eastAsia="仿宋_GB2312" w:cs="仿宋_GB2312"/>
          <w:sz w:val="32"/>
          <w:szCs w:val="32"/>
          <w:lang w:eastAsia="zh-CN"/>
        </w:rPr>
        <w:t>2026</w:t>
      </w:r>
      <w:r>
        <w:rPr>
          <w:rFonts w:hint="eastAsia" w:ascii="仿宋_GB2312" w:hAnsi="仿宋_GB2312" w:eastAsia="仿宋_GB2312" w:cs="仿宋_GB2312"/>
          <w:sz w:val="32"/>
          <w:szCs w:val="32"/>
          <w:lang w:eastAsia="zh-CN"/>
        </w:rPr>
        <w:t>年鹿寨县耕地地力保护补贴项目发放统计表</w:t>
      </w:r>
    </w:p>
    <w:p w14:paraId="2FC8B2B6">
      <w:pPr>
        <w:pStyle w:val="3"/>
        <w:rPr>
          <w:rFonts w:hint="eastAsia" w:ascii="仿宋_GB2312" w:hAnsi="仿宋_GB2312" w:eastAsia="仿宋_GB2312" w:cs="仿宋_GB2312"/>
          <w:sz w:val="32"/>
          <w:szCs w:val="32"/>
          <w:lang w:eastAsia="zh-CN"/>
        </w:rPr>
      </w:pPr>
    </w:p>
    <w:p w14:paraId="20AB78AF">
      <w:pPr>
        <w:rPr>
          <w:rFonts w:hint="eastAsia" w:ascii="仿宋_GB2312" w:hAnsi="仿宋_GB2312" w:eastAsia="仿宋_GB2312" w:cs="仿宋_GB2312"/>
          <w:sz w:val="32"/>
          <w:szCs w:val="32"/>
          <w:lang w:eastAsia="zh-CN"/>
        </w:rPr>
      </w:pPr>
    </w:p>
    <w:p w14:paraId="05D016AE">
      <w:pPr>
        <w:pStyle w:val="2"/>
        <w:rPr>
          <w:rFonts w:hint="eastAsia" w:ascii="仿宋_GB2312" w:hAnsi="仿宋_GB2312" w:eastAsia="仿宋_GB2312" w:cs="仿宋_GB2312"/>
          <w:sz w:val="32"/>
          <w:szCs w:val="32"/>
          <w:lang w:eastAsia="zh-CN"/>
        </w:rPr>
      </w:pPr>
    </w:p>
    <w:p w14:paraId="70E478C9">
      <w:pPr>
        <w:pStyle w:val="3"/>
        <w:rPr>
          <w:rFonts w:hint="eastAsia"/>
          <w:lang w:eastAsia="zh-CN"/>
        </w:rPr>
      </w:pPr>
    </w:p>
    <w:p w14:paraId="2B83B0C7">
      <w:pPr>
        <w:pStyle w:val="3"/>
        <w:rPr>
          <w:rFonts w:hint="eastAsia"/>
          <w:lang w:eastAsia="zh-CN"/>
        </w:rPr>
      </w:pPr>
    </w:p>
    <w:p w14:paraId="55EA4399">
      <w:pPr>
        <w:pStyle w:val="3"/>
        <w:jc w:val="both"/>
        <w:rPr>
          <w:rFonts w:hint="eastAsia"/>
          <w:lang w:eastAsia="zh-CN"/>
        </w:rPr>
      </w:pPr>
    </w:p>
    <w:p w14:paraId="7480C02C">
      <w:pPr>
        <w:rPr>
          <w:rFonts w:hint="eastAsia"/>
          <w:lang w:eastAsia="zh-CN"/>
        </w:rPr>
      </w:pPr>
    </w:p>
    <w:p w14:paraId="250BD6FF">
      <w:pPr>
        <w:spacing w:line="48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28"/>
          <w:u w:val="single"/>
        </w:rPr>
        <w:t xml:space="preserve">     </w:t>
      </w:r>
      <w:r>
        <w:rPr>
          <w:rFonts w:hint="default" w:ascii="Times New Roman" w:hAnsi="Times New Roman" w:eastAsia="仿宋_GB2312" w:cs="Times New Roman"/>
          <w:color w:val="auto"/>
          <w:sz w:val="32"/>
          <w:szCs w:val="32"/>
          <w:u w:val="single"/>
        </w:rPr>
        <w:t xml:space="preserve">                          </w:t>
      </w:r>
    </w:p>
    <w:p w14:paraId="17B4E842">
      <w:pPr>
        <w:tabs>
          <w:tab w:val="left" w:pos="840"/>
        </w:tabs>
        <w:jc w:val="both"/>
        <w:rPr>
          <w:rFonts w:hint="default"/>
          <w:color w:val="auto"/>
          <w:lang w:val="en-US" w:eastAsia="zh-CN"/>
        </w:rPr>
        <w:sectPr>
          <w:footerReference r:id="rId3" w:type="default"/>
          <w:pgSz w:w="11906" w:h="16838"/>
          <w:pgMar w:top="1440" w:right="1417" w:bottom="1440" w:left="1417" w:header="851" w:footer="992" w:gutter="0"/>
          <w:cols w:space="720" w:num="1"/>
          <w:docGrid w:type="linesAndChars" w:linePitch="312" w:charSpace="0"/>
        </w:sectPr>
      </w:pPr>
      <w:r>
        <w:rPr>
          <w:rFonts w:hint="default" w:ascii="Times New Roman" w:hAnsi="Times New Roman" w:eastAsia="仿宋_GB2312" w:cs="Times New Roman"/>
          <w:color w:val="auto"/>
          <w:sz w:val="28"/>
          <w:u w:val="single"/>
        </w:rPr>
        <w:t xml:space="preserve">  鹿寨县人民政府办公室              </w:t>
      </w:r>
      <w:r>
        <w:rPr>
          <w:rFonts w:hint="eastAsia" w:ascii="Times New Roman" w:hAnsi="Times New Roman" w:eastAsia="仿宋_GB2312" w:cs="Times New Roman"/>
          <w:color w:val="auto"/>
          <w:sz w:val="28"/>
          <w:u w:val="single"/>
          <w:lang w:val="en-US" w:eastAsia="zh-CN"/>
        </w:rPr>
        <w:t xml:space="preserve"> </w:t>
      </w:r>
      <w:r>
        <w:rPr>
          <w:rFonts w:hint="default" w:ascii="Times New Roman" w:hAnsi="Times New Roman" w:eastAsia="仿宋_GB2312" w:cs="Times New Roman"/>
          <w:color w:val="auto"/>
          <w:sz w:val="28"/>
          <w:u w:val="single"/>
        </w:rPr>
        <w:t xml:space="preserve">      202</w:t>
      </w:r>
      <w:r>
        <w:rPr>
          <w:rFonts w:hint="eastAsia" w:ascii="Times New Roman" w:hAnsi="Times New Roman" w:eastAsia="仿宋_GB2312" w:cs="Times New Roman"/>
          <w:color w:val="auto"/>
          <w:sz w:val="28"/>
          <w:u w:val="single"/>
          <w:lang w:val="en-US" w:eastAsia="zh-CN"/>
        </w:rPr>
        <w:t>6</w:t>
      </w:r>
      <w:r>
        <w:rPr>
          <w:rFonts w:hint="default" w:ascii="Times New Roman" w:hAnsi="Times New Roman" w:eastAsia="仿宋_GB2312" w:cs="Times New Roman"/>
          <w:color w:val="auto"/>
          <w:sz w:val="28"/>
          <w:u w:val="single"/>
        </w:rPr>
        <w:t>年</w:t>
      </w:r>
      <w:r>
        <w:rPr>
          <w:rFonts w:hint="eastAsia" w:ascii="Times New Roman" w:hAnsi="Times New Roman" w:eastAsia="仿宋_GB2312" w:cs="Times New Roman"/>
          <w:color w:val="auto"/>
          <w:sz w:val="28"/>
          <w:u w:val="single"/>
          <w:lang w:val="en-US" w:eastAsia="zh-CN"/>
        </w:rPr>
        <w:t>5</w:t>
      </w:r>
      <w:r>
        <w:rPr>
          <w:rFonts w:hint="default" w:ascii="Times New Roman" w:hAnsi="Times New Roman" w:eastAsia="仿宋_GB2312" w:cs="Times New Roman"/>
          <w:color w:val="auto"/>
          <w:sz w:val="28"/>
          <w:u w:val="single"/>
        </w:rPr>
        <w:t>月</w:t>
      </w:r>
      <w:r>
        <w:rPr>
          <w:rFonts w:hint="eastAsia" w:ascii="Times New Roman" w:hAnsi="Times New Roman" w:eastAsia="仿宋_GB2312" w:cs="Times New Roman"/>
          <w:color w:val="auto"/>
          <w:sz w:val="28"/>
          <w:u w:val="single"/>
          <w:lang w:val="en-US" w:eastAsia="zh-CN"/>
        </w:rPr>
        <w:t>21</w:t>
      </w:r>
      <w:r>
        <w:rPr>
          <w:rFonts w:hint="default" w:ascii="Times New Roman" w:hAnsi="Times New Roman" w:eastAsia="仿宋_GB2312" w:cs="Times New Roman"/>
          <w:color w:val="auto"/>
          <w:sz w:val="28"/>
          <w:u w:val="single"/>
        </w:rPr>
        <w:t xml:space="preserve">日印发   </w:t>
      </w:r>
    </w:p>
    <w:p w14:paraId="3FA2B8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3DA0DB9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2026</w:t>
      </w:r>
      <w:r>
        <w:rPr>
          <w:rFonts w:hint="eastAsia" w:ascii="方正小标宋简体" w:hAnsi="方正小标宋简体" w:eastAsia="方正小标宋简体" w:cs="方正小标宋简体"/>
          <w:sz w:val="44"/>
          <w:szCs w:val="44"/>
          <w:lang w:val="en-US" w:eastAsia="zh-CN"/>
        </w:rPr>
        <w:t>年鹿寨县耕地地力保护补贴项目发放统计表</w:t>
      </w:r>
    </w:p>
    <w:p w14:paraId="6118A9B1">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单位：元、亩</w:t>
      </w:r>
    </w:p>
    <w:tbl>
      <w:tblPr>
        <w:tblStyle w:val="7"/>
        <w:tblW w:w="14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466"/>
        <w:gridCol w:w="1029"/>
        <w:gridCol w:w="859"/>
        <w:gridCol w:w="944"/>
        <w:gridCol w:w="876"/>
        <w:gridCol w:w="927"/>
        <w:gridCol w:w="894"/>
        <w:gridCol w:w="1028"/>
        <w:gridCol w:w="1011"/>
        <w:gridCol w:w="1011"/>
        <w:gridCol w:w="944"/>
        <w:gridCol w:w="944"/>
        <w:gridCol w:w="927"/>
        <w:gridCol w:w="977"/>
      </w:tblGrid>
      <w:tr w14:paraId="641F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028" w:type="dxa"/>
            <w:vMerge w:val="restart"/>
            <mc:AlternateContent>
              <mc:Choice Requires="wpsCustomData">
                <wpsCustomData:diagonals>
                  <wpsCustomData:diagonal from="10000" to="30000">
                    <wpsCustomData:border w:val="single" w:color="auto" w:sz="4" w:space="0"/>
                  </wpsCustomData:diagonal>
                </wpsCustomData:diagonals>
              </mc:Choice>
            </mc:AlternateContent>
          </w:tcPr>
          <w:p w14:paraId="4ADF6B2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mc:AlternateContent>
                <mc:Choice Requires="wpsCustomData">
                  <wpsCustomData:diagonalParaType/>
                </mc:Choice>
              </mc:AlternateContent>
              <w:rPr>
                <w:rFonts w:hint="default" w:ascii="Times New Roman" w:hAnsi="Times New Roman" w:eastAsia="黑体" w:cs="Times New Roman"/>
                <w:sz w:val="30"/>
                <w:szCs w:val="30"/>
                <w:vertAlign w:val="baseline"/>
                <w:lang w:val="en-US" w:eastAsia="zh-CN"/>
              </w:rPr>
            </w:pPr>
            <w:r>
              <w:rPr>
                <w:rFonts w:hint="eastAsia" w:ascii="Times New Roman" w:hAnsi="Times New Roman" w:eastAsia="黑体" w:cs="Times New Roman"/>
                <w:sz w:val="30"/>
                <w:szCs w:val="30"/>
                <w:vertAlign w:val="baseline"/>
                <w:lang w:val="en-US" w:eastAsia="zh-CN"/>
              </w:rPr>
              <w:t>乡（镇）</w:t>
            </w:r>
          </w:p>
          <w:p w14:paraId="44059F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指标</w:t>
            </w:r>
          </w:p>
        </w:tc>
        <w:tc>
          <w:tcPr>
            <w:tcW w:w="1466" w:type="dxa"/>
            <w:vMerge w:val="restart"/>
          </w:tcPr>
          <w:p w14:paraId="6429EE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补贴标准</w:t>
            </w:r>
          </w:p>
          <w:p w14:paraId="2EACED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（元/亩）</w:t>
            </w:r>
          </w:p>
        </w:tc>
        <w:tc>
          <w:tcPr>
            <w:tcW w:w="2832" w:type="dxa"/>
            <w:gridSpan w:val="3"/>
          </w:tcPr>
          <w:p w14:paraId="3DA542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补贴面积</w:t>
            </w:r>
          </w:p>
        </w:tc>
        <w:tc>
          <w:tcPr>
            <w:tcW w:w="2697" w:type="dxa"/>
            <w:gridSpan w:val="3"/>
          </w:tcPr>
          <w:p w14:paraId="61B4A3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补贴户数</w:t>
            </w:r>
          </w:p>
        </w:tc>
        <w:tc>
          <w:tcPr>
            <w:tcW w:w="3050" w:type="dxa"/>
            <w:gridSpan w:val="3"/>
          </w:tcPr>
          <w:p w14:paraId="717FAA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补贴金额</w:t>
            </w:r>
          </w:p>
        </w:tc>
        <w:tc>
          <w:tcPr>
            <w:tcW w:w="944" w:type="dxa"/>
            <w:vMerge w:val="restart"/>
          </w:tcPr>
          <w:p w14:paraId="7276DD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2025年结余资金</w:t>
            </w:r>
          </w:p>
        </w:tc>
        <w:tc>
          <w:tcPr>
            <w:tcW w:w="944" w:type="dxa"/>
            <w:vMerge w:val="restart"/>
          </w:tcPr>
          <w:p w14:paraId="647B00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2026年下达耕补资金</w:t>
            </w:r>
          </w:p>
        </w:tc>
        <w:tc>
          <w:tcPr>
            <w:tcW w:w="927" w:type="dxa"/>
            <w:vMerge w:val="restart"/>
          </w:tcPr>
          <w:p w14:paraId="5CF18D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2026预计结余资金</w:t>
            </w:r>
          </w:p>
        </w:tc>
        <w:tc>
          <w:tcPr>
            <w:tcW w:w="977" w:type="dxa"/>
            <w:vMerge w:val="restart"/>
          </w:tcPr>
          <w:p w14:paraId="237F17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备注：补发或奖惩面积、金额</w:t>
            </w:r>
          </w:p>
        </w:tc>
      </w:tr>
      <w:tr w14:paraId="174F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028" w:type="dxa"/>
            <w:vMerge w:val="continue"/>
          </w:tcPr>
          <w:p w14:paraId="517F10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p>
        </w:tc>
        <w:tc>
          <w:tcPr>
            <w:tcW w:w="1466" w:type="dxa"/>
            <w:vMerge w:val="continue"/>
          </w:tcPr>
          <w:p w14:paraId="4ABBF6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p>
        </w:tc>
        <w:tc>
          <w:tcPr>
            <w:tcW w:w="1029" w:type="dxa"/>
          </w:tcPr>
          <w:p w14:paraId="3038A7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应发放补贴面积</w:t>
            </w:r>
          </w:p>
        </w:tc>
        <w:tc>
          <w:tcPr>
            <w:tcW w:w="859" w:type="dxa"/>
          </w:tcPr>
          <w:p w14:paraId="1E64BC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已发放补贴面积</w:t>
            </w:r>
          </w:p>
        </w:tc>
        <w:tc>
          <w:tcPr>
            <w:tcW w:w="944" w:type="dxa"/>
          </w:tcPr>
          <w:p w14:paraId="4E1062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未发放补贴面积</w:t>
            </w:r>
          </w:p>
        </w:tc>
        <w:tc>
          <w:tcPr>
            <w:tcW w:w="876" w:type="dxa"/>
          </w:tcPr>
          <w:p w14:paraId="599C58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应发放补贴户数</w:t>
            </w:r>
          </w:p>
        </w:tc>
        <w:tc>
          <w:tcPr>
            <w:tcW w:w="927" w:type="dxa"/>
          </w:tcPr>
          <w:p w14:paraId="78E37D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已发放补贴户数</w:t>
            </w:r>
          </w:p>
        </w:tc>
        <w:tc>
          <w:tcPr>
            <w:tcW w:w="894" w:type="dxa"/>
          </w:tcPr>
          <w:p w14:paraId="6048E0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未发放补贴户数</w:t>
            </w:r>
          </w:p>
        </w:tc>
        <w:tc>
          <w:tcPr>
            <w:tcW w:w="1028" w:type="dxa"/>
          </w:tcPr>
          <w:p w14:paraId="7CFD15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应发放补贴金额</w:t>
            </w:r>
          </w:p>
        </w:tc>
        <w:tc>
          <w:tcPr>
            <w:tcW w:w="1011" w:type="dxa"/>
          </w:tcPr>
          <w:p w14:paraId="32BA6E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已发放补贴金额</w:t>
            </w:r>
          </w:p>
        </w:tc>
        <w:tc>
          <w:tcPr>
            <w:tcW w:w="1011" w:type="dxa"/>
          </w:tcPr>
          <w:p w14:paraId="36C4C2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未发放补贴金额</w:t>
            </w:r>
          </w:p>
        </w:tc>
        <w:tc>
          <w:tcPr>
            <w:tcW w:w="944" w:type="dxa"/>
            <w:vMerge w:val="continue"/>
          </w:tcPr>
          <w:p w14:paraId="0F2C05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p>
        </w:tc>
        <w:tc>
          <w:tcPr>
            <w:tcW w:w="944" w:type="dxa"/>
            <w:vMerge w:val="continue"/>
          </w:tcPr>
          <w:p w14:paraId="676640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p>
        </w:tc>
        <w:tc>
          <w:tcPr>
            <w:tcW w:w="927" w:type="dxa"/>
            <w:vMerge w:val="continue"/>
          </w:tcPr>
          <w:p w14:paraId="20CFCD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p>
        </w:tc>
        <w:tc>
          <w:tcPr>
            <w:tcW w:w="977" w:type="dxa"/>
            <w:vMerge w:val="continue"/>
          </w:tcPr>
          <w:p w14:paraId="0EE339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vertAlign w:val="baseline"/>
                <w:lang w:val="en-US" w:eastAsia="zh-CN"/>
              </w:rPr>
            </w:pPr>
          </w:p>
        </w:tc>
      </w:tr>
      <w:tr w14:paraId="6CEE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010F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1466" w:type="dxa"/>
          </w:tcPr>
          <w:p w14:paraId="2316E1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1029" w:type="dxa"/>
          </w:tcPr>
          <w:p w14:paraId="152A3D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859" w:type="dxa"/>
          </w:tcPr>
          <w:p w14:paraId="3CDD04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37BFC7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876" w:type="dxa"/>
          </w:tcPr>
          <w:p w14:paraId="1E8686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927" w:type="dxa"/>
          </w:tcPr>
          <w:p w14:paraId="22C179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894" w:type="dxa"/>
          </w:tcPr>
          <w:p w14:paraId="4A75C8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1028" w:type="dxa"/>
          </w:tcPr>
          <w:p w14:paraId="1950F4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1011" w:type="dxa"/>
          </w:tcPr>
          <w:p w14:paraId="326FF1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1011" w:type="dxa"/>
          </w:tcPr>
          <w:p w14:paraId="2109F0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098257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7FF6AB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927" w:type="dxa"/>
          </w:tcPr>
          <w:p w14:paraId="5D41C7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c>
          <w:tcPr>
            <w:tcW w:w="977" w:type="dxa"/>
          </w:tcPr>
          <w:p w14:paraId="4D19A1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p>
        </w:tc>
      </w:tr>
      <w:tr w14:paraId="58DE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93594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466" w:type="dxa"/>
          </w:tcPr>
          <w:p w14:paraId="6EF294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29" w:type="dxa"/>
          </w:tcPr>
          <w:p w14:paraId="1362B5D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59" w:type="dxa"/>
          </w:tcPr>
          <w:p w14:paraId="17BD4DB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11D968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76" w:type="dxa"/>
          </w:tcPr>
          <w:p w14:paraId="2E288AC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27" w:type="dxa"/>
          </w:tcPr>
          <w:p w14:paraId="3813C25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94" w:type="dxa"/>
          </w:tcPr>
          <w:p w14:paraId="7FAF579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28" w:type="dxa"/>
          </w:tcPr>
          <w:p w14:paraId="19C318E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11" w:type="dxa"/>
          </w:tcPr>
          <w:p w14:paraId="06704C6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11" w:type="dxa"/>
          </w:tcPr>
          <w:p w14:paraId="608687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451DC9A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6C7C6D7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27" w:type="dxa"/>
          </w:tcPr>
          <w:p w14:paraId="4DCD5A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77" w:type="dxa"/>
          </w:tcPr>
          <w:p w14:paraId="703ACBB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r>
      <w:tr w14:paraId="6DAC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B5810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466" w:type="dxa"/>
          </w:tcPr>
          <w:p w14:paraId="19BC675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29" w:type="dxa"/>
          </w:tcPr>
          <w:p w14:paraId="153CFAE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59" w:type="dxa"/>
          </w:tcPr>
          <w:p w14:paraId="293005C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29455D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76" w:type="dxa"/>
          </w:tcPr>
          <w:p w14:paraId="3290B03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27" w:type="dxa"/>
          </w:tcPr>
          <w:p w14:paraId="3B5F9F1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94" w:type="dxa"/>
          </w:tcPr>
          <w:p w14:paraId="597CF8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28" w:type="dxa"/>
          </w:tcPr>
          <w:p w14:paraId="3488713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11" w:type="dxa"/>
          </w:tcPr>
          <w:p w14:paraId="7A43B1B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11" w:type="dxa"/>
          </w:tcPr>
          <w:p w14:paraId="7FDCA4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51C8681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6DABEE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27" w:type="dxa"/>
          </w:tcPr>
          <w:p w14:paraId="4E23B09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77" w:type="dxa"/>
          </w:tcPr>
          <w:p w14:paraId="5ACAF5C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r>
      <w:tr w14:paraId="4919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5CD7F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466" w:type="dxa"/>
          </w:tcPr>
          <w:p w14:paraId="1DA90C9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29" w:type="dxa"/>
          </w:tcPr>
          <w:p w14:paraId="1A6D5BB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59" w:type="dxa"/>
          </w:tcPr>
          <w:p w14:paraId="3779CCB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342D6E4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76" w:type="dxa"/>
          </w:tcPr>
          <w:p w14:paraId="1C3ADB6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27" w:type="dxa"/>
          </w:tcPr>
          <w:p w14:paraId="3053D1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94" w:type="dxa"/>
          </w:tcPr>
          <w:p w14:paraId="7F1FCD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28" w:type="dxa"/>
          </w:tcPr>
          <w:p w14:paraId="15AAA8B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11" w:type="dxa"/>
          </w:tcPr>
          <w:p w14:paraId="6FBB336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11" w:type="dxa"/>
          </w:tcPr>
          <w:p w14:paraId="6B5251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314858A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2112BD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27" w:type="dxa"/>
          </w:tcPr>
          <w:p w14:paraId="3F0B7F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77" w:type="dxa"/>
          </w:tcPr>
          <w:p w14:paraId="76227C9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r>
      <w:tr w14:paraId="36A4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78B3B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466" w:type="dxa"/>
          </w:tcPr>
          <w:p w14:paraId="40AA666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29" w:type="dxa"/>
          </w:tcPr>
          <w:p w14:paraId="740E135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59" w:type="dxa"/>
          </w:tcPr>
          <w:p w14:paraId="5C19B80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608B1FF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76" w:type="dxa"/>
          </w:tcPr>
          <w:p w14:paraId="23A29AD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27" w:type="dxa"/>
          </w:tcPr>
          <w:p w14:paraId="710F05B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94" w:type="dxa"/>
          </w:tcPr>
          <w:p w14:paraId="6210B53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28" w:type="dxa"/>
          </w:tcPr>
          <w:p w14:paraId="7E2F7B5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11" w:type="dxa"/>
          </w:tcPr>
          <w:p w14:paraId="62B86B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11" w:type="dxa"/>
          </w:tcPr>
          <w:p w14:paraId="559346D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6EDB39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5265BE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27" w:type="dxa"/>
          </w:tcPr>
          <w:p w14:paraId="1D39CB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77" w:type="dxa"/>
          </w:tcPr>
          <w:p w14:paraId="0D73412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r>
      <w:tr w14:paraId="154A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06994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466" w:type="dxa"/>
          </w:tcPr>
          <w:p w14:paraId="78DF0FA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29" w:type="dxa"/>
          </w:tcPr>
          <w:p w14:paraId="43BD20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59" w:type="dxa"/>
          </w:tcPr>
          <w:p w14:paraId="51EC79E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70288E6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76" w:type="dxa"/>
          </w:tcPr>
          <w:p w14:paraId="286F9AB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27" w:type="dxa"/>
          </w:tcPr>
          <w:p w14:paraId="4FE153C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894" w:type="dxa"/>
          </w:tcPr>
          <w:p w14:paraId="3B11DFF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28" w:type="dxa"/>
          </w:tcPr>
          <w:p w14:paraId="7680C0B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11" w:type="dxa"/>
          </w:tcPr>
          <w:p w14:paraId="4C299A6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1011" w:type="dxa"/>
          </w:tcPr>
          <w:p w14:paraId="1F54382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0102348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44" w:type="dxa"/>
          </w:tcPr>
          <w:p w14:paraId="2264783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27" w:type="dxa"/>
          </w:tcPr>
          <w:p w14:paraId="0194906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c>
          <w:tcPr>
            <w:tcW w:w="977" w:type="dxa"/>
          </w:tcPr>
          <w:p w14:paraId="5B5C9C1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0"/>
                <w:szCs w:val="30"/>
                <w:vertAlign w:val="baseline"/>
                <w:lang w:val="en-US" w:eastAsia="zh-CN"/>
              </w:rPr>
            </w:pPr>
          </w:p>
        </w:tc>
      </w:tr>
    </w:tbl>
    <w:p w14:paraId="1A49D7CE">
      <w:pPr>
        <w:rPr>
          <w:rFonts w:hint="eastAsia" w:eastAsiaTheme="minorEastAsia"/>
          <w:lang w:eastAsia="zh-CN"/>
        </w:rPr>
      </w:pPr>
    </w:p>
    <w:p w14:paraId="0E092265"/>
    <w:sectPr>
      <w:footerReference r:id="rId4" w:type="default"/>
      <w:pgSz w:w="16838" w:h="11906" w:orient="landscape"/>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F3AA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170389">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4170389">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8A1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6BE1A">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16BE1A">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2D40A4"/>
    <w:multiLevelType w:val="singleLevel"/>
    <w:tmpl w:val="282D40A4"/>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42231"/>
    <w:rsid w:val="024E4B4B"/>
    <w:rsid w:val="02B81FC4"/>
    <w:rsid w:val="0361265C"/>
    <w:rsid w:val="03A60DE4"/>
    <w:rsid w:val="040B7FEE"/>
    <w:rsid w:val="04AE5D0F"/>
    <w:rsid w:val="04E763FE"/>
    <w:rsid w:val="0A2C2E6A"/>
    <w:rsid w:val="0A5D3B7D"/>
    <w:rsid w:val="0AB75C54"/>
    <w:rsid w:val="0DDC74AE"/>
    <w:rsid w:val="110E3E23"/>
    <w:rsid w:val="11551A52"/>
    <w:rsid w:val="14DA446E"/>
    <w:rsid w:val="150B2427"/>
    <w:rsid w:val="16DC051F"/>
    <w:rsid w:val="18C33745"/>
    <w:rsid w:val="19FE41A5"/>
    <w:rsid w:val="1B818CE3"/>
    <w:rsid w:val="1D6628F1"/>
    <w:rsid w:val="1F017E26"/>
    <w:rsid w:val="28996270"/>
    <w:rsid w:val="29042810"/>
    <w:rsid w:val="2A1D6A2D"/>
    <w:rsid w:val="2FFBDFC8"/>
    <w:rsid w:val="32C07AB0"/>
    <w:rsid w:val="340F49D1"/>
    <w:rsid w:val="35676411"/>
    <w:rsid w:val="3A583D1B"/>
    <w:rsid w:val="3ADD023E"/>
    <w:rsid w:val="3B3F6E1B"/>
    <w:rsid w:val="3F5C459C"/>
    <w:rsid w:val="3FAC4683"/>
    <w:rsid w:val="46C329DE"/>
    <w:rsid w:val="494B3F47"/>
    <w:rsid w:val="4B1B43A7"/>
    <w:rsid w:val="4DC31516"/>
    <w:rsid w:val="4E01203E"/>
    <w:rsid w:val="50DD625B"/>
    <w:rsid w:val="51142088"/>
    <w:rsid w:val="51EC2F55"/>
    <w:rsid w:val="55570E32"/>
    <w:rsid w:val="56A87D6B"/>
    <w:rsid w:val="56B36D49"/>
    <w:rsid w:val="5A0802B0"/>
    <w:rsid w:val="5C55289E"/>
    <w:rsid w:val="5C6E6AF1"/>
    <w:rsid w:val="5CE20919"/>
    <w:rsid w:val="5F1D6C16"/>
    <w:rsid w:val="5F2D4913"/>
    <w:rsid w:val="5F7A5EA2"/>
    <w:rsid w:val="628B4946"/>
    <w:rsid w:val="636E387A"/>
    <w:rsid w:val="63BA6ABF"/>
    <w:rsid w:val="677B47B7"/>
    <w:rsid w:val="69E20B1E"/>
    <w:rsid w:val="6BD202F8"/>
    <w:rsid w:val="6F673794"/>
    <w:rsid w:val="714D4ACF"/>
    <w:rsid w:val="726C367A"/>
    <w:rsid w:val="72D336FA"/>
    <w:rsid w:val="738D368D"/>
    <w:rsid w:val="73DF103F"/>
    <w:rsid w:val="74D6330C"/>
    <w:rsid w:val="771B5335"/>
    <w:rsid w:val="7A3A24AE"/>
    <w:rsid w:val="7D8D2523"/>
    <w:rsid w:val="7E1B34B7"/>
    <w:rsid w:val="7E5020A2"/>
    <w:rsid w:val="7EFF1D9D"/>
    <w:rsid w:val="ABDB982C"/>
    <w:rsid w:val="BA7DC2AB"/>
    <w:rsid w:val="CFCFDFDA"/>
    <w:rsid w:val="DEBF1943"/>
    <w:rsid w:val="FCB5A35F"/>
    <w:rsid w:val="FFED1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sz w:val="28"/>
    </w:rPr>
  </w:style>
  <w:style w:type="paragraph" w:styleId="3">
    <w:name w:val="Title"/>
    <w:basedOn w:val="1"/>
    <w:next w:val="1"/>
    <w:qFormat/>
    <w:uiPriority w:val="0"/>
    <w:pPr>
      <w:spacing w:before="60" w:after="120" w:line="560" w:lineRule="exact"/>
      <w:jc w:val="center"/>
      <w:outlineLvl w:val="0"/>
    </w:pPr>
    <w:rPr>
      <w:rFonts w:ascii="Times New Roman" w:hAnsi="Times New Roman" w:eastAsia="方正小标宋简体"/>
      <w:bCs/>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4279</Words>
  <Characters>4443</Characters>
  <Lines>0</Lines>
  <Paragraphs>0</Paragraphs>
  <TotalTime>38</TotalTime>
  <ScaleCrop>false</ScaleCrop>
  <LinksUpToDate>false</LinksUpToDate>
  <CharactersWithSpaces>4575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2026-03-01T10:21:00Z</dcterms:created>
  <dc:creator>Administrator</dc:creator>
  <cp:lastModifiedBy>乌龙茶de-su</cp:lastModifiedBy>
  <cp:lastPrinted>2026-05-22T08:33:00Z</cp:lastPrinted>
  <dcterms:modified xsi:type="dcterms:W3CDTF">2026-05-25T08:08:53Z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eyJoZGlkIjoiZTI2NWMwOWQ5NjgxMjhhNWM2ODhjYmMzZDljYWY2ZTgiLCJ1c2VySWQiOiIyMzY4NDIwNTgifQ==</vt:lpwstr>
  </property>
  <property fmtid="{D5CDD505-2E9C-101B-9397-08002B2CF9AE}" pid="4" name="ICV">
    <vt:lpwstr>CF289BDC00FE488499919F50975E134B_13</vt:lpwstr>
  </property>
</Properties>
</file>