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pacing w:val="60"/>
          <w:sz w:val="96"/>
          <w:szCs w:val="96"/>
        </w:rPr>
      </w:pP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60"/>
          <w:sz w:val="96"/>
          <w:szCs w:val="96"/>
        </w:rPr>
        <w:t>鹿寨县民政局文件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210" w:rightChars="100"/>
        <w:jc w:val="center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鹿民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发</w:t>
      </w:r>
      <w:r>
        <w:rPr>
          <w:rFonts w:hint="eastAsia" w:ascii="仿宋_GB2312" w:hAnsi="宋体" w:eastAsia="仿宋_GB2312"/>
          <w:sz w:val="32"/>
          <w:szCs w:val="32"/>
        </w:rPr>
        <w:t>〔202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73660</wp:posOffset>
                </wp:positionV>
                <wp:extent cx="5791200" cy="635"/>
                <wp:effectExtent l="0" t="13970" r="0" b="2349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.15pt;margin-top:5.8pt;height:0.05pt;width:456pt;z-index:251659264;mso-width-relative:page;mso-height-relative:page;" filled="f" stroked="t" coordsize="21600,21600" o:gfxdata="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WibtLU&#10;AAAABwEAAA8AAAAAAAAAAQAgAAAAIgAAAGRycy9kb3ducmV2LnhtbFBLAQIUABQAAAAIAIdO4kBU&#10;A4ZC6wEAAN4DAAAOAAAAAAAAAAEAIAAAACMBAABkcnMvZTJvRG9jLnhtbFBLBQYAAAAABgAGAFkB&#10;AACA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tabs>
          <w:tab w:val="center" w:pos="4655"/>
          <w:tab w:val="right" w:pos="918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简体"/>
          <w:bCs/>
          <w:color w:val="000000"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鹿寨县</w:t>
      </w:r>
      <w:r>
        <w:rPr>
          <w:rFonts w:eastAsia="方正小标宋简体"/>
          <w:bCs/>
          <w:sz w:val="44"/>
          <w:szCs w:val="44"/>
        </w:rPr>
        <w:t>民政局关于</w:t>
      </w:r>
      <w:r>
        <w:rPr>
          <w:rFonts w:hint="eastAsia" w:eastAsia="方正小标宋简体"/>
          <w:bCs/>
          <w:sz w:val="44"/>
          <w:szCs w:val="44"/>
        </w:rPr>
        <w:t>进一步健全完善</w:t>
      </w:r>
      <w:r>
        <w:rPr>
          <w:rFonts w:hint="eastAsia" w:eastAsia="方正小标宋简体"/>
          <w:bCs/>
          <w:color w:val="000000"/>
          <w:sz w:val="44"/>
          <w:szCs w:val="44"/>
        </w:rPr>
        <w:t>特困人员</w:t>
      </w:r>
    </w:p>
    <w:p>
      <w:pPr>
        <w:keepNext w:val="0"/>
        <w:keepLines w:val="0"/>
        <w:pageBreakBefore w:val="0"/>
        <w:tabs>
          <w:tab w:val="center" w:pos="4655"/>
          <w:tab w:val="right" w:pos="918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简体"/>
          <w:bCs/>
          <w:color w:val="000000"/>
          <w:sz w:val="44"/>
          <w:szCs w:val="44"/>
        </w:rPr>
      </w:pPr>
      <w:r>
        <w:rPr>
          <w:rFonts w:hint="eastAsia" w:eastAsia="方正小标宋简体"/>
          <w:bCs/>
          <w:color w:val="000000"/>
          <w:sz w:val="44"/>
          <w:szCs w:val="44"/>
        </w:rPr>
        <w:t>住院陪护服务</w:t>
      </w:r>
      <w:r>
        <w:rPr>
          <w:rFonts w:hint="eastAsia" w:eastAsia="方正小标宋简体"/>
          <w:bCs/>
          <w:color w:val="000000"/>
          <w:sz w:val="44"/>
          <w:szCs w:val="44"/>
          <w:lang w:val="en-US" w:eastAsia="zh-CN"/>
        </w:rPr>
        <w:t>制度</w:t>
      </w:r>
      <w:r>
        <w:rPr>
          <w:rFonts w:eastAsia="方正小标宋简体"/>
          <w:bCs/>
          <w:color w:val="000000"/>
          <w:sz w:val="44"/>
          <w:szCs w:val="44"/>
        </w:rPr>
        <w:t>的</w:t>
      </w:r>
      <w:r>
        <w:rPr>
          <w:rFonts w:hint="eastAsia" w:eastAsia="方正小标宋简体"/>
          <w:bCs/>
          <w:color w:val="000000"/>
          <w:sz w:val="44"/>
          <w:szCs w:val="44"/>
        </w:rPr>
        <w:t>通知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right="0" w:firstLine="883" w:firstLineChars="200"/>
        <w:textAlignment w:val="auto"/>
        <w:rPr>
          <w:rFonts w:ascii="Times New Roman" w:hAnsi="Times New Roman" w:eastAsia="宋体" w:cs="Times New Roman"/>
          <w:b/>
          <w:bCs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各乡镇民政办（社会事业办、为民服务中心）：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为深入贯彻落实《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区党委办公厅自治区人民政府办公厅印发&lt;关于改革完善社会救助制度的若干措施&gt;的通知》（桂办发〔2020〕23号）《柳州市人民政府关于进一步健全特困人员救助供养制度的实施意见》（柳政规〔2017〕15号）等文件精神，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2"/>
          <w:szCs w:val="32"/>
        </w:rPr>
        <w:t>全完善特困供养人员住院陪护机制，不断提升特困人员供养救助水平，确保特困人员“生病有人管、住院有人看护”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。现结合我县实际，就进一步做好特困人员住院陪护工作提出如下要求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住院陪护服务具体对象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完全丧失、部分丧失生活自理能力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的特困人员；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平时生活能够自理但因病住院期间生活不能自理的特困人员，视同阶段性不能自理的特困人员；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（三）因突发意外等原因导致完全或部分丧失生活自理能力的特困人员。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二、住院陪护服务人员范围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县级民政部门所属福利机构、养老服务机构派遣的护理人员；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与乡镇人民政府签订了照料护理协议的特困人员生活照料义务人；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（三）县级民政部门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通过政府购买第三方服务机构安排聘请专业护理人员；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县级民政部门聘请的专业护理人员；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县级民政部门认可的其他人员。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三、住院陪护服务费执行标准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住院陪护服务标准参照我县医疗机构陪护行业指导价格确定，并主动向发展改革等部门报备。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（一）需要长期聘用专人进行住院陪护服务的，原则上按照当地人社部门关于聘用人员待遇的有关政策执行；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（二）已纳入照料服务范围的特困人员住院，由其照料义务人进行住院陪护的，住院陪护由政府购买的第三方服务机构实施，费用按购买第三方服务机构的费用标准执行（含第三方机构管理费用）；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三）平时生活能够自理但因病住院期间不能自理的，视同阶段性不能自理特困人员，可委托其近亲属（或其他人员）进行临时照料护理，住院陪护由政府购买的第三方服务机构实施，费用按购买第三方服务机构的费用标准执行（含第三方机构管理费用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四）特困人员因病情严重，按医嘱转院（不在本辖区范围）治疗，符合住院陪护条件的，由县级民政部门派遣、聘请或动员其近属进行住院陪护服务，住院陪护由政府购买的第三方服务机构实施，费用按购买第三方服务机构的费用标准执行（含第三方机构管理费用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四、健全完善监管机制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（一）加强沟通协调。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民政部门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主动与卫生健康、医保等部门沟通，充分发挥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困难群众基本生活保障协调机构的作用，协调解决特困人员医疗救助、住院陪护等问题。加强与医疗机构的协调，认真做好因病住院特困人员的生活自理能力评估工作，落实“谁评估谁签字谁负责”管理责任，确保特困人员住院期间得到有效照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（二）加强陪护监管。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县级民政部门、乡镇要建立完善监管机制，通过定期或不定期抽查等方式对陪护人员服务情况进行跟踪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上述住院陪护人员均由民政部门购买的第三方机构进行协商，第三方机构要切实落实监管责任，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对陪护人员服务情况进行跟踪监督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发现问题及时督促整改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因陪护人员不认真履职、弄虚作假导致救助服务对象利益受损或存在利益输送等情形，要按照陪护协议约定扣减或停止支付陪护费；造成严重后果的，要依法依规追究相关人员责任。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（三）健全扣补机制。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已享受生活照料护理费的特困人员因病住院期间，由其生活照料义务人陪护服务的，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由民政部门购买的第三方机构与陪护人签认陪护协议，陪护费用按民政部门购买的标准执行（含第三方机构管理费用，第三方机构收取的总管理费用不得超过总陪护费用的15%）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。由政府购买的第三方服务机构派遣住院陪护人员的，特困人员住院期间的生活照料护理费应当扣减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后按实发金额进行发放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各乡镇要切实做好的扣减核算工作，确保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生活照料护理费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准确发放。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（四）加强内控管理。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民政部门切实落实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财务管理制度，从资金筹集、拨付、使用等各个环节加强监管，想方设法堵住资金管理漏洞，严禁弄虚作假、虚报冒领护理费问题发生，确保困难群众救助资金安全运行、专款专用。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五、工作要求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高度重视，提高认识。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各乡镇要高度重视特困人员住院陪护服务工作，加强统筹谋划，周密协调部署，扎实做好此项工作。引导特困人员及其照料义务人、社会各界感党恩、听党话、跟党走。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）落实经费，保障到位。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要加强请示汇报，主动与本级财政部门沟通，多渠道筹措经费，确保陪护服务落实到位。通过政府购买第三方机构开展陪护服务的，所需资金在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县本级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特困供养金统筹安排使用，但只能购买服务项目，不得直接用于发放陪护人员服务费。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）健全制度，落实措施。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各乡镇要按照本通知要求，落实特困人员住院陪护制度，层层落实责任，形成工作闭环。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联系人：刘卓，联系电话：6839019，邮箱：lzxmzj2596@163.com。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30" w:firstLineChars="1947"/>
        <w:jc w:val="righ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鹿寨县民政局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6"/>
        <w:jc w:val="right"/>
        <w:textAlignment w:val="auto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napToGrid w:val="0"/>
          <w:kern w:val="0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 xml:space="preserve">　　　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textAlignment w:val="auto"/>
      </w:pPr>
      <w:r>
        <w:rPr>
          <w:rFonts w:hint="eastAsia"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368300</wp:posOffset>
                </wp:positionV>
                <wp:extent cx="574421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421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29pt;height:0.05pt;width:452.3pt;z-index:251660288;mso-width-relative:page;mso-height-relative:page;" filled="f" stroked="t" coordsize="21600,21600" o:gfxdata="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PEEbI1QAAAAcBAAAPAAAAAAAAAAEAIAAAACIAAABkcnMvZG93bnJldi54bWxQSwEC&#10;FAAUAAAACACHTuJArrSW8/cBAADmAwAADgAAAAAAAAABACAAAAAk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34925</wp:posOffset>
                </wp:positionV>
                <wp:extent cx="574421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421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2.75pt;height:0.05pt;width:452.3pt;z-index:251661312;mso-width-relative:page;mso-height-relative:page;" filled="f" stroked="t" coordsize="21600,21600" o:gfxdata="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GW0JC0gAAAAQBAAAPAAAAAAAAAAEAIAAAACIAAABkcnMvZG93bnJldi54bWxQSwECFAAU&#10;AAAACACHTuJACkIvevcBAADmAwAADgAAAAAAAAABACAAAAAh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鹿寨县民政局办公室　　　　　　　　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日印发</w:t>
      </w:r>
    </w:p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457C7"/>
    <w:rsid w:val="09E9764E"/>
    <w:rsid w:val="0B08109A"/>
    <w:rsid w:val="23063D08"/>
    <w:rsid w:val="26AA74A2"/>
    <w:rsid w:val="45F96D1A"/>
    <w:rsid w:val="5C3376DE"/>
    <w:rsid w:val="5D926D13"/>
    <w:rsid w:val="6C1A0594"/>
    <w:rsid w:val="6E035216"/>
    <w:rsid w:val="763B5E35"/>
    <w:rsid w:val="7E84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158" w:right="275" w:hanging="2420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2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40575;&#27665;&#21457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鹿民发.dotm</Template>
  <Pages>1</Pages>
  <Words>55</Words>
  <Characters>64</Characters>
  <Lines>0</Lines>
  <Paragraphs>0</Paragraphs>
  <TotalTime>17</TotalTime>
  <ScaleCrop>false</ScaleCrop>
  <LinksUpToDate>false</LinksUpToDate>
  <CharactersWithSpaces>162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2024-06-18T00:09:00Z</dcterms:created>
  <dc:creator>Lenovo</dc:creator>
  <cp:lastModifiedBy>Lenovo</cp:lastModifiedBy>
  <cp:lastPrinted>2024-06-18T00:34:35Z</cp:lastPrinted>
  <dcterms:modified xsi:type="dcterms:W3CDTF">2024-06-18T00:35:11Z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B8278C48452C431E8A09B319F63D572C</vt:lpwstr>
  </property>
</Properties>
</file>